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EA4FEC0">
      <w:pPr>
        <w:pStyle w:val="22"/>
        <w:tabs>
          <w:tab w:val="right" w:leader="dot" w:pos="8303"/>
        </w:tabs>
        <w:spacing w:before="120" w:beforeLines="50" w:after="240" w:afterLines="100"/>
        <w:ind w:firstLine="0" w:firstLineChars="0"/>
        <w:jc w:val="center"/>
        <w:rPr>
          <w:rFonts w:hint="default" w:ascii="Times New Roman" w:hAnsi="Times New Roman" w:cs="Times New Roman"/>
          <w:b/>
          <w:color w:val="auto"/>
          <w:sz w:val="44"/>
          <w:szCs w:val="44"/>
          <w:highlight w:val="none"/>
        </w:rPr>
      </w:pPr>
      <w:r>
        <w:rPr>
          <w:rFonts w:hint="default" w:ascii="Times New Roman" w:hAnsi="Times New Roman" w:cs="Times New Roman"/>
          <w:b/>
          <w:color w:val="auto"/>
          <w:sz w:val="44"/>
          <w:szCs w:val="44"/>
          <w:highlight w:val="none"/>
        </w:rPr>
        <w:t>目录</w:t>
      </w:r>
    </w:p>
    <w:p w14:paraId="7573A2DF">
      <w:pPr>
        <w:pStyle w:val="22"/>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TOC \o "1-2" \h \z \u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_Toc23937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1概述</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_Toc23937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37E9612A">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_Toc8701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1.1建设项目特点</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_Toc8701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4B9FE73C">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_Toc31091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1.2环境影响评价过程</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_Toc31091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41414191">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_Toc12034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1.3分析判定相关情况</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_Toc12034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38DF27B3">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_Toc6774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1.4关注的主要环境问题及环境影响</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_Toc6774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28</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79708037">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_Toc13281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1.5环境影响评价的主要结论</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_Toc13281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29</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30D85C07">
      <w:pPr>
        <w:pStyle w:val="22"/>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_Toc5046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2总则</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_Toc5046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30</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022ACEED">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_Toc29099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2.1评价原则与目的</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_Toc29099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30</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1CA3617C">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_Toc6758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2.2编制依据</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_Toc6758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31</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63FD6077">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_Toc26518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2.3环境影响评价时段</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_Toc26518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37</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2D44B7B1">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_Toc15441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2.4评价因子识别及筛选</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_Toc15441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38</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704EA1CE">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_Toc4593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2.5环境功能区划和评价标准</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_Toc4593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39</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6649189E">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_Toc15246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2.6评价等级和评价范围</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_Toc15246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46</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7B86A9B7">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_Toc3436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2.7评价重点</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_Toc3436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56</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41E7B004">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_Toc287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2.8主要环境保护目标和环境敏感目标</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_Toc287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56</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6326AA2C">
      <w:pPr>
        <w:pStyle w:val="22"/>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_Toc10705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3建设项目工程分析</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_Toc10705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58</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0FBD298A">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_Toc9545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项目概况</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_Toc9545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58</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3CCA64B0">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_Toc3946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工程分析</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_Toc3946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81</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615FFD4F">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_Toc17376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污染源及污染物分析</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_Toc17376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88</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050E24C4">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_Toc29855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清洁生产分析</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_Toc29855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104</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37F7AC46">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_Toc17387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5运营期污染物排放情况汇总</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_Toc17387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107</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0356C5E0">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_Toc3485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总量控制</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_Toc3485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108</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14856DB3">
      <w:pPr>
        <w:pStyle w:val="22"/>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_Toc13626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4 环境现状调查与评价</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_Toc13626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109</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731B2724">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_Toc28153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4.1自然环境概况</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_Toc28153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109</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773171FA">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_Toc15340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4.2环境质量现状调查与评价</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_Toc15340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114</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4A93194E">
      <w:pPr>
        <w:pStyle w:val="22"/>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_Toc5296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 环境影响预测与评价</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_Toc5296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129</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2ED3C5F6">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_Toc253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5.1施工期环境影响预测与评价</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_Toc253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129</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065D6D04">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sectPr>
          <w:headerReference r:id="rId5" w:type="default"/>
          <w:footerReference r:id="rId7" w:type="default"/>
          <w:headerReference r:id="rId6" w:type="even"/>
          <w:footerReference r:id="rId8" w:type="even"/>
          <w:pgSz w:w="11907" w:h="16840"/>
          <w:pgMar w:top="1440" w:right="1797" w:bottom="1440" w:left="1797" w:header="851" w:footer="964" w:gutter="0"/>
          <w:pgBorders>
            <w:top w:val="none" w:sz="0" w:space="0"/>
            <w:left w:val="none" w:sz="0" w:space="0"/>
            <w:bottom w:val="none" w:sz="0" w:space="0"/>
            <w:right w:val="none" w:sz="0" w:space="0"/>
          </w:pgBorders>
          <w:pgNumType w:start="1"/>
          <w:cols w:space="425" w:num="1"/>
          <w:docGrid w:linePitch="312" w:charSpace="0"/>
        </w:sectPr>
      </w:pPr>
    </w:p>
    <w:p w14:paraId="197DBE29">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_Toc23802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5.2运营期环境影响预测与评价</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_Toc23802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136</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748D8E84">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_Toc6217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5.3环境风险分析</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_Toc6217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168</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64C4EC77">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_Toc8893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5.4退役期环境影响分析</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_Toc8893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204</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28E4D32E">
      <w:pPr>
        <w:pStyle w:val="22"/>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_Toc4011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6环境保护措施及其可行性论证</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_Toc4011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207</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581D391C">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_Toc8111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6.1施工期环境保护措施及其可行性论证</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_Toc8111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207</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371C28FE">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_Toc14375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6.2运营期环境保护措施及其可行性论证</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_Toc14375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211</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565BF63E">
      <w:pPr>
        <w:pStyle w:val="22"/>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_Toc28259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7环境影响经济损益分析</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_Toc28259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236</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0F499EA2">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_Toc312 </w:instrText>
      </w:r>
      <w:r>
        <w:rPr>
          <w:rFonts w:hint="default" w:ascii="Times New Roman" w:hAnsi="Times New Roman" w:cs="Times New Roman"/>
          <w:color w:val="auto"/>
          <w:highlight w:val="none"/>
        </w:rPr>
        <w:fldChar w:fldCharType="separate"/>
      </w:r>
      <w:r>
        <w:rPr>
          <w:rFonts w:hint="default" w:ascii="Times New Roman" w:hAnsi="Times New Roman" w:cs="Times New Roman" w:eastAsiaTheme="minorEastAsia"/>
          <w:color w:val="auto"/>
          <w:highlight w:val="none"/>
        </w:rPr>
        <w:t>7.1经济效益分析</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_Toc312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236</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1FE78F93">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_Toc19151 </w:instrText>
      </w:r>
      <w:r>
        <w:rPr>
          <w:rFonts w:hint="default" w:ascii="Times New Roman" w:hAnsi="Times New Roman" w:cs="Times New Roman"/>
          <w:color w:val="auto"/>
          <w:highlight w:val="none"/>
        </w:rPr>
        <w:fldChar w:fldCharType="separate"/>
      </w:r>
      <w:r>
        <w:rPr>
          <w:rFonts w:hint="default" w:ascii="Times New Roman" w:hAnsi="Times New Roman" w:cs="Times New Roman" w:eastAsiaTheme="minorEastAsia"/>
          <w:color w:val="auto"/>
          <w:highlight w:val="none"/>
        </w:rPr>
        <w:t>7.2社会效益分析</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_Toc19151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237</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58915C53">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_Toc16313 </w:instrText>
      </w:r>
      <w:r>
        <w:rPr>
          <w:rFonts w:hint="default" w:ascii="Times New Roman" w:hAnsi="Times New Roman" w:cs="Times New Roman"/>
          <w:color w:val="auto"/>
          <w:highlight w:val="none"/>
        </w:rPr>
        <w:fldChar w:fldCharType="separate"/>
      </w:r>
      <w:r>
        <w:rPr>
          <w:rFonts w:hint="default" w:ascii="Times New Roman" w:hAnsi="Times New Roman" w:cs="Times New Roman" w:eastAsiaTheme="minorEastAsia"/>
          <w:color w:val="auto"/>
          <w:highlight w:val="none"/>
        </w:rPr>
        <w:t>7.3环境效益分析</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_Toc16313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237</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64ACA854">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_Toc9241 </w:instrText>
      </w:r>
      <w:r>
        <w:rPr>
          <w:rFonts w:hint="default" w:ascii="Times New Roman" w:hAnsi="Times New Roman" w:cs="Times New Roman"/>
          <w:color w:val="auto"/>
          <w:highlight w:val="none"/>
        </w:rPr>
        <w:fldChar w:fldCharType="separate"/>
      </w:r>
      <w:r>
        <w:rPr>
          <w:rFonts w:hint="default" w:ascii="Times New Roman" w:hAnsi="Times New Roman" w:cs="Times New Roman" w:eastAsiaTheme="minorEastAsia"/>
          <w:color w:val="auto"/>
          <w:highlight w:val="none"/>
        </w:rPr>
        <w:t>7.4结论</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_Toc9241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238</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1CC6B616">
      <w:pPr>
        <w:pStyle w:val="22"/>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_Toc17678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8环境管理与监测计划</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_Toc17678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239</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2B196837">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_Toc29094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8.1建设项目环境管理</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_Toc29094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239</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664F2531">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_Toc3521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8.2施工期环境管理</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_Toc3521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245</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7F6F963D">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_Toc29524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8.3环境监测计划</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_Toc29524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246</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1D50E91B">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_Toc10835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8.4环境管理措施及环保行动计划</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_Toc10835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248</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15850631">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_Toc3106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8.5环境保护竣工验收计划</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_Toc3106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249</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6B9DF8FF">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_Toc22657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4"/>
          <w:highlight w:val="none"/>
        </w:rPr>
        <w:t>8.6排污清单</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_Toc22657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252</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4E505BFE">
      <w:pPr>
        <w:pStyle w:val="22"/>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_Toc19312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9环境影响评价结论</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_Toc19312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254</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78EFA12D">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_Toc8755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9.1项目概况</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_Toc8755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254</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20C6F91D">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_Toc10277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9.2符合性分析</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_Toc10277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254</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024FB369">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_Toc27854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9.3环境质量现状</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_Toc27854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255</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49D20A14">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_Toc31690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9.4环境影响评价</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_Toc31690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256</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7C34DCCC">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_Toc22173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9.5总量控制</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_Toc22173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257</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2AD24998">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_Toc4796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lang w:eastAsia="zh-TW"/>
        </w:rPr>
        <w:t>9.6</w:t>
      </w:r>
      <w:r>
        <w:rPr>
          <w:rFonts w:hint="default" w:ascii="Times New Roman" w:hAnsi="Times New Roman" w:cs="Times New Roman"/>
          <w:bCs w:val="0"/>
          <w:color w:val="auto"/>
          <w:highlight w:val="none"/>
          <w:lang w:eastAsia="zh-TW"/>
        </w:rPr>
        <w:t>公众参与</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_Toc4796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257</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11C7915F">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_Toc3273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9.7总体结论</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_Toc3273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257</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01EDBB09">
      <w:pPr>
        <w:pStyle w:val="27"/>
        <w:keepNext w:val="0"/>
        <w:keepLines w:val="0"/>
        <w:pageBreakBefore w:val="0"/>
        <w:widowControl w:val="0"/>
        <w:tabs>
          <w:tab w:val="right" w:leader="dot" w:pos="8313"/>
        </w:tabs>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_Toc5843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9.8建议</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PAGEREF _Toc5843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258</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fldChar w:fldCharType="end"/>
      </w:r>
    </w:p>
    <w:p w14:paraId="641A6DA7">
      <w:pPr>
        <w:keepNext w:val="0"/>
        <w:keepLines w:val="0"/>
        <w:pageBreakBefore w:val="0"/>
        <w:widowControl w:val="0"/>
        <w:kinsoku/>
        <w:wordWrap/>
        <w:overflowPunct/>
        <w:topLinePunct w:val="0"/>
        <w:autoSpaceDE/>
        <w:autoSpaceDN/>
        <w:bidi w:val="0"/>
        <w:adjustRightInd/>
        <w:snapToGrid/>
        <w:ind w:firstLine="0" w:firstLineChars="0"/>
        <w:textAlignment w:val="auto"/>
        <w:rPr>
          <w:color w:val="auto"/>
          <w:highlight w:val="none"/>
        </w:rPr>
        <w:sectPr>
          <w:footerReference r:id="rId9" w:type="default"/>
          <w:footerReference r:id="rId10" w:type="even"/>
          <w:pgSz w:w="11907" w:h="16840"/>
          <w:pgMar w:top="1440" w:right="1797" w:bottom="1440" w:left="1797" w:header="851" w:footer="964" w:gutter="0"/>
          <w:pgBorders>
            <w:top w:val="none" w:sz="0" w:space="0"/>
            <w:left w:val="none" w:sz="0" w:space="0"/>
            <w:bottom w:val="none" w:sz="0" w:space="0"/>
            <w:right w:val="none" w:sz="0" w:space="0"/>
          </w:pgBorders>
          <w:pgNumType w:start="1"/>
          <w:cols w:space="425" w:num="1"/>
          <w:docGrid w:linePitch="312" w:charSpace="0"/>
        </w:sectPr>
      </w:pPr>
      <w:r>
        <w:rPr>
          <w:rFonts w:hint="default" w:ascii="Times New Roman" w:hAnsi="Times New Roman" w:cs="Times New Roman"/>
          <w:color w:val="auto"/>
          <w:highlight w:val="none"/>
        </w:rPr>
        <w:fldChar w:fldCharType="end"/>
      </w:r>
    </w:p>
    <w:p w14:paraId="6A52D666">
      <w:pPr>
        <w:pStyle w:val="138"/>
        <w:spacing w:line="440" w:lineRule="exact"/>
        <w:ind w:firstLine="0" w:firstLineChars="0"/>
        <w:jc w:val="center"/>
        <w:rPr>
          <w:b/>
          <w:color w:val="auto"/>
          <w:sz w:val="21"/>
          <w:szCs w:val="21"/>
          <w:highlight w:val="none"/>
        </w:rPr>
      </w:pPr>
      <w:r>
        <w:rPr>
          <w:rFonts w:hint="eastAsia"/>
          <w:b/>
          <w:color w:val="auto"/>
          <w:highlight w:val="none"/>
        </w:rPr>
        <w:t>附图</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02"/>
        <w:gridCol w:w="7427"/>
      </w:tblGrid>
      <w:tr w14:paraId="24C07A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46" w:type="pct"/>
            <w:shd w:val="clear" w:color="auto" w:fill="auto"/>
            <w:noWrap w:val="0"/>
            <w:vAlign w:val="center"/>
          </w:tcPr>
          <w:p w14:paraId="4903A032">
            <w:pPr>
              <w:pStyle w:val="138"/>
              <w:spacing w:line="400" w:lineRule="exact"/>
              <w:ind w:firstLine="0" w:firstLineChars="0"/>
              <w:jc w:val="center"/>
              <w:rPr>
                <w:b/>
                <w:color w:val="auto"/>
                <w:sz w:val="21"/>
                <w:szCs w:val="21"/>
                <w:highlight w:val="none"/>
              </w:rPr>
            </w:pPr>
            <w:r>
              <w:rPr>
                <w:rFonts w:hint="eastAsia"/>
                <w:b/>
                <w:color w:val="auto"/>
                <w:sz w:val="21"/>
                <w:szCs w:val="21"/>
                <w:highlight w:val="none"/>
              </w:rPr>
              <w:t>序号</w:t>
            </w:r>
          </w:p>
        </w:tc>
        <w:tc>
          <w:tcPr>
            <w:tcW w:w="4353" w:type="pct"/>
            <w:shd w:val="clear" w:color="auto" w:fill="auto"/>
            <w:noWrap w:val="0"/>
            <w:vAlign w:val="center"/>
          </w:tcPr>
          <w:p w14:paraId="02438BD4">
            <w:pPr>
              <w:pStyle w:val="138"/>
              <w:spacing w:line="400" w:lineRule="exact"/>
              <w:ind w:firstLine="0" w:firstLineChars="0"/>
              <w:jc w:val="center"/>
              <w:rPr>
                <w:b/>
                <w:color w:val="auto"/>
                <w:sz w:val="21"/>
                <w:szCs w:val="21"/>
                <w:highlight w:val="none"/>
              </w:rPr>
            </w:pPr>
            <w:r>
              <w:rPr>
                <w:rFonts w:hint="eastAsia"/>
                <w:b/>
                <w:color w:val="auto"/>
                <w:sz w:val="21"/>
                <w:szCs w:val="21"/>
                <w:highlight w:val="none"/>
              </w:rPr>
              <w:t>图名</w:t>
            </w:r>
          </w:p>
        </w:tc>
      </w:tr>
      <w:tr w14:paraId="0E153D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6" w:type="pct"/>
            <w:shd w:val="clear" w:color="auto" w:fill="auto"/>
            <w:noWrap w:val="0"/>
            <w:vAlign w:val="center"/>
          </w:tcPr>
          <w:p w14:paraId="4530418F">
            <w:pPr>
              <w:pStyle w:val="138"/>
              <w:spacing w:line="400" w:lineRule="exact"/>
              <w:ind w:firstLine="0" w:firstLineChars="0"/>
              <w:jc w:val="center"/>
              <w:rPr>
                <w:color w:val="auto"/>
                <w:sz w:val="21"/>
                <w:szCs w:val="21"/>
                <w:highlight w:val="none"/>
              </w:rPr>
            </w:pPr>
            <w:r>
              <w:rPr>
                <w:rFonts w:hint="eastAsia"/>
                <w:color w:val="auto"/>
                <w:sz w:val="21"/>
                <w:szCs w:val="21"/>
                <w:highlight w:val="none"/>
              </w:rPr>
              <w:t>1</w:t>
            </w:r>
          </w:p>
        </w:tc>
        <w:tc>
          <w:tcPr>
            <w:tcW w:w="4353" w:type="pct"/>
            <w:shd w:val="clear" w:color="auto" w:fill="auto"/>
            <w:noWrap w:val="0"/>
            <w:vAlign w:val="center"/>
          </w:tcPr>
          <w:p w14:paraId="1662F94D">
            <w:pPr>
              <w:pStyle w:val="138"/>
              <w:spacing w:line="400" w:lineRule="exact"/>
              <w:ind w:firstLine="0" w:firstLineChars="0"/>
              <w:rPr>
                <w:color w:val="auto"/>
                <w:sz w:val="21"/>
                <w:szCs w:val="21"/>
                <w:highlight w:val="none"/>
              </w:rPr>
            </w:pPr>
            <w:r>
              <w:rPr>
                <w:rFonts w:hint="eastAsia"/>
                <w:color w:val="auto"/>
                <w:sz w:val="21"/>
                <w:szCs w:val="21"/>
                <w:highlight w:val="none"/>
              </w:rPr>
              <w:t>图1.3-1    项目与生态保护红线位置关系</w:t>
            </w:r>
          </w:p>
        </w:tc>
      </w:tr>
      <w:tr w14:paraId="73A7CD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6" w:type="pct"/>
            <w:shd w:val="clear" w:color="auto" w:fill="auto"/>
            <w:noWrap w:val="0"/>
            <w:vAlign w:val="center"/>
          </w:tcPr>
          <w:p w14:paraId="1CD4441E">
            <w:pPr>
              <w:pStyle w:val="138"/>
              <w:spacing w:line="400" w:lineRule="exact"/>
              <w:ind w:firstLine="0" w:firstLineChars="0"/>
              <w:jc w:val="center"/>
              <w:rPr>
                <w:color w:val="auto"/>
                <w:sz w:val="21"/>
                <w:szCs w:val="21"/>
                <w:highlight w:val="none"/>
              </w:rPr>
            </w:pPr>
            <w:r>
              <w:rPr>
                <w:rFonts w:hint="eastAsia"/>
                <w:color w:val="auto"/>
                <w:sz w:val="21"/>
                <w:szCs w:val="21"/>
                <w:highlight w:val="none"/>
              </w:rPr>
              <w:t>2</w:t>
            </w:r>
          </w:p>
        </w:tc>
        <w:tc>
          <w:tcPr>
            <w:tcW w:w="4353" w:type="pct"/>
            <w:shd w:val="clear" w:color="auto" w:fill="auto"/>
            <w:noWrap w:val="0"/>
            <w:vAlign w:val="center"/>
          </w:tcPr>
          <w:p w14:paraId="0D5F36D4">
            <w:pPr>
              <w:pStyle w:val="138"/>
              <w:spacing w:line="400" w:lineRule="exact"/>
              <w:ind w:firstLine="0" w:firstLineChars="0"/>
              <w:rPr>
                <w:color w:val="auto"/>
                <w:sz w:val="21"/>
                <w:szCs w:val="21"/>
                <w:highlight w:val="none"/>
              </w:rPr>
            </w:pPr>
            <w:r>
              <w:rPr>
                <w:rFonts w:hint="eastAsia"/>
                <w:color w:val="auto"/>
                <w:sz w:val="21"/>
                <w:szCs w:val="21"/>
                <w:highlight w:val="none"/>
              </w:rPr>
              <w:t>图1.3-</w:t>
            </w:r>
            <w:r>
              <w:rPr>
                <w:rFonts w:hint="eastAsia"/>
                <w:color w:val="auto"/>
                <w:sz w:val="21"/>
                <w:szCs w:val="21"/>
                <w:highlight w:val="none"/>
                <w:lang w:val="en-US" w:eastAsia="zh-CN"/>
              </w:rPr>
              <w:t>2</w:t>
            </w:r>
            <w:r>
              <w:rPr>
                <w:rFonts w:hint="eastAsia"/>
                <w:color w:val="auto"/>
                <w:sz w:val="21"/>
                <w:szCs w:val="21"/>
                <w:highlight w:val="none"/>
              </w:rPr>
              <w:t xml:space="preserve">    项目与哈密市环境管控单元位置关系</w:t>
            </w:r>
          </w:p>
        </w:tc>
      </w:tr>
      <w:tr w14:paraId="7FFBBA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6" w:type="pct"/>
            <w:shd w:val="clear" w:color="auto" w:fill="auto"/>
            <w:noWrap w:val="0"/>
            <w:vAlign w:val="center"/>
          </w:tcPr>
          <w:p w14:paraId="2804A0EB">
            <w:pPr>
              <w:pStyle w:val="138"/>
              <w:spacing w:line="400" w:lineRule="exact"/>
              <w:ind w:firstLine="0" w:firstLineChars="0"/>
              <w:jc w:val="center"/>
              <w:rPr>
                <w:color w:val="auto"/>
                <w:sz w:val="21"/>
                <w:szCs w:val="21"/>
                <w:highlight w:val="none"/>
              </w:rPr>
            </w:pPr>
            <w:r>
              <w:rPr>
                <w:rFonts w:hint="eastAsia"/>
                <w:color w:val="auto"/>
                <w:sz w:val="21"/>
                <w:szCs w:val="21"/>
                <w:highlight w:val="none"/>
              </w:rPr>
              <w:t>3</w:t>
            </w:r>
          </w:p>
        </w:tc>
        <w:tc>
          <w:tcPr>
            <w:tcW w:w="4353" w:type="pct"/>
            <w:shd w:val="clear" w:color="auto" w:fill="auto"/>
            <w:noWrap w:val="0"/>
            <w:vAlign w:val="center"/>
          </w:tcPr>
          <w:p w14:paraId="0E6FB71E">
            <w:pPr>
              <w:pStyle w:val="138"/>
              <w:spacing w:line="400" w:lineRule="exact"/>
              <w:ind w:firstLine="0" w:firstLineChars="0"/>
              <w:rPr>
                <w:color w:val="auto"/>
                <w:sz w:val="21"/>
                <w:szCs w:val="21"/>
                <w:highlight w:val="none"/>
              </w:rPr>
            </w:pPr>
            <w:r>
              <w:rPr>
                <w:rFonts w:hint="eastAsia"/>
                <w:color w:val="auto"/>
                <w:sz w:val="21"/>
                <w:szCs w:val="21"/>
                <w:highlight w:val="none"/>
              </w:rPr>
              <w:t>图1.3-3    项目与新疆生态功能区划图</w:t>
            </w:r>
          </w:p>
        </w:tc>
      </w:tr>
      <w:tr w14:paraId="4C1DC1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6" w:type="pct"/>
            <w:shd w:val="clear" w:color="auto" w:fill="auto"/>
            <w:noWrap w:val="0"/>
            <w:vAlign w:val="center"/>
          </w:tcPr>
          <w:p w14:paraId="7AA4636F">
            <w:pPr>
              <w:pStyle w:val="138"/>
              <w:spacing w:line="400" w:lineRule="exact"/>
              <w:ind w:firstLine="0" w:firstLineChars="0"/>
              <w:jc w:val="center"/>
              <w:rPr>
                <w:color w:val="auto"/>
                <w:sz w:val="21"/>
                <w:szCs w:val="21"/>
                <w:highlight w:val="none"/>
              </w:rPr>
            </w:pPr>
            <w:r>
              <w:rPr>
                <w:rFonts w:hint="eastAsia"/>
                <w:color w:val="auto"/>
                <w:sz w:val="21"/>
                <w:szCs w:val="21"/>
                <w:highlight w:val="none"/>
              </w:rPr>
              <w:t>4</w:t>
            </w:r>
          </w:p>
        </w:tc>
        <w:tc>
          <w:tcPr>
            <w:tcW w:w="4353" w:type="pct"/>
            <w:shd w:val="clear" w:color="auto" w:fill="auto"/>
            <w:noWrap w:val="0"/>
            <w:vAlign w:val="center"/>
          </w:tcPr>
          <w:p w14:paraId="4EBCD95B">
            <w:pPr>
              <w:pStyle w:val="138"/>
              <w:spacing w:line="400" w:lineRule="exact"/>
              <w:ind w:firstLine="0" w:firstLineChars="0"/>
              <w:rPr>
                <w:color w:val="auto"/>
                <w:sz w:val="21"/>
                <w:szCs w:val="21"/>
                <w:highlight w:val="none"/>
              </w:rPr>
            </w:pPr>
            <w:r>
              <w:rPr>
                <w:rFonts w:hint="eastAsia"/>
                <w:color w:val="auto"/>
                <w:sz w:val="21"/>
                <w:szCs w:val="21"/>
                <w:highlight w:val="none"/>
              </w:rPr>
              <w:t>图2.6-2    本项目评价范围图</w:t>
            </w:r>
          </w:p>
        </w:tc>
      </w:tr>
      <w:tr w14:paraId="29EA6F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6" w:type="pct"/>
            <w:shd w:val="clear" w:color="auto" w:fill="auto"/>
            <w:noWrap w:val="0"/>
            <w:vAlign w:val="center"/>
          </w:tcPr>
          <w:p w14:paraId="109A00CB">
            <w:pPr>
              <w:pStyle w:val="138"/>
              <w:spacing w:line="400" w:lineRule="exact"/>
              <w:ind w:firstLine="0" w:firstLineChars="0"/>
              <w:jc w:val="center"/>
              <w:rPr>
                <w:color w:val="auto"/>
                <w:sz w:val="21"/>
                <w:szCs w:val="21"/>
                <w:highlight w:val="none"/>
              </w:rPr>
            </w:pPr>
            <w:r>
              <w:rPr>
                <w:rFonts w:hint="eastAsia"/>
                <w:color w:val="auto"/>
                <w:sz w:val="21"/>
                <w:szCs w:val="21"/>
                <w:highlight w:val="none"/>
              </w:rPr>
              <w:t>5</w:t>
            </w:r>
          </w:p>
        </w:tc>
        <w:tc>
          <w:tcPr>
            <w:tcW w:w="4353" w:type="pct"/>
            <w:shd w:val="clear" w:color="auto" w:fill="auto"/>
            <w:noWrap w:val="0"/>
            <w:vAlign w:val="center"/>
          </w:tcPr>
          <w:p w14:paraId="307DAA04">
            <w:pPr>
              <w:pStyle w:val="138"/>
              <w:spacing w:line="400" w:lineRule="exact"/>
              <w:ind w:firstLine="0" w:firstLineChars="0"/>
              <w:rPr>
                <w:rFonts w:hint="eastAsia"/>
                <w:color w:val="auto"/>
                <w:sz w:val="21"/>
                <w:szCs w:val="21"/>
                <w:highlight w:val="none"/>
              </w:rPr>
            </w:pPr>
            <w:r>
              <w:rPr>
                <w:rFonts w:hint="eastAsia"/>
                <w:color w:val="auto"/>
                <w:sz w:val="21"/>
                <w:szCs w:val="21"/>
                <w:highlight w:val="none"/>
              </w:rPr>
              <w:t>图3.1-1    本项目地理位置图</w:t>
            </w:r>
          </w:p>
        </w:tc>
      </w:tr>
      <w:tr w14:paraId="292FEC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6" w:type="pct"/>
            <w:shd w:val="clear" w:color="auto" w:fill="auto"/>
            <w:noWrap w:val="0"/>
            <w:vAlign w:val="center"/>
          </w:tcPr>
          <w:p w14:paraId="5F1C9FC7">
            <w:pPr>
              <w:pStyle w:val="138"/>
              <w:spacing w:line="400" w:lineRule="exact"/>
              <w:ind w:firstLine="0" w:firstLineChars="0"/>
              <w:jc w:val="center"/>
              <w:rPr>
                <w:color w:val="auto"/>
                <w:sz w:val="21"/>
                <w:szCs w:val="21"/>
                <w:highlight w:val="none"/>
              </w:rPr>
            </w:pPr>
            <w:r>
              <w:rPr>
                <w:rFonts w:hint="eastAsia"/>
                <w:color w:val="auto"/>
                <w:sz w:val="21"/>
                <w:szCs w:val="21"/>
                <w:highlight w:val="none"/>
              </w:rPr>
              <w:t>6</w:t>
            </w:r>
          </w:p>
        </w:tc>
        <w:tc>
          <w:tcPr>
            <w:tcW w:w="4353" w:type="pct"/>
            <w:shd w:val="clear" w:color="auto" w:fill="auto"/>
            <w:noWrap w:val="0"/>
            <w:vAlign w:val="center"/>
          </w:tcPr>
          <w:p w14:paraId="4FEA75D0">
            <w:pPr>
              <w:pStyle w:val="138"/>
              <w:spacing w:line="400" w:lineRule="exact"/>
              <w:ind w:firstLine="0" w:firstLineChars="0"/>
              <w:rPr>
                <w:color w:val="auto"/>
                <w:sz w:val="21"/>
                <w:szCs w:val="21"/>
                <w:highlight w:val="none"/>
              </w:rPr>
            </w:pPr>
            <w:r>
              <w:rPr>
                <w:rFonts w:hint="eastAsia"/>
                <w:color w:val="auto"/>
                <w:sz w:val="21"/>
                <w:szCs w:val="21"/>
                <w:highlight w:val="none"/>
              </w:rPr>
              <w:t>图3.1-2    本项目区域位置图</w:t>
            </w:r>
          </w:p>
        </w:tc>
      </w:tr>
      <w:tr w14:paraId="2ED360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6" w:type="pct"/>
            <w:shd w:val="clear" w:color="auto" w:fill="auto"/>
            <w:noWrap w:val="0"/>
            <w:vAlign w:val="center"/>
          </w:tcPr>
          <w:p w14:paraId="43C27316">
            <w:pPr>
              <w:pStyle w:val="138"/>
              <w:spacing w:line="400" w:lineRule="exact"/>
              <w:ind w:firstLine="0" w:firstLineChars="0"/>
              <w:jc w:val="center"/>
              <w:rPr>
                <w:color w:val="auto"/>
                <w:sz w:val="21"/>
                <w:szCs w:val="21"/>
                <w:highlight w:val="none"/>
              </w:rPr>
            </w:pPr>
            <w:r>
              <w:rPr>
                <w:rFonts w:hint="eastAsia"/>
                <w:color w:val="auto"/>
                <w:sz w:val="21"/>
                <w:szCs w:val="21"/>
                <w:highlight w:val="none"/>
              </w:rPr>
              <w:t>7</w:t>
            </w:r>
          </w:p>
        </w:tc>
        <w:tc>
          <w:tcPr>
            <w:tcW w:w="4353" w:type="pct"/>
            <w:shd w:val="clear" w:color="auto" w:fill="auto"/>
            <w:noWrap w:val="0"/>
            <w:vAlign w:val="center"/>
          </w:tcPr>
          <w:p w14:paraId="7FB3B2C6">
            <w:pPr>
              <w:pStyle w:val="138"/>
              <w:spacing w:line="400" w:lineRule="exact"/>
              <w:ind w:firstLine="0" w:firstLineChars="0"/>
              <w:rPr>
                <w:rFonts w:hint="default" w:eastAsia="宋体"/>
                <w:color w:val="auto"/>
                <w:sz w:val="21"/>
                <w:szCs w:val="21"/>
                <w:highlight w:val="none"/>
                <w:lang w:val="en-US" w:eastAsia="zh-CN"/>
              </w:rPr>
            </w:pPr>
            <w:r>
              <w:rPr>
                <w:rFonts w:hint="eastAsia"/>
                <w:color w:val="auto"/>
                <w:sz w:val="21"/>
                <w:szCs w:val="21"/>
                <w:highlight w:val="none"/>
              </w:rPr>
              <w:t>图</w:t>
            </w:r>
            <w:r>
              <w:rPr>
                <w:rFonts w:hint="eastAsia"/>
                <w:color w:val="auto"/>
                <w:sz w:val="21"/>
                <w:szCs w:val="21"/>
                <w:highlight w:val="none"/>
                <w:lang w:val="en-US" w:eastAsia="zh-CN"/>
              </w:rPr>
              <w:t>3</w:t>
            </w:r>
            <w:r>
              <w:rPr>
                <w:rFonts w:hint="eastAsia"/>
                <w:color w:val="auto"/>
                <w:sz w:val="21"/>
                <w:szCs w:val="21"/>
                <w:highlight w:val="none"/>
              </w:rPr>
              <w:t>.</w:t>
            </w:r>
            <w:r>
              <w:rPr>
                <w:rFonts w:hint="eastAsia"/>
                <w:color w:val="auto"/>
                <w:sz w:val="21"/>
                <w:szCs w:val="21"/>
                <w:highlight w:val="none"/>
                <w:lang w:val="en-US" w:eastAsia="zh-CN"/>
              </w:rPr>
              <w:t>1</w:t>
            </w:r>
            <w:r>
              <w:rPr>
                <w:rFonts w:hint="eastAsia"/>
                <w:color w:val="auto"/>
                <w:sz w:val="21"/>
                <w:szCs w:val="21"/>
                <w:highlight w:val="none"/>
              </w:rPr>
              <w:t>-</w:t>
            </w:r>
            <w:r>
              <w:rPr>
                <w:rFonts w:hint="eastAsia"/>
                <w:color w:val="auto"/>
                <w:sz w:val="21"/>
                <w:szCs w:val="21"/>
                <w:highlight w:val="none"/>
                <w:lang w:val="en-US" w:eastAsia="zh-CN"/>
              </w:rPr>
              <w:t>3</w:t>
            </w:r>
            <w:r>
              <w:rPr>
                <w:rFonts w:hint="eastAsia"/>
                <w:color w:val="auto"/>
                <w:sz w:val="21"/>
                <w:szCs w:val="21"/>
                <w:highlight w:val="none"/>
              </w:rPr>
              <w:t xml:space="preserve">    </w:t>
            </w:r>
            <w:r>
              <w:rPr>
                <w:rFonts w:hint="eastAsia"/>
                <w:color w:val="auto"/>
                <w:sz w:val="21"/>
                <w:szCs w:val="21"/>
                <w:highlight w:val="none"/>
                <w:lang w:val="en-US" w:eastAsia="zh-CN"/>
              </w:rPr>
              <w:t>本项目平面布置示意图</w:t>
            </w:r>
          </w:p>
        </w:tc>
      </w:tr>
      <w:tr w14:paraId="4FE722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6" w:type="pct"/>
            <w:shd w:val="clear" w:color="auto" w:fill="auto"/>
            <w:noWrap w:val="0"/>
            <w:vAlign w:val="center"/>
          </w:tcPr>
          <w:p w14:paraId="0863BAEE">
            <w:pPr>
              <w:pStyle w:val="138"/>
              <w:spacing w:line="400" w:lineRule="exact"/>
              <w:ind w:firstLine="0" w:firstLineChars="0"/>
              <w:jc w:val="center"/>
              <w:rPr>
                <w:color w:val="auto"/>
                <w:sz w:val="21"/>
                <w:szCs w:val="21"/>
                <w:highlight w:val="none"/>
              </w:rPr>
            </w:pPr>
            <w:r>
              <w:rPr>
                <w:rFonts w:hint="eastAsia"/>
                <w:color w:val="auto"/>
                <w:sz w:val="21"/>
                <w:szCs w:val="21"/>
                <w:highlight w:val="none"/>
              </w:rPr>
              <w:t>8</w:t>
            </w:r>
          </w:p>
        </w:tc>
        <w:tc>
          <w:tcPr>
            <w:tcW w:w="4353" w:type="pct"/>
            <w:shd w:val="clear" w:color="auto" w:fill="auto"/>
            <w:noWrap w:val="0"/>
            <w:vAlign w:val="center"/>
          </w:tcPr>
          <w:p w14:paraId="6BE7BA14">
            <w:pPr>
              <w:pStyle w:val="138"/>
              <w:spacing w:line="400" w:lineRule="exact"/>
              <w:ind w:firstLine="0" w:firstLineChars="0"/>
              <w:rPr>
                <w:rFonts w:hint="eastAsia"/>
                <w:color w:val="auto"/>
                <w:sz w:val="21"/>
                <w:szCs w:val="21"/>
                <w:highlight w:val="none"/>
              </w:rPr>
            </w:pPr>
            <w:r>
              <w:rPr>
                <w:rFonts w:hint="eastAsia"/>
                <w:color w:val="auto"/>
                <w:sz w:val="21"/>
                <w:szCs w:val="21"/>
                <w:highlight w:val="none"/>
              </w:rPr>
              <w:t>图4.2-1    现状监测布点图</w:t>
            </w:r>
          </w:p>
        </w:tc>
      </w:tr>
      <w:tr w14:paraId="23FD9D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6" w:type="pct"/>
            <w:shd w:val="clear" w:color="auto" w:fill="auto"/>
            <w:noWrap w:val="0"/>
            <w:vAlign w:val="center"/>
          </w:tcPr>
          <w:p w14:paraId="5182F10D">
            <w:pPr>
              <w:pStyle w:val="138"/>
              <w:spacing w:line="400" w:lineRule="exact"/>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9</w:t>
            </w:r>
          </w:p>
        </w:tc>
        <w:tc>
          <w:tcPr>
            <w:tcW w:w="4353" w:type="pct"/>
            <w:shd w:val="clear" w:color="auto" w:fill="auto"/>
            <w:noWrap w:val="0"/>
            <w:vAlign w:val="center"/>
          </w:tcPr>
          <w:p w14:paraId="728F2007">
            <w:pPr>
              <w:pStyle w:val="138"/>
              <w:spacing w:line="400" w:lineRule="exact"/>
              <w:ind w:firstLine="0" w:firstLineChars="0"/>
              <w:rPr>
                <w:rFonts w:hint="eastAsia"/>
                <w:color w:val="auto"/>
                <w:sz w:val="21"/>
                <w:szCs w:val="21"/>
                <w:highlight w:val="none"/>
              </w:rPr>
            </w:pPr>
            <w:r>
              <w:rPr>
                <w:rFonts w:hint="eastAsia"/>
                <w:color w:val="auto"/>
                <w:sz w:val="21"/>
                <w:szCs w:val="21"/>
                <w:highlight w:val="none"/>
              </w:rPr>
              <w:t>图4.2-2    植被类型图</w:t>
            </w:r>
          </w:p>
        </w:tc>
      </w:tr>
      <w:tr w14:paraId="7CF212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6" w:type="pct"/>
            <w:shd w:val="clear" w:color="auto" w:fill="auto"/>
            <w:noWrap w:val="0"/>
            <w:vAlign w:val="center"/>
          </w:tcPr>
          <w:p w14:paraId="2EE01275">
            <w:pPr>
              <w:pStyle w:val="138"/>
              <w:spacing w:line="400" w:lineRule="exact"/>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10</w:t>
            </w:r>
          </w:p>
        </w:tc>
        <w:tc>
          <w:tcPr>
            <w:tcW w:w="4353" w:type="pct"/>
            <w:shd w:val="clear" w:color="auto" w:fill="auto"/>
            <w:noWrap w:val="0"/>
            <w:vAlign w:val="center"/>
          </w:tcPr>
          <w:p w14:paraId="1DF548FB">
            <w:pPr>
              <w:pStyle w:val="138"/>
              <w:spacing w:line="400" w:lineRule="exact"/>
              <w:ind w:firstLine="0" w:firstLineChars="0"/>
              <w:rPr>
                <w:rFonts w:hint="eastAsia"/>
                <w:color w:val="auto"/>
                <w:sz w:val="21"/>
                <w:szCs w:val="21"/>
                <w:highlight w:val="none"/>
              </w:rPr>
            </w:pPr>
            <w:r>
              <w:rPr>
                <w:rFonts w:hint="eastAsia"/>
                <w:color w:val="auto"/>
                <w:sz w:val="21"/>
                <w:szCs w:val="21"/>
                <w:highlight w:val="none"/>
              </w:rPr>
              <w:t>图4.2-4    土地利用类型图</w:t>
            </w:r>
          </w:p>
        </w:tc>
      </w:tr>
      <w:tr w14:paraId="2EC7C5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6" w:type="pct"/>
            <w:shd w:val="clear" w:color="auto" w:fill="auto"/>
            <w:noWrap w:val="0"/>
            <w:vAlign w:val="center"/>
          </w:tcPr>
          <w:p w14:paraId="24E91FDA">
            <w:pPr>
              <w:pStyle w:val="138"/>
              <w:spacing w:line="400" w:lineRule="exact"/>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11</w:t>
            </w:r>
          </w:p>
        </w:tc>
        <w:tc>
          <w:tcPr>
            <w:tcW w:w="4353" w:type="pct"/>
            <w:shd w:val="clear" w:color="auto" w:fill="auto"/>
            <w:noWrap w:val="0"/>
            <w:vAlign w:val="center"/>
          </w:tcPr>
          <w:p w14:paraId="41115AA5">
            <w:pPr>
              <w:pStyle w:val="138"/>
              <w:spacing w:line="400" w:lineRule="exact"/>
              <w:ind w:firstLine="0" w:firstLineChars="0"/>
              <w:rPr>
                <w:rFonts w:hint="eastAsia"/>
                <w:color w:val="auto"/>
                <w:sz w:val="21"/>
                <w:szCs w:val="21"/>
                <w:highlight w:val="none"/>
              </w:rPr>
            </w:pPr>
            <w:r>
              <w:rPr>
                <w:rFonts w:hint="eastAsia"/>
                <w:color w:val="auto"/>
                <w:sz w:val="21"/>
                <w:szCs w:val="21"/>
                <w:highlight w:val="none"/>
              </w:rPr>
              <w:t>图4.2-5    土壤类型图</w:t>
            </w:r>
          </w:p>
        </w:tc>
      </w:tr>
      <w:tr w14:paraId="08E733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6" w:type="pct"/>
            <w:shd w:val="clear" w:color="auto" w:fill="auto"/>
            <w:noWrap w:val="0"/>
            <w:vAlign w:val="center"/>
          </w:tcPr>
          <w:p w14:paraId="73C4FF74">
            <w:pPr>
              <w:pStyle w:val="138"/>
              <w:spacing w:line="400" w:lineRule="exact"/>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12</w:t>
            </w:r>
          </w:p>
        </w:tc>
        <w:tc>
          <w:tcPr>
            <w:tcW w:w="4353" w:type="pct"/>
            <w:shd w:val="clear" w:color="auto" w:fill="auto"/>
            <w:noWrap w:val="0"/>
            <w:vAlign w:val="center"/>
          </w:tcPr>
          <w:p w14:paraId="6CA687DA">
            <w:pPr>
              <w:pStyle w:val="138"/>
              <w:spacing w:line="400" w:lineRule="exact"/>
              <w:ind w:firstLine="0" w:firstLineChars="0"/>
              <w:rPr>
                <w:rFonts w:hint="eastAsia"/>
                <w:color w:val="auto"/>
                <w:sz w:val="21"/>
                <w:szCs w:val="21"/>
                <w:highlight w:val="none"/>
              </w:rPr>
            </w:pPr>
            <w:r>
              <w:rPr>
                <w:rFonts w:hint="eastAsia"/>
                <w:color w:val="auto"/>
                <w:sz w:val="21"/>
                <w:szCs w:val="21"/>
                <w:highlight w:val="none"/>
              </w:rPr>
              <w:t>图4.2-6    项目沙化土地类型图</w:t>
            </w:r>
          </w:p>
        </w:tc>
      </w:tr>
    </w:tbl>
    <w:p w14:paraId="39BF91A1">
      <w:pPr>
        <w:spacing w:line="440" w:lineRule="exact"/>
        <w:jc w:val="center"/>
        <w:rPr>
          <w:b/>
          <w:bCs/>
          <w:color w:val="auto"/>
          <w:sz w:val="24"/>
          <w:szCs w:val="24"/>
          <w:highlight w:val="none"/>
        </w:rPr>
      </w:pPr>
      <w:r>
        <w:rPr>
          <w:rFonts w:hint="eastAsia"/>
          <w:b/>
          <w:bCs/>
          <w:color w:val="auto"/>
          <w:sz w:val="24"/>
          <w:szCs w:val="24"/>
          <w:highlight w:val="none"/>
        </w:rPr>
        <w:t>附件</w:t>
      </w:r>
    </w:p>
    <w:tbl>
      <w:tblPr>
        <w:tblStyle w:val="3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01"/>
        <w:gridCol w:w="7421"/>
      </w:tblGrid>
      <w:tr w14:paraId="7736E5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01" w:type="dxa"/>
            <w:shd w:val="clear" w:color="auto" w:fill="auto"/>
            <w:noWrap w:val="0"/>
            <w:vAlign w:val="center"/>
          </w:tcPr>
          <w:p w14:paraId="3A409487">
            <w:pPr>
              <w:pStyle w:val="138"/>
              <w:spacing w:line="400" w:lineRule="exact"/>
              <w:ind w:firstLine="0" w:firstLineChars="0"/>
              <w:jc w:val="center"/>
              <w:rPr>
                <w:b/>
                <w:color w:val="auto"/>
                <w:sz w:val="21"/>
                <w:szCs w:val="21"/>
                <w:highlight w:val="none"/>
              </w:rPr>
            </w:pPr>
            <w:r>
              <w:rPr>
                <w:rFonts w:hint="eastAsia"/>
                <w:b/>
                <w:color w:val="auto"/>
                <w:sz w:val="21"/>
                <w:szCs w:val="21"/>
                <w:highlight w:val="none"/>
              </w:rPr>
              <w:t>序号</w:t>
            </w:r>
          </w:p>
        </w:tc>
        <w:tc>
          <w:tcPr>
            <w:tcW w:w="7421" w:type="dxa"/>
            <w:shd w:val="clear" w:color="auto" w:fill="auto"/>
            <w:noWrap w:val="0"/>
            <w:vAlign w:val="center"/>
          </w:tcPr>
          <w:p w14:paraId="207BFFBA">
            <w:pPr>
              <w:pStyle w:val="138"/>
              <w:spacing w:line="400" w:lineRule="exact"/>
              <w:ind w:firstLine="0" w:firstLineChars="0"/>
              <w:jc w:val="center"/>
              <w:rPr>
                <w:b/>
                <w:color w:val="auto"/>
                <w:sz w:val="21"/>
                <w:szCs w:val="21"/>
                <w:highlight w:val="none"/>
              </w:rPr>
            </w:pPr>
            <w:r>
              <w:rPr>
                <w:rFonts w:hint="eastAsia"/>
                <w:b/>
                <w:color w:val="auto"/>
                <w:sz w:val="21"/>
                <w:szCs w:val="21"/>
                <w:highlight w:val="none"/>
              </w:rPr>
              <w:t>附件名称</w:t>
            </w:r>
          </w:p>
        </w:tc>
      </w:tr>
      <w:tr w14:paraId="158268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1" w:type="dxa"/>
            <w:shd w:val="clear" w:color="auto" w:fill="auto"/>
            <w:noWrap w:val="0"/>
            <w:vAlign w:val="center"/>
          </w:tcPr>
          <w:p w14:paraId="5A7022E2">
            <w:pPr>
              <w:pStyle w:val="138"/>
              <w:spacing w:line="400" w:lineRule="exact"/>
              <w:ind w:firstLine="0" w:firstLineChars="0"/>
              <w:jc w:val="center"/>
              <w:rPr>
                <w:color w:val="auto"/>
                <w:sz w:val="21"/>
                <w:szCs w:val="21"/>
                <w:highlight w:val="none"/>
              </w:rPr>
            </w:pPr>
            <w:r>
              <w:rPr>
                <w:rFonts w:hint="eastAsia"/>
                <w:color w:val="auto"/>
                <w:sz w:val="21"/>
                <w:szCs w:val="21"/>
                <w:highlight w:val="none"/>
              </w:rPr>
              <w:t>附件1</w:t>
            </w:r>
          </w:p>
        </w:tc>
        <w:tc>
          <w:tcPr>
            <w:tcW w:w="7421" w:type="dxa"/>
            <w:shd w:val="clear" w:color="auto" w:fill="auto"/>
            <w:noWrap w:val="0"/>
            <w:vAlign w:val="center"/>
          </w:tcPr>
          <w:p w14:paraId="097CC4CB">
            <w:pPr>
              <w:pStyle w:val="138"/>
              <w:spacing w:line="400" w:lineRule="exact"/>
              <w:ind w:firstLine="0" w:firstLineChars="0"/>
              <w:rPr>
                <w:color w:val="auto"/>
                <w:sz w:val="21"/>
                <w:szCs w:val="21"/>
                <w:highlight w:val="none"/>
              </w:rPr>
            </w:pPr>
            <w:r>
              <w:rPr>
                <w:rFonts w:hint="eastAsia"/>
                <w:color w:val="auto"/>
                <w:sz w:val="21"/>
                <w:szCs w:val="21"/>
                <w:highlight w:val="none"/>
              </w:rPr>
              <w:t>环评委托书</w:t>
            </w:r>
          </w:p>
        </w:tc>
      </w:tr>
      <w:tr w14:paraId="25A9B2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1" w:type="dxa"/>
            <w:shd w:val="clear" w:color="auto" w:fill="auto"/>
            <w:noWrap w:val="0"/>
            <w:vAlign w:val="center"/>
          </w:tcPr>
          <w:p w14:paraId="49204290">
            <w:pPr>
              <w:pStyle w:val="138"/>
              <w:spacing w:line="400" w:lineRule="exact"/>
              <w:ind w:firstLine="0" w:firstLineChars="0"/>
              <w:jc w:val="center"/>
              <w:rPr>
                <w:color w:val="auto"/>
                <w:sz w:val="21"/>
                <w:szCs w:val="21"/>
                <w:highlight w:val="none"/>
              </w:rPr>
            </w:pPr>
            <w:r>
              <w:rPr>
                <w:rFonts w:hint="eastAsia"/>
                <w:color w:val="auto"/>
                <w:sz w:val="21"/>
                <w:szCs w:val="21"/>
                <w:highlight w:val="none"/>
              </w:rPr>
              <w:t>附件2</w:t>
            </w:r>
          </w:p>
        </w:tc>
        <w:tc>
          <w:tcPr>
            <w:tcW w:w="7421" w:type="dxa"/>
            <w:shd w:val="clear" w:color="auto" w:fill="auto"/>
            <w:noWrap w:val="0"/>
            <w:vAlign w:val="center"/>
          </w:tcPr>
          <w:p w14:paraId="04DE0D98">
            <w:pPr>
              <w:pStyle w:val="138"/>
              <w:spacing w:line="400" w:lineRule="exact"/>
              <w:ind w:firstLine="0" w:firstLineChars="0"/>
              <w:rPr>
                <w:rFonts w:hint="eastAsia" w:eastAsia="宋体"/>
                <w:color w:val="auto"/>
                <w:sz w:val="21"/>
                <w:szCs w:val="21"/>
                <w:highlight w:val="none"/>
                <w:lang w:eastAsia="zh-CN"/>
              </w:rPr>
            </w:pPr>
            <w:r>
              <w:rPr>
                <w:rFonts w:hint="eastAsia"/>
                <w:color w:val="auto"/>
                <w:sz w:val="21"/>
                <w:szCs w:val="21"/>
                <w:highlight w:val="none"/>
                <w:lang w:val="en-US" w:eastAsia="zh-CN"/>
              </w:rPr>
              <w:t>承诺函</w:t>
            </w:r>
          </w:p>
        </w:tc>
      </w:tr>
      <w:tr w14:paraId="6EDA8D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1" w:type="dxa"/>
            <w:shd w:val="clear" w:color="auto" w:fill="auto"/>
            <w:noWrap w:val="0"/>
            <w:vAlign w:val="center"/>
          </w:tcPr>
          <w:p w14:paraId="757BDB74">
            <w:pPr>
              <w:pStyle w:val="138"/>
              <w:spacing w:line="400" w:lineRule="exact"/>
              <w:ind w:firstLine="0" w:firstLineChars="0"/>
              <w:jc w:val="center"/>
              <w:rPr>
                <w:color w:val="auto"/>
                <w:sz w:val="21"/>
                <w:szCs w:val="21"/>
                <w:highlight w:val="none"/>
              </w:rPr>
            </w:pPr>
            <w:r>
              <w:rPr>
                <w:rFonts w:hint="eastAsia"/>
                <w:color w:val="auto"/>
                <w:sz w:val="21"/>
                <w:szCs w:val="21"/>
                <w:highlight w:val="none"/>
              </w:rPr>
              <w:t>附件3</w:t>
            </w:r>
          </w:p>
        </w:tc>
        <w:tc>
          <w:tcPr>
            <w:tcW w:w="7421" w:type="dxa"/>
            <w:shd w:val="clear" w:color="auto" w:fill="auto"/>
            <w:noWrap w:val="0"/>
            <w:vAlign w:val="center"/>
          </w:tcPr>
          <w:p w14:paraId="29DA0D10">
            <w:pPr>
              <w:pStyle w:val="138"/>
              <w:spacing w:line="400" w:lineRule="exact"/>
              <w:ind w:firstLine="0" w:firstLineChars="0"/>
              <w:rPr>
                <w:color w:val="auto"/>
                <w:sz w:val="21"/>
                <w:szCs w:val="21"/>
                <w:highlight w:val="none"/>
              </w:rPr>
            </w:pPr>
            <w:r>
              <w:rPr>
                <w:rFonts w:hint="eastAsia"/>
                <w:color w:val="auto"/>
                <w:sz w:val="21"/>
                <w:szCs w:val="21"/>
                <w:highlight w:val="none"/>
              </w:rPr>
              <w:t>新疆嘉西矿业有限公司哈密市伊州区雅满苏镇M1033萤石选矿厂及尾矿库建设项目备案证</w:t>
            </w:r>
          </w:p>
        </w:tc>
      </w:tr>
      <w:tr w14:paraId="6DC558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1" w:type="dxa"/>
            <w:shd w:val="clear" w:color="auto" w:fill="auto"/>
            <w:noWrap w:val="0"/>
            <w:vAlign w:val="center"/>
          </w:tcPr>
          <w:p w14:paraId="5ED19EDD">
            <w:pPr>
              <w:pStyle w:val="138"/>
              <w:spacing w:line="400" w:lineRule="exact"/>
              <w:ind w:firstLine="0" w:firstLineChars="0"/>
              <w:jc w:val="center"/>
              <w:rPr>
                <w:color w:val="auto"/>
                <w:sz w:val="21"/>
                <w:szCs w:val="21"/>
                <w:highlight w:val="none"/>
              </w:rPr>
            </w:pPr>
            <w:r>
              <w:rPr>
                <w:rFonts w:hint="eastAsia"/>
                <w:color w:val="auto"/>
                <w:sz w:val="21"/>
                <w:szCs w:val="21"/>
                <w:highlight w:val="none"/>
              </w:rPr>
              <w:t>附件4</w:t>
            </w:r>
          </w:p>
        </w:tc>
        <w:tc>
          <w:tcPr>
            <w:tcW w:w="7421" w:type="dxa"/>
            <w:shd w:val="clear" w:color="auto" w:fill="auto"/>
            <w:noWrap w:val="0"/>
            <w:vAlign w:val="center"/>
          </w:tcPr>
          <w:p w14:paraId="6EB6125A">
            <w:pPr>
              <w:pStyle w:val="138"/>
              <w:spacing w:line="400" w:lineRule="exact"/>
              <w:ind w:firstLine="0" w:firstLineChars="0"/>
              <w:rPr>
                <w:color w:val="auto"/>
                <w:sz w:val="21"/>
                <w:szCs w:val="21"/>
                <w:highlight w:val="none"/>
              </w:rPr>
            </w:pPr>
            <w:r>
              <w:rPr>
                <w:rFonts w:hint="eastAsia"/>
                <w:color w:val="auto"/>
                <w:sz w:val="21"/>
                <w:szCs w:val="21"/>
                <w:highlight w:val="none"/>
              </w:rPr>
              <w:t>现状监测报告</w:t>
            </w:r>
          </w:p>
        </w:tc>
      </w:tr>
    </w:tbl>
    <w:p w14:paraId="3143C8A8">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auto"/>
          <w:highlight w:val="none"/>
        </w:rPr>
        <w:sectPr>
          <w:footerReference r:id="rId11" w:type="default"/>
          <w:footerReference r:id="rId12" w:type="even"/>
          <w:pgSz w:w="11907" w:h="16840"/>
          <w:pgMar w:top="1440" w:right="1797" w:bottom="1440" w:left="1797" w:header="851" w:footer="964" w:gutter="0"/>
          <w:pgBorders>
            <w:top w:val="none" w:sz="0" w:space="0"/>
            <w:left w:val="none" w:sz="0" w:space="0"/>
            <w:bottom w:val="none" w:sz="0" w:space="0"/>
            <w:right w:val="none" w:sz="0" w:space="0"/>
          </w:pgBorders>
          <w:pgNumType w:start="1"/>
          <w:cols w:space="425" w:num="1"/>
          <w:docGrid w:linePitch="312" w:charSpace="0"/>
        </w:sectPr>
      </w:pPr>
    </w:p>
    <w:p w14:paraId="4A480309">
      <w:pPr>
        <w:pStyle w:val="2"/>
        <w:spacing w:line="720" w:lineRule="exact"/>
        <w:rPr>
          <w:rFonts w:hint="default" w:ascii="Times New Roman" w:hAnsi="Times New Roman" w:cs="Times New Roman"/>
          <w:color w:val="auto"/>
          <w:highlight w:val="none"/>
        </w:rPr>
      </w:pPr>
      <w:bookmarkStart w:id="0" w:name="_Toc28872"/>
      <w:bookmarkStart w:id="1" w:name="_Toc107414637"/>
      <w:bookmarkStart w:id="2" w:name="_Toc107413870"/>
      <w:bookmarkStart w:id="3" w:name="_Toc17482"/>
      <w:bookmarkStart w:id="4" w:name="_Toc29202"/>
      <w:bookmarkStart w:id="5" w:name="_Toc23937"/>
      <w:bookmarkStart w:id="6" w:name="_Toc11149"/>
      <w:r>
        <w:rPr>
          <w:rFonts w:hint="default" w:ascii="Times New Roman" w:hAnsi="Times New Roman" w:cs="Times New Roman"/>
          <w:color w:val="auto"/>
          <w:highlight w:val="none"/>
        </w:rPr>
        <w:t>1概述</w:t>
      </w:r>
      <w:bookmarkEnd w:id="0"/>
      <w:bookmarkEnd w:id="1"/>
      <w:bookmarkEnd w:id="2"/>
      <w:bookmarkEnd w:id="3"/>
      <w:bookmarkEnd w:id="4"/>
      <w:bookmarkEnd w:id="5"/>
      <w:bookmarkEnd w:id="6"/>
    </w:p>
    <w:p w14:paraId="44801DDB">
      <w:pPr>
        <w:pStyle w:val="3"/>
        <w:spacing w:line="560" w:lineRule="atLeast"/>
        <w:rPr>
          <w:rFonts w:hint="default" w:ascii="Times New Roman" w:hAnsi="Times New Roman" w:cs="Times New Roman"/>
          <w:color w:val="auto"/>
          <w:highlight w:val="none"/>
        </w:rPr>
      </w:pPr>
      <w:bookmarkStart w:id="7" w:name="_Toc12955"/>
      <w:bookmarkStart w:id="8" w:name="_Toc107414638"/>
      <w:bookmarkStart w:id="9" w:name="_Toc23022"/>
      <w:bookmarkStart w:id="10" w:name="_Toc8701"/>
      <w:bookmarkStart w:id="11" w:name="_Toc475111945"/>
      <w:bookmarkStart w:id="12" w:name="_Toc107413871"/>
      <w:bookmarkStart w:id="13" w:name="_Toc13386"/>
      <w:bookmarkStart w:id="14" w:name="_Toc21983"/>
      <w:r>
        <w:rPr>
          <w:rFonts w:hint="default" w:ascii="Times New Roman" w:hAnsi="Times New Roman" w:cs="Times New Roman"/>
          <w:color w:val="auto"/>
          <w:highlight w:val="none"/>
        </w:rPr>
        <w:t>1.1建设项目特点</w:t>
      </w:r>
      <w:bookmarkEnd w:id="7"/>
      <w:bookmarkEnd w:id="8"/>
      <w:bookmarkEnd w:id="9"/>
      <w:bookmarkEnd w:id="10"/>
      <w:bookmarkEnd w:id="11"/>
      <w:bookmarkEnd w:id="12"/>
      <w:bookmarkEnd w:id="13"/>
      <w:bookmarkEnd w:id="14"/>
    </w:p>
    <w:p w14:paraId="0F7D3E78">
      <w:pPr>
        <w:pStyle w:val="4"/>
        <w:rPr>
          <w:rFonts w:hint="default" w:ascii="Times New Roman" w:hAnsi="Times New Roman" w:cs="Times New Roman"/>
          <w:color w:val="auto"/>
          <w:highlight w:val="none"/>
        </w:rPr>
      </w:pPr>
      <w:bookmarkStart w:id="15" w:name="_Toc31318"/>
      <w:bookmarkStart w:id="16" w:name="_Toc18713"/>
      <w:bookmarkStart w:id="17" w:name="_Toc32252"/>
      <w:bookmarkStart w:id="18" w:name="_Toc3959"/>
      <w:bookmarkStart w:id="19" w:name="_Toc19161"/>
      <w:bookmarkStart w:id="20" w:name="_Toc27128"/>
      <w:bookmarkStart w:id="21" w:name="_Toc18489"/>
      <w:bookmarkStart w:id="22" w:name="_Toc26274"/>
      <w:r>
        <w:rPr>
          <w:rFonts w:hint="default" w:ascii="Times New Roman" w:hAnsi="Times New Roman" w:cs="Times New Roman"/>
          <w:color w:val="auto"/>
          <w:highlight w:val="none"/>
        </w:rPr>
        <w:t>1.1.1</w:t>
      </w:r>
      <w:bookmarkEnd w:id="15"/>
      <w:bookmarkEnd w:id="16"/>
      <w:bookmarkEnd w:id="17"/>
      <w:bookmarkEnd w:id="18"/>
      <w:bookmarkEnd w:id="19"/>
      <w:r>
        <w:rPr>
          <w:rFonts w:hint="default" w:ascii="Times New Roman" w:hAnsi="Times New Roman" w:cs="Times New Roman"/>
          <w:color w:val="auto"/>
          <w:highlight w:val="none"/>
        </w:rPr>
        <w:t>项目背景及由来</w:t>
      </w:r>
      <w:bookmarkEnd w:id="20"/>
      <w:bookmarkEnd w:id="21"/>
      <w:bookmarkEnd w:id="22"/>
    </w:p>
    <w:p w14:paraId="20702CF6">
      <w:pPr>
        <w:overflowPunct w:val="0"/>
        <w:topLinePunct/>
        <w:ind w:firstLine="480"/>
        <w:rPr>
          <w:rFonts w:hint="default" w:ascii="Times New Roman" w:hAnsi="Times New Roman" w:cs="Times New Roman"/>
          <w:color w:val="auto"/>
          <w:highlight w:val="none"/>
        </w:rPr>
      </w:pPr>
      <w:bookmarkStart w:id="23" w:name="OLE_LINK1"/>
      <w:r>
        <w:rPr>
          <w:rFonts w:hint="default" w:ascii="Times New Roman" w:hAnsi="Times New Roman" w:cs="Times New Roman"/>
          <w:color w:val="auto"/>
          <w:highlight w:val="none"/>
        </w:rPr>
        <w:t>萤石又</w:t>
      </w:r>
      <w:r>
        <w:rPr>
          <w:rFonts w:hint="eastAsia" w:cs="Times New Roman"/>
          <w:color w:val="auto"/>
          <w:highlight w:val="none"/>
          <w:lang w:eastAsia="zh-CN"/>
        </w:rPr>
        <w:t>称</w:t>
      </w:r>
      <w:r>
        <w:rPr>
          <w:rFonts w:hint="default" w:ascii="Times New Roman" w:hAnsi="Times New Roman" w:cs="Times New Roman"/>
          <w:color w:val="auto"/>
          <w:highlight w:val="none"/>
        </w:rPr>
        <w:t>氟石，化学成分为氟化钙（CaF</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因在紫外线或阴极射线照射下常发出蓝绿色荧光而得名，一般呈粒状或块状。萤石是唯一一种可以提炼大量氟元素的矿物质。萤石矿中的氟元素难以直接提取，因此从矿山开采出的萤石矿，须加工为粉状并提炼为高纯度酸级萤石精粉，随后与工业硫酸反应生产出化学活性极高的无水氢氟酸（AHF），再供下游氟化工产业使用。萤石是现代氟化工中氟元素的主要来源，广泛应用于冶金、化工、建材等传统领域，新能源、新材料等领域的应用带来需求的不断增长。萤石的主要产品形式包括酸级萤石精粉、冶金级萤石精粉、高品位萤石块矿和普通原矿四类，其中酸级萤石精粉作为氟化工产业链原料具有不可替代的地位，高品位块矿则主要应用于钢铁等金属的冶炼。</w:t>
      </w:r>
    </w:p>
    <w:p w14:paraId="0F9CD33B">
      <w:pPr>
        <w:overflowPunct w:val="0"/>
        <w:topLinePunct/>
        <w:ind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eastAsia="zh-CN"/>
        </w:rPr>
        <w:t>新疆嘉西矿业有限公司（简称</w:t>
      </w:r>
      <w:r>
        <w:rPr>
          <w:rFonts w:hint="eastAsia" w:cs="Times New Roman"/>
          <w:color w:val="auto"/>
          <w:highlight w:val="none"/>
          <w:lang w:eastAsia="zh-CN"/>
        </w:rPr>
        <w:t>“</w:t>
      </w:r>
      <w:r>
        <w:rPr>
          <w:rFonts w:hint="default" w:ascii="Times New Roman" w:hAnsi="Times New Roman" w:cs="Times New Roman"/>
          <w:color w:val="auto"/>
          <w:highlight w:val="none"/>
          <w:lang w:eastAsia="zh-CN"/>
        </w:rPr>
        <w:t>嘉西矿业</w:t>
      </w:r>
      <w:r>
        <w:rPr>
          <w:rFonts w:hint="eastAsia" w:cs="Times New Roman"/>
          <w:color w:val="auto"/>
          <w:highlight w:val="none"/>
          <w:lang w:eastAsia="zh-CN"/>
        </w:rPr>
        <w:t>”</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成立于20</w:t>
      </w:r>
      <w:r>
        <w:rPr>
          <w:rFonts w:hint="default" w:ascii="Times New Roman" w:hAnsi="Times New Roman" w:cs="Times New Roman"/>
          <w:color w:val="auto"/>
          <w:highlight w:val="none"/>
          <w:lang w:val="en-US" w:eastAsia="zh-CN"/>
        </w:rPr>
        <w:t>23</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月</w:t>
      </w:r>
      <w:r>
        <w:rPr>
          <w:rFonts w:hint="default" w:ascii="Times New Roman" w:hAnsi="Times New Roman" w:cs="Times New Roman"/>
          <w:color w:val="auto"/>
          <w:highlight w:val="none"/>
          <w:lang w:val="en-US" w:eastAsia="zh-CN"/>
        </w:rPr>
        <w:t>18</w:t>
      </w:r>
      <w:r>
        <w:rPr>
          <w:rFonts w:hint="default" w:ascii="Times New Roman" w:hAnsi="Times New Roman" w:cs="Times New Roman"/>
          <w:color w:val="auto"/>
          <w:highlight w:val="none"/>
        </w:rPr>
        <w:t>日，主营非煤矿山矿产资源开采</w:t>
      </w:r>
      <w:r>
        <w:rPr>
          <w:rFonts w:hint="default" w:ascii="Times New Roman" w:hAnsi="Times New Roman" w:cs="Times New Roman"/>
          <w:color w:val="auto"/>
          <w:highlight w:val="none"/>
          <w:lang w:eastAsia="zh-CN"/>
        </w:rPr>
        <w:t>、选矿、金属矿石销售、非金属矿及制品销售</w:t>
      </w:r>
      <w:r>
        <w:rPr>
          <w:rFonts w:hint="default" w:ascii="Times New Roman" w:hAnsi="Times New Roman" w:cs="Times New Roman"/>
          <w:color w:val="auto"/>
          <w:highlight w:val="none"/>
        </w:rPr>
        <w:t>等。新疆哈密市伊州区雅满苏镇M1033三支萤石矿探矿人</w:t>
      </w:r>
      <w:r>
        <w:rPr>
          <w:rFonts w:hint="default" w:ascii="Times New Roman" w:hAnsi="Times New Roman" w:cs="Times New Roman"/>
          <w:color w:val="auto"/>
          <w:highlight w:val="none"/>
          <w:lang w:eastAsia="zh-CN"/>
        </w:rPr>
        <w:t>为嘉西矿业，</w:t>
      </w:r>
      <w:r>
        <w:rPr>
          <w:rFonts w:hint="default" w:ascii="Times New Roman" w:hAnsi="Times New Roman" w:cs="Times New Roman"/>
          <w:color w:val="auto"/>
          <w:highlight w:val="none"/>
        </w:rPr>
        <w:t>首立时间</w:t>
      </w:r>
      <w:r>
        <w:rPr>
          <w:rFonts w:hint="default" w:ascii="Times New Roman" w:hAnsi="Times New Roman" w:cs="Times New Roman"/>
          <w:color w:val="auto"/>
          <w:highlight w:val="none"/>
          <w:lang w:eastAsia="zh-CN"/>
        </w:rPr>
        <w:t>为</w:t>
      </w:r>
      <w:r>
        <w:rPr>
          <w:rFonts w:hint="default" w:ascii="Times New Roman" w:hAnsi="Times New Roman" w:cs="Times New Roman"/>
          <w:color w:val="auto"/>
          <w:highlight w:val="none"/>
        </w:rPr>
        <w:t>20</w:t>
      </w:r>
      <w:r>
        <w:rPr>
          <w:rFonts w:hint="eastAsia" w:cs="Times New Roman"/>
          <w:color w:val="auto"/>
          <w:highlight w:val="none"/>
          <w:lang w:val="en-US" w:eastAsia="zh-CN"/>
        </w:rPr>
        <w:t>23</w:t>
      </w:r>
      <w:r>
        <w:rPr>
          <w:rFonts w:hint="default" w:ascii="Times New Roman" w:hAnsi="Times New Roman" w:cs="Times New Roman"/>
          <w:color w:val="auto"/>
          <w:highlight w:val="none"/>
        </w:rPr>
        <w:t>年</w:t>
      </w:r>
      <w:r>
        <w:rPr>
          <w:rFonts w:hint="eastAsia" w:cs="Times New Roman"/>
          <w:color w:val="auto"/>
          <w:highlight w:val="none"/>
          <w:lang w:val="en-US" w:eastAsia="zh-CN"/>
        </w:rPr>
        <w:t>8</w:t>
      </w:r>
      <w:r>
        <w:rPr>
          <w:rFonts w:hint="default" w:ascii="Times New Roman" w:hAnsi="Times New Roman" w:cs="Times New Roman"/>
          <w:color w:val="auto"/>
          <w:highlight w:val="none"/>
        </w:rPr>
        <w:t>月</w:t>
      </w:r>
      <w:r>
        <w:rPr>
          <w:rFonts w:hint="default" w:ascii="Times New Roman" w:hAnsi="Times New Roman" w:eastAsia="宋体" w:cs="Times New Roman"/>
          <w:color w:val="auto"/>
          <w:highlight w:val="none"/>
          <w:lang w:val="en-US" w:eastAsia="zh-CN"/>
        </w:rPr>
        <w:t>。根据《新疆哈密市伊州区三支萤石矿勘探报告》可知，累计查明勘探区资源量（探明+控制+推断）矿石量</w:t>
      </w:r>
      <w:r>
        <w:rPr>
          <w:rFonts w:hint="eastAsia" w:cs="Times New Roman"/>
          <w:color w:val="auto"/>
          <w:highlight w:val="none"/>
          <w:lang w:val="en-US" w:eastAsia="zh-CN"/>
        </w:rPr>
        <w:t>421.4</w:t>
      </w:r>
      <w:r>
        <w:rPr>
          <w:rFonts w:hint="default" w:ascii="Times New Roman" w:hAnsi="Times New Roman" w:eastAsia="宋体" w:cs="Times New Roman"/>
          <w:color w:val="auto"/>
          <w:highlight w:val="none"/>
          <w:lang w:val="en-US" w:eastAsia="zh-CN"/>
        </w:rPr>
        <w:t>万吨，矿物量</w:t>
      </w:r>
      <w:r>
        <w:rPr>
          <w:rFonts w:hint="eastAsia" w:cs="Times New Roman"/>
          <w:color w:val="auto"/>
          <w:highlight w:val="none"/>
          <w:lang w:val="en-US" w:eastAsia="zh-CN"/>
        </w:rPr>
        <w:t>110.6</w:t>
      </w:r>
      <w:r>
        <w:rPr>
          <w:rFonts w:hint="default" w:ascii="Times New Roman" w:hAnsi="Times New Roman" w:eastAsia="宋体" w:cs="Times New Roman"/>
          <w:color w:val="auto"/>
          <w:highlight w:val="none"/>
          <w:lang w:val="en-US" w:eastAsia="zh-CN"/>
        </w:rPr>
        <w:t>万吨，CaF</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平均品位</w:t>
      </w:r>
      <w:r>
        <w:rPr>
          <w:rFonts w:hint="eastAsia" w:cs="Times New Roman"/>
          <w:color w:val="auto"/>
          <w:highlight w:val="none"/>
          <w:lang w:val="en-US" w:eastAsia="zh-CN"/>
        </w:rPr>
        <w:t>26.25</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highlight w:val="none"/>
        </w:rPr>
        <w:t>哈密市伊州区雅满苏镇M1033三支萤石矿</w:t>
      </w:r>
      <w:r>
        <w:rPr>
          <w:rFonts w:hint="default" w:ascii="Times New Roman" w:hAnsi="Times New Roman" w:eastAsia="宋体" w:cs="Times New Roman"/>
          <w:color w:val="auto"/>
          <w:highlight w:val="none"/>
          <w:lang w:val="en-US" w:eastAsia="zh-CN"/>
        </w:rPr>
        <w:t>的资源量是有保证的，为使资源优势转变为经济优势，促进企业和当地经济的全面发展，本项目建设是必要的。</w:t>
      </w:r>
    </w:p>
    <w:p w14:paraId="031B160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eastAsia="zh-CN"/>
        </w:rPr>
        <w:t>为</w:t>
      </w:r>
      <w:r>
        <w:rPr>
          <w:rFonts w:hint="default" w:ascii="Times New Roman" w:hAnsi="Times New Roman" w:cs="Times New Roman"/>
          <w:color w:val="auto"/>
          <w:highlight w:val="none"/>
        </w:rPr>
        <w:t>萤石矿</w:t>
      </w:r>
      <w:r>
        <w:rPr>
          <w:rFonts w:hint="default" w:ascii="Times New Roman" w:hAnsi="Times New Roman" w:cs="Times New Roman"/>
          <w:color w:val="auto"/>
          <w:highlight w:val="none"/>
          <w:lang w:eastAsia="zh-CN"/>
        </w:rPr>
        <w:t>选矿厂及尾矿库工程，用于选哈</w:t>
      </w:r>
      <w:bookmarkStart w:id="1290" w:name="_GoBack"/>
      <w:bookmarkEnd w:id="1290"/>
      <w:r>
        <w:rPr>
          <w:rFonts w:hint="default" w:ascii="Times New Roman" w:hAnsi="Times New Roman" w:cs="Times New Roman"/>
          <w:color w:val="auto"/>
          <w:highlight w:val="none"/>
          <w:lang w:eastAsia="zh-CN"/>
        </w:rPr>
        <w:t>密市伊州区雅满苏镇M1033三支萤石矿采矿工程的矿石</w:t>
      </w:r>
      <w:r>
        <w:rPr>
          <w:rFonts w:hint="default" w:ascii="Times New Roman" w:hAnsi="Times New Roman" w:cs="Times New Roman"/>
          <w:color w:val="auto"/>
          <w:highlight w:val="none"/>
        </w:rPr>
        <w:t>。该项目的实施一方面为地方经济发展提供动力，另一方面又解决了</w:t>
      </w:r>
      <w:r>
        <w:rPr>
          <w:rFonts w:hint="default" w:ascii="Times New Roman" w:hAnsi="Times New Roman" w:cs="Times New Roman"/>
          <w:color w:val="auto"/>
          <w:highlight w:val="none"/>
          <w:lang w:eastAsia="zh-CN"/>
        </w:rPr>
        <w:t>部分</w:t>
      </w:r>
      <w:r>
        <w:rPr>
          <w:rFonts w:hint="default" w:ascii="Times New Roman" w:hAnsi="Times New Roman" w:cs="Times New Roman"/>
          <w:color w:val="auto"/>
          <w:highlight w:val="none"/>
        </w:rPr>
        <w:t>劳动力的就业问题，为当地的社会稳定提</w:t>
      </w:r>
      <w:r>
        <w:rPr>
          <w:rFonts w:hint="eastAsia" w:cs="Times New Roman"/>
          <w:color w:val="auto"/>
          <w:highlight w:val="none"/>
          <w:lang w:eastAsia="zh-CN"/>
        </w:rPr>
        <w:t>供了</w:t>
      </w:r>
      <w:r>
        <w:rPr>
          <w:rFonts w:hint="default" w:ascii="Times New Roman" w:hAnsi="Times New Roman" w:cs="Times New Roman"/>
          <w:color w:val="auto"/>
          <w:highlight w:val="none"/>
        </w:rPr>
        <w:t>基础。</w:t>
      </w:r>
    </w:p>
    <w:p w14:paraId="2370561D">
      <w:pPr>
        <w:overflowPunct w:val="0"/>
        <w:topLinePunct/>
        <w:ind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本次评价范围为</w:t>
      </w:r>
      <w:r>
        <w:rPr>
          <w:rFonts w:hint="eastAsia" w:cs="Times New Roman"/>
          <w:color w:val="auto"/>
          <w:highlight w:val="none"/>
          <w:lang w:eastAsia="zh-CN"/>
        </w:rPr>
        <w:t>新疆嘉西矿业有限公司哈密市伊州区雅满苏镇M1033萤石选矿厂及尾矿库建设项目</w:t>
      </w:r>
      <w:r>
        <w:rPr>
          <w:rFonts w:hint="default" w:ascii="Times New Roman" w:hAnsi="Times New Roman" w:cs="Times New Roman"/>
          <w:color w:val="auto"/>
          <w:highlight w:val="none"/>
        </w:rPr>
        <w:t>（以下简称：</w:t>
      </w:r>
      <w:r>
        <w:rPr>
          <w:rFonts w:hint="eastAsia" w:cs="Times New Roman"/>
          <w:color w:val="auto"/>
          <w:highlight w:val="none"/>
          <w:lang w:eastAsia="zh-CN"/>
        </w:rPr>
        <w:t>“</w:t>
      </w:r>
      <w:r>
        <w:rPr>
          <w:rFonts w:hint="default" w:ascii="Times New Roman" w:hAnsi="Times New Roman" w:cs="Times New Roman"/>
          <w:color w:val="auto"/>
          <w:highlight w:val="none"/>
        </w:rPr>
        <w:t>本项目</w:t>
      </w:r>
      <w:r>
        <w:rPr>
          <w:rFonts w:hint="eastAsia" w:cs="Times New Roman"/>
          <w:color w:val="auto"/>
          <w:highlight w:val="none"/>
          <w:lang w:eastAsia="zh-CN"/>
        </w:rPr>
        <w:t>”</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w:t>
      </w:r>
      <w:r>
        <w:rPr>
          <w:rFonts w:hint="eastAsia" w:cs="Times New Roman"/>
          <w:color w:val="auto"/>
          <w:highlight w:val="none"/>
          <w:lang w:val="en-US" w:eastAsia="zh-CN"/>
        </w:rPr>
        <w:t>采矿工程另行评价，不在本次评价范围内。</w:t>
      </w:r>
    </w:p>
    <w:p w14:paraId="78F39F89">
      <w:pPr>
        <w:pStyle w:val="4"/>
        <w:rPr>
          <w:rFonts w:hint="default" w:ascii="Times New Roman" w:hAnsi="Times New Roman" w:cs="Times New Roman"/>
          <w:color w:val="auto"/>
          <w:highlight w:val="none"/>
        </w:rPr>
      </w:pPr>
      <w:bookmarkStart w:id="24" w:name="_Toc13806"/>
      <w:bookmarkStart w:id="25" w:name="_Toc28947"/>
      <w:bookmarkStart w:id="26" w:name="_Toc1695"/>
      <w:r>
        <w:rPr>
          <w:rFonts w:hint="default" w:ascii="Times New Roman" w:hAnsi="Times New Roman" w:cs="Times New Roman"/>
          <w:color w:val="auto"/>
          <w:highlight w:val="none"/>
        </w:rPr>
        <w:t>1.1.2建设项目特点</w:t>
      </w:r>
      <w:bookmarkEnd w:id="24"/>
      <w:bookmarkEnd w:id="25"/>
      <w:bookmarkEnd w:id="26"/>
    </w:p>
    <w:p w14:paraId="1661B3B6">
      <w:pPr>
        <w:pStyle w:val="43"/>
        <w:overflowPunct w:val="0"/>
        <w:topLinePunct/>
        <w:snapToGrid w:val="0"/>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本项目为</w:t>
      </w:r>
      <w:r>
        <w:rPr>
          <w:rFonts w:hint="default" w:ascii="Times New Roman" w:hAnsi="Times New Roman" w:cs="Times New Roman"/>
          <w:color w:val="auto"/>
          <w:szCs w:val="24"/>
          <w:highlight w:val="none"/>
          <w:lang w:eastAsia="zh-CN"/>
        </w:rPr>
        <w:t>新</w:t>
      </w:r>
      <w:r>
        <w:rPr>
          <w:rFonts w:hint="default" w:ascii="Times New Roman" w:hAnsi="Times New Roman" w:cs="Times New Roman"/>
          <w:color w:val="auto"/>
          <w:szCs w:val="24"/>
          <w:highlight w:val="none"/>
        </w:rPr>
        <w:t>建项目，规模为年处理</w:t>
      </w:r>
      <w:r>
        <w:rPr>
          <w:rFonts w:hint="default" w:ascii="Times New Roman" w:hAnsi="Times New Roman" w:cs="Times New Roman"/>
          <w:color w:val="auto"/>
          <w:szCs w:val="24"/>
          <w:highlight w:val="none"/>
          <w:lang w:eastAsia="zh-CN"/>
        </w:rPr>
        <w:t>萤石</w:t>
      </w:r>
      <w:r>
        <w:rPr>
          <w:rFonts w:hint="default" w:ascii="Times New Roman" w:hAnsi="Times New Roman" w:cs="Times New Roman"/>
          <w:color w:val="auto"/>
          <w:highlight w:val="none"/>
          <w:lang w:val="en-US" w:eastAsia="zh-CN"/>
        </w:rPr>
        <w:t>60万t</w:t>
      </w:r>
      <w:r>
        <w:rPr>
          <w:rFonts w:hint="default" w:ascii="Times New Roman" w:hAnsi="Times New Roman" w:cs="Times New Roman"/>
          <w:color w:val="auto"/>
          <w:szCs w:val="24"/>
          <w:highlight w:val="none"/>
        </w:rPr>
        <w:t>。本项目建设内容包括破碎车间、皮带廊、中碎车间、主厂房、精粉仓库、浓密机、过滤车间、沉淀池、泵房、化验室、机修车间、仓库、选厂办公室</w:t>
      </w:r>
      <w:r>
        <w:rPr>
          <w:rFonts w:hint="default" w:ascii="Times New Roman" w:hAnsi="Times New Roman" w:cs="Times New Roman"/>
          <w:color w:val="auto"/>
          <w:szCs w:val="24"/>
          <w:highlight w:val="none"/>
          <w:lang w:eastAsia="zh-CN"/>
        </w:rPr>
        <w:t>、尾矿库及尾矿输送设施</w:t>
      </w:r>
      <w:r>
        <w:rPr>
          <w:rFonts w:hint="default" w:ascii="Times New Roman" w:hAnsi="Times New Roman" w:cs="Times New Roman"/>
          <w:color w:val="auto"/>
          <w:szCs w:val="24"/>
          <w:highlight w:val="none"/>
        </w:rPr>
        <w:t>等设施</w:t>
      </w:r>
      <w:r>
        <w:rPr>
          <w:rFonts w:hint="default" w:ascii="Times New Roman" w:hAnsi="Times New Roman" w:cs="Times New Roman"/>
          <w:color w:val="auto"/>
          <w:highlight w:val="none"/>
        </w:rPr>
        <w:t>，配套建设给水、排水、供热、供电、道路、精矿仓及环保设施等。本</w:t>
      </w:r>
      <w:r>
        <w:rPr>
          <w:rFonts w:hint="default" w:ascii="Times New Roman" w:hAnsi="Times New Roman" w:cs="Times New Roman"/>
          <w:color w:val="auto"/>
          <w:highlight w:val="none"/>
          <w:lang w:eastAsia="zh-CN"/>
        </w:rPr>
        <w:t>项目</w:t>
      </w:r>
      <w:r>
        <w:rPr>
          <w:rFonts w:hint="default" w:ascii="Times New Roman" w:hAnsi="Times New Roman" w:cs="Times New Roman"/>
          <w:color w:val="auto"/>
          <w:highlight w:val="none"/>
        </w:rPr>
        <w:t>最终产品为萤石精矿，精矿品位CaF</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含量</w:t>
      </w:r>
      <w:r>
        <w:rPr>
          <w:rFonts w:hint="default" w:ascii="Times New Roman" w:hAnsi="Times New Roman" w:cs="Times New Roman"/>
          <w:color w:val="auto"/>
          <w:highlight w:val="none"/>
          <w:lang w:val="en-US" w:eastAsia="zh-CN"/>
        </w:rPr>
        <w:t>94</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的萤石精矿，符合《萤石》（YB/T5217-2019）中萤石精粉四级品标准，牌号为FC-93</w:t>
      </w:r>
      <w:r>
        <w:rPr>
          <w:rFonts w:hint="default" w:ascii="Times New Roman" w:hAnsi="Times New Roman" w:cs="Times New Roman"/>
          <w:color w:val="auto"/>
          <w:highlight w:val="none"/>
        </w:rPr>
        <w:t>。</w:t>
      </w:r>
    </w:p>
    <w:p w14:paraId="175EC10A">
      <w:pPr>
        <w:overflowPunct w:val="0"/>
        <w:topLinePunct/>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本项目具有以下特点：</w:t>
      </w:r>
    </w:p>
    <w:p w14:paraId="4D7079C4">
      <w:pPr>
        <w:pStyle w:val="43"/>
        <w:overflowPunct w:val="0"/>
        <w:topLinePunct/>
        <w:snapToGrid w:val="0"/>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（1）本项目选矿处理工艺流程主要包括碎磨工艺和选别工艺。碎磨工艺流程为</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粗碎-中碎-细碎-筛分-两段闭路磨矿</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，选别工艺流程为</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一次粗选、三次扫选、七次精选</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w:t>
      </w:r>
    </w:p>
    <w:p w14:paraId="33F7507A">
      <w:pPr>
        <w:pStyle w:val="43"/>
        <w:overflowPunct w:val="0"/>
        <w:topLinePunct/>
        <w:snapToGrid w:val="0"/>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（2）选矿工程配套尾矿库，采用湿式堆存，一次建坝，尾矿库等别为四等，总库容102万m</w:t>
      </w:r>
      <w:r>
        <w:rPr>
          <w:rFonts w:hint="eastAsia" w:cs="Times New Roman"/>
          <w:color w:val="auto"/>
          <w:szCs w:val="24"/>
          <w:highlight w:val="none"/>
          <w:vertAlign w:val="superscript"/>
          <w:lang w:val="en-US" w:eastAsia="zh-CN"/>
        </w:rPr>
        <w:t>3</w:t>
      </w:r>
      <w:r>
        <w:rPr>
          <w:rFonts w:hint="default" w:ascii="Times New Roman" w:hAnsi="Times New Roman" w:cs="Times New Roman"/>
          <w:color w:val="auto"/>
          <w:szCs w:val="24"/>
          <w:highlight w:val="none"/>
        </w:rPr>
        <w:t>，有效库容102万m</w:t>
      </w:r>
      <w:r>
        <w:rPr>
          <w:rFonts w:hint="eastAsia" w:cs="Times New Roman"/>
          <w:color w:val="auto"/>
          <w:szCs w:val="24"/>
          <w:highlight w:val="none"/>
          <w:vertAlign w:val="superscript"/>
          <w:lang w:val="en-US" w:eastAsia="zh-CN"/>
        </w:rPr>
        <w:t>3</w:t>
      </w:r>
      <w:r>
        <w:rPr>
          <w:rFonts w:hint="default" w:ascii="Times New Roman" w:hAnsi="Times New Roman" w:cs="Times New Roman"/>
          <w:color w:val="auto"/>
          <w:szCs w:val="24"/>
          <w:highlight w:val="none"/>
        </w:rPr>
        <w:t>，总坝高16m，占地面积约17.1hm</w:t>
      </w:r>
      <w:r>
        <w:rPr>
          <w:rFonts w:hint="eastAsia" w:cs="Times New Roman"/>
          <w:color w:val="auto"/>
          <w:szCs w:val="24"/>
          <w:highlight w:val="none"/>
          <w:vertAlign w:val="superscript"/>
          <w:lang w:val="en-US" w:eastAsia="zh-CN"/>
        </w:rPr>
        <w:t>2</w:t>
      </w:r>
      <w:r>
        <w:rPr>
          <w:rFonts w:hint="default" w:ascii="Times New Roman" w:hAnsi="Times New Roman" w:cs="Times New Roman"/>
          <w:color w:val="auto"/>
          <w:szCs w:val="24"/>
          <w:highlight w:val="none"/>
        </w:rPr>
        <w:t>。</w:t>
      </w:r>
    </w:p>
    <w:p w14:paraId="3E6634E3">
      <w:pPr>
        <w:pStyle w:val="43"/>
        <w:overflowPunct w:val="0"/>
        <w:topLinePunct/>
        <w:snapToGrid w:val="0"/>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（3）本项目主要污染物为选矿过程产生的粉尘、尾矿库等无组织扬尘、</w:t>
      </w:r>
      <w:r>
        <w:rPr>
          <w:rFonts w:hint="eastAsia" w:cs="Times New Roman"/>
          <w:color w:val="auto"/>
          <w:szCs w:val="24"/>
          <w:highlight w:val="none"/>
          <w:lang w:val="en-US" w:eastAsia="zh-CN"/>
        </w:rPr>
        <w:t>燃煤锅炉运行产生的废气、</w:t>
      </w:r>
      <w:r>
        <w:rPr>
          <w:rFonts w:hint="default" w:ascii="Times New Roman" w:hAnsi="Times New Roman" w:cs="Times New Roman"/>
          <w:color w:val="auto"/>
          <w:szCs w:val="24"/>
          <w:highlight w:val="none"/>
        </w:rPr>
        <w:t>生产废水、生活污水、工艺设备噪声、尾矿、生活垃圾、废机油等。</w:t>
      </w:r>
      <w:r>
        <w:rPr>
          <w:rFonts w:hint="eastAsia"/>
          <w:color w:val="auto"/>
          <w:highlight w:val="none"/>
        </w:rPr>
        <w:t>选矿过程产生的粉尘均采用布袋除尘器净化后经排气筒排放</w:t>
      </w:r>
      <w:r>
        <w:rPr>
          <w:rFonts w:hint="eastAsia"/>
          <w:color w:val="auto"/>
          <w:highlight w:val="none"/>
          <w:lang w:eastAsia="zh-CN"/>
        </w:rPr>
        <w:t>，</w:t>
      </w:r>
      <w:r>
        <w:rPr>
          <w:rFonts w:hint="eastAsia"/>
          <w:color w:val="auto"/>
          <w:highlight w:val="none"/>
        </w:rPr>
        <w:t>工业场地洒水抑尘；</w:t>
      </w:r>
      <w:r>
        <w:rPr>
          <w:rFonts w:hint="default" w:ascii="Times New Roman" w:hAnsi="Times New Roman" w:cs="Times New Roman"/>
          <w:color w:val="auto"/>
          <w:szCs w:val="24"/>
          <w:highlight w:val="none"/>
        </w:rPr>
        <w:t>锅炉废气采用</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高温袋式除尘+SNCR脱硝+水膜脱硫除尘</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组合工艺处理，经40m高排气筒排放，污染物排放浓度满足《锅炉大气污染物排放标准》（GB13271-2014）表2中燃煤锅炉限值要求。工业场地洒水抑尘；尾矿库采用均匀分散放矿保持尾矿沉积滩面的湿润，减少扬尘；精矿浓缩溢流水、尾矿浓缩溢流水循环使用，尾矿浆排入尾矿库澄清后上层澄清水泵送回用于选矿生产环节，不外排；生活污水经化粪池处理后</w:t>
      </w:r>
      <w:r>
        <w:rPr>
          <w:rFonts w:hint="eastAsia" w:cs="Times New Roman"/>
          <w:color w:val="auto"/>
          <w:szCs w:val="24"/>
          <w:highlight w:val="none"/>
          <w:lang w:val="en-US" w:eastAsia="zh-CN"/>
        </w:rPr>
        <w:t>由吸污车定期抽运至哈密市污水处理厂处理</w:t>
      </w:r>
      <w:r>
        <w:rPr>
          <w:rFonts w:hint="default" w:ascii="Times New Roman" w:hAnsi="Times New Roman" w:cs="Times New Roman"/>
          <w:color w:val="auto"/>
          <w:szCs w:val="24"/>
          <w:highlight w:val="none"/>
        </w:rPr>
        <w:t>，不外排；对高噪设备采取基础减振、厂房隔声等措施；尾矿全部排入尾矿库堆存；生活垃圾由当地环卫部门统一清运；废机油等危险废物暂存于危废</w:t>
      </w:r>
      <w:r>
        <w:rPr>
          <w:rFonts w:hint="eastAsia" w:cs="Times New Roman"/>
          <w:color w:val="auto"/>
          <w:szCs w:val="24"/>
          <w:highlight w:val="none"/>
          <w:lang w:val="en-US" w:eastAsia="zh-CN"/>
        </w:rPr>
        <w:t>暂存点</w:t>
      </w:r>
      <w:r>
        <w:rPr>
          <w:rFonts w:hint="default" w:ascii="Times New Roman" w:hAnsi="Times New Roman" w:cs="Times New Roman"/>
          <w:color w:val="auto"/>
          <w:szCs w:val="24"/>
          <w:highlight w:val="none"/>
        </w:rPr>
        <w:t>，</w:t>
      </w:r>
      <w:r>
        <w:rPr>
          <w:rFonts w:hint="eastAsia" w:cs="Times New Roman"/>
          <w:color w:val="auto"/>
          <w:szCs w:val="24"/>
          <w:highlight w:val="none"/>
          <w:lang w:val="en-US" w:eastAsia="zh-CN"/>
        </w:rPr>
        <w:t>定期</w:t>
      </w:r>
      <w:r>
        <w:rPr>
          <w:rFonts w:hint="default" w:ascii="Times New Roman" w:hAnsi="Times New Roman" w:cs="Times New Roman"/>
          <w:color w:val="auto"/>
          <w:szCs w:val="24"/>
          <w:highlight w:val="none"/>
        </w:rPr>
        <w:t>委托有资质单位处置。</w:t>
      </w:r>
    </w:p>
    <w:bookmarkEnd w:id="23"/>
    <w:p w14:paraId="34F4D59E">
      <w:pPr>
        <w:pStyle w:val="3"/>
        <w:spacing w:line="560" w:lineRule="atLeast"/>
        <w:rPr>
          <w:rFonts w:hint="default" w:ascii="Times New Roman" w:hAnsi="Times New Roman" w:cs="Times New Roman"/>
          <w:color w:val="auto"/>
          <w:highlight w:val="none"/>
        </w:rPr>
      </w:pPr>
      <w:bookmarkStart w:id="27" w:name="_Toc31091"/>
      <w:bookmarkStart w:id="28" w:name="_Toc11763"/>
      <w:bookmarkStart w:id="29" w:name="_Toc10527"/>
      <w:bookmarkStart w:id="30" w:name="_Toc107413872"/>
      <w:bookmarkStart w:id="31" w:name="_Toc5233"/>
      <w:bookmarkStart w:id="32" w:name="_Toc23440"/>
      <w:bookmarkStart w:id="33" w:name="_Toc107414639"/>
      <w:r>
        <w:rPr>
          <w:rFonts w:hint="default" w:ascii="Times New Roman" w:hAnsi="Times New Roman" w:cs="Times New Roman"/>
          <w:color w:val="auto"/>
          <w:highlight w:val="none"/>
        </w:rPr>
        <w:t>1.2环境影响评价过程</w:t>
      </w:r>
      <w:bookmarkEnd w:id="27"/>
      <w:bookmarkEnd w:id="28"/>
      <w:bookmarkEnd w:id="29"/>
      <w:bookmarkEnd w:id="30"/>
      <w:bookmarkEnd w:id="31"/>
      <w:bookmarkEnd w:id="32"/>
      <w:bookmarkEnd w:id="33"/>
    </w:p>
    <w:p w14:paraId="605DD425">
      <w:pPr>
        <w:pStyle w:val="44"/>
        <w:overflowPunct w:val="0"/>
        <w:topLinePunct/>
        <w:spacing w:after="0"/>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根据《中华人民共和国环境保护法》（2015年1月1日）、《中华人民共和国环境影响评价法》（2018年12月29日）、《建设项目环境保护管理条例》（国务院令第682号）规定及有关环境保护政策法规的要求，该项目需进行环境影响评价。为此，</w:t>
      </w:r>
      <w:r>
        <w:rPr>
          <w:rFonts w:hint="default" w:ascii="Times New Roman" w:hAnsi="Times New Roman" w:cs="Times New Roman"/>
          <w:color w:val="auto"/>
          <w:highlight w:val="none"/>
          <w:lang w:eastAsia="zh-CN"/>
        </w:rPr>
        <w:t>新疆嘉西矿业有限公司</w:t>
      </w:r>
      <w:r>
        <w:rPr>
          <w:rFonts w:hint="default" w:ascii="Times New Roman" w:hAnsi="Times New Roman" w:cs="Times New Roman"/>
          <w:color w:val="auto"/>
          <w:highlight w:val="none"/>
        </w:rPr>
        <w:t>于202</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月委托</w:t>
      </w:r>
      <w:r>
        <w:rPr>
          <w:rFonts w:hint="default" w:ascii="Times New Roman" w:hAnsi="Times New Roman" w:cs="Times New Roman"/>
          <w:color w:val="auto"/>
          <w:highlight w:val="none"/>
          <w:lang w:eastAsia="zh-CN"/>
        </w:rPr>
        <w:t>新疆恒升融裕环保科技有限公司</w:t>
      </w:r>
      <w:r>
        <w:rPr>
          <w:rFonts w:hint="default" w:ascii="Times New Roman" w:hAnsi="Times New Roman" w:cs="Times New Roman"/>
          <w:color w:val="auto"/>
          <w:highlight w:val="none"/>
        </w:rPr>
        <w:t>（以下简称</w:t>
      </w:r>
      <w:r>
        <w:rPr>
          <w:rFonts w:hint="eastAsia" w:ascii="Times New Roman" w:cs="Times New Roman"/>
          <w:color w:val="auto"/>
          <w:highlight w:val="none"/>
          <w:lang w:eastAsia="zh-CN"/>
        </w:rPr>
        <w:t>“</w:t>
      </w:r>
      <w:r>
        <w:rPr>
          <w:rFonts w:hint="default" w:ascii="Times New Roman" w:hAnsi="Times New Roman" w:cs="Times New Roman"/>
          <w:color w:val="auto"/>
          <w:highlight w:val="none"/>
        </w:rPr>
        <w:t>编制单位</w:t>
      </w:r>
      <w:r>
        <w:rPr>
          <w:rFonts w:hint="eastAsia" w:ascii="Times New Roman" w:cs="Times New Roman"/>
          <w:color w:val="auto"/>
          <w:highlight w:val="none"/>
          <w:lang w:eastAsia="zh-CN"/>
        </w:rPr>
        <w:t>”</w:t>
      </w:r>
      <w:r>
        <w:rPr>
          <w:rFonts w:hint="default" w:ascii="Times New Roman" w:hAnsi="Times New Roman" w:cs="Times New Roman"/>
          <w:color w:val="auto"/>
          <w:highlight w:val="none"/>
        </w:rPr>
        <w:t>）承担该项目的环境影响评价工作。接受委托后，编制单位认真研究了该项目的有关材料，进行实地踏勘和现场调研，收集和核实了有关材料，依据相关导则的要求，在认真分析预测的基础上，进行了项目的工程分析和现状评价、环境影响预测等工作，编制完成了环境影响评价报告书后，提交生态环境主管部门审查。环境影响报告书经审查批准后，将作为开展本项目进行工程设计和施工期、运营期环境管理工作的依据。</w:t>
      </w:r>
    </w:p>
    <w:p w14:paraId="076547C4">
      <w:pPr>
        <w:pStyle w:val="43"/>
        <w:overflowPunct w:val="0"/>
        <w:topLinePunct/>
        <w:spacing w:line="480" w:lineRule="exact"/>
        <w:ind w:firstLine="480"/>
        <w:rPr>
          <w:rFonts w:hint="default" w:ascii="Times New Roman" w:hAnsi="Times New Roman" w:cs="Times New Roman"/>
          <w:color w:val="auto"/>
          <w:szCs w:val="24"/>
          <w:highlight w:val="none"/>
          <w:lang w:val="zh-CN"/>
        </w:rPr>
      </w:pPr>
      <w:r>
        <w:rPr>
          <w:rFonts w:hint="default" w:ascii="Times New Roman" w:hAnsi="Times New Roman" w:cs="Times New Roman"/>
          <w:color w:val="auto"/>
          <w:szCs w:val="24"/>
          <w:highlight w:val="none"/>
          <w:lang w:val="zh-CN"/>
        </w:rPr>
        <w:t>本次环境影响评价工作分三个阶段完成，即前期准备、现场调研和工作方案阶段，分析论证和预测评价阶段，环境影响文件编制阶段。</w:t>
      </w:r>
    </w:p>
    <w:p w14:paraId="322B26CF">
      <w:pPr>
        <w:pStyle w:val="43"/>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环境影响评价工作程序见图1.2-1。</w:t>
      </w:r>
    </w:p>
    <w:p w14:paraId="2D014D68">
      <w:pPr>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br w:type="page"/>
      </w:r>
    </w:p>
    <w:p w14:paraId="63A7F837">
      <w:pPr>
        <w:keepNext w:val="0"/>
        <w:keepLines w:val="0"/>
        <w:pageBreakBefore w:val="0"/>
        <w:widowControl w:val="0"/>
        <w:kinsoku/>
        <w:wordWrap/>
        <w:overflowPunct/>
        <w:topLinePunct w:val="0"/>
        <w:autoSpaceDE/>
        <w:autoSpaceDN/>
        <w:bidi w:val="0"/>
        <w:adjustRightInd/>
        <w:snapToGrid/>
        <w:spacing w:line="400" w:lineRule="atLeast"/>
        <w:ind w:firstLine="0"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mc:AlternateContent>
          <mc:Choice Requires="wpg">
            <w:drawing>
              <wp:inline distT="0" distB="0" distL="114300" distR="114300">
                <wp:extent cx="4927600" cy="7095490"/>
                <wp:effectExtent l="2540" t="4445" r="3810" b="5715"/>
                <wp:docPr id="176" name="组合 1027"/>
                <wp:cNvGraphicFramePr/>
                <a:graphic xmlns:a="http://schemas.openxmlformats.org/drawingml/2006/main">
                  <a:graphicData uri="http://schemas.microsoft.com/office/word/2010/wordprocessingGroup">
                    <wpg:wgp>
                      <wpg:cNvGrpSpPr/>
                      <wpg:grpSpPr>
                        <a:xfrm>
                          <a:off x="0" y="0"/>
                          <a:ext cx="4927399" cy="7095789"/>
                          <a:chOff x="14761" y="37756"/>
                          <a:chExt cx="7694" cy="10649"/>
                        </a:xfrm>
                        <a:effectLst/>
                      </wpg:grpSpPr>
                      <wps:wsp>
                        <wps:cNvPr id="148" name="Straight Connector 377"/>
                        <wps:cNvCnPr/>
                        <wps:spPr>
                          <a:xfrm>
                            <a:off x="18936" y="41282"/>
                            <a:ext cx="1" cy="309"/>
                          </a:xfrm>
                          <a:prstGeom prst="straightConnector1">
                            <a:avLst/>
                          </a:prstGeom>
                          <a:ln w="9525" cap="flat" cmpd="sng">
                            <a:solidFill>
                              <a:srgbClr val="000000"/>
                            </a:solidFill>
                            <a:prstDash val="solid"/>
                            <a:headEnd type="none" w="med" len="med"/>
                            <a:tailEnd type="triangle" w="med" len="med"/>
                          </a:ln>
                          <a:effectLst/>
                        </wps:spPr>
                        <wps:bodyPr/>
                      </wps:wsp>
                      <wps:wsp>
                        <wps:cNvPr id="149" name="Straight Connector 387"/>
                        <wps:cNvCnPr>
                          <a:stCxn id="165" idx="2"/>
                        </wps:cNvCnPr>
                        <wps:spPr>
                          <a:xfrm>
                            <a:off x="17303" y="42496"/>
                            <a:ext cx="1" cy="426"/>
                          </a:xfrm>
                          <a:prstGeom prst="straightConnector1">
                            <a:avLst/>
                          </a:prstGeom>
                          <a:ln w="9525" cap="flat" cmpd="sng">
                            <a:solidFill>
                              <a:srgbClr val="000000"/>
                            </a:solidFill>
                            <a:prstDash val="solid"/>
                            <a:headEnd type="none" w="med" len="med"/>
                            <a:tailEnd type="none" w="med" len="med"/>
                          </a:ln>
                          <a:effectLst/>
                        </wps:spPr>
                        <wps:bodyPr/>
                      </wps:wsp>
                      <wps:wsp>
                        <wps:cNvPr id="150" name="Straight Connector 388"/>
                        <wps:cNvCnPr>
                          <a:stCxn id="165" idx="2"/>
                        </wps:cNvCnPr>
                        <wps:spPr>
                          <a:xfrm>
                            <a:off x="20230" y="42511"/>
                            <a:ext cx="1" cy="446"/>
                          </a:xfrm>
                          <a:prstGeom prst="straightConnector1">
                            <a:avLst/>
                          </a:prstGeom>
                          <a:ln w="9525" cap="flat" cmpd="sng">
                            <a:solidFill>
                              <a:srgbClr val="000000"/>
                            </a:solidFill>
                            <a:prstDash val="solid"/>
                            <a:headEnd type="none" w="med" len="med"/>
                            <a:tailEnd type="none" w="med" len="med"/>
                          </a:ln>
                          <a:effectLst/>
                        </wps:spPr>
                        <wps:bodyPr/>
                      </wps:wsp>
                      <wps:wsp>
                        <wps:cNvPr id="151" name="Straight Connector 392"/>
                        <wps:cNvCnPr>
                          <a:stCxn id="165" idx="2"/>
                        </wps:cNvCnPr>
                        <wps:spPr>
                          <a:xfrm>
                            <a:off x="17317" y="43695"/>
                            <a:ext cx="1" cy="357"/>
                          </a:xfrm>
                          <a:prstGeom prst="straightConnector1">
                            <a:avLst/>
                          </a:prstGeom>
                          <a:ln w="9525" cap="flat" cmpd="sng">
                            <a:solidFill>
                              <a:srgbClr val="000000"/>
                            </a:solidFill>
                            <a:prstDash val="solid"/>
                            <a:headEnd type="none" w="med" len="med"/>
                            <a:tailEnd type="none" w="med" len="med"/>
                          </a:ln>
                          <a:effectLst/>
                        </wps:spPr>
                        <wps:bodyPr/>
                      </wps:wsp>
                      <wps:wsp>
                        <wps:cNvPr id="152" name="Straight Connector 393"/>
                        <wps:cNvCnPr>
                          <a:stCxn id="165" idx="2"/>
                        </wps:cNvCnPr>
                        <wps:spPr>
                          <a:xfrm>
                            <a:off x="20258" y="43642"/>
                            <a:ext cx="1" cy="432"/>
                          </a:xfrm>
                          <a:prstGeom prst="straightConnector1">
                            <a:avLst/>
                          </a:prstGeom>
                          <a:ln w="9525" cap="flat" cmpd="sng">
                            <a:solidFill>
                              <a:srgbClr val="000000"/>
                            </a:solidFill>
                            <a:prstDash val="solid"/>
                            <a:headEnd type="none" w="med" len="med"/>
                            <a:tailEnd type="none" w="med" len="med"/>
                          </a:ln>
                          <a:effectLst/>
                        </wps:spPr>
                        <wps:bodyPr/>
                      </wps:wsp>
                      <wps:wsp>
                        <wps:cNvPr id="153" name="Straight Connector 408"/>
                        <wps:cNvCnPr/>
                        <wps:spPr>
                          <a:xfrm>
                            <a:off x="14796" y="42230"/>
                            <a:ext cx="7630" cy="1"/>
                          </a:xfrm>
                          <a:prstGeom prst="straightConnector1">
                            <a:avLst/>
                          </a:prstGeom>
                          <a:ln w="9525" cap="flat" cmpd="sng">
                            <a:solidFill>
                              <a:srgbClr val="000000"/>
                            </a:solidFill>
                            <a:prstDash val="dash"/>
                            <a:headEnd type="none" w="med" len="med"/>
                            <a:tailEnd type="none" w="med" len="med"/>
                          </a:ln>
                          <a:effectLst/>
                        </wps:spPr>
                        <wps:bodyPr/>
                      </wps:wsp>
                      <wps:wsp>
                        <wps:cNvPr id="154" name="Rectangle 410"/>
                        <wps:cNvSpPr/>
                        <wps:spPr>
                          <a:xfrm>
                            <a:off x="14856" y="38806"/>
                            <a:ext cx="420" cy="1770"/>
                          </a:xfrm>
                          <a:prstGeom prst="rect">
                            <a:avLst/>
                          </a:prstGeom>
                          <a:noFill/>
                          <a:ln>
                            <a:noFill/>
                          </a:ln>
                          <a:effectLst/>
                        </wps:spPr>
                        <wps:txbx>
                          <w:txbxContent>
                            <w:p w14:paraId="06E8C234">
                              <w:pPr>
                                <w:pStyle w:val="90"/>
                              </w:pPr>
                              <w:r>
                                <w:rPr>
                                  <w:rFonts w:hint="eastAsia"/>
                                </w:rPr>
                                <w:t>第一阶段</w:t>
                              </w:r>
                            </w:p>
                          </w:txbxContent>
                        </wps:txbx>
                        <wps:bodyPr vert="horz" anchor="t" anchorCtr="0" upright="1"/>
                      </wps:wsp>
                      <wps:wsp>
                        <wps:cNvPr id="155" name="Rectangle 411"/>
                        <wps:cNvSpPr/>
                        <wps:spPr>
                          <a:xfrm>
                            <a:off x="14821" y="43403"/>
                            <a:ext cx="420" cy="1479"/>
                          </a:xfrm>
                          <a:prstGeom prst="rect">
                            <a:avLst/>
                          </a:prstGeom>
                          <a:noFill/>
                          <a:ln>
                            <a:noFill/>
                          </a:ln>
                          <a:effectLst/>
                        </wps:spPr>
                        <wps:txbx>
                          <w:txbxContent>
                            <w:p w14:paraId="47D618A4">
                              <w:pPr>
                                <w:pStyle w:val="90"/>
                              </w:pPr>
                              <w:r>
                                <w:rPr>
                                  <w:rFonts w:hint="eastAsia"/>
                                </w:rPr>
                                <w:t>第二阶段</w:t>
                              </w:r>
                            </w:p>
                          </w:txbxContent>
                        </wps:txbx>
                        <wps:bodyPr vert="horz" anchor="t" anchorCtr="0" upright="1"/>
                      </wps:wsp>
                      <wps:wsp>
                        <wps:cNvPr id="156" name="Rectangle 412"/>
                        <wps:cNvSpPr/>
                        <wps:spPr>
                          <a:xfrm>
                            <a:off x="14776" y="45853"/>
                            <a:ext cx="420" cy="1522"/>
                          </a:xfrm>
                          <a:prstGeom prst="rect">
                            <a:avLst/>
                          </a:prstGeom>
                          <a:noFill/>
                          <a:ln>
                            <a:noFill/>
                          </a:ln>
                          <a:effectLst/>
                        </wps:spPr>
                        <wps:txbx>
                          <w:txbxContent>
                            <w:p w14:paraId="26B5E257">
                              <w:pPr>
                                <w:pStyle w:val="90"/>
                              </w:pPr>
                              <w:r>
                                <w:rPr>
                                  <w:rFonts w:hint="eastAsia"/>
                                </w:rPr>
                                <w:t>第三阶段</w:t>
                              </w:r>
                            </w:p>
                          </w:txbxContent>
                        </wps:txbx>
                        <wps:bodyPr vert="horz" anchor="t" anchorCtr="0" upright="1"/>
                      </wps:wsp>
                      <wps:wsp>
                        <wps:cNvPr id="157" name="Rectangle 376"/>
                        <wps:cNvSpPr/>
                        <wps:spPr>
                          <a:xfrm>
                            <a:off x="16736" y="38787"/>
                            <a:ext cx="4470" cy="108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ED0CF2E">
                              <w:pPr>
                                <w:pStyle w:val="90"/>
                                <w:spacing w:before="0" w:after="0" w:line="280" w:lineRule="exact"/>
                                <w:rPr>
                                  <w:rFonts w:ascii="Times New Roman" w:hAnsi="Times New Roman" w:cs="Times New Roman"/>
                                </w:rPr>
                              </w:pPr>
                              <w:r>
                                <w:rPr>
                                  <w:rFonts w:ascii="Times New Roman" w:hAnsi="Times New Roman" w:cs="Times New Roman"/>
                                </w:rPr>
                                <w:t>1 研究相关技术文件和其他有关文件</w:t>
                              </w:r>
                            </w:p>
                            <w:p w14:paraId="0B64F6EF">
                              <w:pPr>
                                <w:pStyle w:val="90"/>
                                <w:spacing w:before="0" w:after="0" w:line="280" w:lineRule="exact"/>
                                <w:jc w:val="both"/>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2 进行初步工程分析</w:t>
                              </w:r>
                            </w:p>
                            <w:p w14:paraId="136A432C">
                              <w:pPr>
                                <w:pStyle w:val="90"/>
                                <w:spacing w:before="0" w:after="0" w:line="280" w:lineRule="exact"/>
                                <w:jc w:val="both"/>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3 开</w:t>
                              </w:r>
                              <w:r>
                                <w:rPr>
                                  <w:rFonts w:hint="eastAsia" w:ascii="Times New Roman" w:hAnsi="Times New Roman" w:cs="Times New Roman"/>
                                </w:rPr>
                                <w:t>展初步的环境状况调查</w:t>
                              </w:r>
                            </w:p>
                          </w:txbxContent>
                        </wps:txbx>
                        <wps:bodyPr vert="horz" anchor="t" anchorCtr="0" upright="1"/>
                      </wps:wsp>
                      <wps:wsp>
                        <wps:cNvPr id="158" name="Rectangle 372"/>
                        <wps:cNvSpPr/>
                        <wps:spPr>
                          <a:xfrm>
                            <a:off x="16753" y="37971"/>
                            <a:ext cx="4488" cy="42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90E29DA">
                              <w:pPr>
                                <w:pStyle w:val="90"/>
                                <w:spacing w:before="0" w:after="0"/>
                              </w:pPr>
                              <w:r>
                                <w:rPr>
                                  <w:rFonts w:hint="eastAsia"/>
                                </w:rPr>
                                <w:t>依据相关规定确定环境影响评价文件类型</w:t>
                              </w:r>
                            </w:p>
                          </w:txbxContent>
                        </wps:txbx>
                        <wps:bodyPr vert="horz" anchor="t" anchorCtr="0" upright="1"/>
                      </wps:wsp>
                      <wps:wsp>
                        <wps:cNvPr id="159" name="Straight Connector 373"/>
                        <wps:cNvCnPr>
                          <a:stCxn id="165" idx="2"/>
                        </wps:cNvCnPr>
                        <wps:spPr>
                          <a:xfrm>
                            <a:off x="18940" y="38434"/>
                            <a:ext cx="1" cy="349"/>
                          </a:xfrm>
                          <a:prstGeom prst="straightConnector1">
                            <a:avLst/>
                          </a:prstGeom>
                          <a:ln w="9525" cap="flat" cmpd="sng">
                            <a:solidFill>
                              <a:srgbClr val="000000"/>
                            </a:solidFill>
                            <a:prstDash val="solid"/>
                            <a:headEnd type="none" w="med" len="med"/>
                            <a:tailEnd type="triangle" w="med" len="med"/>
                          </a:ln>
                          <a:effectLst/>
                        </wps:spPr>
                        <wps:bodyPr/>
                      </wps:wsp>
                      <wps:wsp>
                        <wps:cNvPr id="160" name="Straight Connector 375"/>
                        <wps:cNvCnPr>
                          <a:stCxn id="165" idx="2"/>
                        </wps:cNvCnPr>
                        <wps:spPr>
                          <a:xfrm>
                            <a:off x="18936" y="39882"/>
                            <a:ext cx="1" cy="309"/>
                          </a:xfrm>
                          <a:prstGeom prst="straightConnector1">
                            <a:avLst/>
                          </a:prstGeom>
                          <a:ln w="9525" cap="flat" cmpd="sng">
                            <a:solidFill>
                              <a:srgbClr val="000000"/>
                            </a:solidFill>
                            <a:prstDash val="solid"/>
                            <a:headEnd type="none" w="med" len="med"/>
                            <a:tailEnd type="triangle" w="med" len="med"/>
                          </a:ln>
                          <a:effectLst/>
                        </wps:spPr>
                        <wps:bodyPr/>
                      </wps:wsp>
                      <wps:wsp>
                        <wps:cNvPr id="161" name="矩形 1032"/>
                        <wps:cNvSpPr/>
                        <wps:spPr>
                          <a:xfrm>
                            <a:off x="16710" y="40204"/>
                            <a:ext cx="4470" cy="108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D5B93C7">
                              <w:pPr>
                                <w:pStyle w:val="90"/>
                                <w:spacing w:before="0" w:after="0" w:line="280" w:lineRule="exact"/>
                                <w:jc w:val="both"/>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1 环境影响识别和评价因子筛选</w:t>
                              </w:r>
                            </w:p>
                            <w:p w14:paraId="77B0DC02">
                              <w:pPr>
                                <w:pStyle w:val="90"/>
                                <w:spacing w:before="0" w:after="0" w:line="280" w:lineRule="exact"/>
                                <w:jc w:val="both"/>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2 明确评价重点和环境保护目标</w:t>
                              </w:r>
                            </w:p>
                            <w:p w14:paraId="3229F7A8">
                              <w:pPr>
                                <w:pStyle w:val="90"/>
                                <w:spacing w:before="0" w:after="0" w:line="280" w:lineRule="exact"/>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3 确定</w:t>
                              </w:r>
                              <w:r>
                                <w:rPr>
                                  <w:rFonts w:hint="eastAsia" w:ascii="Times New Roman" w:hAnsi="Times New Roman" w:cs="Times New Roman"/>
                                </w:rPr>
                                <w:t>工作等级、评价范围和评价标准</w:t>
                              </w:r>
                            </w:p>
                          </w:txbxContent>
                        </wps:txbx>
                        <wps:bodyPr vert="horz" anchor="t" anchorCtr="0" upright="1"/>
                      </wps:wsp>
                      <wps:wsp>
                        <wps:cNvPr id="162" name="Rectangle 382"/>
                        <wps:cNvSpPr/>
                        <wps:spPr>
                          <a:xfrm>
                            <a:off x="17909" y="41589"/>
                            <a:ext cx="1935" cy="42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3E9340">
                              <w:pPr>
                                <w:pStyle w:val="90"/>
                                <w:spacing w:before="0" w:after="0"/>
                              </w:pPr>
                              <w:r>
                                <w:rPr>
                                  <w:rFonts w:hint="eastAsia"/>
                                </w:rPr>
                                <w:t>制定工作方案</w:t>
                              </w:r>
                            </w:p>
                          </w:txbxContent>
                        </wps:txbx>
                        <wps:bodyPr vert="horz" anchor="t" anchorCtr="0" upright="1"/>
                      </wps:wsp>
                      <wps:wsp>
                        <wps:cNvPr id="163" name="Straight Connector 385"/>
                        <wps:cNvCnPr>
                          <a:stCxn id="165" idx="2"/>
                        </wps:cNvCnPr>
                        <wps:spPr>
                          <a:xfrm flipH="1">
                            <a:off x="18893" y="42047"/>
                            <a:ext cx="7" cy="465"/>
                          </a:xfrm>
                          <a:prstGeom prst="straightConnector1">
                            <a:avLst/>
                          </a:prstGeom>
                          <a:ln w="9525" cap="flat" cmpd="sng">
                            <a:solidFill>
                              <a:srgbClr val="000000"/>
                            </a:solidFill>
                            <a:prstDash val="solid"/>
                            <a:headEnd type="none" w="med" len="med"/>
                            <a:tailEnd type="triangle" w="med" len="med"/>
                          </a:ln>
                          <a:effectLst/>
                        </wps:spPr>
                        <wps:bodyPr/>
                      </wps:wsp>
                      <wps:wsp>
                        <wps:cNvPr id="164" name="Straight Connector 386"/>
                        <wps:cNvCnPr>
                          <a:stCxn id="165" idx="2"/>
                        </wps:cNvCnPr>
                        <wps:spPr>
                          <a:xfrm>
                            <a:off x="17289" y="42510"/>
                            <a:ext cx="2940" cy="1"/>
                          </a:xfrm>
                          <a:prstGeom prst="straightConnector1">
                            <a:avLst/>
                          </a:prstGeom>
                          <a:ln w="9525" cap="flat" cmpd="sng">
                            <a:solidFill>
                              <a:srgbClr val="000000"/>
                            </a:solidFill>
                            <a:prstDash val="solid"/>
                            <a:headEnd type="none" w="med" len="med"/>
                            <a:tailEnd type="none" w="med" len="med"/>
                          </a:ln>
                          <a:effectLst/>
                        </wps:spPr>
                        <wps:bodyPr/>
                      </wps:wsp>
                      <wps:wsp>
                        <wps:cNvPr id="165" name="Rectangle 389"/>
                        <wps:cNvSpPr/>
                        <wps:spPr>
                          <a:xfrm>
                            <a:off x="16296" y="42925"/>
                            <a:ext cx="2042" cy="7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BCAFB9F">
                              <w:pPr>
                                <w:pStyle w:val="90"/>
                                <w:spacing w:before="0" w:after="0" w:line="320" w:lineRule="exact"/>
                              </w:pPr>
                              <w:r>
                                <w:rPr>
                                  <w:rFonts w:hint="eastAsia"/>
                                </w:rPr>
                                <w:t>环境现状调查监测与评价</w:t>
                              </w:r>
                            </w:p>
                          </w:txbxContent>
                        </wps:txbx>
                        <wps:bodyPr vert="horz" anchor="t" anchorCtr="0" upright="1"/>
                      </wps:wsp>
                      <wps:wsp>
                        <wps:cNvPr id="166" name="Rectangle 390"/>
                        <wps:cNvSpPr/>
                        <wps:spPr>
                          <a:xfrm>
                            <a:off x="19566" y="42937"/>
                            <a:ext cx="1315" cy="78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BF1D905">
                              <w:pPr>
                                <w:pStyle w:val="90"/>
                                <w:spacing w:before="0" w:after="0" w:line="320" w:lineRule="exact"/>
                              </w:pPr>
                              <w:r>
                                <w:rPr>
                                  <w:rFonts w:hint="eastAsia"/>
                                </w:rPr>
                                <w:t>建设项目工程分析</w:t>
                              </w:r>
                            </w:p>
                          </w:txbxContent>
                        </wps:txbx>
                        <wps:bodyPr vert="horz" anchor="t" anchorCtr="0" upright="1"/>
                      </wps:wsp>
                      <wps:wsp>
                        <wps:cNvPr id="167" name="Straight Connector 391"/>
                        <wps:cNvCnPr>
                          <a:stCxn id="165" idx="2"/>
                        </wps:cNvCnPr>
                        <wps:spPr>
                          <a:xfrm>
                            <a:off x="18871" y="44047"/>
                            <a:ext cx="1" cy="399"/>
                          </a:xfrm>
                          <a:prstGeom prst="straightConnector1">
                            <a:avLst/>
                          </a:prstGeom>
                          <a:ln w="9525" cap="flat" cmpd="sng">
                            <a:solidFill>
                              <a:srgbClr val="000000"/>
                            </a:solidFill>
                            <a:prstDash val="solid"/>
                            <a:headEnd type="none" w="med" len="med"/>
                            <a:tailEnd type="triangle" w="med" len="med"/>
                          </a:ln>
                          <a:effectLst/>
                        </wps:spPr>
                        <wps:bodyPr/>
                      </wps:wsp>
                      <wps:wsp>
                        <wps:cNvPr id="168" name="Straight Connector 394"/>
                        <wps:cNvCnPr>
                          <a:stCxn id="165" idx="2"/>
                        </wps:cNvCnPr>
                        <wps:spPr>
                          <a:xfrm>
                            <a:off x="17301" y="44048"/>
                            <a:ext cx="2940" cy="1"/>
                          </a:xfrm>
                          <a:prstGeom prst="straightConnector1">
                            <a:avLst/>
                          </a:prstGeom>
                          <a:ln w="9525" cap="flat" cmpd="sng">
                            <a:solidFill>
                              <a:srgbClr val="000000"/>
                            </a:solidFill>
                            <a:prstDash val="solid"/>
                            <a:headEnd type="none" w="med" len="med"/>
                            <a:tailEnd type="none" w="med" len="med"/>
                          </a:ln>
                          <a:effectLst/>
                        </wps:spPr>
                        <wps:bodyPr/>
                      </wps:wsp>
                      <wps:wsp>
                        <wps:cNvPr id="169" name="Rectangle 395"/>
                        <wps:cNvSpPr/>
                        <wps:spPr>
                          <a:xfrm>
                            <a:off x="16868" y="44436"/>
                            <a:ext cx="3885" cy="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E4BFFFA">
                              <w:pPr>
                                <w:pStyle w:val="90"/>
                                <w:spacing w:before="0" w:after="0" w:line="320" w:lineRule="exact"/>
                                <w:jc w:val="both"/>
                                <w:rPr>
                                  <w:rFonts w:ascii="Times New Roman" w:hAnsi="Times New Roman" w:cs="Times New Roman"/>
                                </w:rPr>
                              </w:pPr>
                              <w:r>
                                <w:rPr>
                                  <w:rFonts w:hint="eastAsia" w:ascii="Times New Roman" w:hAnsi="Times New Roman" w:cs="Times New Roman"/>
                                </w:rPr>
                                <w:t xml:space="preserve">   1 各环境要素环境影响预测与评价</w:t>
                              </w:r>
                            </w:p>
                            <w:p w14:paraId="7E54B980">
                              <w:pPr>
                                <w:pStyle w:val="90"/>
                                <w:spacing w:before="0" w:after="0" w:line="320" w:lineRule="exact"/>
                                <w:jc w:val="both"/>
                                <w:rPr>
                                  <w:rFonts w:ascii="Times New Roman" w:hAnsi="Times New Roman" w:cs="Times New Roman"/>
                                </w:rPr>
                              </w:pPr>
                              <w:r>
                                <w:rPr>
                                  <w:rFonts w:hint="eastAsia" w:ascii="Times New Roman" w:hAnsi="Times New Roman" w:cs="Times New Roman"/>
                                </w:rPr>
                                <w:t xml:space="preserve">   2 各专题环境影响分析与评价</w:t>
                              </w:r>
                            </w:p>
                          </w:txbxContent>
                        </wps:txbx>
                        <wps:bodyPr vert="horz" anchor="t" anchorCtr="0" upright="1"/>
                      </wps:wsp>
                      <wps:wsp>
                        <wps:cNvPr id="170" name="Rectangle 397"/>
                        <wps:cNvSpPr/>
                        <wps:spPr>
                          <a:xfrm>
                            <a:off x="16733" y="45729"/>
                            <a:ext cx="4170" cy="129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382F415">
                              <w:pPr>
                                <w:pStyle w:val="90"/>
                                <w:spacing w:before="0" w:after="0" w:line="360" w:lineRule="exact"/>
                                <w:jc w:val="both"/>
                                <w:rPr>
                                  <w:rFonts w:ascii="Times New Roman" w:hAnsi="Times New Roman" w:cs="Times New Roman"/>
                                </w:rPr>
                              </w:pPr>
                              <w:r>
                                <w:rPr>
                                  <w:rFonts w:hint="eastAsia" w:ascii="Times New Roman" w:hAnsi="Times New Roman" w:cs="Times New Roman"/>
                                </w:rPr>
                                <w:t xml:space="preserve"> 1 提出环境保护措施，进行技术经济论证</w:t>
                              </w:r>
                            </w:p>
                            <w:p w14:paraId="77DB726C">
                              <w:pPr>
                                <w:pStyle w:val="90"/>
                                <w:spacing w:before="0" w:after="0" w:line="360" w:lineRule="exact"/>
                                <w:jc w:val="both"/>
                                <w:rPr>
                                  <w:rFonts w:ascii="Times New Roman" w:hAnsi="Times New Roman" w:cs="Times New Roman"/>
                                </w:rPr>
                              </w:pPr>
                              <w:r>
                                <w:rPr>
                                  <w:rFonts w:hint="eastAsia" w:ascii="Times New Roman" w:hAnsi="Times New Roman" w:cs="Times New Roman"/>
                                </w:rPr>
                                <w:t xml:space="preserve"> 2 给出污染物排放清单</w:t>
                              </w:r>
                            </w:p>
                            <w:p w14:paraId="4C77544E">
                              <w:pPr>
                                <w:pStyle w:val="90"/>
                                <w:spacing w:before="0" w:after="0" w:line="360" w:lineRule="exact"/>
                                <w:jc w:val="both"/>
                                <w:rPr>
                                  <w:rFonts w:ascii="Times New Roman" w:hAnsi="Times New Roman" w:cs="Times New Roman"/>
                                </w:rPr>
                              </w:pPr>
                              <w:r>
                                <w:rPr>
                                  <w:rFonts w:hint="eastAsia" w:ascii="Times New Roman" w:hAnsi="Times New Roman" w:cs="Times New Roman"/>
                                </w:rPr>
                                <w:t xml:space="preserve"> 3给出建设项目环境影响评价结论</w:t>
                              </w:r>
                            </w:p>
                            <w:p w14:paraId="68CE44F1">
                              <w:pPr>
                                <w:pStyle w:val="90"/>
                              </w:pPr>
                            </w:p>
                          </w:txbxContent>
                        </wps:txbx>
                        <wps:bodyPr vert="horz" anchor="t" anchorCtr="0" upright="1"/>
                      </wps:wsp>
                      <wps:wsp>
                        <wps:cNvPr id="171" name="Straight Connector 398"/>
                        <wps:cNvCnPr>
                          <a:stCxn id="165" idx="2"/>
                        </wps:cNvCnPr>
                        <wps:spPr>
                          <a:xfrm>
                            <a:off x="18831" y="47040"/>
                            <a:ext cx="1" cy="363"/>
                          </a:xfrm>
                          <a:prstGeom prst="straightConnector1">
                            <a:avLst/>
                          </a:prstGeom>
                          <a:ln w="9525" cap="flat" cmpd="sng">
                            <a:solidFill>
                              <a:srgbClr val="000000"/>
                            </a:solidFill>
                            <a:prstDash val="solid"/>
                            <a:headEnd type="none" w="med" len="med"/>
                            <a:tailEnd type="triangle" w="med" len="med"/>
                          </a:ln>
                          <a:effectLst/>
                        </wps:spPr>
                        <wps:bodyPr/>
                      </wps:wsp>
                      <wps:wsp>
                        <wps:cNvPr id="172" name="Rectangle 399"/>
                        <wps:cNvSpPr/>
                        <wps:spPr>
                          <a:xfrm>
                            <a:off x="17341" y="47397"/>
                            <a:ext cx="2909" cy="41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9370D7C">
                              <w:pPr>
                                <w:pStyle w:val="90"/>
                                <w:spacing w:before="0" w:after="0"/>
                              </w:pPr>
                              <w:r>
                                <w:rPr>
                                  <w:rFonts w:hint="eastAsia"/>
                                </w:rPr>
                                <w:t>编制环境影响报告书（表）</w:t>
                              </w:r>
                            </w:p>
                          </w:txbxContent>
                        </wps:txbx>
                        <wps:bodyPr vert="horz" anchor="t" anchorCtr="0" upright="1"/>
                      </wps:wsp>
                      <wps:wsp>
                        <wps:cNvPr id="173" name="Straight Connector 409"/>
                        <wps:cNvCnPr/>
                        <wps:spPr>
                          <a:xfrm>
                            <a:off x="14761" y="45518"/>
                            <a:ext cx="7694" cy="1"/>
                          </a:xfrm>
                          <a:prstGeom prst="straightConnector1">
                            <a:avLst/>
                          </a:prstGeom>
                          <a:ln w="9525" cap="flat" cmpd="sng">
                            <a:solidFill>
                              <a:srgbClr val="000000"/>
                            </a:solidFill>
                            <a:prstDash val="dash"/>
                            <a:headEnd type="none" w="med" len="med"/>
                            <a:tailEnd type="none" w="med" len="med"/>
                          </a:ln>
                          <a:effectLst/>
                        </wps:spPr>
                        <wps:bodyPr/>
                      </wps:wsp>
                      <wps:wsp>
                        <wps:cNvPr id="174" name="Rectangle 413"/>
                        <wps:cNvSpPr/>
                        <wps:spPr>
                          <a:xfrm>
                            <a:off x="14764" y="37756"/>
                            <a:ext cx="7643" cy="10649"/>
                          </a:xfrm>
                          <a:prstGeom prst="rect">
                            <a:avLst/>
                          </a:prstGeom>
                          <a:noFill/>
                          <a:ln w="9525" cap="flat" cmpd="sng">
                            <a:solidFill>
                              <a:srgbClr val="000000"/>
                            </a:solidFill>
                            <a:prstDash val="dash"/>
                            <a:miter/>
                            <a:headEnd type="none" w="med" len="med"/>
                            <a:tailEnd type="none" w="med" len="med"/>
                          </a:ln>
                          <a:effectLst/>
                        </wps:spPr>
                        <wps:bodyPr vert="horz" anchor="t" anchorCtr="0" upright="1"/>
                      </wps:wsp>
                      <wps:wsp>
                        <wps:cNvPr id="175" name="Straight Connector 391"/>
                        <wps:cNvCnPr/>
                        <wps:spPr>
                          <a:xfrm>
                            <a:off x="18832" y="45359"/>
                            <a:ext cx="1" cy="399"/>
                          </a:xfrm>
                          <a:prstGeom prst="straightConnector1">
                            <a:avLst/>
                          </a:prstGeom>
                          <a:ln w="9525" cap="flat" cmpd="sng">
                            <a:solidFill>
                              <a:srgbClr val="000000"/>
                            </a:solidFill>
                            <a:prstDash val="solid"/>
                            <a:headEnd type="none" w="med" len="med"/>
                            <a:tailEnd type="triangle" w="med" len="med"/>
                          </a:ln>
                          <a:effectLst/>
                        </wps:spPr>
                        <wps:bodyPr/>
                      </wps:wsp>
                    </wpg:wgp>
                  </a:graphicData>
                </a:graphic>
              </wp:inline>
            </w:drawing>
          </mc:Choice>
          <mc:Fallback>
            <w:pict>
              <v:group id="组合 1027" o:spid="_x0000_s1026" o:spt="203" style="height:558.7pt;width:388pt;" coordorigin="14761,37756" coordsize="7694,10649" o:gfxdata="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">
                <o:lock v:ext="edit" aspectratio="f"/>
                <v:shape id="Straight Connector 377" o:spid="_x0000_s1026" o:spt="32" type="#_x0000_t32" style="position:absolute;left:18936;top:41282;height:309;width:1;" filled="f" stroked="t" coordsize="21600,21600" o:gfxdata="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YHz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Straight Connector 387" o:spid="_x0000_s1026" o:spt="32" type="#_x0000_t32" style="position:absolute;left:17303;top:42496;height:426;width:1;" filled="f" stroked="t" coordsize="21600,21600" o:gfxdata="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TIaC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Straight Connector 388" o:spid="_x0000_s1026" o:spt="32" type="#_x0000_t32" style="position:absolute;left:20230;top:42511;height:446;width:1;" filled="f" stroked="t" coordsize="21600,21600" o:gfxdata="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e4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Straight Connector 392" o:spid="_x0000_s1026" o:spt="32" type="#_x0000_t32" style="position:absolute;left:17317;top:43695;height:357;width:1;" filled="f" stroked="t" coordsize="21600,21600" o:gfxdata="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y8u3u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shape id="Straight Connector 393" o:spid="_x0000_s1026" o:spt="32" type="#_x0000_t32" style="position:absolute;left:20258;top:43642;height:432;width:1;" filled="f" stroked="t" coordsize="21600,21600" o:gfxdata="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G4lD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Straight Connector 408" o:spid="_x0000_s1026" o:spt="32" type="#_x0000_t32" style="position:absolute;left:14796;top:42230;height:1;width:7630;" filled="f" stroked="t" coordsize="21600,21600" o:gfxdata="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4JvUvQAA&#10;ANw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shape>
                <v:rect id="Rectangle 410" o:spid="_x0000_s1026" o:spt="1" style="position:absolute;left:14856;top:38806;height:1770;width:420;" filled="f" stroked="f" coordsize="21600,21600" o:gfxdata="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KS1g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06E8C234">
                        <w:pPr>
                          <w:pStyle w:val="90"/>
                        </w:pPr>
                        <w:r>
                          <w:rPr>
                            <w:rFonts w:hint="eastAsia"/>
                          </w:rPr>
                          <w:t>第一阶段</w:t>
                        </w:r>
                      </w:p>
                    </w:txbxContent>
                  </v:textbox>
                </v:rect>
                <v:rect id="Rectangle 411" o:spid="_x0000_s1026" o:spt="1" style="position:absolute;left:14821;top:43403;height:1479;width:420;" filled="f" stroked="f" coordsize="21600,21600" o:gfxdata="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gQG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47D618A4">
                        <w:pPr>
                          <w:pStyle w:val="90"/>
                        </w:pPr>
                        <w:r>
                          <w:rPr>
                            <w:rFonts w:hint="eastAsia"/>
                          </w:rPr>
                          <w:t>第二阶段</w:t>
                        </w:r>
                      </w:p>
                    </w:txbxContent>
                  </v:textbox>
                </v:rect>
                <v:rect id="Rectangle 412" o:spid="_x0000_s1026" o:spt="1" style="position:absolute;left:14776;top:45853;height:1522;width:420;" filled="f" stroked="f" coordsize="21600,21600" o:gfxdata="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zqOb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6B5E257">
                        <w:pPr>
                          <w:pStyle w:val="90"/>
                        </w:pPr>
                        <w:r>
                          <w:rPr>
                            <w:rFonts w:hint="eastAsia"/>
                          </w:rPr>
                          <w:t>第三阶段</w:t>
                        </w:r>
                      </w:p>
                    </w:txbxContent>
                  </v:textbox>
                </v:rect>
                <v:rect id="Rectangle 376" o:spid="_x0000_s1026" o:spt="1" style="position:absolute;left:16736;top:38787;height:1083;width:4470;" fillcolor="#FFFFFF" filled="t" stroked="t" coordsize="21600,21600" o:gfxdata="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rz3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ED0CF2E">
                        <w:pPr>
                          <w:pStyle w:val="90"/>
                          <w:spacing w:before="0" w:after="0" w:line="280" w:lineRule="exact"/>
                          <w:rPr>
                            <w:rFonts w:ascii="Times New Roman" w:hAnsi="Times New Roman" w:cs="Times New Roman"/>
                          </w:rPr>
                        </w:pPr>
                        <w:r>
                          <w:rPr>
                            <w:rFonts w:ascii="Times New Roman" w:hAnsi="Times New Roman" w:cs="Times New Roman"/>
                          </w:rPr>
                          <w:t>1 研究相关技术文件和其他有关文件</w:t>
                        </w:r>
                      </w:p>
                      <w:p w14:paraId="0B64F6EF">
                        <w:pPr>
                          <w:pStyle w:val="90"/>
                          <w:spacing w:before="0" w:after="0" w:line="280" w:lineRule="exact"/>
                          <w:jc w:val="both"/>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2 进行初步工程分析</w:t>
                        </w:r>
                      </w:p>
                      <w:p w14:paraId="136A432C">
                        <w:pPr>
                          <w:pStyle w:val="90"/>
                          <w:spacing w:before="0" w:after="0" w:line="280" w:lineRule="exact"/>
                          <w:jc w:val="both"/>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3 开</w:t>
                        </w:r>
                        <w:r>
                          <w:rPr>
                            <w:rFonts w:hint="eastAsia" w:ascii="Times New Roman" w:hAnsi="Times New Roman" w:cs="Times New Roman"/>
                          </w:rPr>
                          <w:t>展初步的环境状况调查</w:t>
                        </w:r>
                      </w:p>
                    </w:txbxContent>
                  </v:textbox>
                </v:rect>
                <v:rect id="Rectangle 372" o:spid="_x0000_s1026" o:spt="1" style="position:absolute;left:16753;top:37971;height:421;width:4488;" fillcolor="#FFFFFF" filled="t" stroked="t" coordsize="21600,21600" o:gfxdata="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RbB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90E29DA">
                        <w:pPr>
                          <w:pStyle w:val="90"/>
                          <w:spacing w:before="0" w:after="0"/>
                        </w:pPr>
                        <w:r>
                          <w:rPr>
                            <w:rFonts w:hint="eastAsia"/>
                          </w:rPr>
                          <w:t>依据相关规定确定环境影响评价文件类型</w:t>
                        </w:r>
                      </w:p>
                    </w:txbxContent>
                  </v:textbox>
                </v:rect>
                <v:shape id="Straight Connector 373" o:spid="_x0000_s1026" o:spt="32" type="#_x0000_t32" style="position:absolute;left:18940;top:38434;height:349;width:1;" filled="f" stroked="t" coordsize="21600,21600" o:gfxdata="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1T4+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Straight Connector 375" o:spid="_x0000_s1026" o:spt="32" type="#_x0000_t32" style="position:absolute;left:18936;top:39882;height:309;width:1;" filled="f" stroked="t" coordsize="21600,21600" o:gfxdata="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jL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矩形 1032" o:spid="_x0000_s1026" o:spt="1" style="position:absolute;left:16710;top:40204;height:1083;width:4470;" fillcolor="#FFFFFF" filled="t" stroked="t" coordsize="21600,21600" o:gfxdata="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Yjgk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1D5B93C7">
                        <w:pPr>
                          <w:pStyle w:val="90"/>
                          <w:spacing w:before="0" w:after="0" w:line="280" w:lineRule="exact"/>
                          <w:jc w:val="both"/>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1 环境影响识别和评价因子筛选</w:t>
                        </w:r>
                      </w:p>
                      <w:p w14:paraId="77B0DC02">
                        <w:pPr>
                          <w:pStyle w:val="90"/>
                          <w:spacing w:before="0" w:after="0" w:line="280" w:lineRule="exact"/>
                          <w:jc w:val="both"/>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2 明确评价重点和环境保护目标</w:t>
                        </w:r>
                      </w:p>
                      <w:p w14:paraId="3229F7A8">
                        <w:pPr>
                          <w:pStyle w:val="90"/>
                          <w:spacing w:before="0" w:after="0" w:line="280" w:lineRule="exact"/>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3 确定</w:t>
                        </w:r>
                        <w:r>
                          <w:rPr>
                            <w:rFonts w:hint="eastAsia" w:ascii="Times New Roman" w:hAnsi="Times New Roman" w:cs="Times New Roman"/>
                          </w:rPr>
                          <w:t>工作等级、评价范围和评价标准</w:t>
                        </w:r>
                      </w:p>
                    </w:txbxContent>
                  </v:textbox>
                </v:rect>
                <v:rect id="Rectangle 382" o:spid="_x0000_s1026" o:spt="1" style="position:absolute;left:17909;top:41589;height:421;width:1935;" fillcolor="#FFFFFF" filled="t" stroked="t" coordsize="21600,21600" o:gfxdata="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sKZT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0B3E9340">
                        <w:pPr>
                          <w:pStyle w:val="90"/>
                          <w:spacing w:before="0" w:after="0"/>
                        </w:pPr>
                        <w:r>
                          <w:rPr>
                            <w:rFonts w:hint="eastAsia"/>
                          </w:rPr>
                          <w:t>制定工作方案</w:t>
                        </w:r>
                      </w:p>
                    </w:txbxContent>
                  </v:textbox>
                </v:rect>
                <v:shape id="Straight Connector 385" o:spid="_x0000_s1026" o:spt="32" type="#_x0000_t32" style="position:absolute;left:18893;top:42047;flip:x;height:465;width:7;" filled="f" stroked="t" coordsize="21600,21600" o:gfxdata="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c34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Straight Connector 386" o:spid="_x0000_s1026" o:spt="32" type="#_x0000_t32" style="position:absolute;left:17289;top:42510;height:1;width:2940;" filled="f" stroked="t" coordsize="21600,21600" o:gfxdata="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p9Je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rect id="Rectangle 389" o:spid="_x0000_s1026" o:spt="1" style="position:absolute;left:16296;top:42925;height:770;width:2042;" fillcolor="#FFFFFF" filled="t" stroked="t" coordsize="21600,21600" o:gfxdata="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1ZPi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BCAFB9F">
                        <w:pPr>
                          <w:pStyle w:val="90"/>
                          <w:spacing w:before="0" w:after="0" w:line="320" w:lineRule="exact"/>
                        </w:pPr>
                        <w:r>
                          <w:rPr>
                            <w:rFonts w:hint="eastAsia"/>
                          </w:rPr>
                          <w:t>环境现状调查监测与评价</w:t>
                        </w:r>
                      </w:p>
                    </w:txbxContent>
                  </v:textbox>
                </v:rect>
                <v:rect id="Rectangle 390" o:spid="_x0000_s1026" o:spt="1" style="position:absolute;left:19566;top:42937;height:781;width:1315;" fillcolor="#FFFFFF" filled="t" stroked="t" coordsize="21600,21600" o:gfxdata="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i6BQ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5BF1D905">
                        <w:pPr>
                          <w:pStyle w:val="90"/>
                          <w:spacing w:before="0" w:after="0" w:line="320" w:lineRule="exact"/>
                        </w:pPr>
                        <w:r>
                          <w:rPr>
                            <w:rFonts w:hint="eastAsia"/>
                          </w:rPr>
                          <w:t>建设项目工程分析</w:t>
                        </w:r>
                      </w:p>
                    </w:txbxContent>
                  </v:textbox>
                </v:rect>
                <v:shape id="Straight Connector 391" o:spid="_x0000_s1026" o:spt="32" type="#_x0000_t32" style="position:absolute;left:18871;top:44047;height:399;width:1;" filled="f" stroked="t" coordsize="21600,21600" o:gfxdata="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KtNu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Straight Connector 394" o:spid="_x0000_s1026" o:spt="32" type="#_x0000_t32" style="position:absolute;left:17301;top:44048;height:1;width:2940;" filled="f" stroked="t" coordsize="21600,21600" o:gfxdata="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YW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rect id="Rectangle 395" o:spid="_x0000_s1026" o:spt="1" style="position:absolute;left:16868;top:44436;height:895;width:3885;" fillcolor="#FFFFFF" filled="t" stroked="t" coordsize="21600,21600" o:gfxdata="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UNC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E4BFFFA">
                        <w:pPr>
                          <w:pStyle w:val="90"/>
                          <w:spacing w:before="0" w:after="0" w:line="320" w:lineRule="exact"/>
                          <w:jc w:val="both"/>
                          <w:rPr>
                            <w:rFonts w:ascii="Times New Roman" w:hAnsi="Times New Roman" w:cs="Times New Roman"/>
                          </w:rPr>
                        </w:pPr>
                        <w:r>
                          <w:rPr>
                            <w:rFonts w:hint="eastAsia" w:ascii="Times New Roman" w:hAnsi="Times New Roman" w:cs="Times New Roman"/>
                          </w:rPr>
                          <w:t xml:space="preserve">   1 各环境要素环境影响预测与评价</w:t>
                        </w:r>
                      </w:p>
                      <w:p w14:paraId="7E54B980">
                        <w:pPr>
                          <w:pStyle w:val="90"/>
                          <w:spacing w:before="0" w:after="0" w:line="320" w:lineRule="exact"/>
                          <w:jc w:val="both"/>
                          <w:rPr>
                            <w:rFonts w:ascii="Times New Roman" w:hAnsi="Times New Roman" w:cs="Times New Roman"/>
                          </w:rPr>
                        </w:pPr>
                        <w:r>
                          <w:rPr>
                            <w:rFonts w:hint="eastAsia" w:ascii="Times New Roman" w:hAnsi="Times New Roman" w:cs="Times New Roman"/>
                          </w:rPr>
                          <w:t xml:space="preserve">   2 各专题环境影响分析与评价</w:t>
                        </w:r>
                      </w:p>
                    </w:txbxContent>
                  </v:textbox>
                </v:rect>
                <v:rect id="Rectangle 397" o:spid="_x0000_s1026" o:spt="1" style="position:absolute;left:16733;top:45729;height:1294;width:4170;" fillcolor="#FFFFFF" filled="t" stroked="t" coordsize="21600,21600" o:gfxdata="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PcLY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382F415">
                        <w:pPr>
                          <w:pStyle w:val="90"/>
                          <w:spacing w:before="0" w:after="0" w:line="360" w:lineRule="exact"/>
                          <w:jc w:val="both"/>
                          <w:rPr>
                            <w:rFonts w:ascii="Times New Roman" w:hAnsi="Times New Roman" w:cs="Times New Roman"/>
                          </w:rPr>
                        </w:pPr>
                        <w:r>
                          <w:rPr>
                            <w:rFonts w:hint="eastAsia" w:ascii="Times New Roman" w:hAnsi="Times New Roman" w:cs="Times New Roman"/>
                          </w:rPr>
                          <w:t xml:space="preserve"> 1 提出环境保护措施，进行技术经济论证</w:t>
                        </w:r>
                      </w:p>
                      <w:p w14:paraId="77DB726C">
                        <w:pPr>
                          <w:pStyle w:val="90"/>
                          <w:spacing w:before="0" w:after="0" w:line="360" w:lineRule="exact"/>
                          <w:jc w:val="both"/>
                          <w:rPr>
                            <w:rFonts w:ascii="Times New Roman" w:hAnsi="Times New Roman" w:cs="Times New Roman"/>
                          </w:rPr>
                        </w:pPr>
                        <w:r>
                          <w:rPr>
                            <w:rFonts w:hint="eastAsia" w:ascii="Times New Roman" w:hAnsi="Times New Roman" w:cs="Times New Roman"/>
                          </w:rPr>
                          <w:t xml:space="preserve"> 2 给出污染物排放清单</w:t>
                        </w:r>
                      </w:p>
                      <w:p w14:paraId="4C77544E">
                        <w:pPr>
                          <w:pStyle w:val="90"/>
                          <w:spacing w:before="0" w:after="0" w:line="360" w:lineRule="exact"/>
                          <w:jc w:val="both"/>
                          <w:rPr>
                            <w:rFonts w:ascii="Times New Roman" w:hAnsi="Times New Roman" w:cs="Times New Roman"/>
                          </w:rPr>
                        </w:pPr>
                        <w:r>
                          <w:rPr>
                            <w:rFonts w:hint="eastAsia" w:ascii="Times New Roman" w:hAnsi="Times New Roman" w:cs="Times New Roman"/>
                          </w:rPr>
                          <w:t xml:space="preserve"> 3给出建设项目环境影响评价结论</w:t>
                        </w:r>
                      </w:p>
                      <w:p w14:paraId="68CE44F1">
                        <w:pPr>
                          <w:pStyle w:val="90"/>
                        </w:pPr>
                      </w:p>
                    </w:txbxContent>
                  </v:textbox>
                </v:rect>
                <v:shape id="Straight Connector 398" o:spid="_x0000_s1026" o:spt="32" type="#_x0000_t32" style="position:absolute;left:18831;top:47040;height:363;width:1;" filled="f" stroked="t" coordsize="21600,21600" o:gfxdata="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2H+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Rectangle 399" o:spid="_x0000_s1026" o:spt="1" style="position:absolute;left:17341;top:47397;height:414;width:2909;" fillcolor="#FFFFFF" filled="t" stroked="t" coordsize="21600,21600" o:gfxdata="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pMI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9370D7C">
                        <w:pPr>
                          <w:pStyle w:val="90"/>
                          <w:spacing w:before="0" w:after="0"/>
                        </w:pPr>
                        <w:r>
                          <w:rPr>
                            <w:rFonts w:hint="eastAsia"/>
                          </w:rPr>
                          <w:t>编制环境影响报告书（表）</w:t>
                        </w:r>
                      </w:p>
                    </w:txbxContent>
                  </v:textbox>
                </v:rect>
                <v:shape id="Straight Connector 409" o:spid="_x0000_s1026" o:spt="32" type="#_x0000_t32" style="position:absolute;left:14761;top:45518;height:1;width:7694;" filled="f" stroked="t" coordsize="21600,21600" o:gfxdata="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Vce0vQAA&#10;ANw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shape>
                <v:rect id="Rectangle 413" o:spid="_x0000_s1026" o:spt="1" style="position:absolute;left:14764;top:37756;height:10649;width:7643;" filled="f" stroked="t" coordsize="21600,21600" o:gfxdata="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LIG8AAAA&#10;3AAAAA8AAAAAAAAAAQAgAAAAIgAAAGRycy9kb3ducmV2LnhtbFBLAQIUABQAAAAIAIdO4kAzLwWe&#10;OwAAADkAAAAQAAAAAAAAAAEAIAAAAAsBAABkcnMvc2hhcGV4bWwueG1sUEsFBgAAAAAGAAYAWwEA&#10;ALUDAAAAAA==&#10;">
                  <v:fill on="f" focussize="0,0"/>
                  <v:stroke color="#000000" joinstyle="miter" dashstyle="dash"/>
                  <v:imagedata o:title=""/>
                  <o:lock v:ext="edit" aspectratio="f"/>
                </v:rect>
                <v:shape id="Straight Connector 391" o:spid="_x0000_s1026" o:spt="32" type="#_x0000_t32" style="position:absolute;left:18832;top:45359;height:399;width:1;" filled="f" stroked="t" coordsize="21600,21600" o:gfxdata="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DRnq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w10:wrap type="none"/>
                <w10:anchorlock/>
              </v:group>
            </w:pict>
          </mc:Fallback>
        </mc:AlternateContent>
      </w:r>
    </w:p>
    <w:p w14:paraId="09FBBBDE">
      <w:pPr>
        <w:pStyle w:val="43"/>
        <w:spacing w:line="480" w:lineRule="exact"/>
        <w:ind w:firstLine="0" w:firstLineChars="0"/>
        <w:jc w:val="center"/>
        <w:rPr>
          <w:color w:val="auto"/>
          <w:highlight w:val="none"/>
        </w:rPr>
        <w:sectPr>
          <w:footerReference r:id="rId13" w:type="default"/>
          <w:footerReference r:id="rId14" w:type="even"/>
          <w:pgSz w:w="11907" w:h="16840"/>
          <w:pgMar w:top="1440" w:right="1797" w:bottom="1440" w:left="1797" w:header="851" w:footer="964" w:gutter="0"/>
          <w:pgBorders>
            <w:top w:val="none" w:sz="0" w:space="0"/>
            <w:left w:val="none" w:sz="0" w:space="0"/>
            <w:bottom w:val="none" w:sz="0" w:space="0"/>
            <w:right w:val="none" w:sz="0" w:space="0"/>
          </w:pgBorders>
          <w:pgNumType w:fmt="decimal" w:start="1"/>
          <w:cols w:space="425" w:num="1"/>
          <w:docGrid w:linePitch="312" w:charSpace="0"/>
        </w:sectPr>
      </w:pPr>
      <w:r>
        <w:rPr>
          <w:rFonts w:hint="default" w:ascii="Times New Roman" w:hAnsi="Times New Roman" w:cs="Times New Roman"/>
          <w:b/>
          <w:bCs/>
          <w:color w:val="auto"/>
          <w:szCs w:val="24"/>
          <w:highlight w:val="none"/>
        </w:rPr>
        <w:t>图1.2-1    环境影响评价工作程序图</w:t>
      </w:r>
    </w:p>
    <w:p w14:paraId="373229D7">
      <w:pPr>
        <w:keepNext/>
        <w:keepLines/>
        <w:widowControl w:val="0"/>
        <w:spacing w:before="120" w:after="120" w:line="560" w:lineRule="atLeast"/>
        <w:ind w:firstLine="0" w:firstLineChars="0"/>
        <w:jc w:val="both"/>
        <w:outlineLvl w:val="1"/>
        <w:rPr>
          <w:rFonts w:hint="default" w:ascii="Times New Roman" w:hAnsi="Times New Roman" w:eastAsia="宋体" w:cs="Times New Roman"/>
          <w:b/>
          <w:bCs/>
          <w:color w:val="auto"/>
          <w:kern w:val="2"/>
          <w:sz w:val="32"/>
          <w:szCs w:val="32"/>
          <w:highlight w:val="none"/>
          <w:lang w:val="en-US" w:eastAsia="zh-CN" w:bidi="ar-SA"/>
        </w:rPr>
      </w:pPr>
      <w:bookmarkStart w:id="34" w:name="_Toc23057"/>
      <w:bookmarkStart w:id="35" w:name="_Toc12034"/>
      <w:bookmarkStart w:id="36" w:name="_Toc4397"/>
      <w:bookmarkStart w:id="37" w:name="_Toc107413873"/>
      <w:bookmarkStart w:id="38" w:name="_Toc24627"/>
      <w:bookmarkStart w:id="39" w:name="_Toc26741"/>
      <w:bookmarkStart w:id="40" w:name="_Toc107414640"/>
      <w:r>
        <w:rPr>
          <w:rFonts w:hint="default" w:ascii="Times New Roman" w:hAnsi="Times New Roman" w:eastAsia="宋体" w:cs="Times New Roman"/>
          <w:b/>
          <w:bCs/>
          <w:color w:val="auto"/>
          <w:kern w:val="2"/>
          <w:sz w:val="32"/>
          <w:szCs w:val="32"/>
          <w:highlight w:val="none"/>
          <w:lang w:val="en-US" w:eastAsia="zh-CN" w:bidi="ar-SA"/>
        </w:rPr>
        <w:t>1.3分析判定相关情况</w:t>
      </w:r>
      <w:bookmarkEnd w:id="34"/>
      <w:bookmarkEnd w:id="35"/>
      <w:bookmarkEnd w:id="36"/>
      <w:bookmarkEnd w:id="37"/>
      <w:bookmarkEnd w:id="38"/>
      <w:bookmarkEnd w:id="39"/>
      <w:bookmarkEnd w:id="40"/>
    </w:p>
    <w:p w14:paraId="2F09082E">
      <w:pPr>
        <w:keepNext/>
        <w:keepLines/>
        <w:widowControl w:val="0"/>
        <w:spacing w:before="60" w:after="60" w:line="480" w:lineRule="exact"/>
        <w:ind w:firstLine="0" w:firstLineChars="0"/>
        <w:jc w:val="both"/>
        <w:outlineLvl w:val="2"/>
        <w:rPr>
          <w:rFonts w:hint="default" w:ascii="Times New Roman" w:hAnsi="Times New Roman" w:eastAsia="宋体" w:cs="Times New Roman"/>
          <w:b/>
          <w:bCs/>
          <w:color w:val="auto"/>
          <w:kern w:val="2"/>
          <w:sz w:val="30"/>
          <w:szCs w:val="32"/>
          <w:highlight w:val="none"/>
          <w:lang w:val="en-US" w:eastAsia="zh-CN" w:bidi="ar-SA"/>
        </w:rPr>
      </w:pPr>
      <w:bookmarkStart w:id="41" w:name="_Toc27772"/>
      <w:bookmarkStart w:id="42" w:name="_Toc24395"/>
      <w:bookmarkStart w:id="43" w:name="_Toc14444"/>
      <w:r>
        <w:rPr>
          <w:rFonts w:hint="default" w:ascii="Times New Roman" w:hAnsi="Times New Roman" w:eastAsia="宋体" w:cs="Times New Roman"/>
          <w:b/>
          <w:bCs/>
          <w:color w:val="auto"/>
          <w:kern w:val="2"/>
          <w:sz w:val="30"/>
          <w:szCs w:val="32"/>
          <w:highlight w:val="none"/>
          <w:lang w:val="en-US" w:eastAsia="zh-CN" w:bidi="ar-SA"/>
        </w:rPr>
        <w:t>1.3.1产业政策符合性</w:t>
      </w:r>
      <w:bookmarkEnd w:id="41"/>
      <w:bookmarkEnd w:id="42"/>
      <w:bookmarkEnd w:id="43"/>
    </w:p>
    <w:p w14:paraId="3211D9AF">
      <w:pPr>
        <w:widowControl w:val="0"/>
        <w:spacing w:line="480" w:lineRule="exact"/>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0"/>
          <w:highlight w:val="none"/>
          <w:lang w:val="en-US" w:eastAsia="zh-CN" w:bidi="ar-SA"/>
        </w:rPr>
        <w:t>根据《产业结构调整指导目录（2024年本）》，本项目属于名录中</w:t>
      </w:r>
      <w:r>
        <w:rPr>
          <w:rFonts w:hint="eastAsia" w:cs="Times New Roman"/>
          <w:color w:val="auto"/>
          <w:kern w:val="2"/>
          <w:sz w:val="24"/>
          <w:szCs w:val="20"/>
          <w:highlight w:val="none"/>
          <w:lang w:val="en-US" w:eastAsia="zh-CN" w:bidi="ar-SA"/>
        </w:rPr>
        <w:t>“</w:t>
      </w:r>
      <w:r>
        <w:rPr>
          <w:rFonts w:hint="default" w:ascii="Times New Roman" w:hAnsi="Times New Roman" w:eastAsia="宋体" w:cs="Times New Roman"/>
          <w:color w:val="auto"/>
          <w:kern w:val="2"/>
          <w:sz w:val="24"/>
          <w:szCs w:val="20"/>
          <w:highlight w:val="none"/>
          <w:lang w:val="en-US" w:eastAsia="zh-CN" w:bidi="ar-SA"/>
        </w:rPr>
        <w:t>第一类鼓励类</w:t>
      </w:r>
      <w:r>
        <w:rPr>
          <w:rFonts w:hint="eastAsia" w:cs="Times New Roman"/>
          <w:color w:val="auto"/>
          <w:kern w:val="2"/>
          <w:sz w:val="24"/>
          <w:szCs w:val="20"/>
          <w:highlight w:val="none"/>
          <w:lang w:val="en-US" w:eastAsia="zh-CN" w:bidi="ar-SA"/>
        </w:rPr>
        <w:t>－</w:t>
      </w:r>
      <w:r>
        <w:rPr>
          <w:rFonts w:hint="default" w:ascii="Times New Roman" w:hAnsi="Times New Roman" w:eastAsia="宋体" w:cs="Times New Roman"/>
          <w:color w:val="auto"/>
          <w:kern w:val="2"/>
          <w:sz w:val="24"/>
          <w:szCs w:val="20"/>
          <w:highlight w:val="none"/>
          <w:lang w:val="en-US" w:eastAsia="zh-CN" w:bidi="ar-SA"/>
        </w:rPr>
        <w:t>十一、石化化工-1、矿产资源开发：硫、钾、硼、锂、溴等短缺化工矿产资源勘探开发及综合利用，磷矿和萤石矿的中低品位矿、选矿尾矿、伴生资源综合利用</w:t>
      </w:r>
      <w:r>
        <w:rPr>
          <w:rFonts w:hint="eastAsia" w:cs="Times New Roman"/>
          <w:color w:val="auto"/>
          <w:kern w:val="2"/>
          <w:sz w:val="24"/>
          <w:szCs w:val="20"/>
          <w:highlight w:val="none"/>
          <w:lang w:val="en-US" w:eastAsia="zh-CN" w:bidi="ar-SA"/>
        </w:rPr>
        <w:t>”</w:t>
      </w:r>
      <w:r>
        <w:rPr>
          <w:rFonts w:hint="default" w:ascii="Times New Roman" w:hAnsi="Times New Roman" w:eastAsia="宋体" w:cs="Times New Roman"/>
          <w:color w:val="auto"/>
          <w:kern w:val="2"/>
          <w:sz w:val="24"/>
          <w:szCs w:val="20"/>
          <w:highlight w:val="none"/>
          <w:lang w:val="en-US" w:eastAsia="zh-CN" w:bidi="ar-SA"/>
        </w:rPr>
        <w:t>中的中低品位萤石矿采选项目，属于鼓励类项目，本项目符合国家产业政策。</w:t>
      </w:r>
    </w:p>
    <w:p w14:paraId="14834C9F">
      <w:pPr>
        <w:keepNext/>
        <w:keepLines/>
        <w:widowControl w:val="0"/>
        <w:spacing w:before="60" w:after="60" w:line="480" w:lineRule="exact"/>
        <w:ind w:firstLine="0" w:firstLineChars="0"/>
        <w:jc w:val="both"/>
        <w:outlineLvl w:val="2"/>
        <w:rPr>
          <w:rFonts w:hint="default" w:ascii="Times New Roman" w:hAnsi="Times New Roman" w:eastAsia="宋体" w:cs="Times New Roman"/>
          <w:b/>
          <w:bCs/>
          <w:color w:val="auto"/>
          <w:kern w:val="2"/>
          <w:sz w:val="30"/>
          <w:szCs w:val="32"/>
          <w:highlight w:val="none"/>
          <w:lang w:val="en-US" w:eastAsia="zh-CN" w:bidi="ar-SA"/>
        </w:rPr>
      </w:pPr>
      <w:bookmarkStart w:id="44" w:name="_Toc18593"/>
      <w:bookmarkStart w:id="45" w:name="_Toc8231"/>
      <w:bookmarkStart w:id="46" w:name="_Toc5237"/>
      <w:r>
        <w:rPr>
          <w:rFonts w:hint="default" w:ascii="Times New Roman" w:hAnsi="Times New Roman" w:eastAsia="宋体" w:cs="Times New Roman"/>
          <w:b/>
          <w:bCs/>
          <w:color w:val="auto"/>
          <w:kern w:val="2"/>
          <w:sz w:val="30"/>
          <w:szCs w:val="32"/>
          <w:highlight w:val="none"/>
          <w:lang w:val="en-US" w:eastAsia="zh-CN" w:bidi="ar-SA"/>
        </w:rPr>
        <w:t>1.3.2准入条件与生态环境分区管控符合性分析</w:t>
      </w:r>
      <w:bookmarkEnd w:id="44"/>
      <w:bookmarkEnd w:id="45"/>
      <w:bookmarkEnd w:id="46"/>
    </w:p>
    <w:p w14:paraId="477F0468">
      <w:pPr>
        <w:keepNext/>
        <w:keepLines/>
        <w:widowControl w:val="0"/>
        <w:spacing w:line="480" w:lineRule="exact"/>
        <w:ind w:firstLine="482" w:firstLineChars="200"/>
        <w:jc w:val="both"/>
        <w:outlineLvl w:val="3"/>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1.3.2.1《市场准入负面清单（2025年版）》</w:t>
      </w:r>
    </w:p>
    <w:p w14:paraId="17F7BA07">
      <w:pPr>
        <w:widowControl w:val="0"/>
        <w:spacing w:line="480" w:lineRule="exact"/>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0"/>
          <w:highlight w:val="none"/>
          <w:lang w:val="en-US" w:eastAsia="zh-CN" w:bidi="ar-SA"/>
        </w:rPr>
        <w:t>《市场准入负面清单（2025年版）》要求国家产业政策明令淘汰和限制的产品、技术、工艺、设备及行为禁止准入，提出《产业结构调整指导目录》中的淘汰类项目禁止投资；限制类项目禁止新建。本项目属于《产业结构调整指导目录（2024年本）》中的鼓励类项目，符合《市场准入负面清单（2025年版）》要求。</w:t>
      </w:r>
    </w:p>
    <w:p w14:paraId="5C52BFDA">
      <w:pPr>
        <w:keepNext/>
        <w:keepLines/>
        <w:widowControl w:val="0"/>
        <w:spacing w:line="480" w:lineRule="exact"/>
        <w:ind w:firstLine="482" w:firstLineChars="200"/>
        <w:jc w:val="both"/>
        <w:outlineLvl w:val="3"/>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1.3.2.2与《关于印发〈新疆维吾尔自治区生态环境分区管控动态更新成果〉的通知》（新环环评发〔2024〕157号）的符合性分析</w:t>
      </w:r>
    </w:p>
    <w:p w14:paraId="192B8020">
      <w:pPr>
        <w:keepNext w:val="0"/>
        <w:keepLines w:val="0"/>
        <w:pageBreakBefore w:val="0"/>
        <w:widowControl w:val="0"/>
        <w:numPr>
          <w:ilvl w:val="-1"/>
          <w:numId w:val="0"/>
        </w:numPr>
        <w:kinsoku/>
        <w:wordWrap/>
        <w:overflowPunct/>
        <w:topLinePunct w:val="0"/>
        <w:autoSpaceDE w:val="0"/>
        <w:autoSpaceDN w:val="0"/>
        <w:bidi w:val="0"/>
        <w:adjustRightInd/>
        <w:snapToGrid/>
        <w:spacing w:line="480" w:lineRule="exact"/>
        <w:ind w:left="0" w:leftChars="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eastAsia" w:ascii="宋体" w:hAnsi="宋体" w:eastAsia="宋体"/>
          <w:color w:val="auto"/>
          <w:sz w:val="24"/>
          <w:szCs w:val="24"/>
          <w:highlight w:val="none"/>
        </w:rPr>
        <w:t>（</w:t>
      </w:r>
      <w:r>
        <w:rPr>
          <w:rFonts w:hint="eastAsia" w:ascii="TimesNewRomanPSMT" w:hAnsi="TimesNewRomanPSMT" w:eastAsia="TimesNewRomanPSMT"/>
          <w:color w:val="auto"/>
          <w:sz w:val="24"/>
          <w:szCs w:val="24"/>
          <w:highlight w:val="none"/>
        </w:rPr>
        <w:t>1</w:t>
      </w:r>
      <w:r>
        <w:rPr>
          <w:rFonts w:hint="eastAsia" w:ascii="宋体" w:hAnsi="宋体" w:eastAsia="宋体"/>
          <w:color w:val="auto"/>
          <w:sz w:val="24"/>
          <w:szCs w:val="24"/>
          <w:highlight w:val="none"/>
        </w:rPr>
        <w:t>）与生态</w:t>
      </w:r>
      <w:r>
        <w:rPr>
          <w:rFonts w:hint="eastAsia" w:ascii="宋体" w:hAnsi="宋体" w:eastAsia="宋体"/>
          <w:color w:val="auto"/>
          <w:sz w:val="24"/>
          <w:szCs w:val="24"/>
          <w:highlight w:val="none"/>
          <w:lang w:val="en-US" w:eastAsia="zh-CN"/>
        </w:rPr>
        <w:t>保护</w:t>
      </w:r>
      <w:r>
        <w:rPr>
          <w:rFonts w:hint="eastAsia" w:ascii="宋体" w:hAnsi="宋体" w:eastAsia="宋体"/>
          <w:color w:val="auto"/>
          <w:sz w:val="24"/>
          <w:szCs w:val="24"/>
          <w:highlight w:val="none"/>
        </w:rPr>
        <w:t>红线</w:t>
      </w:r>
      <w:r>
        <w:rPr>
          <w:rFonts w:hint="eastAsia" w:ascii="宋体" w:hAnsi="宋体" w:eastAsia="宋体"/>
          <w:color w:val="auto"/>
          <w:sz w:val="24"/>
          <w:szCs w:val="24"/>
          <w:highlight w:val="none"/>
          <w:lang w:eastAsia="zh-CN"/>
        </w:rPr>
        <w:t>的</w:t>
      </w:r>
      <w:r>
        <w:rPr>
          <w:rFonts w:hint="eastAsia" w:ascii="宋体" w:hAnsi="宋体" w:eastAsia="宋体"/>
          <w:color w:val="auto"/>
          <w:sz w:val="24"/>
          <w:szCs w:val="24"/>
          <w:highlight w:val="none"/>
        </w:rPr>
        <w:t>相符性分析</w:t>
      </w:r>
    </w:p>
    <w:p w14:paraId="17B95C6B">
      <w:pPr>
        <w:keepNext w:val="0"/>
        <w:keepLines w:val="0"/>
        <w:pageBreakBefore w:val="0"/>
        <w:widowControl w:val="0"/>
        <w:numPr>
          <w:ilvl w:val="-1"/>
          <w:numId w:val="0"/>
        </w:numPr>
        <w:kinsoku/>
        <w:wordWrap/>
        <w:overflowPunct/>
        <w:topLinePunct w:val="0"/>
        <w:autoSpaceDE w:val="0"/>
        <w:autoSpaceDN w:val="0"/>
        <w:bidi w:val="0"/>
        <w:adjustRightInd/>
        <w:snapToGrid/>
        <w:spacing w:line="480" w:lineRule="exact"/>
        <w:ind w:left="0" w:leftChars="0" w:firstLine="480" w:firstLineChars="200"/>
        <w:textAlignment w:val="auto"/>
        <w:outlineLvl w:val="9"/>
        <w:rPr>
          <w:rFonts w:hint="eastAsia" w:eastAsia="宋体" w:cs="Times New Roman"/>
          <w:color w:val="auto"/>
          <w:sz w:val="24"/>
          <w:szCs w:val="24"/>
          <w:highlight w:val="none"/>
          <w:lang w:val="en-US" w:eastAsia="zh-CN"/>
        </w:rPr>
      </w:pPr>
      <w:r>
        <w:rPr>
          <w:rFonts w:ascii="Times New Roman" w:hAnsi="Times New Roman" w:eastAsia="宋体" w:cs="Times New Roman"/>
          <w:color w:val="auto"/>
          <w:sz w:val="24"/>
          <w:highlight w:val="none"/>
        </w:rPr>
        <w:t>按照</w:t>
      </w:r>
      <w:r>
        <w:rPr>
          <w:rFonts w:hint="eastAsia" w:cs="Times New Roman"/>
          <w:color w:val="auto"/>
          <w:sz w:val="24"/>
          <w:highlight w:val="none"/>
          <w:lang w:eastAsia="zh-CN"/>
        </w:rPr>
        <w:t>“</w:t>
      </w:r>
      <w:r>
        <w:rPr>
          <w:rFonts w:ascii="Times New Roman" w:hAnsi="Times New Roman" w:eastAsia="宋体" w:cs="Times New Roman"/>
          <w:color w:val="auto"/>
          <w:sz w:val="24"/>
          <w:highlight w:val="none"/>
        </w:rPr>
        <w:t>生态功能不降低、面积不减少、性质不改变</w:t>
      </w:r>
      <w:r>
        <w:rPr>
          <w:rFonts w:hint="eastAsia" w:cs="Times New Roman"/>
          <w:color w:val="auto"/>
          <w:sz w:val="24"/>
          <w:highlight w:val="none"/>
          <w:lang w:eastAsia="zh-CN"/>
        </w:rPr>
        <w:t>”</w:t>
      </w:r>
      <w:r>
        <w:rPr>
          <w:rFonts w:ascii="Times New Roman" w:hAnsi="Times New Roman" w:eastAsia="宋体" w:cs="Times New Roman"/>
          <w:color w:val="auto"/>
          <w:sz w:val="24"/>
          <w:highlight w:val="none"/>
        </w:rPr>
        <w:t>的基本要求，对划定的生态保护红线实施严格管控，保障和维护国家生态安全的底线和生命线。</w:t>
      </w:r>
    </w:p>
    <w:p w14:paraId="12E99A70">
      <w:pPr>
        <w:keepNext w:val="0"/>
        <w:keepLines w:val="0"/>
        <w:pageBreakBefore w:val="0"/>
        <w:widowControl w:val="0"/>
        <w:numPr>
          <w:ilvl w:val="-1"/>
          <w:numId w:val="0"/>
        </w:numPr>
        <w:kinsoku/>
        <w:wordWrap/>
        <w:overflowPunct/>
        <w:topLinePunct w:val="0"/>
        <w:autoSpaceDE w:val="0"/>
        <w:autoSpaceDN w:val="0"/>
        <w:bidi w:val="0"/>
        <w:adjustRightInd/>
        <w:snapToGrid/>
        <w:spacing w:line="480" w:lineRule="exact"/>
        <w:ind w:left="0" w:leftChars="0" w:firstLine="480" w:firstLineChars="200"/>
        <w:textAlignment w:val="auto"/>
        <w:outlineLvl w:val="9"/>
        <w:rPr>
          <w:rFonts w:hint="default" w:eastAsia="宋体" w:cs="Times New Roman"/>
          <w:color w:val="auto"/>
          <w:sz w:val="24"/>
          <w:szCs w:val="24"/>
          <w:highlight w:val="none"/>
          <w:lang w:val="en-US" w:eastAsia="zh-CN"/>
        </w:rPr>
      </w:pPr>
      <w:r>
        <w:rPr>
          <w:rFonts w:ascii="Times New Roman" w:hAnsi="Times New Roman" w:eastAsia="宋体" w:cs="Times New Roman"/>
          <w:color w:val="auto"/>
          <w:sz w:val="24"/>
          <w:highlight w:val="none"/>
        </w:rPr>
        <w:t>本项目</w:t>
      </w:r>
      <w:r>
        <w:rPr>
          <w:rFonts w:hint="eastAsia" w:eastAsia="宋体" w:cs="Times New Roman"/>
          <w:color w:val="auto"/>
          <w:sz w:val="24"/>
          <w:highlight w:val="none"/>
          <w:lang w:val="en-US" w:eastAsia="zh-CN"/>
        </w:rPr>
        <w:t>位于</w:t>
      </w:r>
      <w:r>
        <w:rPr>
          <w:rFonts w:hint="eastAsia" w:cs="Times New Roman"/>
          <w:strike w:val="0"/>
          <w:dstrike w:val="0"/>
          <w:color w:val="auto"/>
          <w:sz w:val="24"/>
          <w:highlight w:val="none"/>
          <w:lang w:val="en-US" w:eastAsia="zh-CN"/>
        </w:rPr>
        <w:t>新疆维吾尔自治区哈密市伊州区雅满苏镇</w:t>
      </w:r>
      <w:r>
        <w:rPr>
          <w:rFonts w:hint="eastAsia" w:ascii="Times New Roman" w:hAnsi="Times New Roman" w:eastAsia="宋体" w:cs="Times New Roman"/>
          <w:color w:val="auto"/>
          <w:sz w:val="24"/>
          <w:highlight w:val="none"/>
          <w:lang w:val="en-US" w:eastAsia="zh-CN"/>
        </w:rPr>
        <w:t>，选址</w:t>
      </w:r>
      <w:r>
        <w:rPr>
          <w:rFonts w:ascii="Times New Roman" w:hAnsi="Times New Roman" w:eastAsia="宋体" w:cs="Times New Roman"/>
          <w:color w:val="auto"/>
          <w:sz w:val="24"/>
          <w:highlight w:val="none"/>
        </w:rPr>
        <w:t>不涉及自然保护区、森林公园、风景名胜区、世界文化和自然遗产地、饮用水源保护区及其他重要生态功能区和生态环境敏感区、脆弱区。</w:t>
      </w:r>
      <w:r>
        <w:rPr>
          <w:rFonts w:hint="eastAsia" w:eastAsia="宋体" w:cs="Times New Roman"/>
          <w:color w:val="auto"/>
          <w:sz w:val="24"/>
          <w:highlight w:val="none"/>
          <w:lang w:val="en-US" w:eastAsia="zh-CN"/>
        </w:rPr>
        <w:t>本项目</w:t>
      </w:r>
      <w:r>
        <w:rPr>
          <w:rFonts w:hint="eastAsia" w:eastAsia="宋体" w:cs="Times New Roman"/>
          <w:color w:val="auto"/>
          <w:sz w:val="24"/>
          <w:highlight w:val="none"/>
          <w:lang w:eastAsia="zh-CN"/>
        </w:rPr>
        <w:t>区边界距库木塔格生物多样性维护、防风固沙生态保护红线区最近距离约</w:t>
      </w:r>
      <w:r>
        <w:rPr>
          <w:rFonts w:hint="eastAsia" w:cs="Times New Roman"/>
          <w:color w:val="auto"/>
          <w:sz w:val="24"/>
          <w:highlight w:val="none"/>
          <w:lang w:val="en-US" w:eastAsia="zh-CN"/>
        </w:rPr>
        <w:t>35.1</w:t>
      </w:r>
      <w:r>
        <w:rPr>
          <w:rFonts w:hint="eastAsia" w:eastAsia="宋体" w:cs="Times New Roman"/>
          <w:color w:val="auto"/>
          <w:sz w:val="24"/>
          <w:highlight w:val="none"/>
          <w:lang w:eastAsia="zh-CN"/>
        </w:rPr>
        <w:t>km，项目与生态保护红线位置关系见图1</w:t>
      </w:r>
      <w:r>
        <w:rPr>
          <w:rFonts w:hint="eastAsia" w:cs="Times New Roman"/>
          <w:color w:val="auto"/>
          <w:sz w:val="24"/>
          <w:highlight w:val="none"/>
          <w:lang w:val="en-US" w:eastAsia="zh-CN"/>
        </w:rPr>
        <w:t>.3</w:t>
      </w:r>
      <w:r>
        <w:rPr>
          <w:rFonts w:hint="eastAsia" w:eastAsia="宋体" w:cs="Times New Roman"/>
          <w:color w:val="auto"/>
          <w:sz w:val="24"/>
          <w:highlight w:val="none"/>
          <w:lang w:eastAsia="zh-CN"/>
        </w:rPr>
        <w:t>-1。</w:t>
      </w:r>
      <w:r>
        <w:rPr>
          <w:rFonts w:hint="eastAsia" w:cs="Times New Roman"/>
          <w:color w:val="auto"/>
          <w:sz w:val="24"/>
          <w:szCs w:val="24"/>
          <w:highlight w:val="none"/>
          <w:lang w:val="en-US" w:eastAsia="zh-CN"/>
        </w:rPr>
        <w:t>本项目</w:t>
      </w:r>
      <w:r>
        <w:rPr>
          <w:rFonts w:hint="eastAsia" w:eastAsia="宋体" w:cs="Times New Roman"/>
          <w:color w:val="auto"/>
          <w:sz w:val="24"/>
          <w:szCs w:val="24"/>
          <w:highlight w:val="none"/>
          <w:lang w:val="en-US" w:eastAsia="zh-CN"/>
        </w:rPr>
        <w:t>不在生态保护红线内</w:t>
      </w:r>
      <w:r>
        <w:rPr>
          <w:rFonts w:hint="eastAsia" w:cs="Times New Roman"/>
          <w:color w:val="auto"/>
          <w:sz w:val="24"/>
          <w:szCs w:val="24"/>
          <w:highlight w:val="none"/>
          <w:lang w:val="en-US" w:eastAsia="zh-CN"/>
        </w:rPr>
        <w:t>，项目占地范围无永久基本农田。</w:t>
      </w:r>
      <w:r>
        <w:rPr>
          <w:rFonts w:hint="eastAsia" w:eastAsia="宋体" w:cs="Times New Roman"/>
          <w:color w:val="auto"/>
          <w:sz w:val="24"/>
          <w:szCs w:val="24"/>
          <w:highlight w:val="none"/>
          <w:lang w:val="en-US" w:eastAsia="zh-CN"/>
        </w:rPr>
        <w:t>根据《关于印发〈新疆维吾尔自治区生态环境分区管控动态更新成果〉的通知》（新环环评发〔2024〕157号）可知，本项目</w:t>
      </w:r>
      <w:r>
        <w:rPr>
          <w:rFonts w:ascii="Times New Roman" w:hAnsi="Times New Roman" w:eastAsia="宋体" w:cs="Times New Roman"/>
          <w:color w:val="auto"/>
          <w:sz w:val="24"/>
          <w:highlight w:val="none"/>
        </w:rPr>
        <w:t>符合生态保护红线要求</w:t>
      </w:r>
      <w:r>
        <w:rPr>
          <w:rFonts w:hint="eastAsia" w:eastAsia="宋体" w:cs="Times New Roman"/>
          <w:color w:val="auto"/>
          <w:sz w:val="24"/>
          <w:highlight w:val="none"/>
          <w:lang w:eastAsia="zh-CN"/>
        </w:rPr>
        <w:t>。</w:t>
      </w:r>
    </w:p>
    <w:p w14:paraId="30549327">
      <w:pPr>
        <w:keepNext w:val="0"/>
        <w:keepLines w:val="0"/>
        <w:pageBreakBefore w:val="0"/>
        <w:widowControl w:val="0"/>
        <w:numPr>
          <w:ilvl w:val="-1"/>
          <w:numId w:val="0"/>
        </w:numPr>
        <w:kinsoku/>
        <w:wordWrap/>
        <w:overflowPunct/>
        <w:topLinePunct w:val="0"/>
        <w:autoSpaceDE w:val="0"/>
        <w:autoSpaceDN w:val="0"/>
        <w:bidi w:val="0"/>
        <w:adjustRightInd/>
        <w:snapToGrid/>
        <w:spacing w:line="480" w:lineRule="exact"/>
        <w:ind w:left="0" w:leftChars="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（2）</w:t>
      </w:r>
      <w:r>
        <w:rPr>
          <w:rFonts w:hint="eastAsia" w:ascii="宋体" w:hAnsi="宋体" w:eastAsia="宋体"/>
          <w:color w:val="auto"/>
          <w:sz w:val="24"/>
          <w:szCs w:val="24"/>
          <w:highlight w:val="none"/>
        </w:rPr>
        <w:t>与</w:t>
      </w:r>
      <w:r>
        <w:rPr>
          <w:rFonts w:hint="eastAsia" w:eastAsia="宋体" w:cs="Times New Roman"/>
          <w:color w:val="auto"/>
          <w:sz w:val="24"/>
          <w:szCs w:val="24"/>
          <w:highlight w:val="none"/>
          <w:lang w:val="en-US" w:eastAsia="zh-CN"/>
        </w:rPr>
        <w:t>环境质量底线的相符性分析</w:t>
      </w:r>
    </w:p>
    <w:p w14:paraId="64F9A249">
      <w:pPr>
        <w:keepNext w:val="0"/>
        <w:keepLines w:val="0"/>
        <w:pageBreakBefore w:val="0"/>
        <w:widowControl w:val="0"/>
        <w:numPr>
          <w:ilvl w:val="-1"/>
          <w:numId w:val="0"/>
        </w:numPr>
        <w:kinsoku/>
        <w:wordWrap/>
        <w:overflowPunct/>
        <w:topLinePunct w:val="0"/>
        <w:autoSpaceDE w:val="0"/>
        <w:autoSpaceDN w:val="0"/>
        <w:bidi w:val="0"/>
        <w:adjustRightInd/>
        <w:snapToGrid/>
        <w:spacing w:line="480" w:lineRule="exact"/>
        <w:ind w:left="0" w:leftChars="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ascii="Times New Roman" w:hAnsi="Times New Roman" w:eastAsia="宋体" w:cs="Times New Roman"/>
          <w:color w:val="auto"/>
          <w:sz w:val="24"/>
          <w:highlight w:val="none"/>
        </w:rPr>
        <w:t>全区水环境质量持续改善，受污染地表水体得到有效治理，饮用水安全保障水平持续提升，地下水超采得到严格控制，地下水水质保持稳定；全区环境空气质量有所提升，重污染天数持续减少，已达标城市环境空气质量保持稳定，未达标城市环境空气质量持续改善，沙尘影响严重地区做好防风固沙、生态环境保护修复等工作；全区土壤环境质量保持稳定，污染地块安全利用水平稳中有升，土壤环境风险得到进一步管控。</w:t>
      </w:r>
    </w:p>
    <w:p w14:paraId="05A9F5B2">
      <w:pPr>
        <w:keepNext w:val="0"/>
        <w:keepLines w:val="0"/>
        <w:pageBreakBefore w:val="0"/>
        <w:widowControl w:val="0"/>
        <w:numPr>
          <w:ilvl w:val="-1"/>
          <w:numId w:val="0"/>
        </w:numPr>
        <w:kinsoku/>
        <w:wordWrap/>
        <w:overflowPunct/>
        <w:topLinePunct w:val="0"/>
        <w:autoSpaceDE w:val="0"/>
        <w:autoSpaceDN w:val="0"/>
        <w:bidi w:val="0"/>
        <w:adjustRightInd/>
        <w:snapToGrid/>
        <w:spacing w:line="480" w:lineRule="exact"/>
        <w:ind w:left="0" w:leftChars="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highlight w:val="none"/>
        </w:rPr>
        <w:t>本项目产生的废气</w:t>
      </w:r>
      <w:r>
        <w:rPr>
          <w:rFonts w:hint="eastAsia" w:cs="Times New Roman"/>
          <w:color w:val="auto"/>
          <w:sz w:val="24"/>
          <w:highlight w:val="none"/>
          <w:lang w:eastAsia="zh-CN"/>
        </w:rPr>
        <w:t>、</w:t>
      </w:r>
      <w:r>
        <w:rPr>
          <w:rFonts w:hint="eastAsia" w:cs="Times New Roman"/>
          <w:color w:val="auto"/>
          <w:sz w:val="24"/>
          <w:highlight w:val="none"/>
          <w:lang w:val="en-US" w:eastAsia="zh-CN"/>
        </w:rPr>
        <w:t>废水</w:t>
      </w:r>
      <w:r>
        <w:rPr>
          <w:rFonts w:hint="eastAsia" w:ascii="Times New Roman" w:hAnsi="Times New Roman" w:eastAsia="宋体" w:cs="Times New Roman"/>
          <w:color w:val="auto"/>
          <w:sz w:val="24"/>
          <w:highlight w:val="none"/>
        </w:rPr>
        <w:t>、噪声</w:t>
      </w:r>
      <w:r>
        <w:rPr>
          <w:rFonts w:hint="eastAsia" w:eastAsia="宋体" w:cs="Times New Roman"/>
          <w:color w:val="auto"/>
          <w:sz w:val="24"/>
          <w:highlight w:val="none"/>
          <w:lang w:eastAsia="zh-CN"/>
        </w:rPr>
        <w:t>、</w:t>
      </w:r>
      <w:r>
        <w:rPr>
          <w:rFonts w:hint="eastAsia" w:eastAsia="宋体" w:cs="Times New Roman"/>
          <w:color w:val="auto"/>
          <w:sz w:val="24"/>
          <w:highlight w:val="none"/>
          <w:lang w:val="en-US" w:eastAsia="zh-CN"/>
        </w:rPr>
        <w:t>固废</w:t>
      </w:r>
      <w:r>
        <w:rPr>
          <w:rFonts w:hint="eastAsia" w:ascii="Times New Roman" w:hAnsi="Times New Roman" w:eastAsia="宋体" w:cs="Times New Roman"/>
          <w:color w:val="auto"/>
          <w:sz w:val="24"/>
          <w:highlight w:val="none"/>
        </w:rPr>
        <w:t>等污染物均采取严格的治理和处置措施，污染物能达标排放，采取相应措施后能够满足相关标准要求，符合环境质量底线的要求，不会对环境质量底线产生冲击。</w:t>
      </w:r>
    </w:p>
    <w:p w14:paraId="25A11317">
      <w:pPr>
        <w:keepNext w:val="0"/>
        <w:keepLines w:val="0"/>
        <w:pageBreakBefore w:val="0"/>
        <w:widowControl w:val="0"/>
        <w:numPr>
          <w:ilvl w:val="-1"/>
          <w:numId w:val="0"/>
        </w:numPr>
        <w:kinsoku/>
        <w:wordWrap/>
        <w:overflowPunct/>
        <w:topLinePunct w:val="0"/>
        <w:autoSpaceDE w:val="0"/>
        <w:autoSpaceDN w:val="0"/>
        <w:bidi w:val="0"/>
        <w:adjustRightInd/>
        <w:snapToGrid/>
        <w:spacing w:line="480" w:lineRule="exact"/>
        <w:ind w:left="0" w:leftChars="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（3）与资源利用上线的相符性分析</w:t>
      </w:r>
    </w:p>
    <w:p w14:paraId="693D5FB3">
      <w:pPr>
        <w:keepNext w:val="0"/>
        <w:keepLines w:val="0"/>
        <w:pageBreakBefore w:val="0"/>
        <w:widowControl w:val="0"/>
        <w:numPr>
          <w:ilvl w:val="-1"/>
          <w:numId w:val="0"/>
        </w:numPr>
        <w:kinsoku/>
        <w:wordWrap/>
        <w:overflowPunct/>
        <w:topLinePunct w:val="0"/>
        <w:autoSpaceDE w:val="0"/>
        <w:autoSpaceDN w:val="0"/>
        <w:bidi w:val="0"/>
        <w:adjustRightInd/>
        <w:snapToGrid/>
        <w:spacing w:line="480" w:lineRule="exact"/>
        <w:ind w:left="0" w:leftChars="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ascii="Times New Roman" w:hAnsi="Times New Roman" w:eastAsia="宋体" w:cs="Times New Roman"/>
          <w:color w:val="auto"/>
          <w:sz w:val="24"/>
          <w:highlight w:val="none"/>
        </w:rPr>
        <w:t>强化节约集约利用，持续提升资源能源利用效率，水资源、土地资源、能源消耗等达到国家、自治区下达的总量和强度控制目标。</w:t>
      </w:r>
    </w:p>
    <w:p w14:paraId="0BCBD805">
      <w:pPr>
        <w:keepNext w:val="0"/>
        <w:keepLines w:val="0"/>
        <w:pageBreakBefore w:val="0"/>
        <w:widowControl w:val="0"/>
        <w:numPr>
          <w:ilvl w:val="-1"/>
          <w:numId w:val="0"/>
        </w:numPr>
        <w:kinsoku/>
        <w:wordWrap/>
        <w:overflowPunct/>
        <w:topLinePunct w:val="0"/>
        <w:autoSpaceDE w:val="0"/>
        <w:autoSpaceDN w:val="0"/>
        <w:bidi w:val="0"/>
        <w:adjustRightInd/>
        <w:snapToGrid/>
        <w:spacing w:line="480" w:lineRule="exact"/>
        <w:ind w:left="0" w:leftChars="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本项目运行过程中所用的资源主要为电</w:t>
      </w:r>
      <w:r>
        <w:rPr>
          <w:rFonts w:hint="eastAsia" w:cs="Times New Roman"/>
          <w:color w:val="auto"/>
          <w:sz w:val="24"/>
          <w:szCs w:val="24"/>
          <w:highlight w:val="none"/>
          <w:lang w:val="en-US" w:eastAsia="zh-CN"/>
        </w:rPr>
        <w:t>、煤、水</w:t>
      </w:r>
      <w:r>
        <w:rPr>
          <w:rFonts w:hint="default" w:ascii="Times New Roman" w:hAnsi="Times New Roman" w:eastAsia="宋体" w:cs="Times New Roman"/>
          <w:color w:val="auto"/>
          <w:sz w:val="24"/>
          <w:szCs w:val="24"/>
          <w:highlight w:val="none"/>
          <w:lang w:val="en-US" w:eastAsia="zh-CN"/>
        </w:rPr>
        <w:t>，资源能源消耗量相对于区域资源利用总量较少，</w:t>
      </w:r>
      <w:r>
        <w:rPr>
          <w:rFonts w:ascii="Times New Roman" w:hAnsi="Times New Roman" w:eastAsia="宋体" w:cs="Times New Roman"/>
          <w:color w:val="auto"/>
          <w:sz w:val="24"/>
          <w:highlight w:val="none"/>
        </w:rPr>
        <w:t>因此项目符合资源利用上线要求。</w:t>
      </w:r>
    </w:p>
    <w:p w14:paraId="52BCCDD9">
      <w:pPr>
        <w:keepNext w:val="0"/>
        <w:keepLines w:val="0"/>
        <w:pageBreakBefore w:val="0"/>
        <w:widowControl w:val="0"/>
        <w:numPr>
          <w:ilvl w:val="-1"/>
          <w:numId w:val="0"/>
        </w:numPr>
        <w:kinsoku/>
        <w:wordWrap/>
        <w:overflowPunct/>
        <w:topLinePunct w:val="0"/>
        <w:autoSpaceDE w:val="0"/>
        <w:autoSpaceDN w:val="0"/>
        <w:bidi w:val="0"/>
        <w:adjustRightInd/>
        <w:snapToGrid/>
        <w:spacing w:line="480" w:lineRule="exact"/>
        <w:ind w:left="0" w:leftChars="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（4）</w:t>
      </w:r>
      <w:r>
        <w:rPr>
          <w:rFonts w:ascii="Times New Roman" w:hAnsi="Times New Roman" w:eastAsia="宋体" w:cs="Times New Roman"/>
          <w:color w:val="auto"/>
          <w:sz w:val="24"/>
          <w:highlight w:val="none"/>
        </w:rPr>
        <w:t>生态环境分区管控</w:t>
      </w:r>
    </w:p>
    <w:p w14:paraId="446B3B2B">
      <w:pPr>
        <w:autoSpaceDE w:val="0"/>
        <w:autoSpaceDN w:val="0"/>
        <w:spacing w:line="48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自治区环境管控单元分为优先保护单元、重点管控单元和一般管控单元，实行分类管控。</w:t>
      </w:r>
    </w:p>
    <w:p w14:paraId="650256C7">
      <w:pPr>
        <w:autoSpaceDE w:val="0"/>
        <w:autoSpaceDN w:val="0"/>
        <w:spacing w:line="48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优先保护单元主要包括生态保护红线区和生态保护红线区以外的饮用水水源保护区、水源涵养区、防风固沙区、土地沙化防控区、水土流失防控区等一般生态空间管控区。生态保护红线区执行生态保护红线管理办法的有关要求；一般生态空间管控区应以生态环境保护优先为原则，开发建设活动应严格执行相关法律法规要求，严守生态环境质量底线，确保生态功能不降低。</w:t>
      </w:r>
    </w:p>
    <w:p w14:paraId="638A6587">
      <w:pPr>
        <w:autoSpaceDE w:val="0"/>
        <w:autoSpaceDN w:val="0"/>
        <w:spacing w:line="48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重点管控单元主要包括城镇建成区、工业园区和开发强度大、污染物排放强度高的工业聚集区等。重点管控单元要着力优化空间布局，不断提升资源利用效率，有针对性地加强污染物排放管控和环境风险防控，解决生态环境质量不达标、生态环境风险高等问题。</w:t>
      </w:r>
    </w:p>
    <w:p w14:paraId="22A8CB5B">
      <w:pPr>
        <w:keepNext w:val="0"/>
        <w:keepLines w:val="0"/>
        <w:pageBreakBefore w:val="0"/>
        <w:widowControl w:val="0"/>
        <w:numPr>
          <w:ilvl w:val="-1"/>
          <w:numId w:val="0"/>
        </w:numPr>
        <w:kinsoku/>
        <w:wordWrap/>
        <w:overflowPunct/>
        <w:topLinePunct w:val="0"/>
        <w:autoSpaceDE w:val="0"/>
        <w:autoSpaceDN w:val="0"/>
        <w:bidi w:val="0"/>
        <w:adjustRightInd/>
        <w:snapToGrid/>
        <w:spacing w:line="480" w:lineRule="exact"/>
        <w:ind w:left="0" w:leftChars="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ascii="Times New Roman" w:hAnsi="Times New Roman" w:eastAsia="宋体" w:cs="Times New Roman"/>
          <w:color w:val="auto"/>
          <w:sz w:val="24"/>
          <w:highlight w:val="none"/>
        </w:rPr>
        <w:t>一般管控单元主要包括优先保护单元和重点管控单元之外的</w:t>
      </w:r>
      <w:r>
        <w:rPr>
          <w:rFonts w:hint="eastAsia" w:cs="Times New Roman"/>
          <w:color w:val="auto"/>
          <w:sz w:val="24"/>
          <w:highlight w:val="none"/>
          <w:lang w:eastAsia="zh-CN"/>
        </w:rPr>
        <w:t>其他</w:t>
      </w:r>
      <w:r>
        <w:rPr>
          <w:rFonts w:ascii="Times New Roman" w:hAnsi="Times New Roman" w:eastAsia="宋体" w:cs="Times New Roman"/>
          <w:color w:val="auto"/>
          <w:sz w:val="24"/>
          <w:highlight w:val="none"/>
        </w:rPr>
        <w:t>区域。一般管控单元主要落实生态环境保护基本要求，推动区域环境质量持续改善。</w:t>
      </w:r>
    </w:p>
    <w:p w14:paraId="5CFE989D">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eastAsia" w:eastAsia="宋体" w:cs="Times New Roman"/>
          <w:color w:val="auto"/>
          <w:kern w:val="0"/>
          <w:sz w:val="24"/>
          <w:szCs w:val="24"/>
          <w:highlight w:val="none"/>
          <w:lang w:val="en-US" w:eastAsia="zh-CN" w:bidi="ar"/>
        </w:rPr>
      </w:pPr>
      <w:r>
        <w:rPr>
          <w:rFonts w:hint="eastAsia" w:eastAsia="宋体" w:cs="Times New Roman"/>
          <w:color w:val="auto"/>
          <w:kern w:val="0"/>
          <w:sz w:val="24"/>
          <w:szCs w:val="24"/>
          <w:highlight w:val="none"/>
          <w:lang w:val="en-US" w:eastAsia="zh-CN" w:bidi="ar"/>
        </w:rPr>
        <w:t>根据关于印发《新疆维吾尔自治区生态环境分区管控动态更新成果》的通知，新疆维吾尔自治区按照管控要求，划定优先保护单元、重点管控单元、一般管控单元三类，实施分类管控。优先保护单元共925个，重点管控单元共713个，一般管控单元共139个</w:t>
      </w:r>
      <w:r>
        <w:rPr>
          <w:rFonts w:hint="eastAsia" w:cs="Times New Roman"/>
          <w:color w:val="auto"/>
          <w:kern w:val="0"/>
          <w:sz w:val="24"/>
          <w:szCs w:val="24"/>
          <w:highlight w:val="none"/>
          <w:lang w:val="en-US" w:eastAsia="zh-CN" w:bidi="ar"/>
        </w:rPr>
        <w:t>。</w:t>
      </w:r>
    </w:p>
    <w:p w14:paraId="4B27524A">
      <w:pPr>
        <w:snapToGrid w:val="0"/>
        <w:ind w:firstLine="480"/>
        <w:rPr>
          <w:rFonts w:hint="default" w:ascii="Times New Roman" w:hAnsi="Times New Roman" w:cs="Times New Roman"/>
          <w:color w:val="auto"/>
          <w:highlight w:val="none"/>
        </w:rPr>
      </w:pPr>
      <w:r>
        <w:rPr>
          <w:rFonts w:hint="default" w:ascii="Times New Roman" w:hAnsi="Times New Roman" w:eastAsia="宋体" w:cs="Times New Roman"/>
          <w:color w:val="auto"/>
          <w:spacing w:val="0"/>
          <w:w w:val="100"/>
          <w:kern w:val="0"/>
          <w:position w:val="0"/>
          <w:sz w:val="24"/>
          <w:szCs w:val="24"/>
          <w:highlight w:val="none"/>
          <w:lang w:val="en-US" w:eastAsia="zh-CN" w:bidi="ar-SA"/>
        </w:rPr>
        <w:t>本项目位于</w:t>
      </w:r>
      <w:r>
        <w:rPr>
          <w:rFonts w:hint="eastAsia" w:cs="Times New Roman"/>
          <w:color w:val="auto"/>
          <w:spacing w:val="0"/>
          <w:w w:val="100"/>
          <w:kern w:val="0"/>
          <w:position w:val="0"/>
          <w:sz w:val="24"/>
          <w:szCs w:val="24"/>
          <w:highlight w:val="none"/>
          <w:lang w:val="en-US" w:eastAsia="zh-CN" w:bidi="ar-SA"/>
        </w:rPr>
        <w:t>优先</w:t>
      </w:r>
      <w:r>
        <w:rPr>
          <w:rFonts w:hint="default" w:ascii="Times New Roman" w:hAnsi="Times New Roman" w:eastAsia="宋体" w:cs="Times New Roman"/>
          <w:color w:val="auto"/>
          <w:spacing w:val="0"/>
          <w:w w:val="100"/>
          <w:kern w:val="0"/>
          <w:position w:val="0"/>
          <w:sz w:val="24"/>
          <w:szCs w:val="24"/>
          <w:highlight w:val="none"/>
          <w:lang w:val="en-US" w:eastAsia="zh-CN" w:bidi="ar-SA"/>
        </w:rPr>
        <w:t>重点管控单元</w:t>
      </w:r>
      <w:r>
        <w:rPr>
          <w:rFonts w:hint="eastAsia" w:cs="Times New Roman"/>
          <w:color w:val="auto"/>
          <w:spacing w:val="0"/>
          <w:w w:val="100"/>
          <w:kern w:val="0"/>
          <w:position w:val="0"/>
          <w:sz w:val="24"/>
          <w:szCs w:val="24"/>
          <w:highlight w:val="none"/>
          <w:lang w:val="en-US" w:eastAsia="zh-CN" w:bidi="ar-SA"/>
        </w:rPr>
        <w:t>及一般管控单元</w:t>
      </w:r>
      <w:r>
        <w:rPr>
          <w:rFonts w:hint="default" w:ascii="Times New Roman" w:hAnsi="Times New Roman" w:eastAsia="宋体" w:cs="Times New Roman"/>
          <w:color w:val="auto"/>
          <w:spacing w:val="0"/>
          <w:w w:val="100"/>
          <w:kern w:val="0"/>
          <w:position w:val="0"/>
          <w:sz w:val="24"/>
          <w:szCs w:val="24"/>
          <w:highlight w:val="none"/>
          <w:lang w:val="en-US" w:eastAsia="zh-CN" w:bidi="ar-SA"/>
        </w:rPr>
        <w:t>，项目占地类型为</w:t>
      </w:r>
      <w:r>
        <w:rPr>
          <w:rFonts w:hint="eastAsia" w:cs="Times New Roman"/>
          <w:color w:val="auto"/>
          <w:kern w:val="0"/>
          <w:sz w:val="24"/>
          <w:szCs w:val="24"/>
          <w:highlight w:val="none"/>
          <w:lang w:val="en-US" w:eastAsia="zh-CN" w:bidi="ar-SA"/>
        </w:rPr>
        <w:t>裸岩石砾地</w:t>
      </w:r>
      <w:r>
        <w:rPr>
          <w:rFonts w:hint="default" w:ascii="Times New Roman" w:hAnsi="Times New Roman" w:eastAsia="宋体" w:cs="Times New Roman"/>
          <w:color w:val="auto"/>
          <w:spacing w:val="0"/>
          <w:w w:val="100"/>
          <w:kern w:val="0"/>
          <w:position w:val="0"/>
          <w:sz w:val="24"/>
          <w:szCs w:val="24"/>
          <w:highlight w:val="none"/>
          <w:lang w:val="en-US" w:eastAsia="zh-CN" w:bidi="ar-SA"/>
        </w:rPr>
        <w:t>，矿区不在水源涵养区、饮用水水源保护区和河流、湖泊、水库周围。建设单位生活区采取绿化措施，道路及厂区采取硬化措施，减少非必要的人为活动，减少土壤扰动以防止水土流失，对区域水资源及能源消耗较小，能够满足国家及自治区下达的控制目标。因此，本项目建设符合新疆维吾尔自治区生态环境分区管控动态更新成果</w:t>
      </w:r>
      <w:r>
        <w:rPr>
          <w:rFonts w:hint="eastAsia" w:cs="Times New Roman"/>
          <w:color w:val="auto"/>
          <w:spacing w:val="0"/>
          <w:w w:val="100"/>
          <w:kern w:val="0"/>
          <w:position w:val="0"/>
          <w:sz w:val="24"/>
          <w:szCs w:val="24"/>
          <w:highlight w:val="none"/>
          <w:lang w:val="en-US" w:eastAsia="zh-CN" w:bidi="ar-SA"/>
        </w:rPr>
        <w:t>中</w:t>
      </w:r>
      <w:r>
        <w:rPr>
          <w:rFonts w:hint="default" w:ascii="Times New Roman" w:hAnsi="Times New Roman" w:eastAsia="宋体" w:cs="Times New Roman"/>
          <w:color w:val="auto"/>
          <w:spacing w:val="0"/>
          <w:w w:val="100"/>
          <w:kern w:val="0"/>
          <w:position w:val="0"/>
          <w:sz w:val="24"/>
          <w:szCs w:val="24"/>
          <w:highlight w:val="none"/>
          <w:lang w:val="en-US" w:eastAsia="zh-CN" w:bidi="ar-SA"/>
        </w:rPr>
        <w:t>的要求。</w:t>
      </w:r>
    </w:p>
    <w:p w14:paraId="609D3952">
      <w:pPr>
        <w:keepNext/>
        <w:keepLines/>
        <w:widowControl w:val="0"/>
        <w:spacing w:line="480" w:lineRule="exact"/>
        <w:ind w:firstLine="482" w:firstLineChars="200"/>
        <w:jc w:val="both"/>
        <w:outlineLvl w:val="3"/>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1.3.2.3与《哈密市生态环境分区管控方案》符合性分析</w:t>
      </w:r>
    </w:p>
    <w:p w14:paraId="0821A325">
      <w:pPr>
        <w:keepNext w:val="0"/>
        <w:keepLines w:val="0"/>
        <w:pageBreakBefore w:val="0"/>
        <w:widowControl w:val="0"/>
        <w:kinsoku/>
        <w:wordWrap/>
        <w:overflowPunct/>
        <w:topLinePunct w:val="0"/>
        <w:autoSpaceDE/>
        <w:autoSpaceDN/>
        <w:bidi w:val="0"/>
        <w:adjustRightInd/>
        <w:snapToGrid/>
        <w:spacing w:line="480" w:lineRule="exact"/>
        <w:ind w:left="0" w:right="0" w:firstLine="480"/>
        <w:jc w:val="left"/>
        <w:textAlignment w:val="auto"/>
        <w:rPr>
          <w:rFonts w:hint="default" w:ascii="Times New Roman" w:hAnsi="Times New Roman" w:eastAsia="宋体" w:cs="Times New Roman"/>
          <w:color w:val="auto"/>
          <w:spacing w:val="0"/>
          <w:w w:val="100"/>
          <w:position w:val="0"/>
          <w:sz w:val="24"/>
          <w:szCs w:val="24"/>
          <w:highlight w:val="none"/>
        </w:rPr>
      </w:pPr>
      <w:r>
        <w:rPr>
          <w:rFonts w:hint="default" w:ascii="Times New Roman" w:hAnsi="Times New Roman" w:eastAsia="宋体" w:cs="Times New Roman"/>
          <w:color w:val="auto"/>
          <w:spacing w:val="0"/>
          <w:w w:val="100"/>
          <w:position w:val="0"/>
          <w:sz w:val="24"/>
          <w:szCs w:val="24"/>
          <w:highlight w:val="none"/>
        </w:rPr>
        <w:t>根据《</w:t>
      </w:r>
      <w:r>
        <w:rPr>
          <w:rFonts w:hint="eastAsia" w:eastAsia="宋体" w:cs="Times New Roman"/>
          <w:color w:val="auto"/>
          <w:sz w:val="24"/>
          <w:szCs w:val="24"/>
          <w:highlight w:val="none"/>
          <w:lang w:val="en-US" w:eastAsia="zh-CN"/>
        </w:rPr>
        <w:t>新疆维吾尔自治区生态环境分区管控动态更新成果</w:t>
      </w:r>
      <w:r>
        <w:rPr>
          <w:rFonts w:hint="default" w:ascii="Times New Roman" w:hAnsi="Times New Roman" w:eastAsia="宋体" w:cs="Times New Roman"/>
          <w:color w:val="auto"/>
          <w:spacing w:val="0"/>
          <w:w w:val="100"/>
          <w:position w:val="0"/>
          <w:sz w:val="24"/>
          <w:szCs w:val="24"/>
          <w:highlight w:val="none"/>
        </w:rPr>
        <w:t>》，环境管控单元划分为</w:t>
      </w:r>
      <w:r>
        <w:rPr>
          <w:rFonts w:hint="default" w:ascii="Times New Roman" w:hAnsi="Times New Roman" w:eastAsia="宋体" w:cs="Times New Roman"/>
          <w:b w:val="0"/>
          <w:bCs w:val="0"/>
          <w:color w:val="auto"/>
          <w:spacing w:val="0"/>
          <w:w w:val="100"/>
          <w:position w:val="0"/>
          <w:sz w:val="24"/>
          <w:szCs w:val="24"/>
          <w:highlight w:val="none"/>
        </w:rPr>
        <w:t>优先保护单元、重点管控单元、一般管控单元</w:t>
      </w:r>
      <w:r>
        <w:rPr>
          <w:rFonts w:hint="default" w:ascii="Times New Roman" w:hAnsi="Times New Roman" w:eastAsia="宋体" w:cs="Times New Roman"/>
          <w:color w:val="auto"/>
          <w:spacing w:val="0"/>
          <w:w w:val="100"/>
          <w:position w:val="0"/>
          <w:sz w:val="24"/>
          <w:szCs w:val="24"/>
          <w:highlight w:val="none"/>
        </w:rPr>
        <w:t>三类，实施分类管控：其中优先保护单元以生态环境保护优先为原则，依法禁止或限制大规模、高强度的工业和城镇开发建设；重点管控单元要着力优化空间布局，不断提升资源利用效率，有针对性地加强污染物排放管控和环境风险防控；一般管控单元主要落实生态环境保护基本要求，推动区域环境质量持续改善。</w:t>
      </w:r>
    </w:p>
    <w:p w14:paraId="220A9569">
      <w:pPr>
        <w:keepNext w:val="0"/>
        <w:keepLines w:val="0"/>
        <w:pageBreakBefore w:val="0"/>
        <w:widowControl w:val="0"/>
        <w:kinsoku/>
        <w:wordWrap/>
        <w:overflowPunct/>
        <w:topLinePunct w:val="0"/>
        <w:autoSpaceDE/>
        <w:autoSpaceDN/>
        <w:bidi w:val="0"/>
        <w:adjustRightInd/>
        <w:snapToGrid/>
        <w:spacing w:line="480" w:lineRule="exact"/>
        <w:ind w:left="0" w:right="0" w:firstLine="479"/>
        <w:jc w:val="left"/>
        <w:textAlignment w:val="auto"/>
        <w:rPr>
          <w:rFonts w:hint="default" w:ascii="Times New Roman" w:hAnsi="Times New Roman" w:eastAsia="宋体" w:cs="Times New Roman"/>
          <w:color w:val="auto"/>
          <w:spacing w:val="0"/>
          <w:w w:val="100"/>
          <w:position w:val="0"/>
          <w:sz w:val="24"/>
          <w:szCs w:val="24"/>
          <w:highlight w:val="none"/>
        </w:rPr>
      </w:pPr>
      <w:r>
        <w:rPr>
          <w:rFonts w:hint="default" w:ascii="Times New Roman" w:hAnsi="Times New Roman" w:eastAsia="宋体" w:cs="Times New Roman"/>
          <w:color w:val="auto"/>
          <w:spacing w:val="0"/>
          <w:w w:val="100"/>
          <w:position w:val="0"/>
          <w:sz w:val="24"/>
          <w:szCs w:val="24"/>
          <w:highlight w:val="none"/>
        </w:rPr>
        <w:t>本项目位于</w:t>
      </w:r>
      <w:r>
        <w:rPr>
          <w:rFonts w:hint="eastAsia" w:ascii="Times New Roman" w:hAnsi="Times New Roman" w:cs="Times New Roman"/>
          <w:color w:val="auto"/>
          <w:spacing w:val="0"/>
          <w:w w:val="100"/>
          <w:position w:val="0"/>
          <w:sz w:val="24"/>
          <w:szCs w:val="24"/>
          <w:highlight w:val="none"/>
          <w:lang w:eastAsia="zh-CN"/>
        </w:rPr>
        <w:t>新疆维吾尔自治区哈密市伊州区170°方向直线距离184km，雅满苏镇正南方约90km处，行政区划属新疆维吾尔自治区哈密市伊州区管辖。</w:t>
      </w:r>
      <w:r>
        <w:rPr>
          <w:rFonts w:hint="default" w:ascii="Times New Roman" w:hAnsi="Times New Roman" w:eastAsia="宋体" w:cs="Times New Roman"/>
          <w:color w:val="auto"/>
          <w:spacing w:val="0"/>
          <w:w w:val="100"/>
          <w:position w:val="0"/>
          <w:sz w:val="24"/>
          <w:szCs w:val="24"/>
          <w:highlight w:val="none"/>
        </w:rPr>
        <w:t>项目区不涉及生态保护红线区及红线区外的饮用水水源保护区、水源涵养区、防风固沙区、土地沙化防控区、水土流失防控区等区域，处于哈密市环境管控单元中的</w:t>
      </w:r>
      <w:r>
        <w:rPr>
          <w:rFonts w:hint="default" w:ascii="Times New Roman" w:hAnsi="Times New Roman" w:cs="Times New Roman"/>
          <w:color w:val="auto"/>
          <w:spacing w:val="0"/>
          <w:w w:val="100"/>
          <w:position w:val="0"/>
          <w:sz w:val="24"/>
          <w:szCs w:val="24"/>
          <w:highlight w:val="none"/>
          <w:lang w:val="en-US" w:eastAsia="zh-CN"/>
        </w:rPr>
        <w:t>伊州区雅满苏镇一般管控单元</w:t>
      </w:r>
      <w:r>
        <w:rPr>
          <w:rFonts w:hint="eastAsia" w:cs="Times New Roman"/>
          <w:color w:val="auto"/>
          <w:spacing w:val="0"/>
          <w:w w:val="100"/>
          <w:position w:val="0"/>
          <w:sz w:val="24"/>
          <w:szCs w:val="24"/>
          <w:highlight w:val="none"/>
          <w:lang w:val="en-US" w:eastAsia="zh-CN"/>
        </w:rPr>
        <w:t>及</w:t>
      </w:r>
      <w:r>
        <w:rPr>
          <w:rFonts w:hint="default" w:ascii="Times New Roman" w:hAnsi="Times New Roman" w:cs="Times New Roman"/>
          <w:color w:val="auto"/>
          <w:spacing w:val="0"/>
          <w:w w:val="100"/>
          <w:position w:val="0"/>
          <w:sz w:val="24"/>
          <w:szCs w:val="24"/>
          <w:highlight w:val="none"/>
          <w:lang w:val="en-US" w:eastAsia="zh-CN"/>
        </w:rPr>
        <w:t>伊州区雅满苏镇一般生态空间优先保护单元优先管控单元</w:t>
      </w:r>
      <w:r>
        <w:rPr>
          <w:rFonts w:hint="eastAsia" w:cs="Times New Roman"/>
          <w:color w:val="auto"/>
          <w:spacing w:val="0"/>
          <w:w w:val="100"/>
          <w:position w:val="0"/>
          <w:sz w:val="24"/>
          <w:szCs w:val="24"/>
          <w:highlight w:val="none"/>
          <w:lang w:eastAsia="zh-CN"/>
        </w:rPr>
        <w:t>，</w:t>
      </w:r>
      <w:r>
        <w:rPr>
          <w:rFonts w:hint="default" w:ascii="Times New Roman" w:hAnsi="Times New Roman" w:cs="Times New Roman"/>
          <w:color w:val="auto"/>
          <w:spacing w:val="0"/>
          <w:w w:val="100"/>
          <w:position w:val="0"/>
          <w:sz w:val="24"/>
          <w:szCs w:val="24"/>
          <w:highlight w:val="none"/>
          <w:lang w:val="en-US" w:eastAsia="zh-CN"/>
        </w:rPr>
        <w:t>见图</w:t>
      </w:r>
      <w:r>
        <w:rPr>
          <w:rFonts w:hint="eastAsia" w:cs="Times New Roman"/>
          <w:color w:val="auto"/>
          <w:spacing w:val="0"/>
          <w:w w:val="100"/>
          <w:position w:val="0"/>
          <w:sz w:val="24"/>
          <w:szCs w:val="24"/>
          <w:highlight w:val="none"/>
          <w:lang w:val="en-US" w:eastAsia="zh-CN"/>
        </w:rPr>
        <w:t>1.3-2</w:t>
      </w:r>
      <w:r>
        <w:rPr>
          <w:rFonts w:hint="eastAsia" w:cs="Times New Roman"/>
          <w:color w:val="auto"/>
          <w:spacing w:val="0"/>
          <w:w w:val="100"/>
          <w:position w:val="0"/>
          <w:sz w:val="24"/>
          <w:szCs w:val="24"/>
          <w:highlight w:val="none"/>
          <w:lang w:eastAsia="zh-CN"/>
        </w:rPr>
        <w:t>。</w:t>
      </w:r>
      <w:r>
        <w:rPr>
          <w:rFonts w:hint="default" w:ascii="Times New Roman" w:hAnsi="Times New Roman" w:eastAsia="宋体" w:cs="Times New Roman"/>
          <w:color w:val="auto"/>
          <w:spacing w:val="0"/>
          <w:w w:val="100"/>
          <w:position w:val="0"/>
          <w:sz w:val="24"/>
          <w:szCs w:val="24"/>
          <w:highlight w:val="none"/>
        </w:rPr>
        <w:t>开发建设中应落实生态环境管控相关要求。</w:t>
      </w:r>
    </w:p>
    <w:p w14:paraId="6B6AA0B3">
      <w:pPr>
        <w:snapToGrid w:val="0"/>
        <w:ind w:firstLine="480"/>
        <w:rPr>
          <w:rFonts w:hint="default" w:ascii="Times New Roman" w:hAnsi="Times New Roman" w:cs="Times New Roman"/>
          <w:color w:val="auto"/>
          <w:highlight w:val="none"/>
        </w:rPr>
      </w:pPr>
    </w:p>
    <w:p w14:paraId="6C39B360">
      <w:pPr>
        <w:snapToGrid w:val="0"/>
        <w:ind w:firstLine="480"/>
        <w:rPr>
          <w:rFonts w:hint="default" w:ascii="Times New Roman" w:hAnsi="Times New Roman" w:cs="Times New Roman"/>
          <w:color w:val="auto"/>
          <w:highlight w:val="none"/>
        </w:rPr>
      </w:pPr>
    </w:p>
    <w:p w14:paraId="45B71CF0">
      <w:pPr>
        <w:snapToGrid w:val="0"/>
        <w:ind w:firstLine="480"/>
        <w:rPr>
          <w:rFonts w:hint="eastAsia" w:cs="Times New Roman"/>
          <w:color w:val="auto"/>
          <w:highlight w:val="none"/>
          <w:lang w:eastAsia="zh-CN"/>
        </w:rPr>
      </w:pPr>
    </w:p>
    <w:p w14:paraId="3A865920">
      <w:pPr>
        <w:snapToGrid w:val="0"/>
        <w:ind w:firstLine="480"/>
        <w:rPr>
          <w:rFonts w:hint="eastAsia" w:ascii="Times New Roman" w:hAnsi="Times New Roman" w:eastAsia="宋体" w:cs="Times New Roman"/>
          <w:color w:val="auto"/>
          <w:highlight w:val="none"/>
          <w:lang w:eastAsia="zh-CN"/>
        </w:rPr>
      </w:pPr>
    </w:p>
    <w:p w14:paraId="2D06F37E">
      <w:pPr>
        <w:snapToGrid w:val="0"/>
        <w:ind w:firstLine="0" w:firstLineChars="0"/>
        <w:jc w:val="center"/>
        <w:rPr>
          <w:rFonts w:hint="default" w:ascii="Times New Roman" w:hAnsi="Times New Roman" w:cs="Times New Roman"/>
          <w:b/>
          <w:color w:val="auto"/>
          <w:kern w:val="0"/>
          <w:highlight w:val="none"/>
          <w:lang w:bidi="ar"/>
        </w:rPr>
      </w:pPr>
    </w:p>
    <w:p w14:paraId="68D2E4A9">
      <w:pPr>
        <w:snapToGrid w:val="0"/>
        <w:ind w:firstLine="0" w:firstLineChars="0"/>
        <w:jc w:val="center"/>
        <w:rPr>
          <w:rFonts w:hint="default" w:ascii="Times New Roman" w:hAnsi="Times New Roman" w:cs="Times New Roman"/>
          <w:b/>
          <w:color w:val="auto"/>
          <w:kern w:val="0"/>
          <w:highlight w:val="none"/>
          <w:lang w:bidi="ar"/>
        </w:rPr>
      </w:pPr>
    </w:p>
    <w:p w14:paraId="708DF672">
      <w:pPr>
        <w:snapToGrid w:val="0"/>
        <w:ind w:firstLine="0" w:firstLineChars="0"/>
        <w:jc w:val="center"/>
        <w:rPr>
          <w:rFonts w:hint="default" w:ascii="Times New Roman" w:hAnsi="Times New Roman" w:cs="Times New Roman"/>
          <w:b/>
          <w:color w:val="auto"/>
          <w:kern w:val="0"/>
          <w:highlight w:val="none"/>
          <w:lang w:bidi="ar"/>
        </w:rPr>
      </w:pPr>
    </w:p>
    <w:p w14:paraId="61BDFB86">
      <w:pPr>
        <w:snapToGrid w:val="0"/>
        <w:ind w:firstLine="0" w:firstLineChars="0"/>
        <w:jc w:val="center"/>
        <w:rPr>
          <w:rFonts w:hint="default" w:ascii="Times New Roman" w:hAnsi="Times New Roman" w:cs="Times New Roman"/>
          <w:b/>
          <w:color w:val="auto"/>
          <w:kern w:val="0"/>
          <w:highlight w:val="none"/>
          <w:lang w:bidi="ar"/>
        </w:rPr>
      </w:pPr>
    </w:p>
    <w:p w14:paraId="28C2B87A">
      <w:pPr>
        <w:snapToGrid w:val="0"/>
        <w:ind w:firstLine="0" w:firstLineChars="0"/>
        <w:jc w:val="center"/>
        <w:rPr>
          <w:rFonts w:hint="default" w:ascii="Times New Roman" w:hAnsi="Times New Roman" w:cs="Times New Roman"/>
          <w:color w:val="auto"/>
          <w:highlight w:val="none"/>
        </w:rPr>
      </w:pPr>
      <w:r>
        <w:rPr>
          <w:rFonts w:hint="default" w:ascii="Times New Roman" w:hAnsi="Times New Roman" w:cs="Times New Roman"/>
          <w:b/>
          <w:color w:val="auto"/>
          <w:kern w:val="0"/>
          <w:highlight w:val="none"/>
          <w:lang w:bidi="ar"/>
        </w:rPr>
        <w:t xml:space="preserve">表1.3-2    </w:t>
      </w:r>
      <w:r>
        <w:rPr>
          <w:rFonts w:hint="default" w:ascii="Times New Roman" w:hAnsi="Times New Roman" w:cs="Times New Roman"/>
          <w:b/>
          <w:color w:val="auto"/>
          <w:kern w:val="0"/>
          <w:highlight w:val="none"/>
          <w:lang w:eastAsia="zh-CN" w:bidi="ar"/>
        </w:rPr>
        <w:t>项目与哈密市管控单元管控要求符合性分析</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7"/>
        <w:gridCol w:w="409"/>
        <w:gridCol w:w="494"/>
        <w:gridCol w:w="4100"/>
        <w:gridCol w:w="1879"/>
        <w:gridCol w:w="880"/>
      </w:tblGrid>
      <w:tr w14:paraId="325E33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67" w:type="dxa"/>
            <w:tcBorders>
              <w:tl2br w:val="nil"/>
              <w:tr2bl w:val="nil"/>
            </w:tcBorders>
            <w:vAlign w:val="center"/>
          </w:tcPr>
          <w:p w14:paraId="375F204B">
            <w:pPr>
              <w:widowControl/>
              <w:adjustRightInd w:val="0"/>
              <w:snapToGrid w:val="0"/>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环境管控单元编码</w:t>
            </w:r>
          </w:p>
        </w:tc>
        <w:tc>
          <w:tcPr>
            <w:tcW w:w="903" w:type="dxa"/>
            <w:gridSpan w:val="2"/>
            <w:tcBorders>
              <w:tl2br w:val="nil"/>
              <w:tr2bl w:val="nil"/>
            </w:tcBorders>
            <w:vAlign w:val="center"/>
          </w:tcPr>
          <w:p w14:paraId="2B67572D">
            <w:pPr>
              <w:widowControl/>
              <w:adjustRightInd w:val="0"/>
              <w:snapToGrid w:val="0"/>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管控类别</w:t>
            </w:r>
          </w:p>
        </w:tc>
        <w:tc>
          <w:tcPr>
            <w:tcW w:w="4100" w:type="dxa"/>
            <w:tcBorders>
              <w:tl2br w:val="nil"/>
              <w:tr2bl w:val="nil"/>
            </w:tcBorders>
            <w:vAlign w:val="center"/>
          </w:tcPr>
          <w:p w14:paraId="2D48CC2D">
            <w:pPr>
              <w:widowControl/>
              <w:adjustRightInd w:val="0"/>
              <w:snapToGrid w:val="0"/>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管控要求</w:t>
            </w:r>
          </w:p>
        </w:tc>
        <w:tc>
          <w:tcPr>
            <w:tcW w:w="1879" w:type="dxa"/>
            <w:tcBorders>
              <w:tl2br w:val="nil"/>
              <w:tr2bl w:val="nil"/>
            </w:tcBorders>
            <w:vAlign w:val="center"/>
          </w:tcPr>
          <w:p w14:paraId="19AD89B2">
            <w:pPr>
              <w:widowControl/>
              <w:adjustRightInd w:val="0"/>
              <w:snapToGrid w:val="0"/>
              <w:spacing w:line="360" w:lineRule="exact"/>
              <w:ind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eastAsia" w:cs="Times New Roman"/>
                <w:b/>
                <w:bCs/>
                <w:color w:val="auto"/>
                <w:kern w:val="0"/>
                <w:sz w:val="21"/>
                <w:szCs w:val="21"/>
                <w:highlight w:val="none"/>
                <w:lang w:val="en-US" w:eastAsia="zh-CN"/>
              </w:rPr>
              <w:t>本项目情况</w:t>
            </w:r>
          </w:p>
        </w:tc>
        <w:tc>
          <w:tcPr>
            <w:tcW w:w="880" w:type="dxa"/>
            <w:tcBorders>
              <w:tl2br w:val="nil"/>
              <w:tr2bl w:val="nil"/>
            </w:tcBorders>
            <w:vAlign w:val="center"/>
          </w:tcPr>
          <w:p w14:paraId="1082FCD5">
            <w:pPr>
              <w:widowControl/>
              <w:adjustRightInd w:val="0"/>
              <w:snapToGrid w:val="0"/>
              <w:spacing w:line="360" w:lineRule="exact"/>
              <w:ind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eastAsia" w:cs="Times New Roman"/>
                <w:b/>
                <w:bCs/>
                <w:color w:val="auto"/>
                <w:kern w:val="0"/>
                <w:sz w:val="21"/>
                <w:szCs w:val="21"/>
                <w:highlight w:val="none"/>
                <w:lang w:val="en-US" w:eastAsia="zh-CN"/>
              </w:rPr>
              <w:t>符合性分析</w:t>
            </w:r>
          </w:p>
        </w:tc>
      </w:tr>
      <w:tr w14:paraId="1189D6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7" w:type="dxa"/>
            <w:vMerge w:val="restart"/>
            <w:tcBorders>
              <w:tl2br w:val="nil"/>
              <w:tr2bl w:val="nil"/>
            </w:tcBorders>
            <w:vAlign w:val="center"/>
          </w:tcPr>
          <w:p w14:paraId="178DA29A">
            <w:pPr>
              <w:widowControl/>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ZH65050230012</w:t>
            </w:r>
          </w:p>
        </w:tc>
        <w:tc>
          <w:tcPr>
            <w:tcW w:w="409" w:type="dxa"/>
            <w:vMerge w:val="restart"/>
            <w:tcBorders>
              <w:tl2br w:val="nil"/>
              <w:tr2bl w:val="nil"/>
            </w:tcBorders>
            <w:vAlign w:val="center"/>
          </w:tcPr>
          <w:p w14:paraId="22D97482">
            <w:pPr>
              <w:widowControl/>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伊州区雅满苏镇一般管控单元</w:t>
            </w:r>
          </w:p>
        </w:tc>
        <w:tc>
          <w:tcPr>
            <w:tcW w:w="494" w:type="dxa"/>
            <w:tcBorders>
              <w:tl2br w:val="nil"/>
              <w:tr2bl w:val="nil"/>
            </w:tcBorders>
            <w:vAlign w:val="center"/>
          </w:tcPr>
          <w:p w14:paraId="583AA68F">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空间布局约束</w:t>
            </w:r>
          </w:p>
        </w:tc>
        <w:tc>
          <w:tcPr>
            <w:tcW w:w="4100" w:type="dxa"/>
            <w:tcBorders>
              <w:tl2br w:val="nil"/>
              <w:tr2bl w:val="nil"/>
            </w:tcBorders>
            <w:vAlign w:val="center"/>
          </w:tcPr>
          <w:p w14:paraId="2CCDACB4">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color w:val="auto"/>
                <w:spacing w:val="0"/>
                <w:w w:val="100"/>
                <w:position w:val="0"/>
                <w:sz w:val="21"/>
                <w:szCs w:val="21"/>
                <w:highlight w:val="none"/>
                <w:lang w:val="en-US" w:eastAsia="zh-CN"/>
              </w:rPr>
              <w:t>禁止在邻近基本农田区域新增排放重金属和多环芳烃、石油烃等有机污染物的开发建设活动。拟开发为农用地的，县级人民政府要组织开展土壤环境质量状况评估；不符合标准的，不得种植食用农产品。要加强纳入耕地后备资源的未利用地保护，定期开展巡查。</w:t>
            </w:r>
          </w:p>
        </w:tc>
        <w:tc>
          <w:tcPr>
            <w:tcW w:w="1879" w:type="dxa"/>
            <w:tcBorders>
              <w:tl2br w:val="nil"/>
              <w:tr2bl w:val="nil"/>
            </w:tcBorders>
            <w:vAlign w:val="center"/>
          </w:tcPr>
          <w:p w14:paraId="7CC5F429">
            <w:pPr>
              <w:adjustRightInd w:val="0"/>
              <w:snapToGrid w:val="0"/>
              <w:spacing w:line="360" w:lineRule="exact"/>
              <w:ind w:firstLine="0" w:firstLineChars="0"/>
              <w:jc w:val="both"/>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项目占地类型为裸岩石砾地，不涉及基本农田；项目排放的污染物包括粉尘、氟化物，以及燃煤锅炉排放的颗粒物、氮氧化物、二氧化硫、汞及其化合物，均采取高效治理措施达标排放，不涉及有机污染物；不涉及农用地开发。</w:t>
            </w:r>
          </w:p>
        </w:tc>
        <w:tc>
          <w:tcPr>
            <w:tcW w:w="880" w:type="dxa"/>
            <w:tcBorders>
              <w:tl2br w:val="nil"/>
              <w:tr2bl w:val="nil"/>
            </w:tcBorders>
            <w:vAlign w:val="center"/>
          </w:tcPr>
          <w:p w14:paraId="01C2E5EF">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14:paraId="1D578D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7" w:type="dxa"/>
            <w:vMerge w:val="continue"/>
            <w:tcBorders>
              <w:tl2br w:val="nil"/>
              <w:tr2bl w:val="nil"/>
            </w:tcBorders>
            <w:vAlign w:val="center"/>
          </w:tcPr>
          <w:p w14:paraId="2B18BC29">
            <w:pPr>
              <w:widowControl/>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409" w:type="dxa"/>
            <w:vMerge w:val="continue"/>
            <w:tcBorders>
              <w:tl2br w:val="nil"/>
              <w:tr2bl w:val="nil"/>
            </w:tcBorders>
            <w:vAlign w:val="center"/>
          </w:tcPr>
          <w:p w14:paraId="4180AD80">
            <w:pPr>
              <w:widowControl/>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494" w:type="dxa"/>
            <w:tcBorders>
              <w:tl2br w:val="nil"/>
              <w:tr2bl w:val="nil"/>
            </w:tcBorders>
            <w:vAlign w:val="center"/>
          </w:tcPr>
          <w:p w14:paraId="21FE6214">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污染物排放管控</w:t>
            </w:r>
          </w:p>
        </w:tc>
        <w:tc>
          <w:tcPr>
            <w:tcW w:w="4100" w:type="dxa"/>
            <w:tcBorders>
              <w:tl2br w:val="nil"/>
              <w:tr2bl w:val="nil"/>
            </w:tcBorders>
            <w:vAlign w:val="center"/>
          </w:tcPr>
          <w:p w14:paraId="63C8EBB5">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2025年，工业污染源全面达标排放，新建项目新增污染物排放总量得到有效控制；全区所有具备改造条件的燃煤电厂和热电联产机组完成超低排放和节能改造。</w:t>
            </w:r>
          </w:p>
          <w:p w14:paraId="7C375751">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2025年年底前基本完成，开展钢铁、建材、有色、火电、焦化、铸造等重点行业及燃煤锅炉无组织排放排查，建立管理清单，对物料（含废渣）运输、装卸、储存、转移和工艺过程等无组织排放实施深度治理，按照</w:t>
            </w:r>
            <w:r>
              <w:rPr>
                <w:rFonts w:hint="eastAsia" w:cs="Times New Roman"/>
                <w:color w:val="auto"/>
                <w:spacing w:val="0"/>
                <w:w w:val="100"/>
                <w:position w:val="0"/>
                <w:sz w:val="21"/>
                <w:szCs w:val="21"/>
                <w:highlight w:val="none"/>
                <w:lang w:val="en-US" w:eastAsia="zh-CN"/>
              </w:rPr>
              <w:t>“</w:t>
            </w:r>
            <w:r>
              <w:rPr>
                <w:rFonts w:hint="eastAsia" w:ascii="Times New Roman" w:hAnsi="Times New Roman" w:eastAsia="宋体" w:cs="Times New Roman"/>
                <w:color w:val="auto"/>
                <w:spacing w:val="0"/>
                <w:w w:val="100"/>
                <w:position w:val="0"/>
                <w:sz w:val="21"/>
                <w:szCs w:val="21"/>
                <w:highlight w:val="none"/>
                <w:lang w:val="en-US" w:eastAsia="zh-CN"/>
              </w:rPr>
              <w:t>一厂一策</w:t>
            </w:r>
            <w:r>
              <w:rPr>
                <w:rFonts w:hint="eastAsia" w:cs="Times New Roman"/>
                <w:color w:val="auto"/>
                <w:spacing w:val="0"/>
                <w:w w:val="100"/>
                <w:position w:val="0"/>
                <w:sz w:val="21"/>
                <w:szCs w:val="21"/>
                <w:highlight w:val="none"/>
                <w:lang w:val="en-US" w:eastAsia="zh-CN"/>
              </w:rPr>
              <w:t>”</w:t>
            </w:r>
            <w:r>
              <w:rPr>
                <w:rFonts w:hint="eastAsia" w:ascii="Times New Roman" w:hAnsi="Times New Roman" w:eastAsia="宋体" w:cs="Times New Roman"/>
                <w:color w:val="auto"/>
                <w:spacing w:val="0"/>
                <w:w w:val="100"/>
                <w:position w:val="0"/>
                <w:sz w:val="21"/>
                <w:szCs w:val="21"/>
                <w:highlight w:val="none"/>
                <w:lang w:val="en-US" w:eastAsia="zh-CN"/>
              </w:rPr>
              <w:t>要求制定整改方案，明确规范化整治要求。</w:t>
            </w:r>
          </w:p>
          <w:p w14:paraId="73BF95FE">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禁止利用渗井、渗坑、裂隙和溶洞排放、倾倒含有毒污染物的废水、含病原体的污水和其他废弃物。</w:t>
            </w:r>
          </w:p>
          <w:p w14:paraId="038076C9">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到2025年，哈密市大气环境质量得到有效改善，全地区优良天数的比例、PM</w:t>
            </w:r>
            <w:r>
              <w:rPr>
                <w:rFonts w:hint="eastAsia" w:ascii="Times New Roman" w:hAnsi="Times New Roman" w:eastAsia="宋体" w:cs="Times New Roman"/>
                <w:color w:val="auto"/>
                <w:spacing w:val="0"/>
                <w:w w:val="100"/>
                <w:position w:val="0"/>
                <w:sz w:val="21"/>
                <w:szCs w:val="21"/>
                <w:highlight w:val="none"/>
                <w:vertAlign w:val="subscript"/>
                <w:lang w:val="en-US" w:eastAsia="zh-CN"/>
              </w:rPr>
              <w:t>2.5</w:t>
            </w:r>
            <w:r>
              <w:rPr>
                <w:rFonts w:hint="eastAsia" w:ascii="Times New Roman" w:hAnsi="Times New Roman" w:eastAsia="宋体" w:cs="Times New Roman"/>
                <w:color w:val="auto"/>
                <w:spacing w:val="0"/>
                <w:w w:val="100"/>
                <w:position w:val="0"/>
                <w:sz w:val="21"/>
                <w:szCs w:val="21"/>
                <w:highlight w:val="none"/>
                <w:lang w:val="en-US" w:eastAsia="zh-CN"/>
              </w:rPr>
              <w:t>年均浓度达到自治区约束性指标，全年无重度及以上的污染天气（扣除沙尘天气）。</w:t>
            </w:r>
          </w:p>
          <w:p w14:paraId="5E86D34B">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到2025年，河流、湖</w:t>
            </w:r>
            <w:r>
              <w:rPr>
                <w:rFonts w:hint="eastAsia" w:cs="Times New Roman"/>
                <w:color w:val="auto"/>
                <w:spacing w:val="0"/>
                <w:w w:val="100"/>
                <w:position w:val="0"/>
                <w:sz w:val="21"/>
                <w:szCs w:val="21"/>
                <w:highlight w:val="none"/>
                <w:lang w:val="en-US" w:eastAsia="zh-CN"/>
              </w:rPr>
              <w:t>（</w:t>
            </w:r>
            <w:r>
              <w:rPr>
                <w:rFonts w:hint="eastAsia" w:ascii="Times New Roman" w:hAnsi="Times New Roman" w:eastAsia="宋体" w:cs="Times New Roman"/>
                <w:color w:val="auto"/>
                <w:spacing w:val="0"/>
                <w:w w:val="100"/>
                <w:position w:val="0"/>
                <w:sz w:val="21"/>
                <w:szCs w:val="21"/>
                <w:highlight w:val="none"/>
                <w:lang w:val="en-US" w:eastAsia="zh-CN"/>
              </w:rPr>
              <w:t>库</w:t>
            </w:r>
            <w:r>
              <w:rPr>
                <w:rFonts w:hint="eastAsia" w:cs="Times New Roman"/>
                <w:color w:val="auto"/>
                <w:spacing w:val="0"/>
                <w:w w:val="100"/>
                <w:position w:val="0"/>
                <w:sz w:val="21"/>
                <w:szCs w:val="21"/>
                <w:highlight w:val="none"/>
                <w:lang w:val="en-US" w:eastAsia="zh-CN"/>
              </w:rPr>
              <w:t>）</w:t>
            </w:r>
            <w:r>
              <w:rPr>
                <w:rFonts w:hint="eastAsia" w:ascii="Times New Roman" w:hAnsi="Times New Roman" w:eastAsia="宋体" w:cs="Times New Roman"/>
                <w:color w:val="auto"/>
                <w:spacing w:val="0"/>
                <w:w w:val="100"/>
                <w:position w:val="0"/>
                <w:sz w:val="21"/>
                <w:szCs w:val="21"/>
                <w:highlight w:val="none"/>
                <w:lang w:val="en-US" w:eastAsia="zh-CN"/>
              </w:rPr>
              <w:t>水环境质量和乡</w:t>
            </w:r>
            <w:r>
              <w:rPr>
                <w:rFonts w:hint="eastAsia" w:cs="Times New Roman"/>
                <w:color w:val="auto"/>
                <w:spacing w:val="0"/>
                <w:w w:val="100"/>
                <w:position w:val="0"/>
                <w:sz w:val="21"/>
                <w:szCs w:val="21"/>
                <w:highlight w:val="none"/>
                <w:lang w:val="en-US" w:eastAsia="zh-CN"/>
              </w:rPr>
              <w:t>（</w:t>
            </w:r>
            <w:r>
              <w:rPr>
                <w:rFonts w:hint="eastAsia" w:ascii="Times New Roman" w:hAnsi="Times New Roman" w:eastAsia="宋体" w:cs="Times New Roman"/>
                <w:color w:val="auto"/>
                <w:spacing w:val="0"/>
                <w:w w:val="100"/>
                <w:position w:val="0"/>
                <w:sz w:val="21"/>
                <w:szCs w:val="21"/>
                <w:highlight w:val="none"/>
                <w:lang w:val="en-US" w:eastAsia="zh-CN"/>
              </w:rPr>
              <w:t>镇</w:t>
            </w:r>
            <w:r>
              <w:rPr>
                <w:rFonts w:hint="eastAsia" w:cs="Times New Roman"/>
                <w:color w:val="auto"/>
                <w:spacing w:val="0"/>
                <w:w w:val="100"/>
                <w:position w:val="0"/>
                <w:sz w:val="21"/>
                <w:szCs w:val="21"/>
                <w:highlight w:val="none"/>
                <w:lang w:val="en-US" w:eastAsia="zh-CN"/>
              </w:rPr>
              <w:t>）</w:t>
            </w:r>
            <w:r>
              <w:rPr>
                <w:rFonts w:hint="eastAsia" w:ascii="Times New Roman" w:hAnsi="Times New Roman" w:eastAsia="宋体" w:cs="Times New Roman"/>
                <w:color w:val="auto"/>
                <w:spacing w:val="0"/>
                <w:w w:val="100"/>
                <w:position w:val="0"/>
                <w:sz w:val="21"/>
                <w:szCs w:val="21"/>
                <w:highlight w:val="none"/>
                <w:lang w:val="en-US" w:eastAsia="zh-CN"/>
              </w:rPr>
              <w:t>大气环境质量保持良好，城乡饮用水安全，城镇集中式饮用水源地水质达标率达到100%。城市污水集中处理率达到90%以上，县城污水集中处理率达到85%以上；城市生活垃圾无害化处理率达到90%以上，县城生活垃圾无害化处理率达到80%以上，村庄生活垃圾90%以上得到有效处理。</w:t>
            </w:r>
          </w:p>
          <w:p w14:paraId="0240F93B">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山南片区到2025年，地区城市和重点乡（镇）具备污水收集处理能力，城市污水处理率分别达到90%左右。到2030年，基本完善地下水监测及监测网络体系。工业集聚区内工业废水须经预处理达到集中处理要求，方可进入污水集中处理设施。</w:t>
            </w:r>
          </w:p>
          <w:p w14:paraId="2F8E17CB">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到2025年规模养殖场配套建设粪污处理设施比例达95%以上，畜禽粪污综合利用率75%以上。控制农业面源污染，大力发展生态循环农业，加快推广测土配方施肥、安全用药、绿色防控、农业废弃物资源化利用等农业清洁生产技术与装备，完善植物疫情防御系统。</w:t>
            </w:r>
          </w:p>
          <w:p w14:paraId="6C4A624D">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2025年，伊州区建成区黑臭水体消除比例达到国家考核要求。</w:t>
            </w:r>
          </w:p>
        </w:tc>
        <w:tc>
          <w:tcPr>
            <w:tcW w:w="1879" w:type="dxa"/>
            <w:tcBorders>
              <w:tl2br w:val="nil"/>
              <w:tr2bl w:val="nil"/>
            </w:tcBorders>
            <w:vAlign w:val="center"/>
          </w:tcPr>
          <w:p w14:paraId="41E348FE">
            <w:pPr>
              <w:adjustRightInd w:val="0"/>
              <w:snapToGrid w:val="0"/>
              <w:spacing w:line="360" w:lineRule="exact"/>
              <w:ind w:firstLine="0" w:firstLineChars="0"/>
              <w:jc w:val="both"/>
              <w:rPr>
                <w:rFonts w:hint="eastAsia" w:ascii="Times New Roman" w:hAnsi="Times New Roman" w:cs="Times New Roman"/>
                <w:color w:val="auto"/>
                <w:kern w:val="0"/>
                <w:sz w:val="21"/>
                <w:szCs w:val="21"/>
                <w:highlight w:val="none"/>
                <w:lang w:val="en-US"/>
              </w:rPr>
            </w:pPr>
            <w:r>
              <w:rPr>
                <w:rFonts w:hint="eastAsia" w:ascii="Times New Roman" w:hAnsi="Times New Roman" w:cs="Times New Roman"/>
                <w:color w:val="auto"/>
                <w:kern w:val="0"/>
                <w:sz w:val="21"/>
                <w:szCs w:val="21"/>
                <w:highlight w:val="none"/>
                <w:lang w:val="en-US"/>
              </w:rPr>
              <w:t>本项目破碎、筛分粉尘采用高效布袋除尘器处理</w:t>
            </w:r>
            <w:r>
              <w:rPr>
                <w:rFonts w:hint="eastAsia" w:cs="Times New Roman"/>
                <w:color w:val="auto"/>
                <w:kern w:val="0"/>
                <w:sz w:val="21"/>
                <w:szCs w:val="21"/>
                <w:highlight w:val="none"/>
                <w:lang w:val="en-US" w:eastAsia="zh-CN"/>
              </w:rPr>
              <w:t>后</w:t>
            </w:r>
            <w:r>
              <w:rPr>
                <w:rFonts w:hint="eastAsia" w:ascii="Times New Roman" w:hAnsi="Times New Roman" w:cs="Times New Roman"/>
                <w:color w:val="auto"/>
                <w:kern w:val="0"/>
                <w:sz w:val="21"/>
                <w:szCs w:val="21"/>
                <w:highlight w:val="none"/>
                <w:lang w:val="en-US"/>
              </w:rPr>
              <w:t>，达标排放</w:t>
            </w:r>
            <w:r>
              <w:rPr>
                <w:rFonts w:hint="eastAsia" w:cs="Times New Roman"/>
                <w:color w:val="auto"/>
                <w:kern w:val="0"/>
                <w:sz w:val="21"/>
                <w:szCs w:val="21"/>
                <w:highlight w:val="none"/>
                <w:lang w:val="en-US" w:eastAsia="zh-CN"/>
              </w:rPr>
              <w:t>；</w:t>
            </w:r>
            <w:r>
              <w:rPr>
                <w:rFonts w:hint="eastAsia" w:ascii="Times New Roman" w:hAnsi="Times New Roman" w:cs="Times New Roman"/>
                <w:color w:val="auto"/>
                <w:kern w:val="0"/>
                <w:sz w:val="21"/>
                <w:szCs w:val="21"/>
                <w:highlight w:val="none"/>
                <w:lang w:val="en-US"/>
              </w:rPr>
              <w:t>燃煤锅炉配备除尘、脱硫、脱硝设施，污染物排放满足标准；生产废水闭路循环不外排，生活污水经化粪池处理后由吸污车定期抽运至污水处理厂，不外排；固体废物妥善处置，尾矿入库，危废委托资质单位处置；项目不涉及畜禽养殖、农业面源等。</w:t>
            </w:r>
            <w:r>
              <w:rPr>
                <w:rFonts w:hint="eastAsia" w:cs="Times New Roman"/>
                <w:color w:val="auto"/>
                <w:kern w:val="0"/>
                <w:sz w:val="21"/>
                <w:szCs w:val="21"/>
                <w:highlight w:val="none"/>
                <w:lang w:val="en-US" w:eastAsia="zh-CN"/>
              </w:rPr>
              <w:t>本项目未</w:t>
            </w:r>
            <w:r>
              <w:rPr>
                <w:rFonts w:hint="eastAsia" w:ascii="Times New Roman" w:hAnsi="Times New Roman" w:eastAsia="宋体" w:cs="Times New Roman"/>
                <w:color w:val="auto"/>
                <w:spacing w:val="0"/>
                <w:w w:val="100"/>
                <w:position w:val="0"/>
                <w:sz w:val="21"/>
                <w:szCs w:val="21"/>
                <w:highlight w:val="none"/>
                <w:lang w:val="en-US" w:eastAsia="zh-CN"/>
              </w:rPr>
              <w:t>利用渗井、渗坑、裂隙和溶洞排放、倾倒含有毒污染物的废水、含病原体的污水和其他废弃物。</w:t>
            </w:r>
          </w:p>
        </w:tc>
        <w:tc>
          <w:tcPr>
            <w:tcW w:w="880" w:type="dxa"/>
            <w:tcBorders>
              <w:tl2br w:val="nil"/>
              <w:tr2bl w:val="nil"/>
            </w:tcBorders>
            <w:vAlign w:val="center"/>
          </w:tcPr>
          <w:p w14:paraId="345CEB54">
            <w:pPr>
              <w:adjustRightInd w:val="0"/>
              <w:snapToGrid w:val="0"/>
              <w:spacing w:line="360" w:lineRule="exact"/>
              <w:ind w:firstLine="0" w:firstLineChars="0"/>
              <w:jc w:val="center"/>
              <w:rPr>
                <w:rFonts w:hint="eastAsia" w:ascii="Times New Roman" w:hAnsi="Times New Roman" w:cs="Times New Roman"/>
                <w:color w:val="auto"/>
                <w:kern w:val="0"/>
                <w:sz w:val="21"/>
                <w:szCs w:val="21"/>
                <w:highlight w:val="none"/>
                <w:lang w:val="en-US"/>
              </w:rPr>
            </w:pPr>
            <w:r>
              <w:rPr>
                <w:rFonts w:hint="default" w:ascii="Times New Roman" w:hAnsi="Times New Roman" w:cs="Times New Roman"/>
                <w:color w:val="auto"/>
                <w:kern w:val="0"/>
                <w:sz w:val="21"/>
                <w:szCs w:val="21"/>
                <w:highlight w:val="none"/>
              </w:rPr>
              <w:t>符合</w:t>
            </w:r>
          </w:p>
        </w:tc>
      </w:tr>
      <w:tr w14:paraId="09A7F3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767" w:type="dxa"/>
            <w:vMerge w:val="continue"/>
            <w:tcBorders>
              <w:tl2br w:val="nil"/>
              <w:tr2bl w:val="nil"/>
            </w:tcBorders>
            <w:vAlign w:val="center"/>
          </w:tcPr>
          <w:p w14:paraId="6FCD2D06">
            <w:pPr>
              <w:widowControl/>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409" w:type="dxa"/>
            <w:vMerge w:val="continue"/>
            <w:tcBorders>
              <w:tl2br w:val="nil"/>
              <w:tr2bl w:val="nil"/>
            </w:tcBorders>
            <w:vAlign w:val="center"/>
          </w:tcPr>
          <w:p w14:paraId="7CE50D6E">
            <w:pPr>
              <w:widowControl/>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494" w:type="dxa"/>
            <w:tcBorders>
              <w:tl2br w:val="nil"/>
              <w:tr2bl w:val="nil"/>
            </w:tcBorders>
            <w:vAlign w:val="center"/>
          </w:tcPr>
          <w:p w14:paraId="30A5ED27">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环境风险防控</w:t>
            </w:r>
          </w:p>
        </w:tc>
        <w:tc>
          <w:tcPr>
            <w:tcW w:w="4100" w:type="dxa"/>
            <w:tcBorders>
              <w:tl2br w:val="nil"/>
              <w:tr2bl w:val="nil"/>
            </w:tcBorders>
            <w:vAlign w:val="center"/>
          </w:tcPr>
          <w:p w14:paraId="5B76C17D">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哈密市伊州区矿产资源开发活动集中区域执行相关行业污染物排放标准中的重点污染物特别排放限值。整治伊州区病危险尾矿库和</w:t>
            </w:r>
            <w:r>
              <w:rPr>
                <w:rFonts w:hint="eastAsia" w:cs="Times New Roman"/>
                <w:color w:val="auto"/>
                <w:spacing w:val="0"/>
                <w:w w:val="100"/>
                <w:position w:val="0"/>
                <w:sz w:val="21"/>
                <w:szCs w:val="21"/>
                <w:highlight w:val="none"/>
                <w:lang w:val="en-US" w:eastAsia="zh-CN"/>
              </w:rPr>
              <w:t>“</w:t>
            </w:r>
            <w:r>
              <w:rPr>
                <w:rFonts w:hint="eastAsia" w:ascii="Times New Roman" w:hAnsi="Times New Roman" w:eastAsia="宋体" w:cs="Times New Roman"/>
                <w:color w:val="auto"/>
                <w:spacing w:val="0"/>
                <w:w w:val="100"/>
                <w:position w:val="0"/>
                <w:sz w:val="21"/>
                <w:szCs w:val="21"/>
                <w:highlight w:val="none"/>
                <w:lang w:val="en-US" w:eastAsia="zh-CN"/>
              </w:rPr>
              <w:t>头顶库</w:t>
            </w:r>
            <w:r>
              <w:rPr>
                <w:rFonts w:hint="eastAsia" w:cs="Times New Roman"/>
                <w:color w:val="auto"/>
                <w:spacing w:val="0"/>
                <w:w w:val="100"/>
                <w:position w:val="0"/>
                <w:sz w:val="21"/>
                <w:szCs w:val="21"/>
                <w:highlight w:val="none"/>
                <w:lang w:val="en-US" w:eastAsia="zh-CN"/>
              </w:rPr>
              <w:t>”</w:t>
            </w:r>
            <w:r>
              <w:rPr>
                <w:rFonts w:hint="eastAsia" w:ascii="Times New Roman" w:hAnsi="Times New Roman" w:eastAsia="宋体" w:cs="Times New Roman"/>
                <w:color w:val="auto"/>
                <w:spacing w:val="0"/>
                <w:w w:val="100"/>
                <w:position w:val="0"/>
                <w:sz w:val="21"/>
                <w:szCs w:val="21"/>
                <w:highlight w:val="none"/>
                <w:lang w:val="en-US" w:eastAsia="zh-CN"/>
              </w:rPr>
              <w:t>，对存在超负荷使用、废水超标排放、接近使用年限等问题的尾矿库制定综合整治方案，开展专项整治，消除隐患。</w:t>
            </w:r>
          </w:p>
          <w:p w14:paraId="7124A281">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重点监管尾矿库企业风险排查和环境风险评估工作，对危库和病库以及风险评估有严重环境安全隐患的尾矿库，要求企业完善污染治理设施、进行治理和修复。全面排查历史遗留尾矿库情况，全面整治历史遗留尾矿库，完善覆膜、压土、排洪、堤坝加固等隐患治理和闭库措施。加强煤矿等主要矿产资源的辐射水平调查，完善伴生放射性矿监管名录，细化监管要求。</w:t>
            </w:r>
          </w:p>
          <w:p w14:paraId="53D360CF">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以伊州区历史遗留工业企业污染场地为重点，开展治理与修复，制定修复进度计划，优先治理修复重点区域。重点区域应根据土壤污染程度、环境风险及其影响范围进行划定。</w:t>
            </w:r>
          </w:p>
        </w:tc>
        <w:tc>
          <w:tcPr>
            <w:tcW w:w="1879" w:type="dxa"/>
            <w:tcBorders>
              <w:tl2br w:val="nil"/>
              <w:tr2bl w:val="nil"/>
            </w:tcBorders>
            <w:vAlign w:val="center"/>
          </w:tcPr>
          <w:p w14:paraId="0287C60F">
            <w:pPr>
              <w:adjustRightInd w:val="0"/>
              <w:snapToGrid w:val="0"/>
              <w:spacing w:line="360" w:lineRule="exact"/>
              <w:ind w:firstLine="0" w:firstLineChars="0"/>
              <w:jc w:val="both"/>
              <w:rPr>
                <w:rFonts w:hint="eastAsia" w:ascii="Times New Roman" w:hAnsi="Times New Roman" w:cs="Times New Roman"/>
                <w:color w:val="auto"/>
                <w:kern w:val="0"/>
                <w:sz w:val="21"/>
                <w:szCs w:val="21"/>
                <w:highlight w:val="none"/>
                <w:lang w:val="en-US"/>
              </w:rPr>
            </w:pPr>
            <w:r>
              <w:rPr>
                <w:rFonts w:hint="eastAsia" w:ascii="Times New Roman" w:hAnsi="Times New Roman" w:cs="Times New Roman"/>
                <w:color w:val="auto"/>
                <w:kern w:val="0"/>
                <w:sz w:val="21"/>
                <w:szCs w:val="21"/>
                <w:highlight w:val="none"/>
                <w:lang w:val="en-US"/>
              </w:rPr>
              <w:t>本项目位于一般管控单元，不属于哈密市伊州区矿产资源开发活动集中区域。本项目尾矿库为新建四等库，下游1km范围内无居民区及重要设施，不属于</w:t>
            </w:r>
            <w:r>
              <w:rPr>
                <w:rFonts w:hint="eastAsia" w:cs="Times New Roman"/>
                <w:color w:val="auto"/>
                <w:kern w:val="0"/>
                <w:sz w:val="21"/>
                <w:szCs w:val="21"/>
                <w:highlight w:val="none"/>
                <w:lang w:val="en-US" w:eastAsia="zh-CN"/>
              </w:rPr>
              <w:t>“</w:t>
            </w:r>
            <w:r>
              <w:rPr>
                <w:rFonts w:hint="eastAsia" w:ascii="Times New Roman" w:hAnsi="Times New Roman" w:cs="Times New Roman"/>
                <w:color w:val="auto"/>
                <w:kern w:val="0"/>
                <w:sz w:val="21"/>
                <w:szCs w:val="21"/>
                <w:highlight w:val="none"/>
                <w:lang w:val="en-US"/>
              </w:rPr>
              <w:t>头顶库</w:t>
            </w:r>
            <w:r>
              <w:rPr>
                <w:rFonts w:hint="eastAsia" w:cs="Times New Roman"/>
                <w:color w:val="auto"/>
                <w:kern w:val="0"/>
                <w:sz w:val="21"/>
                <w:szCs w:val="21"/>
                <w:highlight w:val="none"/>
                <w:lang w:val="en-US" w:eastAsia="zh-CN"/>
              </w:rPr>
              <w:t>”</w:t>
            </w:r>
            <w:r>
              <w:rPr>
                <w:rFonts w:hint="eastAsia" w:ascii="Times New Roman" w:hAnsi="Times New Roman" w:cs="Times New Roman"/>
                <w:color w:val="auto"/>
                <w:kern w:val="0"/>
                <w:sz w:val="21"/>
                <w:szCs w:val="21"/>
                <w:highlight w:val="none"/>
                <w:lang w:val="en-US"/>
              </w:rPr>
              <w:t>；尾矿库采用全库区HDPE土工膜防渗，设置排洪、回水及监测系统，坝体采用一次建坝分期建设，符合规范要求，无超负荷使用、废水超标排放、接近使用年限等问题；环评已要求进行环境风险评估，制定突发环境事件应急预案，落实环境风险防控措施；项目不涉及伴生放射性矿；占地范围无历史遗留污染场地。</w:t>
            </w:r>
          </w:p>
        </w:tc>
        <w:tc>
          <w:tcPr>
            <w:tcW w:w="880" w:type="dxa"/>
            <w:tcBorders>
              <w:tl2br w:val="nil"/>
              <w:tr2bl w:val="nil"/>
            </w:tcBorders>
            <w:vAlign w:val="center"/>
          </w:tcPr>
          <w:p w14:paraId="74A6DA68">
            <w:pPr>
              <w:adjustRightInd w:val="0"/>
              <w:snapToGrid w:val="0"/>
              <w:spacing w:line="360" w:lineRule="exact"/>
              <w:ind w:firstLine="0" w:firstLineChars="0"/>
              <w:jc w:val="center"/>
              <w:rPr>
                <w:rFonts w:hint="eastAsia" w:ascii="Times New Roman" w:hAnsi="Times New Roman" w:cs="Times New Roman"/>
                <w:color w:val="auto"/>
                <w:kern w:val="0"/>
                <w:sz w:val="21"/>
                <w:szCs w:val="21"/>
                <w:highlight w:val="none"/>
                <w:lang w:val="en-US"/>
              </w:rPr>
            </w:pPr>
            <w:r>
              <w:rPr>
                <w:rFonts w:hint="default" w:ascii="Times New Roman" w:hAnsi="Times New Roman" w:cs="Times New Roman"/>
                <w:color w:val="auto"/>
                <w:kern w:val="0"/>
                <w:sz w:val="21"/>
                <w:szCs w:val="21"/>
                <w:highlight w:val="none"/>
              </w:rPr>
              <w:t>符合</w:t>
            </w:r>
          </w:p>
        </w:tc>
      </w:tr>
      <w:tr w14:paraId="042FEF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7" w:type="dxa"/>
            <w:vMerge w:val="continue"/>
            <w:tcBorders>
              <w:tl2br w:val="nil"/>
              <w:tr2bl w:val="nil"/>
            </w:tcBorders>
            <w:vAlign w:val="center"/>
          </w:tcPr>
          <w:p w14:paraId="33D5D472">
            <w:pPr>
              <w:widowControl/>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409" w:type="dxa"/>
            <w:vMerge w:val="continue"/>
            <w:tcBorders>
              <w:tl2br w:val="nil"/>
              <w:tr2bl w:val="nil"/>
            </w:tcBorders>
            <w:vAlign w:val="center"/>
          </w:tcPr>
          <w:p w14:paraId="3877049F">
            <w:pPr>
              <w:widowControl/>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494" w:type="dxa"/>
            <w:tcBorders>
              <w:tl2br w:val="nil"/>
              <w:tr2bl w:val="nil"/>
            </w:tcBorders>
            <w:vAlign w:val="center"/>
          </w:tcPr>
          <w:p w14:paraId="2D9078D3">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资源利用效率</w:t>
            </w:r>
          </w:p>
        </w:tc>
        <w:tc>
          <w:tcPr>
            <w:tcW w:w="4100" w:type="dxa"/>
            <w:tcBorders>
              <w:tl2br w:val="nil"/>
              <w:tr2bl w:val="nil"/>
            </w:tcBorders>
            <w:vAlign w:val="center"/>
          </w:tcPr>
          <w:p w14:paraId="0001DEE2">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color w:val="auto"/>
                <w:spacing w:val="0"/>
                <w:w w:val="100"/>
                <w:position w:val="0"/>
                <w:sz w:val="21"/>
                <w:szCs w:val="21"/>
                <w:highlight w:val="none"/>
                <w:lang w:val="en-US" w:eastAsia="zh-CN"/>
              </w:rPr>
              <w:t>严格控制地下水开采新增量。</w:t>
            </w:r>
          </w:p>
        </w:tc>
        <w:tc>
          <w:tcPr>
            <w:tcW w:w="1879" w:type="dxa"/>
            <w:tcBorders>
              <w:tl2br w:val="nil"/>
              <w:tr2bl w:val="nil"/>
            </w:tcBorders>
            <w:vAlign w:val="center"/>
          </w:tcPr>
          <w:p w14:paraId="3ED7A308">
            <w:pPr>
              <w:adjustRightInd w:val="0"/>
              <w:snapToGrid w:val="0"/>
              <w:spacing w:line="360" w:lineRule="exact"/>
              <w:ind w:firstLine="0" w:firstLineChars="0"/>
              <w:jc w:val="both"/>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本项目生产用水取自自备水井，取水许可</w:t>
            </w:r>
            <w:r>
              <w:rPr>
                <w:rFonts w:hint="eastAsia" w:cs="Times New Roman"/>
                <w:color w:val="auto"/>
                <w:kern w:val="0"/>
                <w:sz w:val="21"/>
                <w:szCs w:val="21"/>
                <w:highlight w:val="none"/>
                <w:lang w:val="en-US" w:eastAsia="zh-CN"/>
              </w:rPr>
              <w:t>证正在有序办理中</w:t>
            </w:r>
            <w:r>
              <w:rPr>
                <w:rFonts w:hint="default" w:ascii="Times New Roman" w:hAnsi="Times New Roman" w:cs="Times New Roman"/>
                <w:color w:val="auto"/>
                <w:kern w:val="0"/>
                <w:sz w:val="21"/>
                <w:szCs w:val="21"/>
                <w:highlight w:val="none"/>
              </w:rPr>
              <w:t>，用水量严格控制在许可范围内；选矿废水循环利用率100%，减少新鲜水取用。</w:t>
            </w:r>
          </w:p>
        </w:tc>
        <w:tc>
          <w:tcPr>
            <w:tcW w:w="880" w:type="dxa"/>
            <w:tcBorders>
              <w:tl2br w:val="nil"/>
              <w:tr2bl w:val="nil"/>
            </w:tcBorders>
            <w:vAlign w:val="center"/>
          </w:tcPr>
          <w:p w14:paraId="3ECF5213">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14:paraId="749397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7" w:type="dxa"/>
            <w:vMerge w:val="restart"/>
            <w:tcBorders>
              <w:tl2br w:val="nil"/>
              <w:tr2bl w:val="nil"/>
            </w:tcBorders>
            <w:vAlign w:val="center"/>
          </w:tcPr>
          <w:p w14:paraId="49D754F2">
            <w:pPr>
              <w:widowControl/>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ZH65050210053</w:t>
            </w:r>
          </w:p>
        </w:tc>
        <w:tc>
          <w:tcPr>
            <w:tcW w:w="409" w:type="dxa"/>
            <w:vMerge w:val="restart"/>
            <w:tcBorders>
              <w:tl2br w:val="nil"/>
              <w:tr2bl w:val="nil"/>
            </w:tcBorders>
            <w:vAlign w:val="center"/>
          </w:tcPr>
          <w:p w14:paraId="6E1C08E2">
            <w:pPr>
              <w:widowControl/>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伊州区雅满苏镇一般生态空间优先保护单元</w:t>
            </w:r>
          </w:p>
        </w:tc>
        <w:tc>
          <w:tcPr>
            <w:tcW w:w="494" w:type="dxa"/>
            <w:vMerge w:val="restart"/>
            <w:tcBorders>
              <w:tl2br w:val="nil"/>
              <w:tr2bl w:val="nil"/>
            </w:tcBorders>
            <w:vAlign w:val="center"/>
          </w:tcPr>
          <w:p w14:paraId="4DA5CE64">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空间布局约束</w:t>
            </w:r>
          </w:p>
        </w:tc>
        <w:tc>
          <w:tcPr>
            <w:tcW w:w="4100" w:type="dxa"/>
            <w:tcBorders>
              <w:tl2br w:val="nil"/>
              <w:tr2bl w:val="nil"/>
            </w:tcBorders>
            <w:vAlign w:val="center"/>
          </w:tcPr>
          <w:p w14:paraId="35CC0CB5">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color w:val="auto"/>
                <w:spacing w:val="0"/>
                <w:w w:val="100"/>
                <w:position w:val="0"/>
                <w:sz w:val="21"/>
                <w:szCs w:val="21"/>
                <w:highlight w:val="none"/>
                <w:lang w:val="en-US" w:eastAsia="zh-CN"/>
              </w:rPr>
              <w:t>第十一条 关于土地沙化极敏感区空间布局约束的要求。</w:t>
            </w:r>
          </w:p>
          <w:p w14:paraId="042D6D68">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color w:val="auto"/>
                <w:spacing w:val="0"/>
                <w:w w:val="100"/>
                <w:position w:val="0"/>
                <w:sz w:val="21"/>
                <w:szCs w:val="21"/>
                <w:highlight w:val="none"/>
                <w:lang w:val="en-US" w:eastAsia="zh-CN"/>
              </w:rPr>
              <w:t>禁止在二十五度以上陡坡地开垦种植农作物。</w:t>
            </w:r>
          </w:p>
          <w:p w14:paraId="226E0105">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color w:val="auto"/>
                <w:spacing w:val="0"/>
                <w:w w:val="100"/>
                <w:position w:val="0"/>
                <w:sz w:val="21"/>
                <w:szCs w:val="21"/>
                <w:highlight w:val="none"/>
                <w:lang w:val="en-US" w:eastAsia="zh-CN"/>
              </w:rPr>
              <w:t>禁止过度放牧。</w:t>
            </w:r>
          </w:p>
          <w:p w14:paraId="66B36F96">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color w:val="auto"/>
                <w:spacing w:val="0"/>
                <w:w w:val="100"/>
                <w:position w:val="0"/>
                <w:sz w:val="21"/>
                <w:szCs w:val="21"/>
                <w:highlight w:val="none"/>
                <w:lang w:val="en-US" w:eastAsia="zh-CN"/>
              </w:rPr>
              <w:t>禁止新建土地资源高消耗产业。</w:t>
            </w:r>
          </w:p>
          <w:p w14:paraId="44F8A72D">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color w:val="auto"/>
                <w:spacing w:val="0"/>
                <w:w w:val="100"/>
                <w:position w:val="0"/>
                <w:sz w:val="21"/>
                <w:szCs w:val="21"/>
                <w:highlight w:val="none"/>
                <w:lang w:val="en-US" w:eastAsia="zh-CN"/>
              </w:rPr>
              <w:t>禁止在崩塌、滑坡危险区和泥石流易发区从事取土、挖砂、采石、开采零星矿产资源等可能造成水土流失的活动。</w:t>
            </w:r>
          </w:p>
          <w:p w14:paraId="222C6FCA">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color w:val="auto"/>
                <w:spacing w:val="0"/>
                <w:w w:val="100"/>
                <w:position w:val="0"/>
                <w:sz w:val="21"/>
                <w:szCs w:val="21"/>
                <w:highlight w:val="none"/>
                <w:lang w:val="en-US" w:eastAsia="zh-CN"/>
              </w:rPr>
              <w:t>区内现有不符合布局要求的，限期退出或关停。对已造成的污染或损害，应限期治理。</w:t>
            </w:r>
          </w:p>
        </w:tc>
        <w:tc>
          <w:tcPr>
            <w:tcW w:w="1879" w:type="dxa"/>
            <w:tcBorders>
              <w:tl2br w:val="nil"/>
              <w:tr2bl w:val="nil"/>
            </w:tcBorders>
            <w:vAlign w:val="center"/>
          </w:tcPr>
          <w:p w14:paraId="20612232">
            <w:pPr>
              <w:adjustRightInd w:val="0"/>
              <w:snapToGrid w:val="0"/>
              <w:spacing w:line="360" w:lineRule="exact"/>
              <w:ind w:firstLine="0" w:firstLineChars="0"/>
              <w:jc w:val="both"/>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本</w:t>
            </w:r>
            <w:r>
              <w:rPr>
                <w:rFonts w:hint="eastAsia" w:ascii="Times New Roman" w:hAnsi="Times New Roman" w:cs="Times New Roman"/>
                <w:color w:val="auto"/>
                <w:kern w:val="0"/>
                <w:sz w:val="21"/>
                <w:szCs w:val="21"/>
                <w:highlight w:val="none"/>
                <w:lang w:val="en-US" w:eastAsia="zh-CN"/>
              </w:rPr>
              <w:t>项目属于土地沙化极敏感区，</w:t>
            </w:r>
            <w:r>
              <w:rPr>
                <w:rFonts w:hint="default" w:ascii="Times New Roman" w:hAnsi="Times New Roman" w:cs="Times New Roman"/>
                <w:color w:val="auto"/>
                <w:kern w:val="0"/>
                <w:sz w:val="21"/>
                <w:szCs w:val="21"/>
                <w:highlight w:val="none"/>
              </w:rPr>
              <w:t>项目位于戈壁荒漠区，不涉及陡坡地、基本草原、沙化土地封禁保护区；项目占地18.38hm²，</w:t>
            </w:r>
            <w:r>
              <w:rPr>
                <w:rFonts w:hint="eastAsia" w:cs="Times New Roman"/>
                <w:color w:val="auto"/>
                <w:kern w:val="0"/>
                <w:sz w:val="21"/>
                <w:szCs w:val="21"/>
                <w:highlight w:val="none"/>
                <w:lang w:eastAsia="zh-CN"/>
              </w:rPr>
              <w:t>属于</w:t>
            </w:r>
            <w:r>
              <w:rPr>
                <w:rFonts w:hint="default" w:ascii="Times New Roman" w:hAnsi="Times New Roman" w:cs="Times New Roman"/>
                <w:color w:val="auto"/>
                <w:kern w:val="0"/>
                <w:sz w:val="21"/>
                <w:szCs w:val="21"/>
                <w:highlight w:val="none"/>
              </w:rPr>
              <w:t>裸岩石砾地，不属于土地资源高消耗产业；选矿用水循环利用，不属于高耗水工业；项目区无崩塌、滑坡、泥石流等地质灾害隐患；不涉及砍伐、放牧等活动。</w:t>
            </w:r>
          </w:p>
        </w:tc>
        <w:tc>
          <w:tcPr>
            <w:tcW w:w="880" w:type="dxa"/>
            <w:tcBorders>
              <w:tl2br w:val="nil"/>
              <w:tr2bl w:val="nil"/>
            </w:tcBorders>
            <w:vAlign w:val="center"/>
          </w:tcPr>
          <w:p w14:paraId="1D69CDA1">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r w14:paraId="3D3E0E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7" w:type="dxa"/>
            <w:vMerge w:val="continue"/>
            <w:tcBorders>
              <w:tl2br w:val="nil"/>
              <w:tr2bl w:val="nil"/>
            </w:tcBorders>
            <w:vAlign w:val="center"/>
          </w:tcPr>
          <w:p w14:paraId="4421BEB9">
            <w:pPr>
              <w:widowControl/>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409" w:type="dxa"/>
            <w:vMerge w:val="continue"/>
            <w:tcBorders>
              <w:tl2br w:val="nil"/>
              <w:tr2bl w:val="nil"/>
            </w:tcBorders>
            <w:vAlign w:val="center"/>
          </w:tcPr>
          <w:p w14:paraId="6C64D7C1">
            <w:pPr>
              <w:widowControl/>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494" w:type="dxa"/>
            <w:vMerge w:val="continue"/>
            <w:tcBorders>
              <w:tl2br w:val="nil"/>
              <w:tr2bl w:val="nil"/>
            </w:tcBorders>
            <w:vAlign w:val="center"/>
          </w:tcPr>
          <w:p w14:paraId="27366FDE">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4100" w:type="dxa"/>
            <w:tcBorders>
              <w:tl2br w:val="nil"/>
              <w:tr2bl w:val="nil"/>
            </w:tcBorders>
            <w:vAlign w:val="center"/>
          </w:tcPr>
          <w:p w14:paraId="62BC80E0">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color w:val="auto"/>
                <w:spacing w:val="0"/>
                <w:w w:val="100"/>
                <w:position w:val="0"/>
                <w:sz w:val="21"/>
                <w:szCs w:val="21"/>
                <w:highlight w:val="none"/>
                <w:lang w:val="en-US" w:eastAsia="zh-CN"/>
              </w:rPr>
              <w:t>限制发展高耗水工业。</w:t>
            </w:r>
          </w:p>
          <w:p w14:paraId="21A54FC3">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color w:val="auto"/>
                <w:spacing w:val="0"/>
                <w:w w:val="100"/>
                <w:position w:val="0"/>
                <w:sz w:val="21"/>
                <w:szCs w:val="21"/>
                <w:highlight w:val="none"/>
                <w:lang w:val="en-US" w:eastAsia="zh-CN"/>
              </w:rPr>
              <w:t>禁止在国家沙化土地封禁保护区砍伐、樵采、开垦、放牧、采药、狩猎、勘探、开矿和滥用水资源等一切破坏植被的活动；禁止在国家沙化土地封禁保护区范围内安置移民。</w:t>
            </w:r>
          </w:p>
          <w:p w14:paraId="1EF11C9B">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color w:val="auto"/>
                <w:spacing w:val="0"/>
                <w:w w:val="100"/>
                <w:position w:val="0"/>
                <w:sz w:val="21"/>
                <w:szCs w:val="21"/>
                <w:highlight w:val="none"/>
                <w:lang w:val="en-US" w:eastAsia="zh-CN"/>
              </w:rPr>
              <w:t>区内现有不符合布局要求的，限期退出或关停。对已造成的污染或损害，应限期治理。</w:t>
            </w:r>
          </w:p>
        </w:tc>
        <w:tc>
          <w:tcPr>
            <w:tcW w:w="1879" w:type="dxa"/>
            <w:tcBorders>
              <w:tl2br w:val="nil"/>
              <w:tr2bl w:val="nil"/>
            </w:tcBorders>
            <w:vAlign w:val="center"/>
          </w:tcPr>
          <w:p w14:paraId="289E3EA5">
            <w:pPr>
              <w:adjustRightInd w:val="0"/>
              <w:snapToGrid w:val="0"/>
              <w:spacing w:line="360" w:lineRule="exact"/>
              <w:ind w:firstLine="0" w:firstLineChars="0"/>
              <w:jc w:val="both"/>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本项目</w:t>
            </w:r>
            <w:r>
              <w:rPr>
                <w:rFonts w:hint="eastAsia" w:cs="Times New Roman"/>
                <w:color w:val="auto"/>
                <w:kern w:val="0"/>
                <w:sz w:val="21"/>
                <w:szCs w:val="21"/>
                <w:highlight w:val="none"/>
                <w:lang w:val="en-US" w:eastAsia="zh-CN"/>
              </w:rPr>
              <w:t>不属于</w:t>
            </w:r>
            <w:r>
              <w:rPr>
                <w:rFonts w:hint="default" w:ascii="Times New Roman" w:hAnsi="Times New Roman" w:eastAsia="宋体" w:cs="Times New Roman"/>
                <w:color w:val="auto"/>
                <w:spacing w:val="0"/>
                <w:w w:val="100"/>
                <w:position w:val="0"/>
                <w:sz w:val="21"/>
                <w:szCs w:val="21"/>
                <w:highlight w:val="none"/>
                <w:lang w:val="en-US" w:eastAsia="zh-CN"/>
              </w:rPr>
              <w:t>高耗水工业</w:t>
            </w:r>
            <w:r>
              <w:rPr>
                <w:rFonts w:hint="eastAsia" w:cs="Times New Roman"/>
                <w:color w:val="auto"/>
                <w:spacing w:val="0"/>
                <w:w w:val="100"/>
                <w:position w:val="0"/>
                <w:sz w:val="21"/>
                <w:szCs w:val="21"/>
                <w:highlight w:val="none"/>
                <w:lang w:val="en-US" w:eastAsia="zh-CN"/>
              </w:rPr>
              <w:t>，</w:t>
            </w:r>
            <w:r>
              <w:rPr>
                <w:rFonts w:hint="default" w:ascii="Times New Roman" w:hAnsi="Times New Roman" w:cs="Times New Roman"/>
                <w:color w:val="auto"/>
                <w:kern w:val="0"/>
                <w:sz w:val="21"/>
                <w:szCs w:val="21"/>
                <w:highlight w:val="none"/>
              </w:rPr>
              <w:t>污染物排放均得到有效控制，</w:t>
            </w:r>
            <w:r>
              <w:rPr>
                <w:rFonts w:hint="default" w:cs="Times New Roman"/>
                <w:color w:val="auto"/>
                <w:spacing w:val="0"/>
                <w:w w:val="100"/>
                <w:position w:val="0"/>
                <w:sz w:val="21"/>
                <w:szCs w:val="21"/>
                <w:highlight w:val="none"/>
                <w:lang w:val="en-US" w:eastAsia="zh-CN"/>
              </w:rPr>
              <w:t>粉尘</w:t>
            </w:r>
            <w:r>
              <w:rPr>
                <w:rFonts w:hint="eastAsia" w:cs="Times New Roman"/>
                <w:color w:val="auto"/>
                <w:spacing w:val="0"/>
                <w:w w:val="100"/>
                <w:position w:val="0"/>
                <w:sz w:val="21"/>
                <w:szCs w:val="21"/>
                <w:highlight w:val="none"/>
                <w:lang w:val="en-US" w:eastAsia="zh-CN"/>
              </w:rPr>
              <w:t>、燃煤锅炉废气</w:t>
            </w:r>
            <w:r>
              <w:rPr>
                <w:rFonts w:hint="default" w:cs="Times New Roman"/>
                <w:color w:val="auto"/>
                <w:spacing w:val="0"/>
                <w:w w:val="100"/>
                <w:position w:val="0"/>
                <w:sz w:val="21"/>
                <w:szCs w:val="21"/>
                <w:highlight w:val="none"/>
                <w:lang w:val="en-US" w:eastAsia="zh-CN"/>
              </w:rPr>
              <w:t>达标排放，废水零排</w:t>
            </w:r>
            <w:r>
              <w:rPr>
                <w:rFonts w:hint="default" w:ascii="Times New Roman" w:hAnsi="Times New Roman" w:cs="Times New Roman"/>
                <w:color w:val="auto"/>
                <w:kern w:val="0"/>
                <w:sz w:val="21"/>
                <w:szCs w:val="21"/>
                <w:highlight w:val="none"/>
              </w:rPr>
              <w:t>放，固废妥善处置，对区域环境质量影响较小。</w:t>
            </w:r>
          </w:p>
        </w:tc>
        <w:tc>
          <w:tcPr>
            <w:tcW w:w="880" w:type="dxa"/>
            <w:tcBorders>
              <w:tl2br w:val="nil"/>
              <w:tr2bl w:val="nil"/>
            </w:tcBorders>
            <w:vAlign w:val="center"/>
          </w:tcPr>
          <w:p w14:paraId="3A54665F">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符合</w:t>
            </w:r>
          </w:p>
        </w:tc>
      </w:tr>
    </w:tbl>
    <w:p w14:paraId="709BD0FE">
      <w:pPr>
        <w:keepNext/>
        <w:keepLines/>
        <w:widowControl w:val="0"/>
        <w:spacing w:line="480" w:lineRule="exact"/>
        <w:ind w:firstLine="482" w:firstLineChars="200"/>
        <w:jc w:val="both"/>
        <w:outlineLvl w:val="3"/>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1.3.2.4与《新疆维吾尔自治区重点行业生态环境准入条件（2024年）》的符合性分析</w:t>
      </w:r>
    </w:p>
    <w:p w14:paraId="22A3FBE9">
      <w:pPr>
        <w:widowControl w:val="0"/>
        <w:spacing w:after="0" w:line="480" w:lineRule="exact"/>
        <w:ind w:left="0" w:leftChars="0" w:firstLine="480" w:firstLineChars="200"/>
        <w:jc w:val="both"/>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《新疆维吾尔自治区重点行业生态环境准入条件（2024年）》对非金属矿选矿的选址及污染防治进行了要求，本项目与环境准入条件的符合性分析见表1.3-5。</w:t>
      </w:r>
    </w:p>
    <w:p w14:paraId="273A546B">
      <w:pPr>
        <w:ind w:firstLine="0" w:firstLineChars="0"/>
        <w:jc w:val="center"/>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表1.3-5    本项目与重点行业生态环境准入符合性分析表</w:t>
      </w:r>
    </w:p>
    <w:tbl>
      <w:tblPr>
        <w:tblStyle w:val="33"/>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Layout w:type="fixed"/>
        <w:tblCellMar>
          <w:top w:w="0" w:type="dxa"/>
          <w:left w:w="108" w:type="dxa"/>
          <w:bottom w:w="0" w:type="dxa"/>
          <w:right w:w="108" w:type="dxa"/>
        </w:tblCellMar>
      </w:tblPr>
      <w:tblGrid>
        <w:gridCol w:w="645"/>
        <w:gridCol w:w="4253"/>
        <w:gridCol w:w="2735"/>
        <w:gridCol w:w="896"/>
      </w:tblGrid>
      <w:tr w14:paraId="7F20CC49">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108" w:type="dxa"/>
            <w:bottom w:w="0" w:type="dxa"/>
            <w:right w:w="108" w:type="dxa"/>
          </w:tblCellMar>
        </w:tblPrEx>
        <w:trPr>
          <w:trHeight w:val="0" w:hRule="atLeast"/>
        </w:trPr>
        <w:tc>
          <w:tcPr>
            <w:tcW w:w="645" w:type="dxa"/>
            <w:tcBorders>
              <w:tl2br w:val="nil"/>
              <w:tr2bl w:val="nil"/>
            </w:tcBorders>
            <w:vAlign w:val="center"/>
          </w:tcPr>
          <w:p w14:paraId="39ED19C7">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auto"/>
                <w:spacing w:val="0"/>
                <w:w w:val="100"/>
                <w:position w:val="0"/>
                <w:sz w:val="21"/>
                <w:szCs w:val="21"/>
                <w:highlight w:val="none"/>
              </w:rPr>
            </w:pPr>
            <w:r>
              <w:rPr>
                <w:rFonts w:hint="default" w:ascii="Times New Roman" w:hAnsi="Times New Roman" w:eastAsia="宋体" w:cs="Times New Roman"/>
                <w:b/>
                <w:bCs/>
                <w:color w:val="auto"/>
                <w:spacing w:val="0"/>
                <w:w w:val="100"/>
                <w:position w:val="0"/>
                <w:sz w:val="21"/>
                <w:szCs w:val="21"/>
                <w:highlight w:val="none"/>
              </w:rPr>
              <w:t>项目</w:t>
            </w:r>
          </w:p>
        </w:tc>
        <w:tc>
          <w:tcPr>
            <w:tcW w:w="4253" w:type="dxa"/>
            <w:tcBorders>
              <w:tl2br w:val="nil"/>
              <w:tr2bl w:val="nil"/>
            </w:tcBorders>
            <w:vAlign w:val="center"/>
          </w:tcPr>
          <w:p w14:paraId="70154AE9">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auto"/>
                <w:spacing w:val="0"/>
                <w:w w:val="100"/>
                <w:position w:val="0"/>
                <w:sz w:val="21"/>
                <w:szCs w:val="21"/>
                <w:highlight w:val="none"/>
              </w:rPr>
            </w:pPr>
            <w:r>
              <w:rPr>
                <w:rFonts w:hint="default" w:ascii="Times New Roman" w:hAnsi="Times New Roman" w:eastAsia="宋体" w:cs="Times New Roman"/>
                <w:b/>
                <w:bCs/>
                <w:color w:val="auto"/>
                <w:spacing w:val="0"/>
                <w:w w:val="100"/>
                <w:position w:val="0"/>
                <w:sz w:val="21"/>
                <w:szCs w:val="21"/>
                <w:highlight w:val="none"/>
              </w:rPr>
              <w:t>准入条件要求</w:t>
            </w:r>
          </w:p>
        </w:tc>
        <w:tc>
          <w:tcPr>
            <w:tcW w:w="2735" w:type="dxa"/>
            <w:tcBorders>
              <w:tl2br w:val="nil"/>
              <w:tr2bl w:val="nil"/>
            </w:tcBorders>
            <w:vAlign w:val="center"/>
          </w:tcPr>
          <w:p w14:paraId="2FD91821">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auto"/>
                <w:spacing w:val="0"/>
                <w:w w:val="100"/>
                <w:position w:val="0"/>
                <w:sz w:val="21"/>
                <w:szCs w:val="21"/>
                <w:highlight w:val="none"/>
              </w:rPr>
            </w:pPr>
            <w:r>
              <w:rPr>
                <w:rFonts w:hint="default" w:ascii="Times New Roman" w:hAnsi="Times New Roman" w:eastAsia="宋体" w:cs="Times New Roman"/>
                <w:b/>
                <w:bCs/>
                <w:color w:val="auto"/>
                <w:spacing w:val="0"/>
                <w:w w:val="100"/>
                <w:position w:val="0"/>
                <w:sz w:val="21"/>
                <w:szCs w:val="21"/>
                <w:highlight w:val="none"/>
                <w:lang w:eastAsia="zh-CN"/>
              </w:rPr>
              <w:t>本项目</w:t>
            </w:r>
            <w:r>
              <w:rPr>
                <w:rFonts w:hint="default" w:ascii="Times New Roman" w:hAnsi="Times New Roman" w:eastAsia="宋体" w:cs="Times New Roman"/>
                <w:b/>
                <w:bCs/>
                <w:color w:val="auto"/>
                <w:spacing w:val="0"/>
                <w:w w:val="100"/>
                <w:position w:val="0"/>
                <w:sz w:val="21"/>
                <w:szCs w:val="21"/>
                <w:highlight w:val="none"/>
              </w:rPr>
              <w:t>情况</w:t>
            </w:r>
          </w:p>
        </w:tc>
        <w:tc>
          <w:tcPr>
            <w:tcW w:w="896" w:type="dxa"/>
            <w:tcBorders>
              <w:tl2br w:val="nil"/>
              <w:tr2bl w:val="nil"/>
            </w:tcBorders>
            <w:vAlign w:val="center"/>
          </w:tcPr>
          <w:p w14:paraId="7242A124">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auto"/>
                <w:spacing w:val="0"/>
                <w:w w:val="100"/>
                <w:position w:val="0"/>
                <w:sz w:val="21"/>
                <w:szCs w:val="21"/>
                <w:highlight w:val="none"/>
              </w:rPr>
            </w:pPr>
            <w:r>
              <w:rPr>
                <w:rFonts w:hint="default" w:ascii="Times New Roman" w:hAnsi="Times New Roman" w:eastAsia="宋体" w:cs="Times New Roman"/>
                <w:b/>
                <w:bCs/>
                <w:color w:val="auto"/>
                <w:spacing w:val="0"/>
                <w:w w:val="100"/>
                <w:position w:val="0"/>
                <w:sz w:val="21"/>
                <w:szCs w:val="21"/>
                <w:highlight w:val="none"/>
              </w:rPr>
              <w:t>符合性</w:t>
            </w:r>
          </w:p>
        </w:tc>
      </w:tr>
      <w:tr w14:paraId="67E5A7A5">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108" w:type="dxa"/>
            <w:bottom w:w="0" w:type="dxa"/>
            <w:right w:w="108" w:type="dxa"/>
          </w:tblCellMar>
        </w:tblPrEx>
        <w:trPr>
          <w:trHeight w:val="0" w:hRule="atLeast"/>
        </w:trPr>
        <w:tc>
          <w:tcPr>
            <w:tcW w:w="645" w:type="dxa"/>
            <w:vMerge w:val="restart"/>
            <w:tcBorders>
              <w:tl2br w:val="nil"/>
              <w:tr2bl w:val="nil"/>
            </w:tcBorders>
            <w:vAlign w:val="center"/>
          </w:tcPr>
          <w:p w14:paraId="3E0440A8">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选址与空间布局要求</w:t>
            </w:r>
          </w:p>
        </w:tc>
        <w:tc>
          <w:tcPr>
            <w:tcW w:w="4253" w:type="dxa"/>
            <w:tcBorders>
              <w:tl2br w:val="nil"/>
              <w:tr2bl w:val="nil"/>
            </w:tcBorders>
            <w:vAlign w:val="center"/>
          </w:tcPr>
          <w:p w14:paraId="3BF8A534">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color w:val="auto"/>
                <w:spacing w:val="0"/>
                <w:w w:val="100"/>
                <w:position w:val="0"/>
                <w:sz w:val="21"/>
                <w:szCs w:val="21"/>
                <w:highlight w:val="none"/>
                <w:lang w:val="en-US" w:eastAsia="zh-CN"/>
              </w:rPr>
              <w:t>禁止在重要工业区、大型水利工程设施、城镇市政工程设施所在区域，军事管理区、机场、国防工程设施圈定的区域，高速公路、国道、省道等重要交通干线两侧用地外缘200米范围内（确有必要可根据实际情况论证），铁路线路两侧路堤坡脚、路堑坡顶、铁路桥梁外侧起各1000米范围内及在铁路隧道上方中心线两侧各1000米范围内建设非金属矿采矿项目。居民聚集区1千米以内禁止石灰石开采。</w:t>
            </w:r>
          </w:p>
        </w:tc>
        <w:tc>
          <w:tcPr>
            <w:tcW w:w="2735" w:type="dxa"/>
            <w:tcBorders>
              <w:tl2br w:val="nil"/>
              <w:tr2bl w:val="nil"/>
            </w:tcBorders>
            <w:vAlign w:val="center"/>
          </w:tcPr>
          <w:p w14:paraId="412A2C3E">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color w:val="auto"/>
                <w:spacing w:val="0"/>
                <w:w w:val="100"/>
                <w:position w:val="0"/>
                <w:sz w:val="21"/>
                <w:szCs w:val="21"/>
                <w:highlight w:val="none"/>
                <w:lang w:val="en-US" w:eastAsia="zh-CN"/>
              </w:rPr>
              <w:t>项目位于哈密市伊州区雅满苏镇正南方约90公里处，周边无重要工业区、军事管理区、机场、铁路及高速公路，1km范围内无居民聚集区，不涉及河道范围，选址符合要求。</w:t>
            </w:r>
          </w:p>
        </w:tc>
        <w:tc>
          <w:tcPr>
            <w:tcW w:w="896" w:type="dxa"/>
            <w:tcBorders>
              <w:tl2br w:val="nil"/>
              <w:tr2bl w:val="nil"/>
            </w:tcBorders>
            <w:vAlign w:val="center"/>
          </w:tcPr>
          <w:p w14:paraId="41063E15">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lang w:val="en-US" w:eastAsia="zh-CN"/>
              </w:rPr>
              <w:t>符合</w:t>
            </w:r>
          </w:p>
        </w:tc>
      </w:tr>
      <w:tr w14:paraId="1473DF86">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108" w:type="dxa"/>
            <w:bottom w:w="0" w:type="dxa"/>
            <w:right w:w="108" w:type="dxa"/>
          </w:tblCellMar>
        </w:tblPrEx>
        <w:trPr>
          <w:trHeight w:val="0" w:hRule="atLeast"/>
        </w:trPr>
        <w:tc>
          <w:tcPr>
            <w:tcW w:w="645" w:type="dxa"/>
            <w:vMerge w:val="continue"/>
            <w:tcBorders>
              <w:tl2br w:val="nil"/>
              <w:tr2bl w:val="nil"/>
            </w:tcBorders>
            <w:vAlign w:val="center"/>
          </w:tcPr>
          <w:p w14:paraId="448E0D21">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100"/>
                <w:position w:val="0"/>
                <w:sz w:val="21"/>
                <w:szCs w:val="21"/>
                <w:highlight w:val="none"/>
              </w:rPr>
            </w:pPr>
          </w:p>
        </w:tc>
        <w:tc>
          <w:tcPr>
            <w:tcW w:w="4253" w:type="dxa"/>
            <w:tcBorders>
              <w:tl2br w:val="nil"/>
              <w:tr2bl w:val="nil"/>
            </w:tcBorders>
            <w:vAlign w:val="center"/>
          </w:tcPr>
          <w:p w14:paraId="487A0ABC">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宋体" w:cs="Times New Roman"/>
                <w:color w:val="auto"/>
                <w:spacing w:val="0"/>
                <w:w w:val="100"/>
                <w:position w:val="0"/>
                <w:sz w:val="21"/>
                <w:szCs w:val="21"/>
                <w:highlight w:val="none"/>
                <w:lang w:val="en-US" w:eastAsia="en-US"/>
              </w:rPr>
            </w:pPr>
            <w:r>
              <w:rPr>
                <w:rFonts w:hint="default" w:ascii="Times New Roman" w:hAnsi="Times New Roman" w:eastAsia="宋体" w:cs="Times New Roman"/>
                <w:color w:val="auto"/>
                <w:spacing w:val="0"/>
                <w:w w:val="100"/>
                <w:position w:val="0"/>
                <w:sz w:val="21"/>
                <w:szCs w:val="21"/>
                <w:highlight w:val="none"/>
                <w:lang w:val="en-US" w:eastAsia="en-US"/>
              </w:rPr>
              <w:t>河道范围及其附近的非金属矿采选项目应符合国家和自治区河道管理条例要求，具体根据矿产资源开发利用结论和环境影响评价结论管控。</w:t>
            </w:r>
          </w:p>
        </w:tc>
        <w:tc>
          <w:tcPr>
            <w:tcW w:w="2735" w:type="dxa"/>
            <w:tcBorders>
              <w:tl2br w:val="nil"/>
              <w:tr2bl w:val="nil"/>
            </w:tcBorders>
            <w:vAlign w:val="center"/>
          </w:tcPr>
          <w:p w14:paraId="6A3AA212">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宋体" w:cs="Times New Roman"/>
                <w:color w:val="auto"/>
                <w:spacing w:val="0"/>
                <w:w w:val="100"/>
                <w:position w:val="0"/>
                <w:sz w:val="21"/>
                <w:szCs w:val="21"/>
                <w:highlight w:val="none"/>
                <w:lang w:val="en-US" w:eastAsia="en-US"/>
              </w:rPr>
            </w:pPr>
            <w:r>
              <w:rPr>
                <w:rFonts w:hint="default" w:ascii="Times New Roman" w:hAnsi="Times New Roman" w:eastAsia="宋体" w:cs="Times New Roman"/>
                <w:color w:val="auto"/>
                <w:spacing w:val="0"/>
                <w:w w:val="100"/>
                <w:position w:val="0"/>
                <w:sz w:val="21"/>
                <w:szCs w:val="21"/>
                <w:highlight w:val="none"/>
                <w:lang w:val="en-US" w:eastAsia="en-US"/>
              </w:rPr>
              <w:t>项目区无永久性河流，不涉及河道范围。</w:t>
            </w:r>
          </w:p>
        </w:tc>
        <w:tc>
          <w:tcPr>
            <w:tcW w:w="896" w:type="dxa"/>
            <w:tcBorders>
              <w:tl2br w:val="nil"/>
              <w:tr2bl w:val="nil"/>
            </w:tcBorders>
            <w:vAlign w:val="center"/>
          </w:tcPr>
          <w:p w14:paraId="4096D857">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lang w:val="en-US" w:eastAsia="zh-CN"/>
              </w:rPr>
              <w:t>符合</w:t>
            </w:r>
          </w:p>
        </w:tc>
      </w:tr>
      <w:tr w14:paraId="13F6C4B7">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108" w:type="dxa"/>
            <w:bottom w:w="0" w:type="dxa"/>
            <w:right w:w="108" w:type="dxa"/>
          </w:tblCellMar>
        </w:tblPrEx>
        <w:trPr>
          <w:trHeight w:val="0" w:hRule="atLeast"/>
        </w:trPr>
        <w:tc>
          <w:tcPr>
            <w:tcW w:w="645" w:type="dxa"/>
            <w:vMerge w:val="restart"/>
            <w:tcBorders>
              <w:tl2br w:val="nil"/>
              <w:tr2bl w:val="nil"/>
            </w:tcBorders>
            <w:vAlign w:val="center"/>
          </w:tcPr>
          <w:p w14:paraId="0A156E82">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污染防治</w:t>
            </w:r>
          </w:p>
        </w:tc>
        <w:tc>
          <w:tcPr>
            <w:tcW w:w="4253" w:type="dxa"/>
            <w:tcBorders>
              <w:tl2br w:val="nil"/>
              <w:tr2bl w:val="nil"/>
            </w:tcBorders>
            <w:vAlign w:val="center"/>
          </w:tcPr>
          <w:p w14:paraId="35B8FA19">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破碎、筛分车间应采用尘源密闭、局部通风方式，并安装高效除尘设施防治粉尘污染，除尘效率≥99%，大气污染物排放有行业标准的应达到行业标准要求，无行业标准的应达到《大气污染物综合排放标准》（GB16297）要求。</w:t>
            </w:r>
          </w:p>
        </w:tc>
        <w:tc>
          <w:tcPr>
            <w:tcW w:w="2735" w:type="dxa"/>
            <w:tcBorders>
              <w:tl2br w:val="nil"/>
              <w:tr2bl w:val="nil"/>
            </w:tcBorders>
            <w:vAlign w:val="center"/>
          </w:tcPr>
          <w:p w14:paraId="40B12F8A">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color w:val="auto"/>
                <w:spacing w:val="0"/>
                <w:w w:val="100"/>
                <w:position w:val="0"/>
                <w:sz w:val="21"/>
                <w:szCs w:val="21"/>
                <w:highlight w:val="none"/>
                <w:lang w:val="en-US" w:eastAsia="en-US"/>
              </w:rPr>
              <w:t>破碎、筛分车间均采用密闭罩及局部抽风，并配备高效脉冲布袋除尘器，除尘效率≥99%，外排粉尘浓度</w:t>
            </w:r>
            <w:r>
              <w:rPr>
                <w:rFonts w:hint="eastAsia" w:cs="Times New Roman"/>
                <w:color w:val="auto"/>
                <w:spacing w:val="0"/>
                <w:w w:val="100"/>
                <w:position w:val="0"/>
                <w:sz w:val="21"/>
                <w:szCs w:val="21"/>
                <w:highlight w:val="none"/>
                <w:lang w:val="en-US" w:eastAsia="zh-CN"/>
              </w:rPr>
              <w:t>。</w:t>
            </w:r>
          </w:p>
        </w:tc>
        <w:tc>
          <w:tcPr>
            <w:tcW w:w="896" w:type="dxa"/>
            <w:tcBorders>
              <w:tl2br w:val="nil"/>
              <w:tr2bl w:val="nil"/>
            </w:tcBorders>
            <w:vAlign w:val="center"/>
          </w:tcPr>
          <w:p w14:paraId="4F5B6C75">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lang w:val="en-US" w:eastAsia="zh-CN"/>
              </w:rPr>
              <w:t>符合</w:t>
            </w:r>
          </w:p>
        </w:tc>
      </w:tr>
      <w:tr w14:paraId="4C8459A1">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108" w:type="dxa"/>
            <w:bottom w:w="0" w:type="dxa"/>
            <w:right w:w="108" w:type="dxa"/>
          </w:tblCellMar>
        </w:tblPrEx>
        <w:trPr>
          <w:trHeight w:val="0" w:hRule="atLeast"/>
        </w:trPr>
        <w:tc>
          <w:tcPr>
            <w:tcW w:w="645" w:type="dxa"/>
            <w:vMerge w:val="continue"/>
            <w:tcBorders>
              <w:tl2br w:val="nil"/>
              <w:tr2bl w:val="nil"/>
            </w:tcBorders>
            <w:vAlign w:val="center"/>
          </w:tcPr>
          <w:p w14:paraId="1774484B">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100"/>
                <w:position w:val="0"/>
                <w:sz w:val="21"/>
                <w:szCs w:val="21"/>
                <w:highlight w:val="none"/>
              </w:rPr>
            </w:pPr>
          </w:p>
        </w:tc>
        <w:tc>
          <w:tcPr>
            <w:tcW w:w="4253" w:type="dxa"/>
            <w:tcBorders>
              <w:tl2br w:val="nil"/>
              <w:tr2bl w:val="nil"/>
            </w:tcBorders>
            <w:vAlign w:val="center"/>
          </w:tcPr>
          <w:p w14:paraId="3C501CCC">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选矿废水（含尾矿库溢流水）应循环利用，循环利用率≥80%，无循环利用条件的废水应进行收集，处理达标后排放。</w:t>
            </w:r>
          </w:p>
        </w:tc>
        <w:tc>
          <w:tcPr>
            <w:tcW w:w="2735" w:type="dxa"/>
            <w:tcBorders>
              <w:tl2br w:val="nil"/>
              <w:tr2bl w:val="nil"/>
            </w:tcBorders>
            <w:vAlign w:val="center"/>
          </w:tcPr>
          <w:p w14:paraId="53421C63">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color w:val="auto"/>
                <w:spacing w:val="0"/>
                <w:w w:val="100"/>
                <w:position w:val="0"/>
                <w:sz w:val="21"/>
                <w:szCs w:val="21"/>
                <w:highlight w:val="none"/>
                <w:lang w:val="en-US" w:eastAsia="zh-CN"/>
              </w:rPr>
              <w:t>选矿废水经尾矿库澄清后全部通过回水系统返回选矿厂循环利用，循环利用率100%；生活污水经化粪池处理后用于绿化，不外排。</w:t>
            </w:r>
          </w:p>
        </w:tc>
        <w:tc>
          <w:tcPr>
            <w:tcW w:w="896" w:type="dxa"/>
            <w:tcBorders>
              <w:tl2br w:val="nil"/>
              <w:tr2bl w:val="nil"/>
            </w:tcBorders>
            <w:vAlign w:val="center"/>
          </w:tcPr>
          <w:p w14:paraId="7FF3CCA1">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lang w:val="en-US" w:eastAsia="zh-CN"/>
              </w:rPr>
              <w:t>符合</w:t>
            </w:r>
          </w:p>
        </w:tc>
      </w:tr>
      <w:tr w14:paraId="0BCBAB86">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108" w:type="dxa"/>
            <w:bottom w:w="0" w:type="dxa"/>
            <w:right w:w="108" w:type="dxa"/>
          </w:tblCellMar>
        </w:tblPrEx>
        <w:trPr>
          <w:trHeight w:val="0" w:hRule="atLeast"/>
        </w:trPr>
        <w:tc>
          <w:tcPr>
            <w:tcW w:w="645" w:type="dxa"/>
            <w:vMerge w:val="continue"/>
            <w:tcBorders>
              <w:tl2br w:val="nil"/>
              <w:tr2bl w:val="nil"/>
            </w:tcBorders>
            <w:vAlign w:val="center"/>
          </w:tcPr>
          <w:p w14:paraId="71B0C550">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100"/>
                <w:position w:val="0"/>
                <w:sz w:val="21"/>
                <w:szCs w:val="21"/>
                <w:highlight w:val="none"/>
              </w:rPr>
            </w:pPr>
          </w:p>
        </w:tc>
        <w:tc>
          <w:tcPr>
            <w:tcW w:w="4253" w:type="dxa"/>
            <w:tcBorders>
              <w:tl2br w:val="nil"/>
              <w:tr2bl w:val="nil"/>
            </w:tcBorders>
            <w:vAlign w:val="center"/>
          </w:tcPr>
          <w:p w14:paraId="2B526BDE">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噪声排放执行《工业企业厂界环境噪声排放标准》</w:t>
            </w:r>
            <w:r>
              <w:rPr>
                <w:rFonts w:hint="default" w:ascii="Times New Roman" w:hAnsi="Times New Roman" w:cs="Times New Roman"/>
                <w:color w:val="auto"/>
                <w:spacing w:val="0"/>
                <w:w w:val="100"/>
                <w:position w:val="0"/>
                <w:sz w:val="21"/>
                <w:szCs w:val="21"/>
                <w:highlight w:val="none"/>
                <w:lang w:eastAsia="zh-CN"/>
              </w:rPr>
              <w:t>（</w:t>
            </w:r>
            <w:r>
              <w:rPr>
                <w:rFonts w:hint="default" w:ascii="Times New Roman" w:hAnsi="Times New Roman" w:eastAsia="宋体" w:cs="Times New Roman"/>
                <w:color w:val="auto"/>
                <w:spacing w:val="0"/>
                <w:w w:val="100"/>
                <w:position w:val="0"/>
                <w:sz w:val="21"/>
                <w:szCs w:val="21"/>
                <w:highlight w:val="none"/>
              </w:rPr>
              <w:t>GB12348</w:t>
            </w:r>
            <w:r>
              <w:rPr>
                <w:rFonts w:hint="default" w:ascii="Times New Roman" w:hAnsi="Times New Roman" w:cs="Times New Roman"/>
                <w:color w:val="auto"/>
                <w:spacing w:val="0"/>
                <w:w w:val="100"/>
                <w:position w:val="0"/>
                <w:sz w:val="21"/>
                <w:szCs w:val="21"/>
                <w:highlight w:val="none"/>
                <w:lang w:eastAsia="zh-CN"/>
              </w:rPr>
              <w:t>）</w:t>
            </w:r>
            <w:r>
              <w:rPr>
                <w:rFonts w:hint="default" w:ascii="Times New Roman" w:hAnsi="Times New Roman" w:eastAsia="宋体" w:cs="Times New Roman"/>
                <w:color w:val="auto"/>
                <w:spacing w:val="0"/>
                <w:w w:val="100"/>
                <w:position w:val="0"/>
                <w:sz w:val="21"/>
                <w:szCs w:val="21"/>
                <w:highlight w:val="none"/>
              </w:rPr>
              <w:t>。</w:t>
            </w:r>
          </w:p>
        </w:tc>
        <w:tc>
          <w:tcPr>
            <w:tcW w:w="2735" w:type="dxa"/>
            <w:tcBorders>
              <w:tl2br w:val="nil"/>
              <w:tr2bl w:val="nil"/>
            </w:tcBorders>
            <w:vAlign w:val="center"/>
          </w:tcPr>
          <w:p w14:paraId="24AEB9C2">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color w:val="auto"/>
                <w:spacing w:val="0"/>
                <w:w w:val="100"/>
                <w:position w:val="0"/>
                <w:sz w:val="21"/>
                <w:szCs w:val="21"/>
                <w:highlight w:val="none"/>
                <w:lang w:val="en-US" w:eastAsia="zh-CN"/>
              </w:rPr>
              <w:t>项目选用低噪声设备，对破碎机、球磨机等采取基础减振、厂房隔声等措施，厂界噪声可满足《工业企业厂界环境噪声排放标准》（GB12348-2008）要求。</w:t>
            </w:r>
          </w:p>
        </w:tc>
        <w:tc>
          <w:tcPr>
            <w:tcW w:w="896" w:type="dxa"/>
            <w:tcBorders>
              <w:tl2br w:val="nil"/>
              <w:tr2bl w:val="nil"/>
            </w:tcBorders>
            <w:vAlign w:val="center"/>
          </w:tcPr>
          <w:p w14:paraId="7D61EB23">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lang w:val="en-US" w:eastAsia="zh-CN"/>
              </w:rPr>
              <w:t>符合</w:t>
            </w:r>
          </w:p>
        </w:tc>
      </w:tr>
      <w:tr w14:paraId="141B2538">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108" w:type="dxa"/>
            <w:bottom w:w="0" w:type="dxa"/>
            <w:right w:w="108" w:type="dxa"/>
          </w:tblCellMar>
        </w:tblPrEx>
        <w:trPr>
          <w:trHeight w:val="4300" w:hRule="atLeast"/>
        </w:trPr>
        <w:tc>
          <w:tcPr>
            <w:tcW w:w="645" w:type="dxa"/>
            <w:vMerge w:val="continue"/>
            <w:tcBorders>
              <w:tl2br w:val="nil"/>
              <w:tr2bl w:val="nil"/>
            </w:tcBorders>
            <w:vAlign w:val="center"/>
          </w:tcPr>
          <w:p w14:paraId="7547851D">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100"/>
                <w:position w:val="0"/>
                <w:sz w:val="21"/>
                <w:szCs w:val="21"/>
                <w:highlight w:val="none"/>
              </w:rPr>
            </w:pPr>
          </w:p>
        </w:tc>
        <w:tc>
          <w:tcPr>
            <w:tcW w:w="4253" w:type="dxa"/>
            <w:tcBorders>
              <w:tl2br w:val="nil"/>
              <w:tr2bl w:val="nil"/>
            </w:tcBorders>
            <w:vAlign w:val="center"/>
          </w:tcPr>
          <w:p w14:paraId="41EC970D">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选矿项目应设置专用尾矿库，尾矿库按《尾矿设施设计规范》（GB50863）、《尾矿库安全监督管理规定</w:t>
            </w:r>
            <w:r>
              <w:rPr>
                <w:rFonts w:hint="eastAsia" w:cs="Times New Roman"/>
                <w:color w:val="auto"/>
                <w:spacing w:val="0"/>
                <w:w w:val="100"/>
                <w:position w:val="0"/>
                <w:sz w:val="21"/>
                <w:szCs w:val="21"/>
                <w:highlight w:val="none"/>
                <w:lang w:eastAsia="zh-CN"/>
              </w:rPr>
              <w:t>》《</w:t>
            </w:r>
            <w:r>
              <w:rPr>
                <w:rFonts w:hint="default" w:ascii="Times New Roman" w:hAnsi="Times New Roman" w:eastAsia="宋体" w:cs="Times New Roman"/>
                <w:color w:val="auto"/>
                <w:spacing w:val="0"/>
                <w:w w:val="100"/>
                <w:position w:val="0"/>
                <w:sz w:val="21"/>
                <w:szCs w:val="21"/>
                <w:highlight w:val="none"/>
              </w:rPr>
              <w:t>尾矿库环境应急管理工作指南（试行）》（环办〔2010〕138号）、《防范化解尾矿库安全风险工作方案》（应急〔2020〕15号）、《尾矿污染环境防治管理办法》（中华人民共和国生态环境部令第26号）等要求进行选址、建设、运行和闭库。鼓励尾矿综合利用，尾矿利用率≥10%。现有尾矿库应按《深入开展尾矿库综合治理行动方案》（安监总管一〔2013〕58号）进行整改。</w:t>
            </w:r>
          </w:p>
        </w:tc>
        <w:tc>
          <w:tcPr>
            <w:tcW w:w="2735" w:type="dxa"/>
            <w:tcBorders>
              <w:tl2br w:val="nil"/>
              <w:tr2bl w:val="nil"/>
            </w:tcBorders>
            <w:vAlign w:val="center"/>
          </w:tcPr>
          <w:p w14:paraId="1F902ED1">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left"/>
              <w:textAlignment w:val="auto"/>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项目新建专用尾矿库，总库容102万</w:t>
            </w:r>
            <w:r>
              <w:rPr>
                <w:rFonts w:hint="eastAsia" w:cs="Times New Roman"/>
                <w:color w:val="auto"/>
                <w:spacing w:val="0"/>
                <w:w w:val="100"/>
                <w:position w:val="0"/>
                <w:sz w:val="21"/>
                <w:szCs w:val="21"/>
                <w:highlight w:val="none"/>
                <w:lang w:val="en-US" w:eastAsia="zh-CN"/>
              </w:rPr>
              <w:t>m</w:t>
            </w:r>
            <w:r>
              <w:rPr>
                <w:rFonts w:hint="eastAsia" w:cs="Times New Roman"/>
                <w:color w:val="auto"/>
                <w:spacing w:val="0"/>
                <w:w w:val="100"/>
                <w:position w:val="0"/>
                <w:sz w:val="21"/>
                <w:szCs w:val="21"/>
                <w:highlight w:val="none"/>
                <w:vertAlign w:val="superscript"/>
                <w:lang w:val="en-US" w:eastAsia="zh-CN"/>
              </w:rPr>
              <w:t>3</w:t>
            </w:r>
            <w:r>
              <w:rPr>
                <w:rFonts w:hint="default" w:ascii="Times New Roman" w:hAnsi="Times New Roman" w:eastAsia="宋体" w:cs="Times New Roman"/>
                <w:color w:val="auto"/>
                <w:spacing w:val="0"/>
                <w:w w:val="100"/>
                <w:position w:val="0"/>
                <w:sz w:val="21"/>
                <w:szCs w:val="21"/>
                <w:highlight w:val="none"/>
              </w:rPr>
              <w:t>，总坝高16m，等别为四等，采用全库区HDPE土工膜防渗，设置排洪、回水及监测系统，符合相关规范要求。尾矿综合利用正在研究中，现阶段尾矿全部入库堆存。</w:t>
            </w:r>
          </w:p>
        </w:tc>
        <w:tc>
          <w:tcPr>
            <w:tcW w:w="896" w:type="dxa"/>
            <w:tcBorders>
              <w:tl2br w:val="nil"/>
              <w:tr2bl w:val="nil"/>
            </w:tcBorders>
            <w:vAlign w:val="center"/>
          </w:tcPr>
          <w:p w14:paraId="1DF5B1F5">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lang w:val="en-US" w:eastAsia="zh-CN"/>
              </w:rPr>
              <w:t>符合</w:t>
            </w:r>
          </w:p>
        </w:tc>
      </w:tr>
    </w:tbl>
    <w:p w14:paraId="34D5E9E4">
      <w:pPr>
        <w:widowControl w:val="0"/>
        <w:spacing w:after="0" w:line="480" w:lineRule="exact"/>
        <w:ind w:left="0" w:leftChars="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综上，本项目符合《新疆维吾尔自治区重点行业生态环境准入条件（2024年）》</w:t>
      </w:r>
      <w:r>
        <w:rPr>
          <w:rFonts w:hint="eastAsia" w:cs="Times New Roman"/>
          <w:color w:val="auto"/>
          <w:kern w:val="2"/>
          <w:sz w:val="24"/>
          <w:szCs w:val="24"/>
          <w:highlight w:val="none"/>
          <w:lang w:val="en-US" w:eastAsia="zh-CN" w:bidi="ar-SA"/>
        </w:rPr>
        <w:t>中</w:t>
      </w:r>
      <w:r>
        <w:rPr>
          <w:rFonts w:hint="default" w:ascii="Times New Roman" w:hAnsi="Times New Roman" w:eastAsia="宋体" w:cs="Times New Roman"/>
          <w:color w:val="auto"/>
          <w:kern w:val="2"/>
          <w:sz w:val="24"/>
          <w:szCs w:val="24"/>
          <w:highlight w:val="none"/>
          <w:lang w:val="en-US" w:eastAsia="zh-CN" w:bidi="ar-SA"/>
        </w:rPr>
        <w:t>关于非金属矿选矿的相关要求。</w:t>
      </w:r>
    </w:p>
    <w:p w14:paraId="364F7D99">
      <w:pPr>
        <w:keepNext/>
        <w:keepLines/>
        <w:widowControl w:val="0"/>
        <w:spacing w:before="60" w:after="60" w:line="480" w:lineRule="exact"/>
        <w:ind w:firstLine="0" w:firstLineChars="0"/>
        <w:jc w:val="both"/>
        <w:outlineLvl w:val="2"/>
        <w:rPr>
          <w:rFonts w:hint="default" w:ascii="Times New Roman" w:hAnsi="Times New Roman" w:eastAsia="宋体" w:cs="Times New Roman"/>
          <w:b/>
          <w:bCs/>
          <w:color w:val="auto"/>
          <w:kern w:val="2"/>
          <w:sz w:val="30"/>
          <w:szCs w:val="32"/>
          <w:highlight w:val="none"/>
          <w:lang w:val="en-US" w:eastAsia="zh-CN" w:bidi="ar-SA"/>
        </w:rPr>
      </w:pPr>
      <w:bookmarkStart w:id="47" w:name="_Toc548"/>
      <w:bookmarkStart w:id="48" w:name="_Toc31491"/>
      <w:bookmarkStart w:id="49" w:name="_Toc13231"/>
      <w:r>
        <w:rPr>
          <w:rFonts w:hint="default" w:ascii="Times New Roman" w:hAnsi="Times New Roman" w:eastAsia="宋体" w:cs="Times New Roman"/>
          <w:b/>
          <w:bCs/>
          <w:color w:val="auto"/>
          <w:kern w:val="2"/>
          <w:sz w:val="30"/>
          <w:szCs w:val="32"/>
          <w:highlight w:val="none"/>
          <w:lang w:val="en-US" w:eastAsia="zh-CN" w:bidi="ar-SA"/>
        </w:rPr>
        <w:t>1.3.3其他相关政策及规划符合性分析</w:t>
      </w:r>
      <w:bookmarkEnd w:id="47"/>
      <w:bookmarkEnd w:id="48"/>
      <w:bookmarkEnd w:id="49"/>
    </w:p>
    <w:p w14:paraId="73F06B92">
      <w:pPr>
        <w:keepNext/>
        <w:keepLines/>
        <w:widowControl w:val="0"/>
        <w:spacing w:line="480" w:lineRule="exact"/>
        <w:ind w:firstLine="482" w:firstLineChars="200"/>
        <w:jc w:val="both"/>
        <w:outlineLvl w:val="3"/>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1.3.3.1与《新疆维吾尔自治区主体功能区规划》等的符合性</w:t>
      </w:r>
    </w:p>
    <w:p w14:paraId="779B48BF">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snapToGrid/>
          <w:color w:val="auto"/>
          <w:kern w:val="2"/>
          <w:sz w:val="24"/>
          <w:szCs w:val="24"/>
          <w:highlight w:val="none"/>
          <w:lang w:val="en-US" w:eastAsia="zh-CN" w:bidi="ar-SA"/>
        </w:rPr>
      </w:pPr>
      <w:r>
        <w:rPr>
          <w:rFonts w:hint="default" w:ascii="Times New Roman" w:hAnsi="Times New Roman" w:eastAsia="宋体" w:cs="Times New Roman"/>
          <w:snapToGrid/>
          <w:color w:val="auto"/>
          <w:kern w:val="2"/>
          <w:sz w:val="24"/>
          <w:szCs w:val="24"/>
          <w:highlight w:val="none"/>
          <w:lang w:val="en-US" w:eastAsia="zh-CN" w:bidi="ar-SA"/>
        </w:rPr>
        <w:t>《新疆维吾尔自治区主体功能区规划》中提出：主体功能区与能源和矿产资源开发的关系。一些能源和矿产资源富集的区域往往同时是生态脆弱或生态重要的区域，被划分为限制进行大规模高强度工业化城镇化开发的重点生态功能区或农产品主产区，并不是限制能源和矿产资源的开发，这类区域中的能源和矿产资源，仍然可以依法开发，资源开采的地点仍然可以定义为能源或矿产资源的重点开发基地，但应该按照该区域的主体功能定位实行</w:t>
      </w:r>
      <w:r>
        <w:rPr>
          <w:rFonts w:hint="eastAsia" w:cs="Times New Roman"/>
          <w:snapToGrid/>
          <w:color w:val="auto"/>
          <w:kern w:val="2"/>
          <w:sz w:val="24"/>
          <w:szCs w:val="24"/>
          <w:highlight w:val="none"/>
          <w:lang w:val="en-US" w:eastAsia="zh-CN" w:bidi="ar-SA"/>
        </w:rPr>
        <w:t>“</w:t>
      </w:r>
      <w:r>
        <w:rPr>
          <w:rFonts w:hint="default" w:ascii="Times New Roman" w:hAnsi="Times New Roman" w:eastAsia="宋体" w:cs="Times New Roman"/>
          <w:snapToGrid/>
          <w:color w:val="auto"/>
          <w:kern w:val="2"/>
          <w:sz w:val="24"/>
          <w:szCs w:val="24"/>
          <w:highlight w:val="none"/>
          <w:lang w:val="en-US" w:eastAsia="zh-CN" w:bidi="ar-SA"/>
        </w:rPr>
        <w:t>点上开发、面上保护</w:t>
      </w:r>
      <w:r>
        <w:rPr>
          <w:rFonts w:hint="eastAsia" w:cs="Times New Roman"/>
          <w:snapToGrid/>
          <w:color w:val="auto"/>
          <w:kern w:val="2"/>
          <w:sz w:val="24"/>
          <w:szCs w:val="24"/>
          <w:highlight w:val="none"/>
          <w:lang w:val="en-US" w:eastAsia="zh-CN" w:bidi="ar-SA"/>
        </w:rPr>
        <w:t>”</w:t>
      </w:r>
      <w:r>
        <w:rPr>
          <w:rFonts w:hint="default" w:ascii="Times New Roman" w:hAnsi="Times New Roman" w:eastAsia="宋体" w:cs="Times New Roman"/>
          <w:snapToGrid/>
          <w:color w:val="auto"/>
          <w:kern w:val="2"/>
          <w:sz w:val="24"/>
          <w:szCs w:val="24"/>
          <w:highlight w:val="none"/>
          <w:lang w:val="en-US" w:eastAsia="zh-CN" w:bidi="ar-SA"/>
        </w:rPr>
        <w:t>。</w:t>
      </w:r>
    </w:p>
    <w:p w14:paraId="45453FC6">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snapToGrid/>
          <w:color w:val="auto"/>
          <w:kern w:val="2"/>
          <w:sz w:val="24"/>
          <w:szCs w:val="24"/>
          <w:highlight w:val="none"/>
          <w:lang w:val="en-US" w:eastAsia="zh-CN" w:bidi="ar-SA"/>
        </w:rPr>
      </w:pPr>
      <w:r>
        <w:rPr>
          <w:rFonts w:hint="default" w:ascii="Times New Roman" w:hAnsi="Times New Roman" w:eastAsia="宋体" w:cs="Times New Roman"/>
          <w:snapToGrid/>
          <w:color w:val="auto"/>
          <w:kern w:val="2"/>
          <w:sz w:val="24"/>
          <w:szCs w:val="24"/>
          <w:highlight w:val="none"/>
          <w:lang w:val="en-US" w:eastAsia="zh-CN" w:bidi="ar-SA"/>
        </w:rPr>
        <w:t>形成资源点状开发，生态面上保护的空间结构。针对阿尔泰山、塔里木盆地、准噶尔盆地等地的矿产资源富集区域的开发，要在科学规划的基础上，以点状开发方式有序进行，其开发强度控制在规划目标之内，尽可能减少对生态环境的扰动和破坏，同时加强对矿产开发区迹地的生态修复。</w:t>
      </w:r>
    </w:p>
    <w:p w14:paraId="735079A8">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snapToGrid/>
          <w:color w:val="auto"/>
          <w:kern w:val="2"/>
          <w:sz w:val="24"/>
          <w:szCs w:val="24"/>
          <w:highlight w:val="none"/>
          <w:lang w:val="en-US" w:eastAsia="zh-CN" w:bidi="ar-SA"/>
        </w:rPr>
      </w:pPr>
      <w:r>
        <w:rPr>
          <w:rFonts w:hint="default" w:ascii="Times New Roman" w:hAnsi="Times New Roman" w:eastAsia="宋体" w:cs="Times New Roman"/>
          <w:snapToGrid/>
          <w:color w:val="auto"/>
          <w:kern w:val="2"/>
          <w:sz w:val="24"/>
          <w:szCs w:val="24"/>
          <w:highlight w:val="none"/>
          <w:lang w:val="en-US" w:eastAsia="zh-CN" w:bidi="ar-SA"/>
        </w:rPr>
        <w:t>限制开发区域是指关系国家农产品供给安全和生态安全，不应该或不适宜进行大规模、高强度工业化城镇化开发的农产品主产区和重点生态功能区。限制开发区域分为两类：一类是农产品主产区，即耕地较多、农业发展条件较好，尽管也适宜工业化城镇化开发，但从保障国家农产品安全以及国家永续发展的需要出发，必须把增强农业综合生产能力作为发展的首要任务，从而应该限制大规模高强度工业化城镇化开发的地区；一类是重点生态功能区，即生态系统脆弱或生态功能重要，资源环境承载能力较低，不具备大规模高强度工业化城镇化开发的条件，必须把增强生态产品生产能力作为首要任务，从而应该限制进行大规模高强度工业化城镇化开发的地区。</w:t>
      </w:r>
    </w:p>
    <w:p w14:paraId="05AAD4E4">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snapToGrid/>
          <w:color w:val="auto"/>
          <w:kern w:val="2"/>
          <w:sz w:val="24"/>
          <w:szCs w:val="24"/>
          <w:highlight w:val="none"/>
          <w:lang w:val="en-US" w:eastAsia="zh-CN" w:bidi="ar-SA"/>
        </w:rPr>
      </w:pPr>
      <w:r>
        <w:rPr>
          <w:rFonts w:hint="default" w:ascii="Times New Roman" w:hAnsi="Times New Roman" w:eastAsia="宋体" w:cs="Times New Roman"/>
          <w:snapToGrid/>
          <w:color w:val="auto"/>
          <w:kern w:val="2"/>
          <w:sz w:val="24"/>
          <w:szCs w:val="24"/>
          <w:highlight w:val="none"/>
          <w:lang w:val="en-US" w:eastAsia="zh-CN" w:bidi="ar-SA"/>
        </w:rPr>
        <w:t>禁止开发区域是指依法设立的各级各类自然文化资源保护区域，以及其他禁止进行工业化城镇化开发、需要特殊保护的重点生态功能区。国家层面的禁止开发区域包括国家级自然保护区、世界文化自然遗产、国家级风景名胜区、国家森林公园、国家地质公园。省级层面的禁止开发区域，包括省级及以下各级各类自然文化资源保护区域、重要水源地、重要湿地以及其他省级人民政府根据需要确定的禁止开发区域。</w:t>
      </w:r>
    </w:p>
    <w:p w14:paraId="2688C67F">
      <w:pPr>
        <w:widowControl/>
        <w:overflowPunct w:val="0"/>
        <w:topLinePunct/>
        <w:ind w:firstLine="480"/>
        <w:rPr>
          <w:rFonts w:hint="default" w:ascii="Times New Roman" w:hAnsi="Times New Roman" w:cs="Times New Roman"/>
          <w:color w:val="auto"/>
          <w:highlight w:val="none"/>
        </w:rPr>
      </w:pPr>
      <w:r>
        <w:rPr>
          <w:rFonts w:hint="default" w:ascii="Times New Roman" w:hAnsi="Times New Roman" w:eastAsia="宋体" w:cs="Times New Roman"/>
          <w:snapToGrid/>
          <w:color w:val="auto"/>
          <w:kern w:val="2"/>
          <w:sz w:val="24"/>
          <w:szCs w:val="24"/>
          <w:highlight w:val="none"/>
          <w:lang w:val="en-US" w:eastAsia="zh-CN" w:bidi="ar-SA"/>
        </w:rPr>
        <w:t>本项目所属区域不属于重点开发区</w:t>
      </w:r>
      <w:r>
        <w:rPr>
          <w:rFonts w:hint="eastAsia" w:cs="Times New Roman"/>
          <w:snapToGrid/>
          <w:color w:val="auto"/>
          <w:kern w:val="2"/>
          <w:sz w:val="24"/>
          <w:szCs w:val="24"/>
          <w:highlight w:val="none"/>
          <w:lang w:val="en-US" w:eastAsia="zh-CN" w:bidi="ar-SA"/>
        </w:rPr>
        <w:t>，也</w:t>
      </w:r>
      <w:r>
        <w:rPr>
          <w:rFonts w:hint="default" w:ascii="Times New Roman" w:hAnsi="Times New Roman" w:eastAsia="宋体" w:cs="Times New Roman"/>
          <w:snapToGrid/>
          <w:color w:val="auto"/>
          <w:kern w:val="2"/>
          <w:sz w:val="24"/>
          <w:szCs w:val="24"/>
          <w:highlight w:val="none"/>
          <w:lang w:val="en-US" w:eastAsia="zh-CN" w:bidi="ar-SA"/>
        </w:rPr>
        <w:t>不属于禁止与限制开发区，视为一般开发区。</w:t>
      </w:r>
      <w:r>
        <w:rPr>
          <w:rFonts w:hint="default" w:ascii="Times New Roman" w:hAnsi="Times New Roman" w:cs="Times New Roman"/>
          <w:color w:val="auto"/>
          <w:kern w:val="0"/>
          <w:highlight w:val="none"/>
        </w:rPr>
        <w:t>本次评价提出</w:t>
      </w:r>
      <w:r>
        <w:rPr>
          <w:rFonts w:hint="eastAsia" w:cs="Times New Roman"/>
          <w:color w:val="auto"/>
          <w:kern w:val="0"/>
          <w:highlight w:val="none"/>
          <w:lang w:val="en-US" w:eastAsia="zh-CN"/>
        </w:rPr>
        <w:t>选矿破碎筛分采取密闭厂房及水喷淋的措施</w:t>
      </w:r>
      <w:r>
        <w:rPr>
          <w:rFonts w:hint="default" w:ascii="Times New Roman" w:hAnsi="Times New Roman" w:cs="Times New Roman"/>
          <w:color w:val="auto"/>
          <w:highlight w:val="none"/>
        </w:rPr>
        <w:t>，</w:t>
      </w:r>
      <w:r>
        <w:rPr>
          <w:rFonts w:hint="eastAsia" w:cs="Times New Roman"/>
          <w:color w:val="auto"/>
          <w:highlight w:val="none"/>
          <w:lang w:val="en-US" w:eastAsia="zh-CN"/>
        </w:rPr>
        <w:t>其他</w:t>
      </w:r>
      <w:r>
        <w:rPr>
          <w:rFonts w:hint="default" w:ascii="Times New Roman" w:hAnsi="Times New Roman" w:cs="Times New Roman"/>
          <w:color w:val="auto"/>
          <w:highlight w:val="none"/>
        </w:rPr>
        <w:t>无组织产尘点需定期进行洒水降尘等抑尘措施</w:t>
      </w:r>
      <w:r>
        <w:rPr>
          <w:rFonts w:hint="eastAsia" w:cs="Times New Roman"/>
          <w:color w:val="auto"/>
          <w:highlight w:val="none"/>
          <w:lang w:eastAsia="zh-CN"/>
        </w:rPr>
        <w:t>，锅炉废气采用“高温袋式除尘+SNCR脱硝+水膜脱硫除尘”组合工艺处理，经40m高排气筒排放</w:t>
      </w:r>
      <w:r>
        <w:rPr>
          <w:rFonts w:hint="default" w:ascii="Times New Roman" w:hAnsi="Times New Roman" w:cs="Times New Roman"/>
          <w:color w:val="auto"/>
          <w:highlight w:val="none"/>
        </w:rPr>
        <w:t>。运输车辆加盖</w:t>
      </w:r>
      <w:r>
        <w:rPr>
          <w:rFonts w:hint="eastAsia" w:cs="Times New Roman"/>
          <w:color w:val="auto"/>
          <w:highlight w:val="none"/>
          <w:lang w:eastAsia="zh-CN"/>
        </w:rPr>
        <w:t>篷布</w:t>
      </w:r>
      <w:r>
        <w:rPr>
          <w:rFonts w:hint="default" w:ascii="Times New Roman" w:hAnsi="Times New Roman" w:cs="Times New Roman"/>
          <w:color w:val="auto"/>
          <w:highlight w:val="none"/>
        </w:rPr>
        <w:t>，运输全程均需密闭，做到无逸散、无撒漏，防止运输中抛撒引起的扬尘；加强尾矿库及应急设施的建设及管理</w:t>
      </w:r>
      <w:r>
        <w:rPr>
          <w:rFonts w:hint="default" w:ascii="Times New Roman" w:hAnsi="Times New Roman" w:cs="Times New Roman"/>
          <w:color w:val="auto"/>
          <w:highlight w:val="none"/>
          <w:lang w:eastAsia="zh-CN"/>
        </w:rPr>
        <w:t>；禁止破坏占地范围外自然植被，禁止捕猎野生动物</w:t>
      </w:r>
      <w:r>
        <w:rPr>
          <w:rFonts w:hint="default" w:ascii="Times New Roman" w:hAnsi="Times New Roman" w:cs="Times New Roman"/>
          <w:color w:val="auto"/>
          <w:kern w:val="0"/>
          <w:highlight w:val="none"/>
        </w:rPr>
        <w:t>。在采取各项生态保护措施的前提下，项目区植被将得以最大程度地恢复，项目建设</w:t>
      </w:r>
      <w:r>
        <w:rPr>
          <w:rFonts w:hint="default" w:ascii="Times New Roman" w:hAnsi="Times New Roman" w:cs="Times New Roman"/>
          <w:color w:val="auto"/>
          <w:highlight w:val="none"/>
        </w:rPr>
        <w:t>对区域生态影响可接受。综上，</w:t>
      </w:r>
      <w:r>
        <w:rPr>
          <w:rFonts w:hint="default" w:ascii="Times New Roman" w:hAnsi="Times New Roman" w:cs="Times New Roman"/>
          <w:color w:val="auto"/>
          <w:kern w:val="0"/>
          <w:highlight w:val="none"/>
        </w:rPr>
        <w:t>本项目符合《新疆维吾尔自治区主体功能区规划》中的相关要求。</w:t>
      </w:r>
    </w:p>
    <w:p w14:paraId="7DFAD4FB">
      <w:pPr>
        <w:keepNext/>
        <w:keepLines/>
        <w:widowControl w:val="0"/>
        <w:spacing w:line="480" w:lineRule="exact"/>
        <w:ind w:firstLine="482" w:firstLineChars="200"/>
        <w:jc w:val="both"/>
        <w:outlineLvl w:val="3"/>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1.3.3.2与《新疆生态功能区划》的符合性分析</w:t>
      </w:r>
    </w:p>
    <w:p w14:paraId="793B1FE8">
      <w:pPr>
        <w:widowControl w:val="0"/>
        <w:overflowPunct w:val="0"/>
        <w:topLinePunct/>
        <w:spacing w:line="480" w:lineRule="exact"/>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0"/>
          <w:highlight w:val="none"/>
          <w:lang w:val="en-US" w:eastAsia="zh-CN" w:bidi="ar-SA"/>
        </w:rPr>
        <w:t>根据《新疆生态功能区划》，本项目位于Ⅲ天山山地温性草原、森林生态区—Ⅲ</w:t>
      </w:r>
      <w:r>
        <w:rPr>
          <w:rFonts w:hint="default" w:ascii="Times New Roman" w:hAnsi="Times New Roman" w:eastAsia="宋体" w:cs="Times New Roman"/>
          <w:color w:val="auto"/>
          <w:kern w:val="2"/>
          <w:sz w:val="24"/>
          <w:szCs w:val="20"/>
          <w:highlight w:val="none"/>
          <w:vertAlign w:val="subscript"/>
          <w:lang w:val="en-US" w:eastAsia="zh-CN" w:bidi="ar-SA"/>
        </w:rPr>
        <w:t>4</w:t>
      </w:r>
      <w:r>
        <w:rPr>
          <w:rFonts w:hint="default" w:ascii="Times New Roman" w:hAnsi="Times New Roman" w:eastAsia="宋体" w:cs="Times New Roman"/>
          <w:color w:val="auto"/>
          <w:kern w:val="2"/>
          <w:sz w:val="24"/>
          <w:szCs w:val="20"/>
          <w:highlight w:val="none"/>
          <w:lang w:val="en-US" w:eastAsia="zh-CN" w:bidi="ar-SA"/>
        </w:rPr>
        <w:t>天山南坡吐鲁番—哈密盆地戈壁荒漠、绿洲农业生态亚区—53.嘎顺—南湖戈壁荒漠风蚀敏感生态功能区。</w:t>
      </w:r>
      <w:r>
        <w:rPr>
          <w:rFonts w:hint="default" w:ascii="Times New Roman" w:hAnsi="Times New Roman" w:eastAsia="宋体" w:cs="Times New Roman"/>
          <w:color w:val="auto"/>
          <w:kern w:val="2"/>
          <w:sz w:val="24"/>
          <w:szCs w:val="24"/>
          <w:highlight w:val="none"/>
          <w:lang w:val="en-US" w:eastAsia="zh-CN" w:bidi="ar-SA"/>
        </w:rPr>
        <w:t>该生态功能区的主要生态服务功能、生态敏感因子、主要生态环境问题和主要保护目标见表1.3-6，新疆生态功能区划图见图1.3-3。</w:t>
      </w:r>
    </w:p>
    <w:p w14:paraId="72C883EE">
      <w:pPr>
        <w:adjustRightInd w:val="0"/>
        <w:snapToGrid w:val="0"/>
        <w:ind w:firstLine="0" w:firstLineChars="0"/>
        <w:jc w:val="center"/>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表1.3-6    项目所在区域生态功能区划</w:t>
      </w:r>
    </w:p>
    <w:tbl>
      <w:tblPr>
        <w:tblStyle w:val="33"/>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70"/>
        <w:gridCol w:w="1739"/>
        <w:gridCol w:w="5621"/>
      </w:tblGrid>
      <w:tr w14:paraId="5E25A8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70" w:type="dxa"/>
            <w:vMerge w:val="restart"/>
            <w:noWrap w:val="0"/>
            <w:vAlign w:val="center"/>
          </w:tcPr>
          <w:p w14:paraId="6571E640">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auto"/>
                <w:kern w:val="0"/>
                <w:sz w:val="21"/>
                <w:szCs w:val="22"/>
                <w:highlight w:val="none"/>
                <w:lang w:bidi="ar"/>
              </w:rPr>
            </w:pPr>
            <w:r>
              <w:rPr>
                <w:rFonts w:hint="default" w:ascii="Times New Roman" w:hAnsi="Times New Roman" w:eastAsia="宋体" w:cs="Times New Roman"/>
                <w:b/>
                <w:bCs/>
                <w:color w:val="auto"/>
                <w:kern w:val="0"/>
                <w:sz w:val="21"/>
                <w:szCs w:val="22"/>
                <w:highlight w:val="none"/>
                <w:lang w:bidi="ar"/>
              </w:rPr>
              <w:t>生态功能分区单元</w:t>
            </w:r>
          </w:p>
        </w:tc>
        <w:tc>
          <w:tcPr>
            <w:tcW w:w="1739" w:type="dxa"/>
            <w:noWrap w:val="0"/>
            <w:vAlign w:val="center"/>
          </w:tcPr>
          <w:p w14:paraId="7BDA92A1">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auto"/>
                <w:kern w:val="0"/>
                <w:sz w:val="21"/>
                <w:szCs w:val="22"/>
                <w:highlight w:val="none"/>
                <w:lang w:bidi="ar"/>
              </w:rPr>
            </w:pPr>
            <w:r>
              <w:rPr>
                <w:rFonts w:hint="default" w:ascii="Times New Roman" w:hAnsi="Times New Roman" w:eastAsia="宋体" w:cs="Times New Roman"/>
                <w:b/>
                <w:bCs/>
                <w:color w:val="auto"/>
                <w:kern w:val="0"/>
                <w:sz w:val="21"/>
                <w:szCs w:val="22"/>
                <w:highlight w:val="none"/>
                <w:lang w:bidi="ar"/>
              </w:rPr>
              <w:t>生态区</w:t>
            </w:r>
          </w:p>
        </w:tc>
        <w:tc>
          <w:tcPr>
            <w:tcW w:w="5621" w:type="dxa"/>
            <w:noWrap w:val="0"/>
            <w:vAlign w:val="center"/>
          </w:tcPr>
          <w:p w14:paraId="716FB34D">
            <w:pPr>
              <w:keepNext w:val="0"/>
              <w:keepLines w:val="0"/>
              <w:widowControl w:val="0"/>
              <w:suppressLineNumbers w:val="0"/>
              <w:spacing w:before="0" w:beforeAutospacing="0" w:after="0" w:afterAutospacing="0" w:line="360" w:lineRule="exact"/>
              <w:ind w:left="0" w:right="0" w:firstLine="420" w:firstLineChars="20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Ⅲ天山山地温性草原、森林生态区</w:t>
            </w:r>
          </w:p>
        </w:tc>
      </w:tr>
      <w:tr w14:paraId="4B6935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70" w:type="dxa"/>
            <w:vMerge w:val="continue"/>
            <w:noWrap w:val="0"/>
            <w:vAlign w:val="center"/>
          </w:tcPr>
          <w:p w14:paraId="3B9B2AC5">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auto"/>
                <w:kern w:val="0"/>
                <w:sz w:val="21"/>
                <w:szCs w:val="22"/>
                <w:highlight w:val="none"/>
                <w:lang w:bidi="ar"/>
              </w:rPr>
            </w:pPr>
          </w:p>
        </w:tc>
        <w:tc>
          <w:tcPr>
            <w:tcW w:w="1739" w:type="dxa"/>
            <w:noWrap w:val="0"/>
            <w:vAlign w:val="center"/>
          </w:tcPr>
          <w:p w14:paraId="55875525">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auto"/>
                <w:kern w:val="0"/>
                <w:sz w:val="21"/>
                <w:szCs w:val="22"/>
                <w:highlight w:val="none"/>
                <w:lang w:bidi="ar"/>
              </w:rPr>
            </w:pPr>
            <w:r>
              <w:rPr>
                <w:rFonts w:hint="default" w:ascii="Times New Roman" w:hAnsi="Times New Roman" w:eastAsia="宋体" w:cs="Times New Roman"/>
                <w:b/>
                <w:bCs/>
                <w:color w:val="auto"/>
                <w:kern w:val="0"/>
                <w:sz w:val="21"/>
                <w:szCs w:val="22"/>
                <w:highlight w:val="none"/>
                <w:lang w:bidi="ar"/>
              </w:rPr>
              <w:t>生态亚区</w:t>
            </w:r>
          </w:p>
        </w:tc>
        <w:tc>
          <w:tcPr>
            <w:tcW w:w="5621" w:type="dxa"/>
            <w:noWrap w:val="0"/>
            <w:vAlign w:val="center"/>
          </w:tcPr>
          <w:p w14:paraId="5353E801">
            <w:pPr>
              <w:keepNext w:val="0"/>
              <w:keepLines w:val="0"/>
              <w:widowControl w:val="0"/>
              <w:suppressLineNumbers w:val="0"/>
              <w:spacing w:before="0" w:beforeAutospacing="0" w:after="0" w:afterAutospacing="0" w:line="360" w:lineRule="exact"/>
              <w:ind w:left="0" w:right="0" w:firstLine="420" w:firstLineChars="20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Ⅲ</w:t>
            </w:r>
            <w:r>
              <w:rPr>
                <w:rFonts w:hint="default" w:ascii="Times New Roman" w:hAnsi="Times New Roman" w:eastAsia="宋体" w:cs="Times New Roman"/>
                <w:color w:val="auto"/>
                <w:kern w:val="0"/>
                <w:sz w:val="21"/>
                <w:szCs w:val="21"/>
                <w:highlight w:val="none"/>
                <w:vertAlign w:val="subscript"/>
                <w:lang w:val="en-US" w:eastAsia="zh-CN" w:bidi="ar"/>
              </w:rPr>
              <w:t>4</w:t>
            </w:r>
            <w:r>
              <w:rPr>
                <w:rFonts w:hint="default" w:ascii="Times New Roman" w:hAnsi="Times New Roman" w:eastAsia="宋体" w:cs="Times New Roman"/>
                <w:color w:val="auto"/>
                <w:kern w:val="0"/>
                <w:sz w:val="21"/>
                <w:szCs w:val="21"/>
                <w:highlight w:val="none"/>
                <w:lang w:val="en-US" w:eastAsia="zh-CN" w:bidi="ar"/>
              </w:rPr>
              <w:t>天山南坡吐鲁番—哈密盆地戈壁荒漠、绿洲农业生态亚区</w:t>
            </w:r>
          </w:p>
        </w:tc>
      </w:tr>
      <w:tr w14:paraId="5BFF37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70" w:type="dxa"/>
            <w:vMerge w:val="continue"/>
            <w:noWrap w:val="0"/>
            <w:vAlign w:val="center"/>
          </w:tcPr>
          <w:p w14:paraId="0AADD3F9">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auto"/>
                <w:kern w:val="0"/>
                <w:sz w:val="21"/>
                <w:szCs w:val="22"/>
                <w:highlight w:val="none"/>
                <w:lang w:bidi="ar"/>
              </w:rPr>
            </w:pPr>
          </w:p>
        </w:tc>
        <w:tc>
          <w:tcPr>
            <w:tcW w:w="1739" w:type="dxa"/>
            <w:noWrap w:val="0"/>
            <w:vAlign w:val="center"/>
          </w:tcPr>
          <w:p w14:paraId="7E10FEDD">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auto"/>
                <w:kern w:val="0"/>
                <w:sz w:val="21"/>
                <w:szCs w:val="22"/>
                <w:highlight w:val="none"/>
                <w:lang w:bidi="ar"/>
              </w:rPr>
            </w:pPr>
            <w:r>
              <w:rPr>
                <w:rFonts w:hint="default" w:ascii="Times New Roman" w:hAnsi="Times New Roman" w:eastAsia="宋体" w:cs="Times New Roman"/>
                <w:b/>
                <w:bCs/>
                <w:color w:val="auto"/>
                <w:kern w:val="0"/>
                <w:sz w:val="21"/>
                <w:szCs w:val="22"/>
                <w:highlight w:val="none"/>
                <w:lang w:bidi="ar"/>
              </w:rPr>
              <w:t>生态功能区</w:t>
            </w:r>
          </w:p>
        </w:tc>
        <w:tc>
          <w:tcPr>
            <w:tcW w:w="5621" w:type="dxa"/>
            <w:noWrap w:val="0"/>
            <w:vAlign w:val="center"/>
          </w:tcPr>
          <w:p w14:paraId="2740AEF2">
            <w:pPr>
              <w:keepNext w:val="0"/>
              <w:keepLines w:val="0"/>
              <w:widowControl w:val="0"/>
              <w:suppressLineNumbers w:val="0"/>
              <w:spacing w:before="0" w:beforeAutospacing="0" w:after="0" w:afterAutospacing="0" w:line="360" w:lineRule="exact"/>
              <w:ind w:left="0" w:right="0" w:firstLine="420" w:firstLineChars="20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53.嘎顺—南湖戈壁荒漠风蚀敏感生态功能区</w:t>
            </w:r>
          </w:p>
        </w:tc>
      </w:tr>
      <w:tr w14:paraId="4EB132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09" w:type="dxa"/>
            <w:gridSpan w:val="2"/>
            <w:noWrap w:val="0"/>
            <w:vAlign w:val="center"/>
          </w:tcPr>
          <w:p w14:paraId="0FCF2267">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auto"/>
                <w:kern w:val="0"/>
                <w:sz w:val="21"/>
                <w:szCs w:val="22"/>
                <w:highlight w:val="none"/>
                <w:lang w:bidi="ar"/>
              </w:rPr>
            </w:pPr>
            <w:r>
              <w:rPr>
                <w:rFonts w:hint="default" w:ascii="Times New Roman" w:hAnsi="Times New Roman" w:eastAsia="宋体" w:cs="Times New Roman"/>
                <w:b/>
                <w:bCs/>
                <w:color w:val="auto"/>
                <w:kern w:val="0"/>
                <w:sz w:val="21"/>
                <w:szCs w:val="22"/>
                <w:highlight w:val="none"/>
                <w:lang w:bidi="ar"/>
              </w:rPr>
              <w:t>隶属行政区</w:t>
            </w:r>
          </w:p>
        </w:tc>
        <w:tc>
          <w:tcPr>
            <w:tcW w:w="5621" w:type="dxa"/>
            <w:noWrap w:val="0"/>
            <w:vAlign w:val="center"/>
          </w:tcPr>
          <w:p w14:paraId="368550ED">
            <w:pPr>
              <w:keepNext w:val="0"/>
              <w:keepLines w:val="0"/>
              <w:widowControl w:val="0"/>
              <w:suppressLineNumbers w:val="0"/>
              <w:spacing w:before="0" w:beforeAutospacing="0" w:after="0" w:afterAutospacing="0" w:line="360" w:lineRule="exact"/>
              <w:ind w:left="0" w:right="0" w:firstLine="420" w:firstLineChars="20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哈密市</w:t>
            </w:r>
          </w:p>
        </w:tc>
      </w:tr>
      <w:tr w14:paraId="6F4A01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09" w:type="dxa"/>
            <w:gridSpan w:val="2"/>
            <w:noWrap w:val="0"/>
            <w:vAlign w:val="center"/>
          </w:tcPr>
          <w:p w14:paraId="57BB98DF">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auto"/>
                <w:kern w:val="0"/>
                <w:sz w:val="21"/>
                <w:szCs w:val="22"/>
                <w:highlight w:val="none"/>
                <w:lang w:bidi="ar"/>
              </w:rPr>
            </w:pPr>
            <w:r>
              <w:rPr>
                <w:rFonts w:hint="default" w:ascii="Times New Roman" w:hAnsi="Times New Roman" w:eastAsia="宋体" w:cs="Times New Roman"/>
                <w:b/>
                <w:bCs/>
                <w:color w:val="auto"/>
                <w:kern w:val="0"/>
                <w:sz w:val="21"/>
                <w:szCs w:val="22"/>
                <w:highlight w:val="none"/>
                <w:lang w:bidi="ar"/>
              </w:rPr>
              <w:t>主要生态服务功能</w:t>
            </w:r>
          </w:p>
        </w:tc>
        <w:tc>
          <w:tcPr>
            <w:tcW w:w="5621" w:type="dxa"/>
            <w:noWrap w:val="0"/>
            <w:vAlign w:val="center"/>
          </w:tcPr>
          <w:p w14:paraId="367C2DAF">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荒漠化控制、生物多样性维护、矿产资源开发</w:t>
            </w:r>
          </w:p>
        </w:tc>
      </w:tr>
      <w:tr w14:paraId="4FA0AC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09" w:type="dxa"/>
            <w:gridSpan w:val="2"/>
            <w:noWrap w:val="0"/>
            <w:vAlign w:val="center"/>
          </w:tcPr>
          <w:p w14:paraId="5B1D0F13">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auto"/>
                <w:kern w:val="0"/>
                <w:sz w:val="21"/>
                <w:szCs w:val="22"/>
                <w:highlight w:val="none"/>
                <w:lang w:bidi="ar"/>
              </w:rPr>
            </w:pPr>
            <w:r>
              <w:rPr>
                <w:rFonts w:hint="default" w:ascii="Times New Roman" w:hAnsi="Times New Roman" w:eastAsia="宋体" w:cs="Times New Roman"/>
                <w:b/>
                <w:bCs/>
                <w:color w:val="auto"/>
                <w:kern w:val="0"/>
                <w:sz w:val="21"/>
                <w:szCs w:val="22"/>
                <w:highlight w:val="none"/>
                <w:lang w:bidi="ar"/>
              </w:rPr>
              <w:t>主要生态环境问题</w:t>
            </w:r>
          </w:p>
        </w:tc>
        <w:tc>
          <w:tcPr>
            <w:tcW w:w="5621" w:type="dxa"/>
            <w:noWrap w:val="0"/>
            <w:vAlign w:val="center"/>
          </w:tcPr>
          <w:p w14:paraId="25021BEF">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风沙危害铁路公路、地表形态破坏</w:t>
            </w:r>
          </w:p>
        </w:tc>
      </w:tr>
      <w:tr w14:paraId="08758E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09" w:type="dxa"/>
            <w:gridSpan w:val="2"/>
            <w:noWrap w:val="0"/>
            <w:vAlign w:val="center"/>
          </w:tcPr>
          <w:p w14:paraId="5C966221">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auto"/>
                <w:kern w:val="0"/>
                <w:sz w:val="21"/>
                <w:szCs w:val="22"/>
                <w:highlight w:val="none"/>
                <w:lang w:bidi="ar"/>
              </w:rPr>
            </w:pPr>
            <w:r>
              <w:rPr>
                <w:rFonts w:hint="default" w:ascii="Times New Roman" w:hAnsi="Times New Roman" w:eastAsia="宋体" w:cs="Times New Roman"/>
                <w:b/>
                <w:bCs/>
                <w:color w:val="auto"/>
                <w:kern w:val="0"/>
                <w:sz w:val="21"/>
                <w:szCs w:val="22"/>
                <w:highlight w:val="none"/>
                <w:lang w:bidi="ar"/>
              </w:rPr>
              <w:t>主要生态敏感因子、敏感程度</w:t>
            </w:r>
          </w:p>
        </w:tc>
        <w:tc>
          <w:tcPr>
            <w:tcW w:w="5621" w:type="dxa"/>
            <w:noWrap w:val="0"/>
            <w:vAlign w:val="center"/>
          </w:tcPr>
          <w:p w14:paraId="44D5C354">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生物多样性及其生境高度敏感，土壤侵蚀极度敏感，土地沙漠化轻度敏感</w:t>
            </w:r>
          </w:p>
        </w:tc>
      </w:tr>
      <w:tr w14:paraId="78EBD2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09" w:type="dxa"/>
            <w:gridSpan w:val="2"/>
            <w:noWrap w:val="0"/>
            <w:vAlign w:val="center"/>
          </w:tcPr>
          <w:p w14:paraId="2FCD90AB">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auto"/>
                <w:kern w:val="0"/>
                <w:sz w:val="21"/>
                <w:szCs w:val="22"/>
                <w:highlight w:val="none"/>
                <w:lang w:bidi="ar"/>
              </w:rPr>
            </w:pPr>
            <w:r>
              <w:rPr>
                <w:rFonts w:hint="default" w:ascii="Times New Roman" w:hAnsi="Times New Roman" w:eastAsia="宋体" w:cs="Times New Roman"/>
                <w:b/>
                <w:bCs/>
                <w:color w:val="auto"/>
                <w:kern w:val="0"/>
                <w:sz w:val="21"/>
                <w:szCs w:val="22"/>
                <w:highlight w:val="none"/>
                <w:lang w:bidi="ar"/>
              </w:rPr>
              <w:t>主要保护目标</w:t>
            </w:r>
          </w:p>
        </w:tc>
        <w:tc>
          <w:tcPr>
            <w:tcW w:w="5621" w:type="dxa"/>
            <w:noWrap w:val="0"/>
            <w:vAlign w:val="center"/>
          </w:tcPr>
          <w:p w14:paraId="7B1310F4">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保护砾幕、保护野生动植物、保护铁路公路、保护戈壁泉眼</w:t>
            </w:r>
          </w:p>
        </w:tc>
      </w:tr>
      <w:tr w14:paraId="28B2C1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09" w:type="dxa"/>
            <w:gridSpan w:val="2"/>
            <w:noWrap w:val="0"/>
            <w:vAlign w:val="center"/>
          </w:tcPr>
          <w:p w14:paraId="0261CD65">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auto"/>
                <w:kern w:val="0"/>
                <w:sz w:val="21"/>
                <w:szCs w:val="22"/>
                <w:highlight w:val="none"/>
                <w:lang w:bidi="ar"/>
              </w:rPr>
            </w:pPr>
            <w:r>
              <w:rPr>
                <w:rFonts w:hint="default" w:ascii="Times New Roman" w:hAnsi="Times New Roman" w:eastAsia="宋体" w:cs="Times New Roman"/>
                <w:b/>
                <w:bCs/>
                <w:color w:val="auto"/>
                <w:kern w:val="0"/>
                <w:sz w:val="21"/>
                <w:szCs w:val="22"/>
                <w:highlight w:val="none"/>
                <w:lang w:bidi="ar"/>
              </w:rPr>
              <w:t>主要保护措施</w:t>
            </w:r>
          </w:p>
        </w:tc>
        <w:tc>
          <w:tcPr>
            <w:tcW w:w="5621" w:type="dxa"/>
            <w:noWrap w:val="0"/>
            <w:vAlign w:val="center"/>
          </w:tcPr>
          <w:p w14:paraId="1B96CCF6">
            <w:pPr>
              <w:keepNext w:val="0"/>
              <w:keepLines w:val="0"/>
              <w:widowControl w:val="0"/>
              <w:suppressLineNumbers w:val="0"/>
              <w:spacing w:before="0" w:beforeAutospacing="0" w:after="0" w:afterAutospacing="0" w:line="360" w:lineRule="exact"/>
              <w:ind w:left="0" w:right="0" w:firstLine="420" w:firstLineChars="20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减少公路管道工程破坏地表植被、保护矿区生态、铁路公路沿线防风固沙</w:t>
            </w:r>
          </w:p>
        </w:tc>
      </w:tr>
      <w:tr w14:paraId="1358C0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09" w:type="dxa"/>
            <w:gridSpan w:val="2"/>
            <w:noWrap w:val="0"/>
            <w:vAlign w:val="center"/>
          </w:tcPr>
          <w:p w14:paraId="739FAACF">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auto"/>
                <w:kern w:val="0"/>
                <w:sz w:val="21"/>
                <w:szCs w:val="22"/>
                <w:highlight w:val="none"/>
                <w:lang w:bidi="ar"/>
              </w:rPr>
            </w:pPr>
            <w:r>
              <w:rPr>
                <w:rFonts w:hint="default" w:ascii="Times New Roman" w:hAnsi="Times New Roman" w:eastAsia="宋体" w:cs="Times New Roman"/>
                <w:b/>
                <w:bCs/>
                <w:color w:val="auto"/>
                <w:kern w:val="0"/>
                <w:sz w:val="21"/>
                <w:szCs w:val="22"/>
                <w:highlight w:val="none"/>
                <w:lang w:bidi="ar"/>
              </w:rPr>
              <w:t>适宜发展方向</w:t>
            </w:r>
          </w:p>
        </w:tc>
        <w:tc>
          <w:tcPr>
            <w:tcW w:w="5621" w:type="dxa"/>
            <w:noWrap w:val="0"/>
            <w:vAlign w:val="center"/>
          </w:tcPr>
          <w:p w14:paraId="678688A6">
            <w:pPr>
              <w:keepNext w:val="0"/>
              <w:keepLines w:val="0"/>
              <w:widowControl w:val="0"/>
              <w:suppressLineNumbers w:val="0"/>
              <w:spacing w:before="0" w:beforeAutospacing="0" w:after="0" w:afterAutospacing="0" w:line="360" w:lineRule="exact"/>
              <w:ind w:left="0" w:right="0" w:firstLine="420" w:firstLineChars="20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保护荒漠自然景观，维护生态平衡</w:t>
            </w:r>
          </w:p>
        </w:tc>
      </w:tr>
    </w:tbl>
    <w:p w14:paraId="7CD187F0">
      <w:pPr>
        <w:widowControl w:val="0"/>
        <w:overflowPunct w:val="0"/>
        <w:topLinePunct/>
        <w:spacing w:line="480" w:lineRule="exact"/>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0"/>
          <w:highlight w:val="none"/>
          <w:lang w:val="en-US" w:eastAsia="zh-CN" w:bidi="ar-SA"/>
        </w:rPr>
        <w:t>项目施工期及运营期占用土地将改变原有的土地利用类型，本项目在生产活动中，选矿车间、尾矿堆放及运输过程等，会引起粉尘污染、破坏地表植被、加剧水土流失。本次评价要求有组织产尘点需按照要求设置高效除尘器等除尘设施，无组织产尘点需定期进行洒水降尘等抑尘措施。</w:t>
      </w:r>
      <w:r>
        <w:rPr>
          <w:rFonts w:hint="eastAsia" w:cs="Times New Roman"/>
          <w:color w:val="auto"/>
          <w:kern w:val="2"/>
          <w:sz w:val="24"/>
          <w:szCs w:val="20"/>
          <w:highlight w:val="none"/>
          <w:lang w:val="en-US" w:eastAsia="zh-CN" w:bidi="ar-SA"/>
        </w:rPr>
        <w:t>燃煤锅炉废气采用“高温袋式除尘+SNCR脱硝+水膜脱硫除尘”组合工艺处理，经40m高排气筒排放</w:t>
      </w:r>
      <w:r>
        <w:rPr>
          <w:rFonts w:hint="default" w:ascii="Times New Roman" w:hAnsi="Times New Roman" w:eastAsia="宋体" w:cs="Times New Roman"/>
          <w:color w:val="auto"/>
          <w:kern w:val="2"/>
          <w:sz w:val="24"/>
          <w:szCs w:val="20"/>
          <w:highlight w:val="none"/>
          <w:lang w:val="en-US" w:eastAsia="zh-CN" w:bidi="ar-SA"/>
        </w:rPr>
        <w:t>。运输车辆加盖</w:t>
      </w:r>
      <w:r>
        <w:rPr>
          <w:rFonts w:hint="eastAsia" w:cs="Times New Roman"/>
          <w:color w:val="auto"/>
          <w:kern w:val="2"/>
          <w:sz w:val="24"/>
          <w:szCs w:val="20"/>
          <w:highlight w:val="none"/>
          <w:lang w:val="en-US" w:eastAsia="zh-CN" w:bidi="ar-SA"/>
        </w:rPr>
        <w:t>篷布</w:t>
      </w:r>
      <w:r>
        <w:rPr>
          <w:rFonts w:hint="default" w:ascii="Times New Roman" w:hAnsi="Times New Roman" w:eastAsia="宋体" w:cs="Times New Roman"/>
          <w:color w:val="auto"/>
          <w:kern w:val="2"/>
          <w:sz w:val="24"/>
          <w:szCs w:val="20"/>
          <w:highlight w:val="none"/>
          <w:lang w:val="en-US" w:eastAsia="zh-CN" w:bidi="ar-SA"/>
        </w:rPr>
        <w:t>，运输全程均需密闭，做到无逸散、无撒漏，防止运输中抛撒引起的扬尘；定期进行道路修筑与养护，不得另外违规建设便道，不得占用其他临时占地；加强尾矿库及应急设施的建设及管理；禁止破坏占地范围外自然植被，禁止捕猎野生动物。在采取各项生态保护措施的前提下，项目建设不会超出生态承载力，对区域生态影响可接受，生态环境保护目标与保护措施与《新疆生态功能区划》相协调。</w:t>
      </w:r>
      <w:r>
        <w:rPr>
          <w:rFonts w:hint="default" w:ascii="Times New Roman" w:hAnsi="Times New Roman" w:eastAsia="宋体" w:cs="Times New Roman"/>
          <w:color w:val="auto"/>
          <w:kern w:val="2"/>
          <w:sz w:val="24"/>
          <w:szCs w:val="24"/>
          <w:highlight w:val="none"/>
          <w:lang w:val="en-US" w:eastAsia="zh-CN" w:bidi="ar-SA"/>
        </w:rPr>
        <w:t>综上所述，本项目符合《新疆生态功能区划》相关内容。</w:t>
      </w:r>
    </w:p>
    <w:p w14:paraId="21988972">
      <w:pPr>
        <w:keepNext/>
        <w:keepLines/>
        <w:widowControl w:val="0"/>
        <w:spacing w:line="480" w:lineRule="exact"/>
        <w:ind w:firstLine="482" w:firstLineChars="200"/>
        <w:jc w:val="both"/>
        <w:outlineLvl w:val="3"/>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1.3.3.3与《新疆维吾尔自治区国民经济和社会发展第十四个五年规划和2035年远景目标纲要》的符合性</w:t>
      </w:r>
    </w:p>
    <w:p w14:paraId="6E81243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根据《新疆维吾尔自治区国民经济和社会发展第十四个五年规划和2035年远景目标纲要》（2021年2月5日新疆维吾尔自治区第十三届人民代表大会第四次会议通过）：按照</w:t>
      </w:r>
      <w:r>
        <w:rPr>
          <w:rFonts w:hint="eastAsia" w:cs="Times New Roman"/>
          <w:color w:val="auto"/>
          <w:highlight w:val="none"/>
          <w:lang w:eastAsia="zh-CN"/>
        </w:rPr>
        <w:t>“</w:t>
      </w:r>
      <w:r>
        <w:rPr>
          <w:rFonts w:hint="default" w:ascii="Times New Roman" w:hAnsi="Times New Roman" w:cs="Times New Roman"/>
          <w:color w:val="auto"/>
          <w:highlight w:val="none"/>
        </w:rPr>
        <w:t>深化北疆东疆，加快南疆勘查</w:t>
      </w:r>
      <w:r>
        <w:rPr>
          <w:rFonts w:hint="eastAsia" w:cs="Times New Roman"/>
          <w:color w:val="auto"/>
          <w:highlight w:val="none"/>
          <w:lang w:eastAsia="zh-CN"/>
        </w:rPr>
        <w:t>”</w:t>
      </w:r>
      <w:r>
        <w:rPr>
          <w:rFonts w:hint="default" w:ascii="Times New Roman" w:hAnsi="Times New Roman" w:cs="Times New Roman"/>
          <w:color w:val="auto"/>
          <w:highlight w:val="none"/>
        </w:rPr>
        <w:t>的总体思路，开展重点成矿区带地质调查和矿产勘查，做好矿产资源开发利用储备。贯彻新发展理念，建设绿色矿山，实现可持续发展。加强准南、库拜、三塘湖等区域煤田煤层气勘查，推进煤层气产业化开发。开展塔里木盆地北缘、阿尔金山吐格曼等区域稀有、稀土金属矿产调查评价，推进昆仑山西部大红柳滩稀有金属和火烧云铅锌矿开发。加大昆仑山北部煤炭资源勘探开发力度，满足南疆地区用煤需求。加强塔里木、准噶尔盆地及周边中小盆地页岩气（油）、煤层气勘查，推进油砂、油页岩和南疆浅层地温能、水热型地热资源和干热岩资源调查评价。加快推进天山中部和东疆铁矿、钒钛资源勘查开发。推动玛尔坎苏一带锰矿勘查开发，大力发展电解锰、锰合金等产业，加快建设我国特大型锰矿产业基地。</w:t>
      </w:r>
    </w:p>
    <w:p w14:paraId="02AF3E8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本项目位于新疆维吾尔自治区哈密市伊州区170°</w:t>
      </w:r>
      <w:r>
        <w:rPr>
          <w:rFonts w:hint="default" w:ascii="Times New Roman" w:hAnsi="Times New Roman" w:cs="Times New Roman"/>
          <w:color w:val="auto"/>
          <w:highlight w:val="none"/>
          <w:lang w:val="en-US" w:eastAsia="zh-CN"/>
        </w:rPr>
        <w:t>方向</w:t>
      </w:r>
      <w:r>
        <w:rPr>
          <w:rFonts w:hint="default" w:ascii="Times New Roman" w:hAnsi="Times New Roman" w:cs="Times New Roman"/>
          <w:color w:val="auto"/>
          <w:highlight w:val="none"/>
        </w:rPr>
        <w:t>直线距离184km，雅满苏镇正南方约90km</w:t>
      </w:r>
      <w:r>
        <w:rPr>
          <w:rFonts w:hint="default" w:ascii="Times New Roman" w:hAnsi="Times New Roman" w:cs="Times New Roman"/>
          <w:color w:val="auto"/>
          <w:highlight w:val="none"/>
          <w:lang w:val="en-US" w:eastAsia="zh-CN"/>
        </w:rPr>
        <w:t>处</w:t>
      </w:r>
      <w:r>
        <w:rPr>
          <w:rFonts w:hint="default" w:ascii="Times New Roman" w:hAnsi="Times New Roman" w:cs="Times New Roman"/>
          <w:color w:val="auto"/>
          <w:highlight w:val="none"/>
        </w:rPr>
        <w:t>，行政区划属新疆维吾尔自治区哈密市伊州区管辖。本项目为</w:t>
      </w:r>
      <w:r>
        <w:rPr>
          <w:rFonts w:hint="default" w:ascii="Times New Roman" w:hAnsi="Times New Roman" w:cs="Times New Roman"/>
          <w:color w:val="auto"/>
          <w:highlight w:val="none"/>
          <w:lang w:eastAsia="zh-CN"/>
        </w:rPr>
        <w:t>非</w:t>
      </w:r>
      <w:r>
        <w:rPr>
          <w:rFonts w:hint="default" w:ascii="Times New Roman" w:hAnsi="Times New Roman" w:cs="Times New Roman"/>
          <w:color w:val="auto"/>
          <w:highlight w:val="none"/>
        </w:rPr>
        <w:t>金属矿选矿</w:t>
      </w:r>
      <w:r>
        <w:rPr>
          <w:rFonts w:hint="eastAsia" w:cs="Times New Roman"/>
          <w:color w:val="auto"/>
          <w:highlight w:val="none"/>
          <w:lang w:val="en-US" w:eastAsia="zh-CN"/>
        </w:rPr>
        <w:t>及尾矿库</w:t>
      </w:r>
      <w:r>
        <w:rPr>
          <w:rFonts w:hint="default" w:ascii="Times New Roman" w:hAnsi="Times New Roman" w:cs="Times New Roman"/>
          <w:color w:val="auto"/>
          <w:highlight w:val="none"/>
        </w:rPr>
        <w:t>工程，积极建设绿色矿山，实现可持续发展，符合《新疆维吾尔自治区国民经济和社会发展第十四个五年规划和2035年远景目标纲要》中的相关要求。</w:t>
      </w:r>
    </w:p>
    <w:p w14:paraId="46DD172D">
      <w:pPr>
        <w:keepNext/>
        <w:keepLines/>
        <w:widowControl w:val="0"/>
        <w:spacing w:line="480" w:lineRule="exact"/>
        <w:ind w:firstLine="482" w:firstLineChars="0"/>
        <w:jc w:val="both"/>
        <w:outlineLvl w:val="3"/>
        <w:rPr>
          <w:rFonts w:hint="default" w:ascii="Times New Roman" w:hAnsi="Times New Roman" w:eastAsia="宋体" w:cs="Times New Roman"/>
          <w:b/>
          <w:color w:val="auto"/>
          <w:spacing w:val="-6"/>
          <w:kern w:val="2"/>
          <w:sz w:val="24"/>
          <w:szCs w:val="24"/>
          <w:highlight w:val="none"/>
          <w:lang w:val="en-US" w:eastAsia="zh-CN" w:bidi="ar-SA"/>
        </w:rPr>
      </w:pPr>
      <w:r>
        <w:rPr>
          <w:rFonts w:hint="default" w:ascii="Times New Roman" w:hAnsi="Times New Roman" w:eastAsia="宋体" w:cs="Times New Roman"/>
          <w:b/>
          <w:color w:val="auto"/>
          <w:spacing w:val="-6"/>
          <w:kern w:val="2"/>
          <w:sz w:val="24"/>
          <w:szCs w:val="24"/>
          <w:highlight w:val="none"/>
          <w:lang w:val="en-US" w:eastAsia="zh-CN" w:bidi="ar-SA"/>
        </w:rPr>
        <w:t>1.3.3.4</w:t>
      </w:r>
      <w:r>
        <w:rPr>
          <w:rFonts w:hint="default" w:ascii="Times New Roman" w:hAnsi="Times New Roman" w:eastAsia="宋体" w:cs="Times New Roman"/>
          <w:b/>
          <w:bCs/>
          <w:color w:val="auto"/>
          <w:kern w:val="2"/>
          <w:sz w:val="24"/>
          <w:szCs w:val="24"/>
          <w:highlight w:val="none"/>
          <w:lang w:val="en-US" w:eastAsia="zh-CN" w:bidi="ar-SA"/>
        </w:rPr>
        <w:t>与《新疆维吾尔自治区矿产资源总体规划（2021-2025年）》的符合性分析</w:t>
      </w:r>
    </w:p>
    <w:p w14:paraId="0FF08C83">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根据《新疆维吾尔自治区矿产资源总体规划（2021-2025年）》，</w:t>
      </w:r>
      <w:r>
        <w:rPr>
          <w:rFonts w:hint="eastAsia" w:cs="Times New Roman"/>
          <w:color w:val="auto"/>
          <w:highlight w:val="none"/>
          <w:lang w:eastAsia="zh-CN"/>
        </w:rPr>
        <w:t>“</w:t>
      </w:r>
      <w:r>
        <w:rPr>
          <w:rFonts w:hint="default" w:ascii="Times New Roman" w:hAnsi="Times New Roman" w:cs="Times New Roman"/>
          <w:color w:val="auto"/>
          <w:highlight w:val="none"/>
        </w:rPr>
        <w:t>依据矿产资源分布特点及勘查开发利用现状，按照</w:t>
      </w:r>
      <w:r>
        <w:rPr>
          <w:rFonts w:hint="eastAsia" w:cs="Times New Roman"/>
          <w:color w:val="auto"/>
          <w:highlight w:val="none"/>
          <w:lang w:eastAsia="zh-CN"/>
        </w:rPr>
        <w:t>“</w:t>
      </w:r>
      <w:r>
        <w:rPr>
          <w:rFonts w:hint="default" w:ascii="Times New Roman" w:hAnsi="Times New Roman" w:cs="Times New Roman"/>
          <w:color w:val="auto"/>
          <w:highlight w:val="none"/>
        </w:rPr>
        <w:t>深化北疆东疆，加快南疆勘查开发</w:t>
      </w:r>
      <w:r>
        <w:rPr>
          <w:rFonts w:hint="eastAsia" w:cs="Times New Roman"/>
          <w:color w:val="auto"/>
          <w:highlight w:val="none"/>
          <w:lang w:eastAsia="zh-CN"/>
        </w:rPr>
        <w:t>”</w:t>
      </w:r>
      <w:r>
        <w:rPr>
          <w:rFonts w:hint="default" w:ascii="Times New Roman" w:hAnsi="Times New Roman" w:cs="Times New Roman"/>
          <w:color w:val="auto"/>
          <w:highlight w:val="none"/>
        </w:rPr>
        <w:t>的总体思路，划分环准噶尔、环塔里木、阿尔泰、东准噶尔、西准噶尔、东天山、西天山、西南天山、西昆仑、东昆仑—阿尔金等</w:t>
      </w:r>
      <w:r>
        <w:rPr>
          <w:rFonts w:hint="eastAsia" w:cs="Times New Roman"/>
          <w:color w:val="auto"/>
          <w:highlight w:val="none"/>
          <w:lang w:eastAsia="zh-CN"/>
        </w:rPr>
        <w:t>“</w:t>
      </w:r>
      <w:r>
        <w:rPr>
          <w:rFonts w:hint="default" w:ascii="Times New Roman" w:hAnsi="Times New Roman" w:cs="Times New Roman"/>
          <w:color w:val="auto"/>
          <w:highlight w:val="none"/>
        </w:rPr>
        <w:t>两环八带</w:t>
      </w:r>
      <w:r>
        <w:rPr>
          <w:rFonts w:hint="eastAsia" w:cs="Times New Roman"/>
          <w:color w:val="auto"/>
          <w:highlight w:val="none"/>
          <w:lang w:eastAsia="zh-CN"/>
        </w:rPr>
        <w:t>”</w:t>
      </w:r>
      <w:r>
        <w:rPr>
          <w:rFonts w:hint="default" w:ascii="Times New Roman" w:hAnsi="Times New Roman" w:cs="Times New Roman"/>
          <w:color w:val="auto"/>
          <w:highlight w:val="none"/>
        </w:rPr>
        <w:t>十个勘查开发区。</w:t>
      </w:r>
      <w:r>
        <w:rPr>
          <w:rFonts w:hint="eastAsia" w:cs="Times New Roman"/>
          <w:color w:val="auto"/>
          <w:highlight w:val="none"/>
          <w:lang w:eastAsia="zh-CN"/>
        </w:rPr>
        <w:t>”</w:t>
      </w:r>
      <w:r>
        <w:rPr>
          <w:rFonts w:hint="default" w:ascii="Times New Roman" w:hAnsi="Times New Roman" w:cs="Times New Roman"/>
          <w:color w:val="auto"/>
          <w:highlight w:val="none"/>
        </w:rPr>
        <w:t>本项目位于新疆维吾尔自治区哈密市伊州区170°</w:t>
      </w:r>
      <w:r>
        <w:rPr>
          <w:rFonts w:hint="default" w:ascii="Times New Roman" w:hAnsi="Times New Roman" w:cs="Times New Roman"/>
          <w:color w:val="auto"/>
          <w:highlight w:val="none"/>
          <w:lang w:val="en-US" w:eastAsia="zh-CN"/>
        </w:rPr>
        <w:t>方向</w:t>
      </w:r>
      <w:r>
        <w:rPr>
          <w:rFonts w:hint="default" w:ascii="Times New Roman" w:hAnsi="Times New Roman" w:cs="Times New Roman"/>
          <w:color w:val="auto"/>
          <w:highlight w:val="none"/>
        </w:rPr>
        <w:t>直线距离184km，雅满苏镇正南方约90km</w:t>
      </w:r>
      <w:r>
        <w:rPr>
          <w:rFonts w:hint="default" w:ascii="Times New Roman" w:hAnsi="Times New Roman" w:cs="Times New Roman"/>
          <w:color w:val="auto"/>
          <w:highlight w:val="none"/>
          <w:lang w:val="en-US" w:eastAsia="zh-CN"/>
        </w:rPr>
        <w:t>处</w:t>
      </w:r>
      <w:r>
        <w:rPr>
          <w:rFonts w:hint="default" w:ascii="Times New Roman" w:hAnsi="Times New Roman" w:cs="Times New Roman"/>
          <w:color w:val="auto"/>
          <w:highlight w:val="none"/>
        </w:rPr>
        <w:t>，行政区划属新疆维吾尔自治区哈密市伊州区管辖</w:t>
      </w:r>
      <w:r>
        <w:rPr>
          <w:rFonts w:hint="default" w:ascii="Times New Roman" w:hAnsi="Times New Roman" w:cs="Times New Roman"/>
          <w:color w:val="auto"/>
          <w:highlight w:val="none"/>
          <w:lang w:eastAsia="zh-CN"/>
        </w:rPr>
        <w:t>，</w:t>
      </w:r>
      <w:r>
        <w:rPr>
          <w:rFonts w:hint="default" w:ascii="Times New Roman" w:hAnsi="Times New Roman" w:cs="Times New Roman"/>
          <w:color w:val="auto"/>
          <w:kern w:val="0"/>
          <w:highlight w:val="none"/>
        </w:rPr>
        <w:t>处于</w:t>
      </w:r>
      <w:r>
        <w:rPr>
          <w:rFonts w:hint="default" w:ascii="Times New Roman" w:hAnsi="Times New Roman" w:cs="Times New Roman"/>
          <w:color w:val="auto"/>
          <w:highlight w:val="none"/>
        </w:rPr>
        <w:t>《新疆维吾尔自治区矿产资源总体规划（2021-2025年）》划定的东天山能源矿产、黑色及有色金属勘查开发区。</w:t>
      </w:r>
    </w:p>
    <w:p w14:paraId="3F14D0EB">
      <w:pPr>
        <w:overflowPunct w:val="0"/>
        <w:topLinePunct/>
        <w:ind w:firstLine="480"/>
        <w:rPr>
          <w:rFonts w:hint="default" w:ascii="Times New Roman" w:hAnsi="Times New Roman" w:eastAsia="宋体" w:cs="Times New Roman"/>
          <w:color w:val="auto"/>
          <w:kern w:val="0"/>
          <w:highlight w:val="none"/>
          <w:lang w:val="en-US" w:eastAsia="zh-CN"/>
        </w:rPr>
      </w:pPr>
      <w:r>
        <w:rPr>
          <w:rFonts w:hint="default" w:ascii="Times New Roman" w:hAnsi="Times New Roman" w:cs="Times New Roman"/>
          <w:color w:val="auto"/>
          <w:kern w:val="0"/>
          <w:highlight w:val="none"/>
        </w:rPr>
        <w:t>重点勘查开采矿种：石油、天然气、页岩气、煤层气、煤、地热等能源矿产，铁、铬、锰</w:t>
      </w:r>
      <w:r>
        <w:rPr>
          <w:rFonts w:hint="default" w:ascii="Times New Roman" w:hAnsi="Times New Roman" w:cs="Times New Roman"/>
          <w:b w:val="0"/>
          <w:bCs w:val="0"/>
          <w:color w:val="auto"/>
          <w:kern w:val="0"/>
          <w:highlight w:val="none"/>
        </w:rPr>
        <w:t>、铜、镍、钴、铅锌、金、锂、铍、钒、钛等金属矿产，以及钾盐、</w:t>
      </w:r>
      <w:r>
        <w:rPr>
          <w:rFonts w:hint="default" w:ascii="Times New Roman" w:hAnsi="Times New Roman" w:cs="Times New Roman"/>
          <w:b/>
          <w:bCs/>
          <w:color w:val="auto"/>
          <w:kern w:val="0"/>
          <w:highlight w:val="none"/>
        </w:rPr>
        <w:t>萤石</w:t>
      </w:r>
      <w:r>
        <w:rPr>
          <w:rFonts w:hint="default" w:ascii="Times New Roman" w:hAnsi="Times New Roman" w:cs="Times New Roman"/>
          <w:b w:val="0"/>
          <w:bCs w:val="0"/>
          <w:color w:val="auto"/>
          <w:kern w:val="0"/>
          <w:highlight w:val="none"/>
        </w:rPr>
        <w:t>、硅质原料等</w:t>
      </w:r>
      <w:r>
        <w:rPr>
          <w:rFonts w:hint="default" w:ascii="Times New Roman" w:hAnsi="Times New Roman" w:cs="Times New Roman"/>
          <w:color w:val="auto"/>
          <w:kern w:val="0"/>
          <w:highlight w:val="none"/>
        </w:rPr>
        <w:t>非金属矿产。</w:t>
      </w:r>
      <w:r>
        <w:rPr>
          <w:rFonts w:hint="default" w:ascii="Times New Roman" w:hAnsi="Times New Roman" w:cs="Times New Roman"/>
          <w:color w:val="auto"/>
          <w:kern w:val="0"/>
          <w:highlight w:val="none"/>
          <w:lang w:val="en-US" w:eastAsia="zh-CN"/>
        </w:rPr>
        <w:t>本项目为萤石矿选矿及尾矿库项目，萤石属于重点勘查开采矿种。</w:t>
      </w:r>
    </w:p>
    <w:p w14:paraId="3E27BA93">
      <w:pPr>
        <w:overflowPunct w:val="0"/>
        <w:topLinePunct/>
        <w:ind w:firstLine="480"/>
        <w:rPr>
          <w:rFonts w:hint="eastAsia" w:ascii="Times New Roman" w:hAnsi="Times New Roman" w:eastAsia="宋体" w:cs="Times New Roman"/>
          <w:b w:val="0"/>
          <w:bCs w:val="0"/>
          <w:color w:val="auto"/>
          <w:kern w:val="0"/>
          <w:highlight w:val="none"/>
          <w:lang w:eastAsia="zh-CN"/>
        </w:rPr>
      </w:pPr>
      <w:r>
        <w:rPr>
          <w:rFonts w:hint="default" w:ascii="Times New Roman" w:hAnsi="Times New Roman" w:cs="Times New Roman"/>
          <w:color w:val="auto"/>
          <w:highlight w:val="none"/>
        </w:rPr>
        <w:t>《新疆维吾尔自治区矿产资源总体规划（2021-2025年）》</w:t>
      </w:r>
      <w:r>
        <w:rPr>
          <w:rFonts w:hint="default" w:ascii="Times New Roman" w:hAnsi="Times New Roman" w:cs="Times New Roman"/>
          <w:color w:val="auto"/>
          <w:kern w:val="0"/>
          <w:highlight w:val="none"/>
        </w:rPr>
        <w:t>在绿色矿山建设方面提出：</w:t>
      </w:r>
      <w:r>
        <w:rPr>
          <w:rFonts w:hint="eastAsia" w:cs="Times New Roman"/>
          <w:color w:val="auto"/>
          <w:kern w:val="0"/>
          <w:highlight w:val="none"/>
          <w:lang w:eastAsia="zh-CN"/>
        </w:rPr>
        <w:t>“</w:t>
      </w:r>
      <w:r>
        <w:rPr>
          <w:rFonts w:hint="default" w:ascii="Times New Roman" w:hAnsi="Times New Roman" w:cs="Times New Roman"/>
          <w:color w:val="auto"/>
          <w:highlight w:val="none"/>
        </w:rPr>
        <w:t>从理念、制度、技术、监管四个方面推动资源绿色开采。</w:t>
      </w:r>
      <w:r>
        <w:rPr>
          <w:rFonts w:hint="default" w:ascii="Times New Roman" w:hAnsi="Times New Roman" w:cs="Times New Roman"/>
          <w:b w:val="0"/>
          <w:bCs w:val="0"/>
          <w:color w:val="auto"/>
          <w:highlight w:val="none"/>
        </w:rPr>
        <w:t>将绿色发展理念贯穿于矿产资源利用与保护的全过程，引导和督促企业采用环境友好、资源利用效率高、能耗低排放少的开采方式、工艺和设备，将资源开发对矿区及周边生态环境扰动控制在最小范围，努力构建科技含量高、资源消耗低、环境污染少的绿色矿业发展模式。按照政策引导、地方主体、突出特色、创新驱动、示范引领的原则，统筹生态保护与经济发展，统筹矿区生态环境综合整治，创新绿色发展管理机制。新建矿山全部按照绿色矿山标准建设，生产矿山加快改造升级，逐步达标。在矿业权出让、延续等审批中明确矿业权人落实绿色开采的要求。</w:t>
      </w:r>
      <w:r>
        <w:rPr>
          <w:rFonts w:hint="eastAsia" w:cs="Times New Roman"/>
          <w:b w:val="0"/>
          <w:bCs w:val="0"/>
          <w:color w:val="auto"/>
          <w:kern w:val="0"/>
          <w:highlight w:val="none"/>
          <w:lang w:eastAsia="zh-CN"/>
        </w:rPr>
        <w:t>”</w:t>
      </w:r>
    </w:p>
    <w:p w14:paraId="1EBD9115">
      <w:pPr>
        <w:overflowPunct w:val="0"/>
        <w:topLinePunct/>
        <w:ind w:firstLine="48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kern w:val="0"/>
          <w:highlight w:val="none"/>
        </w:rPr>
        <w:t>本项目位于</w:t>
      </w:r>
      <w:r>
        <w:rPr>
          <w:rFonts w:hint="default" w:ascii="Times New Roman" w:hAnsi="Times New Roman" w:cs="Times New Roman"/>
          <w:color w:val="auto"/>
          <w:highlight w:val="none"/>
        </w:rPr>
        <w:t>东天山能源矿产、黑色及有色金属勘查开发区，</w:t>
      </w:r>
      <w:r>
        <w:rPr>
          <w:rFonts w:hint="default" w:ascii="Times New Roman" w:hAnsi="Times New Roman" w:cs="Times New Roman"/>
          <w:color w:val="auto"/>
          <w:highlight w:val="none"/>
          <w:lang w:eastAsia="zh-CN"/>
        </w:rPr>
        <w:t>本项目开采矿种属于重点开采</w:t>
      </w:r>
      <w:r>
        <w:rPr>
          <w:rFonts w:hint="default" w:ascii="Times New Roman" w:hAnsi="Times New Roman" w:cs="Times New Roman"/>
          <w:color w:val="auto"/>
          <w:highlight w:val="none"/>
          <w:lang w:val="en-US" w:eastAsia="zh-CN"/>
        </w:rPr>
        <w:t>矿种</w:t>
      </w:r>
      <w:r>
        <w:rPr>
          <w:rFonts w:hint="default" w:ascii="Times New Roman" w:hAnsi="Times New Roman" w:cs="Times New Roman"/>
          <w:color w:val="auto"/>
          <w:highlight w:val="none"/>
          <w:lang w:eastAsia="zh-CN"/>
        </w:rPr>
        <w:t>。</w:t>
      </w:r>
      <w:r>
        <w:rPr>
          <w:rFonts w:hint="default" w:ascii="Times New Roman" w:hAnsi="Times New Roman" w:cs="Times New Roman"/>
          <w:color w:val="auto"/>
          <w:kern w:val="0"/>
          <w:highlight w:val="none"/>
        </w:rPr>
        <w:t>本项目</w:t>
      </w:r>
      <w:r>
        <w:rPr>
          <w:rFonts w:hint="default" w:ascii="Times New Roman" w:hAnsi="Times New Roman" w:cs="Times New Roman"/>
          <w:b w:val="0"/>
          <w:bCs w:val="0"/>
          <w:color w:val="auto"/>
          <w:highlight w:val="none"/>
          <w:lang w:eastAsia="zh-CN"/>
        </w:rPr>
        <w:t>按照</w:t>
      </w:r>
      <w:r>
        <w:rPr>
          <w:rFonts w:hint="default" w:ascii="Times New Roman" w:hAnsi="Times New Roman" w:cs="Times New Roman"/>
          <w:b w:val="0"/>
          <w:bCs w:val="0"/>
          <w:color w:val="auto"/>
          <w:highlight w:val="none"/>
        </w:rPr>
        <w:t>绿色矿山标准建设，</w:t>
      </w:r>
      <w:r>
        <w:rPr>
          <w:rFonts w:hint="default" w:ascii="Times New Roman" w:hAnsi="Times New Roman" w:cs="Times New Roman"/>
          <w:color w:val="auto"/>
          <w:kern w:val="0"/>
          <w:highlight w:val="none"/>
        </w:rPr>
        <w:t>在工艺系统、设备选型、安全、环保、劳动生产率等方面按照智能化、绿色化、生态化的标准进行设计，符合</w:t>
      </w:r>
      <w:r>
        <w:rPr>
          <w:rFonts w:hint="default" w:ascii="Times New Roman" w:hAnsi="Times New Roman" w:cs="Times New Roman"/>
          <w:color w:val="auto"/>
          <w:highlight w:val="none"/>
        </w:rPr>
        <w:t>《新疆维吾尔自治区矿产资源总体规划（2021-2025年）》关于绿色矿山建设、矿山智能化建设的相关要求，</w:t>
      </w:r>
      <w:r>
        <w:rPr>
          <w:rFonts w:hint="default" w:ascii="Times New Roman" w:hAnsi="Times New Roman" w:cs="Times New Roman"/>
          <w:color w:val="auto"/>
          <w:kern w:val="0"/>
          <w:highlight w:val="none"/>
        </w:rPr>
        <w:t>符合国家对矿山绿色、智能、高效的产业政策要求。</w:t>
      </w:r>
    </w:p>
    <w:p w14:paraId="5921CF90">
      <w:pPr>
        <w:overflowPunct w:val="0"/>
        <w:topLinePunct/>
        <w:ind w:firstLine="480"/>
        <w:rPr>
          <w:rFonts w:hint="eastAsia" w:cs="Times New Roman"/>
          <w:bCs/>
          <w:color w:val="auto"/>
          <w:highlight w:val="none"/>
          <w:lang w:eastAsia="zh-CN"/>
        </w:rPr>
      </w:pPr>
      <w:r>
        <w:rPr>
          <w:rFonts w:hint="default" w:ascii="Times New Roman" w:hAnsi="Times New Roman" w:cs="Times New Roman"/>
          <w:color w:val="auto"/>
          <w:highlight w:val="none"/>
        </w:rPr>
        <w:t>综上，本项目符合</w:t>
      </w:r>
      <w:r>
        <w:rPr>
          <w:rFonts w:hint="default" w:ascii="Times New Roman" w:hAnsi="Times New Roman" w:cs="Times New Roman"/>
          <w:bCs/>
          <w:color w:val="auto"/>
          <w:highlight w:val="none"/>
        </w:rPr>
        <w:t>《新疆维吾尔自治区矿产资源总体规划（2021-2025年）》的相关要求</w:t>
      </w:r>
      <w:r>
        <w:rPr>
          <w:rFonts w:hint="eastAsia" w:cs="Times New Roman"/>
          <w:bCs/>
          <w:color w:val="auto"/>
          <w:highlight w:val="none"/>
          <w:lang w:eastAsia="zh-CN"/>
        </w:rPr>
        <w:t>。</w:t>
      </w:r>
    </w:p>
    <w:p w14:paraId="1098A5AF">
      <w:pPr>
        <w:keepNext/>
        <w:keepLines/>
        <w:widowControl w:val="0"/>
        <w:spacing w:line="480" w:lineRule="exact"/>
        <w:ind w:firstLine="482" w:firstLineChars="0"/>
        <w:jc w:val="both"/>
        <w:outlineLvl w:val="3"/>
        <w:rPr>
          <w:rFonts w:hint="default" w:ascii="Times New Roman" w:hAnsi="Times New Roman" w:eastAsia="宋体" w:cs="Times New Roman"/>
          <w:b/>
          <w:color w:val="auto"/>
          <w:spacing w:val="-6"/>
          <w:kern w:val="2"/>
          <w:sz w:val="24"/>
          <w:szCs w:val="24"/>
          <w:highlight w:val="none"/>
          <w:lang w:val="en-US" w:eastAsia="zh-CN" w:bidi="ar-SA"/>
        </w:rPr>
      </w:pPr>
      <w:r>
        <w:rPr>
          <w:rFonts w:hint="default" w:ascii="Times New Roman" w:hAnsi="Times New Roman" w:eastAsia="宋体" w:cs="Times New Roman"/>
          <w:b/>
          <w:color w:val="auto"/>
          <w:spacing w:val="-6"/>
          <w:kern w:val="2"/>
          <w:sz w:val="24"/>
          <w:szCs w:val="24"/>
          <w:highlight w:val="none"/>
          <w:lang w:val="en-US" w:eastAsia="zh-CN" w:bidi="ar-SA"/>
        </w:rPr>
        <w:t>1.3.3.</w:t>
      </w:r>
      <w:r>
        <w:rPr>
          <w:rFonts w:hint="eastAsia" w:cs="Times New Roman"/>
          <w:b/>
          <w:color w:val="auto"/>
          <w:spacing w:val="-6"/>
          <w:kern w:val="2"/>
          <w:sz w:val="24"/>
          <w:szCs w:val="24"/>
          <w:highlight w:val="none"/>
          <w:lang w:val="en-US" w:eastAsia="zh-CN" w:bidi="ar-SA"/>
        </w:rPr>
        <w:t>5</w:t>
      </w:r>
      <w:r>
        <w:rPr>
          <w:rFonts w:hint="default" w:ascii="Times New Roman" w:hAnsi="Times New Roman" w:eastAsia="宋体" w:cs="Times New Roman"/>
          <w:b/>
          <w:bCs/>
          <w:color w:val="auto"/>
          <w:kern w:val="2"/>
          <w:sz w:val="24"/>
          <w:szCs w:val="24"/>
          <w:highlight w:val="none"/>
          <w:lang w:val="en-US" w:eastAsia="zh-CN" w:bidi="ar-SA"/>
        </w:rPr>
        <w:t>与《哈密市伊州区矿产资源总体规划（2021-2025年）》的符合性分析</w:t>
      </w:r>
    </w:p>
    <w:p w14:paraId="27811840">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根据《哈密市伊州区矿产资源总体规划（2021-2025年）》，</w:t>
      </w:r>
      <w:r>
        <w:rPr>
          <w:rFonts w:hint="eastAsia" w:cs="Times New Roman"/>
          <w:color w:val="auto"/>
          <w:highlight w:val="none"/>
          <w:lang w:eastAsia="zh-CN"/>
        </w:rPr>
        <w:t>“</w:t>
      </w:r>
      <w:r>
        <w:rPr>
          <w:rFonts w:hint="default" w:ascii="Times New Roman" w:hAnsi="Times New Roman" w:cs="Times New Roman"/>
          <w:color w:val="auto"/>
          <w:highlight w:val="none"/>
        </w:rPr>
        <w:t>重点勘查开采矿种：煤、煤层气、油页岩等能源矿产，铁、铜、镍、锌、金、钒、钛等金属矿产，以</w:t>
      </w:r>
      <w:r>
        <w:rPr>
          <w:rFonts w:hint="default" w:ascii="Times New Roman" w:hAnsi="Times New Roman" w:cs="Times New Roman"/>
          <w:b w:val="0"/>
          <w:bCs w:val="0"/>
          <w:color w:val="auto"/>
          <w:highlight w:val="none"/>
        </w:rPr>
        <w:t>及硅质原料、花岗岩</w:t>
      </w:r>
      <w:r>
        <w:rPr>
          <w:rFonts w:hint="default" w:ascii="Times New Roman" w:hAnsi="Times New Roman" w:cs="Times New Roman"/>
          <w:color w:val="auto"/>
          <w:highlight w:val="none"/>
        </w:rPr>
        <w:t>等非金属矿产。</w:t>
      </w:r>
      <w:r>
        <w:rPr>
          <w:rFonts w:hint="eastAsia" w:cs="Times New Roman"/>
          <w:color w:val="auto"/>
          <w:highlight w:val="none"/>
          <w:lang w:eastAsia="zh-CN"/>
        </w:rPr>
        <w:t>”</w:t>
      </w:r>
      <w:r>
        <w:rPr>
          <w:rFonts w:hint="default" w:ascii="Times New Roman" w:hAnsi="Times New Roman" w:cs="Times New Roman"/>
          <w:color w:val="auto"/>
          <w:highlight w:val="none"/>
        </w:rPr>
        <w:t>本项目位于新疆维吾尔自治区哈密市伊州区170°</w:t>
      </w:r>
      <w:r>
        <w:rPr>
          <w:rFonts w:hint="default" w:ascii="Times New Roman" w:hAnsi="Times New Roman" w:cs="Times New Roman"/>
          <w:color w:val="auto"/>
          <w:highlight w:val="none"/>
          <w:lang w:val="en-US" w:eastAsia="zh-CN"/>
        </w:rPr>
        <w:t>方向</w:t>
      </w:r>
      <w:r>
        <w:rPr>
          <w:rFonts w:hint="default" w:ascii="Times New Roman" w:hAnsi="Times New Roman" w:cs="Times New Roman"/>
          <w:color w:val="auto"/>
          <w:highlight w:val="none"/>
        </w:rPr>
        <w:t>直线距离184km，雅满苏镇正南方约90km</w:t>
      </w:r>
      <w:r>
        <w:rPr>
          <w:rFonts w:hint="default" w:ascii="Times New Roman" w:hAnsi="Times New Roman" w:cs="Times New Roman"/>
          <w:color w:val="auto"/>
          <w:highlight w:val="none"/>
          <w:lang w:val="en-US" w:eastAsia="zh-CN"/>
        </w:rPr>
        <w:t>处</w:t>
      </w:r>
      <w:r>
        <w:rPr>
          <w:rFonts w:hint="default" w:ascii="Times New Roman" w:hAnsi="Times New Roman" w:cs="Times New Roman"/>
          <w:color w:val="auto"/>
          <w:highlight w:val="none"/>
        </w:rPr>
        <w:t>，行政区划属新疆维吾尔自治区哈密市伊州区管辖。萤石（氟化钙）作为氟化工产业的关键原料，在工业应用中常与硅质原料伴生或具有类似的非金属矿属性，其开发利用符合规划确定的重点方向。本项目为萤石矿选矿及尾矿库工程，属于重点开采矿种的配套加工环节，符合规划确定的勘查开采调控方向。</w:t>
      </w:r>
    </w:p>
    <w:p w14:paraId="4B32B0A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《哈密市伊州区矿产资源总体规划（2021-2025年）》</w:t>
      </w:r>
      <w:r>
        <w:rPr>
          <w:rFonts w:hint="eastAsia" w:cs="Times New Roman"/>
          <w:color w:val="auto"/>
          <w:highlight w:val="none"/>
          <w:lang w:val="en-US" w:eastAsia="zh-CN"/>
        </w:rPr>
        <w:t>中</w:t>
      </w:r>
      <w:r>
        <w:rPr>
          <w:rFonts w:hint="default" w:ascii="Times New Roman" w:hAnsi="Times New Roman" w:cs="Times New Roman"/>
          <w:color w:val="auto"/>
          <w:highlight w:val="none"/>
        </w:rPr>
        <w:t>规定了新建矿山最低开采规模和最低服务年限，其中萤石矿最低开采规模为：大型10万t/a、中型8万t/a、小型3万t/a，最低服务年限10年。本项目配套的萤石矿采矿工程设计生产规模为</w:t>
      </w:r>
      <w:r>
        <w:rPr>
          <w:rFonts w:hint="eastAsia" w:cs="Times New Roman"/>
          <w:color w:val="auto"/>
          <w:highlight w:val="none"/>
          <w:lang w:val="en-US" w:eastAsia="zh-CN"/>
        </w:rPr>
        <w:t>6</w:t>
      </w:r>
      <w:r>
        <w:rPr>
          <w:rFonts w:hint="default" w:ascii="Times New Roman" w:hAnsi="Times New Roman" w:cs="Times New Roman"/>
          <w:color w:val="auto"/>
          <w:highlight w:val="none"/>
        </w:rPr>
        <w:t>0万t/a，选矿厂处理能力60万t/a，远超规划规定的大型矿山最低规模要求（10万t/a），属大型萤石矿选矿项目，符合规划确定的规模调控要求。</w:t>
      </w:r>
    </w:p>
    <w:p w14:paraId="3D44B100">
      <w:pPr>
        <w:overflowPunct w:val="0"/>
        <w:topLinePunct/>
        <w:ind w:firstLine="480"/>
        <w:rPr>
          <w:rFonts w:hint="default" w:ascii="Times New Roman" w:hAnsi="Times New Roman" w:cs="Times New Roman"/>
          <w:bCs/>
          <w:color w:val="auto"/>
          <w:highlight w:val="none"/>
          <w:lang w:eastAsia="zh-CN"/>
        </w:rPr>
      </w:pPr>
      <w:r>
        <w:rPr>
          <w:rFonts w:hint="default" w:ascii="Times New Roman" w:hAnsi="Times New Roman" w:cs="Times New Roman"/>
          <w:color w:val="auto"/>
          <w:highlight w:val="none"/>
        </w:rPr>
        <w:t>综上，本项目符合</w:t>
      </w:r>
      <w:r>
        <w:rPr>
          <w:rFonts w:hint="default" w:ascii="Times New Roman" w:hAnsi="Times New Roman" w:cs="Times New Roman"/>
          <w:bCs/>
          <w:color w:val="auto"/>
          <w:highlight w:val="none"/>
        </w:rPr>
        <w:t>《哈密市伊州区矿产资源总体规划（2021-2025年）》的相关要求</w:t>
      </w:r>
      <w:r>
        <w:rPr>
          <w:rFonts w:hint="default" w:ascii="Times New Roman" w:hAnsi="Times New Roman" w:cs="Times New Roman"/>
          <w:bCs/>
          <w:color w:val="auto"/>
          <w:highlight w:val="none"/>
          <w:lang w:eastAsia="zh-CN"/>
        </w:rPr>
        <w:t>。</w:t>
      </w:r>
    </w:p>
    <w:p w14:paraId="4B0BC154">
      <w:pPr>
        <w:keepNext/>
        <w:keepLines/>
        <w:widowControl w:val="0"/>
        <w:spacing w:line="480" w:lineRule="exact"/>
        <w:ind w:firstLine="482" w:firstLineChars="200"/>
        <w:jc w:val="both"/>
        <w:outlineLvl w:val="3"/>
        <w:rPr>
          <w:rFonts w:hint="default" w:ascii="Times New Roman" w:hAnsi="Times New Roman" w:eastAsia="宋体" w:cs="Times New Roman"/>
          <w:b/>
          <w:bCs/>
          <w:color w:val="auto"/>
          <w:kern w:val="2"/>
          <w:sz w:val="24"/>
          <w:szCs w:val="28"/>
          <w:highlight w:val="none"/>
          <w:lang w:val="en-US" w:eastAsia="zh-CN" w:bidi="ar-SA"/>
        </w:rPr>
      </w:pPr>
      <w:r>
        <w:rPr>
          <w:rFonts w:hint="default" w:ascii="Times New Roman" w:hAnsi="Times New Roman" w:eastAsia="宋体" w:cs="Times New Roman"/>
          <w:b/>
          <w:bCs/>
          <w:color w:val="auto"/>
          <w:kern w:val="2"/>
          <w:sz w:val="24"/>
          <w:szCs w:val="28"/>
          <w:highlight w:val="none"/>
          <w:lang w:val="en-US" w:eastAsia="zh-CN" w:bidi="ar-SA"/>
        </w:rPr>
        <w:t>1.3.3.</w:t>
      </w:r>
      <w:r>
        <w:rPr>
          <w:rFonts w:hint="eastAsia" w:cs="Times New Roman"/>
          <w:b/>
          <w:bCs/>
          <w:color w:val="auto"/>
          <w:kern w:val="2"/>
          <w:sz w:val="24"/>
          <w:szCs w:val="28"/>
          <w:highlight w:val="none"/>
          <w:lang w:val="en-US" w:eastAsia="zh-CN" w:bidi="ar-SA"/>
        </w:rPr>
        <w:t>6</w:t>
      </w:r>
      <w:r>
        <w:rPr>
          <w:rFonts w:hint="default" w:ascii="Times New Roman" w:hAnsi="Times New Roman" w:eastAsia="宋体" w:cs="Times New Roman"/>
          <w:b/>
          <w:color w:val="auto"/>
          <w:kern w:val="2"/>
          <w:sz w:val="24"/>
          <w:szCs w:val="24"/>
          <w:highlight w:val="none"/>
          <w:lang w:val="en-US" w:eastAsia="zh-CN" w:bidi="ar-SA"/>
        </w:rPr>
        <w:t>与《新疆生态环境保护</w:t>
      </w:r>
      <w:r>
        <w:rPr>
          <w:rFonts w:hint="eastAsia" w:cs="Times New Roman"/>
          <w:b/>
          <w:color w:val="auto"/>
          <w:kern w:val="2"/>
          <w:sz w:val="24"/>
          <w:szCs w:val="24"/>
          <w:highlight w:val="none"/>
          <w:lang w:val="en-US" w:eastAsia="zh-CN" w:bidi="ar-SA"/>
        </w:rPr>
        <w:t>“</w:t>
      </w:r>
      <w:r>
        <w:rPr>
          <w:rFonts w:hint="default" w:ascii="Times New Roman" w:hAnsi="Times New Roman" w:eastAsia="宋体" w:cs="Times New Roman"/>
          <w:b/>
          <w:color w:val="auto"/>
          <w:kern w:val="2"/>
          <w:sz w:val="24"/>
          <w:szCs w:val="24"/>
          <w:highlight w:val="none"/>
          <w:lang w:val="en-US" w:eastAsia="zh-CN" w:bidi="ar-SA"/>
        </w:rPr>
        <w:t>十四五</w:t>
      </w:r>
      <w:r>
        <w:rPr>
          <w:rFonts w:hint="eastAsia" w:cs="Times New Roman"/>
          <w:b/>
          <w:color w:val="auto"/>
          <w:kern w:val="2"/>
          <w:sz w:val="24"/>
          <w:szCs w:val="24"/>
          <w:highlight w:val="none"/>
          <w:lang w:val="en-US" w:eastAsia="zh-CN" w:bidi="ar-SA"/>
        </w:rPr>
        <w:t>”</w:t>
      </w:r>
      <w:r>
        <w:rPr>
          <w:rFonts w:hint="default" w:ascii="Times New Roman" w:hAnsi="Times New Roman" w:eastAsia="宋体" w:cs="Times New Roman"/>
          <w:b/>
          <w:color w:val="auto"/>
          <w:kern w:val="2"/>
          <w:sz w:val="24"/>
          <w:szCs w:val="24"/>
          <w:highlight w:val="none"/>
          <w:lang w:val="en-US" w:eastAsia="zh-CN" w:bidi="ar-SA"/>
        </w:rPr>
        <w:t>规划》的符合性</w:t>
      </w:r>
    </w:p>
    <w:p w14:paraId="18A913AB">
      <w:pPr>
        <w:overflowPunct w:val="0"/>
        <w:topLinePunct/>
        <w:ind w:firstLine="480"/>
        <w:rPr>
          <w:rFonts w:hint="default" w:ascii="Times New Roman" w:hAnsi="Times New Roman" w:cs="Times New Roman"/>
          <w:color w:val="auto"/>
          <w:highlight w:val="none"/>
        </w:rPr>
      </w:pPr>
      <w:r>
        <w:rPr>
          <w:rFonts w:hint="default" w:ascii="Times New Roman" w:hAnsi="Times New Roman" w:eastAsia="宋体" w:cs="Times New Roman"/>
          <w:color w:val="auto"/>
          <w:spacing w:val="0"/>
          <w:w w:val="100"/>
          <w:position w:val="0"/>
          <w:sz w:val="24"/>
          <w:szCs w:val="24"/>
          <w:highlight w:val="none"/>
          <w:lang w:val="en-US" w:eastAsia="zh-CN" w:bidi="ar"/>
        </w:rPr>
        <w:t>根据2021年12月24日自治区党委、自治区人民政府印发的《新疆生态环境保护</w:t>
      </w:r>
      <w:r>
        <w:rPr>
          <w:rFonts w:hint="eastAsia" w:cs="Times New Roman"/>
          <w:color w:val="auto"/>
          <w:spacing w:val="0"/>
          <w:w w:val="100"/>
          <w:position w:val="0"/>
          <w:sz w:val="24"/>
          <w:szCs w:val="24"/>
          <w:highlight w:val="none"/>
          <w:lang w:val="en-US" w:eastAsia="zh-CN" w:bidi="ar"/>
        </w:rPr>
        <w:t>“</w:t>
      </w:r>
      <w:r>
        <w:rPr>
          <w:rFonts w:hint="default" w:ascii="Times New Roman" w:hAnsi="Times New Roman" w:eastAsia="宋体" w:cs="Times New Roman"/>
          <w:color w:val="auto"/>
          <w:spacing w:val="0"/>
          <w:w w:val="100"/>
          <w:position w:val="0"/>
          <w:sz w:val="24"/>
          <w:szCs w:val="24"/>
          <w:highlight w:val="none"/>
          <w:lang w:val="en-US" w:eastAsia="zh-CN" w:bidi="ar"/>
        </w:rPr>
        <w:t>十四五</w:t>
      </w:r>
      <w:r>
        <w:rPr>
          <w:rFonts w:hint="eastAsia" w:cs="Times New Roman"/>
          <w:color w:val="auto"/>
          <w:spacing w:val="0"/>
          <w:w w:val="100"/>
          <w:position w:val="0"/>
          <w:sz w:val="24"/>
          <w:szCs w:val="24"/>
          <w:highlight w:val="none"/>
          <w:lang w:val="en-US" w:eastAsia="zh-CN" w:bidi="ar"/>
        </w:rPr>
        <w:t>”</w:t>
      </w:r>
      <w:r>
        <w:rPr>
          <w:rFonts w:hint="default" w:ascii="Times New Roman" w:hAnsi="Times New Roman" w:eastAsia="宋体" w:cs="Times New Roman"/>
          <w:color w:val="auto"/>
          <w:spacing w:val="0"/>
          <w:w w:val="100"/>
          <w:position w:val="0"/>
          <w:sz w:val="24"/>
          <w:szCs w:val="24"/>
          <w:highlight w:val="none"/>
          <w:lang w:val="en-US" w:eastAsia="zh-CN" w:bidi="ar"/>
        </w:rPr>
        <w:t>规划》，本项目与该规划的符合性分析如下：</w:t>
      </w:r>
    </w:p>
    <w:p w14:paraId="3F1AFA0D">
      <w:pPr>
        <w:adjustRightInd w:val="0"/>
        <w:snapToGrid w:val="0"/>
        <w:ind w:firstLine="0" w:firstLineChars="0"/>
        <w:jc w:val="center"/>
        <w:rPr>
          <w:color w:val="auto"/>
          <w:highlight w:val="none"/>
        </w:rPr>
      </w:pPr>
      <w:r>
        <w:rPr>
          <w:rFonts w:hint="default" w:ascii="Times New Roman" w:hAnsi="Times New Roman" w:cs="Times New Roman"/>
          <w:b/>
          <w:color w:val="auto"/>
          <w:kern w:val="0"/>
          <w:highlight w:val="none"/>
        </w:rPr>
        <w:t xml:space="preserve">表1.3-7    </w:t>
      </w:r>
      <w:r>
        <w:rPr>
          <w:rFonts w:hint="default" w:ascii="Times New Roman" w:hAnsi="Times New Roman" w:cs="Times New Roman"/>
          <w:b/>
          <w:color w:val="auto"/>
          <w:kern w:val="0"/>
          <w:highlight w:val="none"/>
          <w:lang w:bidi="ar"/>
        </w:rPr>
        <w:t>本项目与规划符合性分析表</w:t>
      </w:r>
    </w:p>
    <w:tbl>
      <w:tblPr>
        <w:tblStyle w:val="33"/>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1569"/>
        <w:gridCol w:w="2689"/>
        <w:gridCol w:w="3267"/>
        <w:gridCol w:w="992"/>
      </w:tblGrid>
      <w:tr w14:paraId="5BE21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blHeader/>
          <w:jc w:val="center"/>
        </w:trPr>
        <w:tc>
          <w:tcPr>
            <w:tcW w:w="921" w:type="pct"/>
            <w:tcBorders>
              <w:top w:val="single" w:color="auto" w:sz="12" w:space="0"/>
              <w:left w:val="single" w:color="auto" w:sz="12" w:space="0"/>
              <w:bottom w:val="single" w:color="auto" w:sz="4" w:space="0"/>
              <w:right w:val="single" w:color="auto" w:sz="4" w:space="0"/>
            </w:tcBorders>
            <w:shd w:val="clear" w:color="auto" w:fill="auto"/>
            <w:tcMar>
              <w:top w:w="0" w:type="dxa"/>
              <w:left w:w="102" w:type="dxa"/>
              <w:bottom w:w="0" w:type="dxa"/>
              <w:right w:w="102" w:type="dxa"/>
            </w:tcMar>
            <w:vAlign w:val="center"/>
          </w:tcPr>
          <w:p w14:paraId="16F2CE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bCs/>
                <w:color w:val="auto"/>
                <w:spacing w:val="0"/>
                <w:w w:val="100"/>
                <w:position w:val="0"/>
                <w:sz w:val="21"/>
                <w:szCs w:val="21"/>
                <w:highlight w:val="none"/>
                <w:lang w:val="en-US" w:eastAsia="zh-CN"/>
              </w:rPr>
            </w:pPr>
            <w:r>
              <w:rPr>
                <w:rFonts w:hint="eastAsia" w:ascii="Times New Roman" w:hAnsi="Times New Roman" w:eastAsia="宋体" w:cs="Times New Roman"/>
                <w:b/>
                <w:bCs/>
                <w:color w:val="auto"/>
                <w:spacing w:val="0"/>
                <w:w w:val="100"/>
                <w:position w:val="0"/>
                <w:sz w:val="21"/>
                <w:szCs w:val="21"/>
                <w:highlight w:val="none"/>
                <w:lang w:val="en-US" w:eastAsia="zh-CN"/>
              </w:rPr>
              <w:t>类别</w:t>
            </w:r>
          </w:p>
        </w:tc>
        <w:tc>
          <w:tcPr>
            <w:tcW w:w="1578" w:type="pct"/>
            <w:tcBorders>
              <w:top w:val="single" w:color="auto" w:sz="12" w:space="0"/>
              <w:left w:val="single" w:color="auto" w:sz="4" w:space="0"/>
              <w:bottom w:val="single" w:color="auto" w:sz="4" w:space="0"/>
              <w:right w:val="single" w:color="auto" w:sz="4" w:space="0"/>
            </w:tcBorders>
            <w:shd w:val="clear" w:color="auto" w:fill="auto"/>
            <w:tcMar>
              <w:top w:w="0" w:type="dxa"/>
              <w:left w:w="102" w:type="dxa"/>
              <w:bottom w:w="0" w:type="dxa"/>
              <w:right w:w="102" w:type="dxa"/>
            </w:tcMar>
            <w:vAlign w:val="center"/>
          </w:tcPr>
          <w:p w14:paraId="6987A5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bCs/>
                <w:color w:val="auto"/>
                <w:spacing w:val="0"/>
                <w:w w:val="100"/>
                <w:position w:val="0"/>
                <w:sz w:val="21"/>
                <w:szCs w:val="21"/>
                <w:highlight w:val="none"/>
                <w:lang w:val="en-US" w:eastAsia="zh-CN"/>
              </w:rPr>
            </w:pPr>
            <w:r>
              <w:rPr>
                <w:rFonts w:hint="eastAsia" w:ascii="Times New Roman" w:hAnsi="Times New Roman" w:eastAsia="宋体" w:cs="Times New Roman"/>
                <w:b/>
                <w:bCs/>
                <w:color w:val="auto"/>
                <w:spacing w:val="0"/>
                <w:w w:val="100"/>
                <w:position w:val="0"/>
                <w:sz w:val="21"/>
                <w:szCs w:val="21"/>
                <w:highlight w:val="none"/>
                <w:lang w:val="en-US" w:eastAsia="zh-CN"/>
              </w:rPr>
              <w:t>规划要求</w:t>
            </w:r>
          </w:p>
        </w:tc>
        <w:tc>
          <w:tcPr>
            <w:tcW w:w="1917" w:type="pct"/>
            <w:tcBorders>
              <w:top w:val="single" w:color="auto" w:sz="12" w:space="0"/>
              <w:left w:val="single" w:color="auto" w:sz="4" w:space="0"/>
              <w:bottom w:val="single" w:color="auto" w:sz="4" w:space="0"/>
              <w:right w:val="single" w:color="auto" w:sz="4" w:space="0"/>
            </w:tcBorders>
            <w:shd w:val="clear" w:color="auto" w:fill="auto"/>
            <w:tcMar>
              <w:top w:w="0" w:type="dxa"/>
              <w:left w:w="102" w:type="dxa"/>
              <w:bottom w:w="0" w:type="dxa"/>
              <w:right w:w="102" w:type="dxa"/>
            </w:tcMar>
            <w:vAlign w:val="center"/>
          </w:tcPr>
          <w:p w14:paraId="1D94A9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bCs/>
                <w:color w:val="auto"/>
                <w:spacing w:val="0"/>
                <w:w w:val="100"/>
                <w:position w:val="0"/>
                <w:sz w:val="21"/>
                <w:szCs w:val="21"/>
                <w:highlight w:val="none"/>
                <w:lang w:val="en-US" w:eastAsia="zh-CN"/>
              </w:rPr>
            </w:pPr>
            <w:r>
              <w:rPr>
                <w:rFonts w:hint="eastAsia" w:ascii="Times New Roman" w:hAnsi="Times New Roman" w:eastAsia="宋体" w:cs="Times New Roman"/>
                <w:b/>
                <w:bCs/>
                <w:color w:val="auto"/>
                <w:spacing w:val="0"/>
                <w:w w:val="100"/>
                <w:position w:val="0"/>
                <w:sz w:val="21"/>
                <w:szCs w:val="21"/>
                <w:highlight w:val="none"/>
                <w:lang w:val="en-US" w:eastAsia="zh-CN"/>
              </w:rPr>
              <w:t>本项目情况</w:t>
            </w:r>
          </w:p>
        </w:tc>
        <w:tc>
          <w:tcPr>
            <w:tcW w:w="582" w:type="pct"/>
            <w:tcBorders>
              <w:top w:val="single" w:color="auto" w:sz="12" w:space="0"/>
              <w:left w:val="single" w:color="auto" w:sz="4" w:space="0"/>
              <w:bottom w:val="single" w:color="auto" w:sz="4" w:space="0"/>
              <w:right w:val="single" w:color="auto" w:sz="12" w:space="0"/>
            </w:tcBorders>
            <w:shd w:val="clear" w:color="auto" w:fill="auto"/>
            <w:tcMar>
              <w:top w:w="0" w:type="dxa"/>
              <w:left w:w="102" w:type="dxa"/>
              <w:bottom w:w="0" w:type="dxa"/>
              <w:right w:w="102" w:type="dxa"/>
            </w:tcMar>
            <w:vAlign w:val="center"/>
          </w:tcPr>
          <w:p w14:paraId="42E22B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bCs/>
                <w:color w:val="auto"/>
                <w:spacing w:val="0"/>
                <w:w w:val="100"/>
                <w:position w:val="0"/>
                <w:sz w:val="21"/>
                <w:szCs w:val="21"/>
                <w:highlight w:val="none"/>
                <w:lang w:val="en-US" w:eastAsia="zh-CN"/>
              </w:rPr>
            </w:pPr>
            <w:r>
              <w:rPr>
                <w:rFonts w:hint="eastAsia" w:ascii="Times New Roman" w:hAnsi="Times New Roman" w:eastAsia="宋体" w:cs="Times New Roman"/>
                <w:b/>
                <w:bCs/>
                <w:color w:val="auto"/>
                <w:spacing w:val="0"/>
                <w:w w:val="100"/>
                <w:position w:val="0"/>
                <w:sz w:val="21"/>
                <w:szCs w:val="21"/>
                <w:highlight w:val="none"/>
                <w:lang w:val="en-US" w:eastAsia="zh-CN"/>
              </w:rPr>
              <w:t>符合性</w:t>
            </w:r>
          </w:p>
        </w:tc>
      </w:tr>
      <w:tr w14:paraId="2B72A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921" w:type="pct"/>
            <w:tcBorders>
              <w:top w:val="single" w:color="auto" w:sz="4" w:space="0"/>
              <w:left w:val="single" w:color="auto" w:sz="12" w:space="0"/>
              <w:bottom w:val="single" w:color="auto" w:sz="4" w:space="0"/>
              <w:right w:val="single" w:color="auto" w:sz="4" w:space="0"/>
            </w:tcBorders>
            <w:shd w:val="clear" w:color="auto" w:fill="auto"/>
            <w:tcMar>
              <w:top w:w="0" w:type="dxa"/>
              <w:left w:w="102" w:type="dxa"/>
              <w:bottom w:w="0" w:type="dxa"/>
              <w:right w:w="102" w:type="dxa"/>
            </w:tcMar>
            <w:vAlign w:val="center"/>
          </w:tcPr>
          <w:p w14:paraId="09A721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绿色矿山建设</w:t>
            </w:r>
          </w:p>
        </w:tc>
        <w:tc>
          <w:tcPr>
            <w:tcW w:w="1578" w:type="pct"/>
            <w:tcBorders>
              <w:top w:val="single" w:color="auto" w:sz="4" w:space="0"/>
              <w:left w:val="single" w:color="auto" w:sz="4" w:space="0"/>
              <w:bottom w:val="single" w:color="auto" w:sz="4" w:space="0"/>
              <w:right w:val="single" w:color="auto" w:sz="4" w:space="0"/>
            </w:tcBorders>
            <w:shd w:val="clear" w:color="auto" w:fill="auto"/>
            <w:tcMar>
              <w:top w:w="0" w:type="dxa"/>
              <w:left w:w="102" w:type="dxa"/>
              <w:bottom w:w="0" w:type="dxa"/>
              <w:right w:w="102" w:type="dxa"/>
            </w:tcMar>
            <w:vAlign w:val="center"/>
          </w:tcPr>
          <w:p w14:paraId="62B9C0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全面推进绿色矿山建设，规范绿色矿山第三方评估，推广矿产资源节约与综合利用先进技术。</w:t>
            </w:r>
          </w:p>
        </w:tc>
        <w:tc>
          <w:tcPr>
            <w:tcW w:w="1917" w:type="pct"/>
            <w:tcBorders>
              <w:top w:val="single" w:color="auto" w:sz="4" w:space="0"/>
              <w:left w:val="single" w:color="auto" w:sz="4" w:space="0"/>
              <w:bottom w:val="single" w:color="auto" w:sz="4" w:space="0"/>
              <w:right w:val="single" w:color="auto" w:sz="4" w:space="0"/>
            </w:tcBorders>
            <w:shd w:val="clear" w:color="auto" w:fill="auto"/>
            <w:tcMar>
              <w:top w:w="0" w:type="dxa"/>
              <w:left w:w="102" w:type="dxa"/>
              <w:bottom w:w="0" w:type="dxa"/>
              <w:right w:w="102" w:type="dxa"/>
            </w:tcMar>
            <w:vAlign w:val="center"/>
          </w:tcPr>
          <w:p w14:paraId="05089D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本项目按照绿色矿山标准建设，在工艺系统、设备选型、安全、环保等方面按照智能化、绿色化、生态化的标准进行设计，选矿废水闭路循环，粉尘采用高效布袋除尘器处理，符合绿色矿山建设要求。</w:t>
            </w:r>
          </w:p>
        </w:tc>
        <w:tc>
          <w:tcPr>
            <w:tcW w:w="582" w:type="pct"/>
            <w:tcBorders>
              <w:top w:val="single" w:color="auto" w:sz="4" w:space="0"/>
              <w:left w:val="single" w:color="auto" w:sz="4" w:space="0"/>
              <w:bottom w:val="single" w:color="auto" w:sz="4" w:space="0"/>
              <w:right w:val="single" w:color="auto" w:sz="12" w:space="0"/>
            </w:tcBorders>
            <w:shd w:val="clear" w:color="auto" w:fill="auto"/>
            <w:tcMar>
              <w:top w:w="0" w:type="dxa"/>
              <w:left w:w="102" w:type="dxa"/>
              <w:bottom w:w="0" w:type="dxa"/>
              <w:right w:w="102" w:type="dxa"/>
            </w:tcMar>
            <w:vAlign w:val="center"/>
          </w:tcPr>
          <w:p w14:paraId="170968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符合</w:t>
            </w:r>
          </w:p>
        </w:tc>
      </w:tr>
      <w:tr w14:paraId="7E890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921" w:type="pct"/>
            <w:tcBorders>
              <w:top w:val="single" w:color="auto" w:sz="4" w:space="0"/>
              <w:left w:val="single" w:color="auto" w:sz="12" w:space="0"/>
              <w:bottom w:val="single" w:color="auto" w:sz="4" w:space="0"/>
              <w:right w:val="single" w:color="auto" w:sz="4" w:space="0"/>
            </w:tcBorders>
            <w:shd w:val="clear" w:color="auto" w:fill="auto"/>
            <w:tcMar>
              <w:top w:w="0" w:type="dxa"/>
              <w:left w:w="102" w:type="dxa"/>
              <w:bottom w:w="0" w:type="dxa"/>
              <w:right w:w="102" w:type="dxa"/>
            </w:tcMar>
            <w:vAlign w:val="center"/>
          </w:tcPr>
          <w:p w14:paraId="455B2B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大气环境</w:t>
            </w:r>
          </w:p>
        </w:tc>
        <w:tc>
          <w:tcPr>
            <w:tcW w:w="1578" w:type="pct"/>
            <w:tcBorders>
              <w:top w:val="single" w:color="auto" w:sz="4" w:space="0"/>
              <w:left w:val="single" w:color="auto" w:sz="4" w:space="0"/>
              <w:bottom w:val="single" w:color="auto" w:sz="4" w:space="0"/>
              <w:right w:val="single" w:color="auto" w:sz="4" w:space="0"/>
            </w:tcBorders>
            <w:shd w:val="clear" w:color="auto" w:fill="auto"/>
            <w:tcMar>
              <w:top w:w="0" w:type="dxa"/>
              <w:left w:w="102" w:type="dxa"/>
              <w:bottom w:w="0" w:type="dxa"/>
              <w:right w:w="102" w:type="dxa"/>
            </w:tcMar>
            <w:vAlign w:val="center"/>
          </w:tcPr>
          <w:p w14:paraId="230770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充分运用新型、高效的防尘、降尘、除尘技术，加强矿山粉尘治理。</w:t>
            </w:r>
          </w:p>
        </w:tc>
        <w:tc>
          <w:tcPr>
            <w:tcW w:w="1917" w:type="pct"/>
            <w:tcBorders>
              <w:top w:val="single" w:color="auto" w:sz="4" w:space="0"/>
              <w:left w:val="single" w:color="auto" w:sz="4" w:space="0"/>
              <w:bottom w:val="single" w:color="auto" w:sz="4" w:space="0"/>
              <w:right w:val="single" w:color="auto" w:sz="4" w:space="0"/>
            </w:tcBorders>
            <w:shd w:val="clear" w:color="auto" w:fill="auto"/>
            <w:tcMar>
              <w:top w:w="0" w:type="dxa"/>
              <w:left w:w="102" w:type="dxa"/>
              <w:bottom w:w="0" w:type="dxa"/>
              <w:right w:w="102" w:type="dxa"/>
            </w:tcMar>
            <w:vAlign w:val="center"/>
          </w:tcPr>
          <w:p w14:paraId="06EB25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本项目破碎、筛分车间均设置密闭罩和局部抽风，配备高效脉冲布袋除尘器（除尘效率≥99%），有效控制粉尘污染；燃煤锅炉废气采用</w:t>
            </w:r>
            <w:r>
              <w:rPr>
                <w:rFonts w:hint="eastAsia" w:cs="Times New Roman"/>
                <w:color w:val="auto"/>
                <w:spacing w:val="0"/>
                <w:w w:val="100"/>
                <w:position w:val="0"/>
                <w:sz w:val="21"/>
                <w:szCs w:val="21"/>
                <w:highlight w:val="none"/>
                <w:lang w:val="en-US" w:eastAsia="zh-CN"/>
              </w:rPr>
              <w:t>“</w:t>
            </w:r>
            <w:r>
              <w:rPr>
                <w:rFonts w:hint="eastAsia" w:ascii="Times New Roman" w:hAnsi="Times New Roman" w:eastAsia="宋体" w:cs="Times New Roman"/>
                <w:color w:val="auto"/>
                <w:spacing w:val="0"/>
                <w:w w:val="100"/>
                <w:position w:val="0"/>
                <w:sz w:val="21"/>
                <w:szCs w:val="21"/>
                <w:highlight w:val="none"/>
                <w:lang w:val="en-US" w:eastAsia="zh-CN"/>
              </w:rPr>
              <w:t>高温袋式除尘+SNCR脱硝+水膜脱硫除尘</w:t>
            </w:r>
            <w:r>
              <w:rPr>
                <w:rFonts w:hint="eastAsia" w:cs="Times New Roman"/>
                <w:color w:val="auto"/>
                <w:spacing w:val="0"/>
                <w:w w:val="100"/>
                <w:position w:val="0"/>
                <w:sz w:val="21"/>
                <w:szCs w:val="21"/>
                <w:highlight w:val="none"/>
                <w:lang w:val="en-US" w:eastAsia="zh-CN"/>
              </w:rPr>
              <w:t>”</w:t>
            </w:r>
            <w:r>
              <w:rPr>
                <w:rFonts w:hint="eastAsia" w:ascii="Times New Roman" w:hAnsi="Times New Roman" w:eastAsia="宋体" w:cs="Times New Roman"/>
                <w:color w:val="auto"/>
                <w:spacing w:val="0"/>
                <w:w w:val="100"/>
                <w:position w:val="0"/>
                <w:sz w:val="21"/>
                <w:szCs w:val="21"/>
                <w:highlight w:val="none"/>
                <w:lang w:val="en-US" w:eastAsia="zh-CN"/>
              </w:rPr>
              <w:t>组合工艺处理，达标排放。</w:t>
            </w:r>
          </w:p>
        </w:tc>
        <w:tc>
          <w:tcPr>
            <w:tcW w:w="582" w:type="pct"/>
            <w:tcBorders>
              <w:top w:val="single" w:color="auto" w:sz="4" w:space="0"/>
              <w:left w:val="single" w:color="auto" w:sz="4" w:space="0"/>
              <w:bottom w:val="single" w:color="auto" w:sz="4" w:space="0"/>
              <w:right w:val="single" w:color="auto" w:sz="12" w:space="0"/>
            </w:tcBorders>
            <w:shd w:val="clear" w:color="auto" w:fill="auto"/>
            <w:tcMar>
              <w:top w:w="0" w:type="dxa"/>
              <w:left w:w="102" w:type="dxa"/>
              <w:bottom w:w="0" w:type="dxa"/>
              <w:right w:w="102" w:type="dxa"/>
            </w:tcMar>
            <w:vAlign w:val="center"/>
          </w:tcPr>
          <w:p w14:paraId="43C507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符合</w:t>
            </w:r>
          </w:p>
        </w:tc>
      </w:tr>
      <w:tr w14:paraId="218E9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921" w:type="pct"/>
            <w:tcBorders>
              <w:top w:val="single" w:color="auto" w:sz="4" w:space="0"/>
              <w:left w:val="single" w:color="auto" w:sz="12" w:space="0"/>
              <w:bottom w:val="single" w:color="auto" w:sz="4" w:space="0"/>
              <w:right w:val="single" w:color="auto" w:sz="4" w:space="0"/>
            </w:tcBorders>
            <w:shd w:val="clear" w:color="auto" w:fill="auto"/>
            <w:tcMar>
              <w:top w:w="0" w:type="dxa"/>
              <w:left w:w="102" w:type="dxa"/>
              <w:bottom w:w="0" w:type="dxa"/>
              <w:right w:w="102" w:type="dxa"/>
            </w:tcMar>
            <w:vAlign w:val="center"/>
          </w:tcPr>
          <w:p w14:paraId="457FEC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水环境</w:t>
            </w:r>
          </w:p>
        </w:tc>
        <w:tc>
          <w:tcPr>
            <w:tcW w:w="1578" w:type="pct"/>
            <w:tcBorders>
              <w:top w:val="single" w:color="auto" w:sz="4" w:space="0"/>
              <w:left w:val="single" w:color="auto" w:sz="4" w:space="0"/>
              <w:bottom w:val="single" w:color="auto" w:sz="4" w:space="0"/>
              <w:right w:val="single" w:color="auto" w:sz="4" w:space="0"/>
            </w:tcBorders>
            <w:shd w:val="clear" w:color="auto" w:fill="auto"/>
            <w:tcMar>
              <w:top w:w="0" w:type="dxa"/>
              <w:left w:w="102" w:type="dxa"/>
              <w:bottom w:w="0" w:type="dxa"/>
              <w:right w:w="102" w:type="dxa"/>
            </w:tcMar>
            <w:vAlign w:val="center"/>
          </w:tcPr>
          <w:p w14:paraId="27C49E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推进地表水与地下水协同防治。加强化学品生产企业、工业聚集区、矿山开采区等污染源的地表、地下协同防治与环境风险管控。</w:t>
            </w:r>
          </w:p>
        </w:tc>
        <w:tc>
          <w:tcPr>
            <w:tcW w:w="1917" w:type="pct"/>
            <w:tcBorders>
              <w:top w:val="single" w:color="auto" w:sz="4" w:space="0"/>
              <w:left w:val="single" w:color="auto" w:sz="4" w:space="0"/>
              <w:bottom w:val="single" w:color="auto" w:sz="4" w:space="0"/>
              <w:right w:val="single" w:color="auto" w:sz="4" w:space="0"/>
            </w:tcBorders>
            <w:shd w:val="clear" w:color="auto" w:fill="auto"/>
            <w:tcMar>
              <w:top w:w="0" w:type="dxa"/>
              <w:left w:w="102" w:type="dxa"/>
              <w:bottom w:w="0" w:type="dxa"/>
              <w:right w:w="102" w:type="dxa"/>
            </w:tcMar>
            <w:vAlign w:val="center"/>
          </w:tcPr>
          <w:p w14:paraId="18308A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本项目选矿废水</w:t>
            </w:r>
            <w:r>
              <w:rPr>
                <w:rFonts w:hint="eastAsia" w:cs="Times New Roman"/>
                <w:color w:val="auto"/>
                <w:spacing w:val="0"/>
                <w:w w:val="100"/>
                <w:position w:val="0"/>
                <w:sz w:val="21"/>
                <w:szCs w:val="21"/>
                <w:highlight w:val="none"/>
                <w:lang w:val="en-US" w:eastAsia="zh-CN"/>
              </w:rPr>
              <w:t>“</w:t>
            </w:r>
            <w:r>
              <w:rPr>
                <w:rFonts w:hint="eastAsia" w:ascii="Times New Roman" w:hAnsi="Times New Roman" w:eastAsia="宋体" w:cs="Times New Roman"/>
                <w:color w:val="auto"/>
                <w:spacing w:val="0"/>
                <w:w w:val="100"/>
                <w:position w:val="0"/>
                <w:sz w:val="21"/>
                <w:szCs w:val="21"/>
                <w:highlight w:val="none"/>
                <w:lang w:val="en-US" w:eastAsia="zh-CN"/>
              </w:rPr>
              <w:t>闭路循环</w:t>
            </w:r>
            <w:r>
              <w:rPr>
                <w:rFonts w:hint="eastAsia" w:cs="Times New Roman"/>
                <w:color w:val="auto"/>
                <w:spacing w:val="0"/>
                <w:w w:val="100"/>
                <w:position w:val="0"/>
                <w:sz w:val="21"/>
                <w:szCs w:val="21"/>
                <w:highlight w:val="none"/>
                <w:lang w:val="en-US" w:eastAsia="zh-CN"/>
              </w:rPr>
              <w:t>”</w:t>
            </w:r>
            <w:r>
              <w:rPr>
                <w:rFonts w:hint="eastAsia" w:ascii="Times New Roman" w:hAnsi="Times New Roman" w:eastAsia="宋体" w:cs="Times New Roman"/>
                <w:color w:val="auto"/>
                <w:spacing w:val="0"/>
                <w:w w:val="100"/>
                <w:position w:val="0"/>
                <w:sz w:val="21"/>
                <w:szCs w:val="21"/>
                <w:highlight w:val="none"/>
                <w:lang w:val="en-US" w:eastAsia="zh-CN"/>
              </w:rPr>
              <w:t>不外排；尾矿库采用全库区HDPE土工膜防渗，库周设截水沟，坝下设置地下水监测井；重点区域均按要求进行防渗，有效防控地下水污染风险。</w:t>
            </w:r>
          </w:p>
        </w:tc>
        <w:tc>
          <w:tcPr>
            <w:tcW w:w="582" w:type="pct"/>
            <w:tcBorders>
              <w:top w:val="single" w:color="auto" w:sz="4" w:space="0"/>
              <w:left w:val="single" w:color="auto" w:sz="4" w:space="0"/>
              <w:bottom w:val="single" w:color="auto" w:sz="4" w:space="0"/>
              <w:right w:val="single" w:color="auto" w:sz="12" w:space="0"/>
            </w:tcBorders>
            <w:shd w:val="clear" w:color="auto" w:fill="auto"/>
            <w:tcMar>
              <w:top w:w="0" w:type="dxa"/>
              <w:left w:w="102" w:type="dxa"/>
              <w:bottom w:w="0" w:type="dxa"/>
              <w:right w:w="102" w:type="dxa"/>
            </w:tcMar>
            <w:vAlign w:val="center"/>
          </w:tcPr>
          <w:p w14:paraId="18D075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符合</w:t>
            </w:r>
          </w:p>
        </w:tc>
      </w:tr>
      <w:tr w14:paraId="715F7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921" w:type="pct"/>
            <w:tcBorders>
              <w:top w:val="single" w:color="auto" w:sz="4" w:space="0"/>
              <w:left w:val="single" w:color="auto" w:sz="12" w:space="0"/>
              <w:bottom w:val="single" w:color="auto" w:sz="4" w:space="0"/>
              <w:right w:val="single" w:color="auto" w:sz="4" w:space="0"/>
            </w:tcBorders>
            <w:shd w:val="clear" w:color="auto" w:fill="auto"/>
            <w:tcMar>
              <w:top w:w="0" w:type="dxa"/>
              <w:left w:w="102" w:type="dxa"/>
              <w:bottom w:w="0" w:type="dxa"/>
              <w:right w:w="102" w:type="dxa"/>
            </w:tcMar>
            <w:vAlign w:val="center"/>
          </w:tcPr>
          <w:p w14:paraId="040AA9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土壤环境</w:t>
            </w:r>
          </w:p>
        </w:tc>
        <w:tc>
          <w:tcPr>
            <w:tcW w:w="1578" w:type="pct"/>
            <w:tcBorders>
              <w:top w:val="single" w:color="auto" w:sz="4" w:space="0"/>
              <w:left w:val="single" w:color="auto" w:sz="4" w:space="0"/>
              <w:bottom w:val="single" w:color="auto" w:sz="4" w:space="0"/>
              <w:right w:val="single" w:color="auto" w:sz="4" w:space="0"/>
            </w:tcBorders>
            <w:shd w:val="clear" w:color="auto" w:fill="auto"/>
            <w:tcMar>
              <w:top w:w="0" w:type="dxa"/>
              <w:left w:w="102" w:type="dxa"/>
              <w:bottom w:w="0" w:type="dxa"/>
              <w:right w:w="102" w:type="dxa"/>
            </w:tcMar>
            <w:vAlign w:val="center"/>
          </w:tcPr>
          <w:p w14:paraId="02F379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防范工矿企业土壤污染。督促重点行业企业定期开展土壤及地下水环境自行监测、污染隐患排查。</w:t>
            </w:r>
          </w:p>
        </w:tc>
        <w:tc>
          <w:tcPr>
            <w:tcW w:w="1917" w:type="pct"/>
            <w:tcBorders>
              <w:top w:val="single" w:color="auto" w:sz="4" w:space="0"/>
              <w:left w:val="single" w:color="auto" w:sz="4" w:space="0"/>
              <w:bottom w:val="single" w:color="auto" w:sz="4" w:space="0"/>
              <w:right w:val="single" w:color="auto" w:sz="4" w:space="0"/>
            </w:tcBorders>
            <w:shd w:val="clear" w:color="auto" w:fill="auto"/>
            <w:tcMar>
              <w:top w:w="0" w:type="dxa"/>
              <w:left w:w="102" w:type="dxa"/>
              <w:bottom w:w="0" w:type="dxa"/>
              <w:right w:w="102" w:type="dxa"/>
            </w:tcMar>
            <w:vAlign w:val="center"/>
          </w:tcPr>
          <w:p w14:paraId="69D28D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本项目为萤石矿选矿项目，根据土壤现状监测报告，矿区占地范围内、外土壤污染物均满足筛选值标准，土壤环境良好。环评要求采取防渗等措施防止项目活动对土壤及地下水的污染。</w:t>
            </w:r>
          </w:p>
        </w:tc>
        <w:tc>
          <w:tcPr>
            <w:tcW w:w="582" w:type="pct"/>
            <w:tcBorders>
              <w:top w:val="single" w:color="auto" w:sz="4" w:space="0"/>
              <w:left w:val="single" w:color="auto" w:sz="4" w:space="0"/>
              <w:bottom w:val="single" w:color="auto" w:sz="4" w:space="0"/>
              <w:right w:val="single" w:color="auto" w:sz="12" w:space="0"/>
            </w:tcBorders>
            <w:shd w:val="clear" w:color="auto" w:fill="auto"/>
            <w:tcMar>
              <w:top w:w="0" w:type="dxa"/>
              <w:left w:w="102" w:type="dxa"/>
              <w:bottom w:w="0" w:type="dxa"/>
              <w:right w:w="102" w:type="dxa"/>
            </w:tcMar>
            <w:vAlign w:val="center"/>
          </w:tcPr>
          <w:p w14:paraId="0079FC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符合</w:t>
            </w:r>
          </w:p>
        </w:tc>
      </w:tr>
      <w:tr w14:paraId="4651F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921" w:type="pct"/>
            <w:tcBorders>
              <w:top w:val="single" w:color="auto" w:sz="4" w:space="0"/>
              <w:left w:val="single" w:color="auto" w:sz="12" w:space="0"/>
              <w:bottom w:val="single" w:color="auto" w:sz="4" w:space="0"/>
              <w:right w:val="single" w:color="auto" w:sz="4" w:space="0"/>
            </w:tcBorders>
            <w:shd w:val="clear" w:color="auto" w:fill="auto"/>
            <w:tcMar>
              <w:top w:w="0" w:type="dxa"/>
              <w:left w:w="102" w:type="dxa"/>
              <w:bottom w:w="0" w:type="dxa"/>
              <w:right w:w="102" w:type="dxa"/>
            </w:tcMar>
            <w:vAlign w:val="center"/>
          </w:tcPr>
          <w:p w14:paraId="0830D6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风险防控</w:t>
            </w:r>
          </w:p>
        </w:tc>
        <w:tc>
          <w:tcPr>
            <w:tcW w:w="1578" w:type="pct"/>
            <w:tcBorders>
              <w:top w:val="single" w:color="auto" w:sz="4" w:space="0"/>
              <w:left w:val="single" w:color="auto" w:sz="4" w:space="0"/>
              <w:bottom w:val="single" w:color="auto" w:sz="4" w:space="0"/>
              <w:right w:val="single" w:color="auto" w:sz="4" w:space="0"/>
            </w:tcBorders>
            <w:shd w:val="clear" w:color="auto" w:fill="auto"/>
            <w:tcMar>
              <w:top w:w="0" w:type="dxa"/>
              <w:left w:w="102" w:type="dxa"/>
              <w:bottom w:w="0" w:type="dxa"/>
              <w:right w:w="102" w:type="dxa"/>
            </w:tcMar>
            <w:vAlign w:val="center"/>
          </w:tcPr>
          <w:p w14:paraId="0A10A0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强化重点区域地下水环境风险管控。对尾矿库、矿山开采区等地下水污染源及周边区域，逐步开展地下水环境状况调查评估，加强风险管控。</w:t>
            </w:r>
          </w:p>
        </w:tc>
        <w:tc>
          <w:tcPr>
            <w:tcW w:w="1917" w:type="pct"/>
            <w:tcBorders>
              <w:top w:val="single" w:color="auto" w:sz="4" w:space="0"/>
              <w:left w:val="single" w:color="auto" w:sz="4" w:space="0"/>
              <w:bottom w:val="single" w:color="auto" w:sz="4" w:space="0"/>
              <w:right w:val="single" w:color="auto" w:sz="4" w:space="0"/>
            </w:tcBorders>
            <w:shd w:val="clear" w:color="auto" w:fill="auto"/>
            <w:tcMar>
              <w:top w:w="0" w:type="dxa"/>
              <w:left w:w="102" w:type="dxa"/>
              <w:bottom w:w="0" w:type="dxa"/>
              <w:right w:w="102" w:type="dxa"/>
            </w:tcMar>
            <w:vAlign w:val="center"/>
          </w:tcPr>
          <w:p w14:paraId="59F81C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本项目拟实施3口监测井，对地下水实行定期监测，建设单位对尾矿库等设施采取防渗措施；尾矿库采用全库区防渗、排洪、回水及监测系统，符合规范要求。</w:t>
            </w:r>
          </w:p>
        </w:tc>
        <w:tc>
          <w:tcPr>
            <w:tcW w:w="582" w:type="pct"/>
            <w:tcBorders>
              <w:top w:val="single" w:color="auto" w:sz="4" w:space="0"/>
              <w:left w:val="single" w:color="auto" w:sz="4" w:space="0"/>
              <w:bottom w:val="single" w:color="auto" w:sz="4" w:space="0"/>
              <w:right w:val="single" w:color="auto" w:sz="12" w:space="0"/>
            </w:tcBorders>
            <w:shd w:val="clear" w:color="auto" w:fill="auto"/>
            <w:tcMar>
              <w:top w:w="0" w:type="dxa"/>
              <w:left w:w="102" w:type="dxa"/>
              <w:bottom w:w="0" w:type="dxa"/>
              <w:right w:w="102" w:type="dxa"/>
            </w:tcMar>
            <w:vAlign w:val="center"/>
          </w:tcPr>
          <w:p w14:paraId="0C86FA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符合</w:t>
            </w:r>
          </w:p>
        </w:tc>
      </w:tr>
      <w:tr w14:paraId="7FC90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921" w:type="pct"/>
            <w:tcBorders>
              <w:top w:val="single" w:color="auto" w:sz="4" w:space="0"/>
              <w:left w:val="single" w:color="auto" w:sz="12" w:space="0"/>
              <w:bottom w:val="single" w:color="auto" w:sz="4" w:space="0"/>
              <w:right w:val="single" w:color="auto" w:sz="4" w:space="0"/>
            </w:tcBorders>
            <w:shd w:val="clear" w:color="auto" w:fill="auto"/>
            <w:tcMar>
              <w:top w:w="0" w:type="dxa"/>
              <w:left w:w="102" w:type="dxa"/>
              <w:bottom w:w="0" w:type="dxa"/>
              <w:right w:w="102" w:type="dxa"/>
            </w:tcMar>
            <w:vAlign w:val="center"/>
          </w:tcPr>
          <w:p w14:paraId="6136C4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尾矿污染治理</w:t>
            </w:r>
          </w:p>
        </w:tc>
        <w:tc>
          <w:tcPr>
            <w:tcW w:w="1578" w:type="pct"/>
            <w:tcBorders>
              <w:top w:val="single" w:color="auto" w:sz="4" w:space="0"/>
              <w:left w:val="single" w:color="auto" w:sz="4" w:space="0"/>
              <w:bottom w:val="single" w:color="auto" w:sz="4" w:space="0"/>
              <w:right w:val="single" w:color="auto" w:sz="4" w:space="0"/>
            </w:tcBorders>
            <w:shd w:val="clear" w:color="auto" w:fill="auto"/>
            <w:tcMar>
              <w:top w:w="0" w:type="dxa"/>
              <w:left w:w="102" w:type="dxa"/>
              <w:bottom w:w="0" w:type="dxa"/>
              <w:right w:w="102" w:type="dxa"/>
            </w:tcMar>
            <w:vAlign w:val="center"/>
          </w:tcPr>
          <w:p w14:paraId="34C112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开展尾矿污染治理。建立尾矿库分级分类环境管理制度，加强尾矿库环境风险隐患排查治理。严格新（改、扩）建尾矿库环境准入。</w:t>
            </w:r>
          </w:p>
        </w:tc>
        <w:tc>
          <w:tcPr>
            <w:tcW w:w="1917" w:type="pct"/>
            <w:tcBorders>
              <w:top w:val="single" w:color="auto" w:sz="4" w:space="0"/>
              <w:left w:val="single" w:color="auto" w:sz="4" w:space="0"/>
              <w:bottom w:val="single" w:color="auto" w:sz="4" w:space="0"/>
              <w:right w:val="single" w:color="auto" w:sz="4" w:space="0"/>
            </w:tcBorders>
            <w:shd w:val="clear" w:color="auto" w:fill="auto"/>
            <w:tcMar>
              <w:top w:w="0" w:type="dxa"/>
              <w:left w:w="102" w:type="dxa"/>
              <w:bottom w:w="0" w:type="dxa"/>
              <w:right w:w="102" w:type="dxa"/>
            </w:tcMar>
            <w:vAlign w:val="center"/>
          </w:tcPr>
          <w:p w14:paraId="4D1AEB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本项目尾矿库为新建四等库，采用全库区HDPE土工膜防渗，设置排洪、回水及监测系统，符合《尾矿库安全规程》等规范要求；环评已要求进行环境风险评估，制定突发环境事件应急预案。</w:t>
            </w:r>
          </w:p>
        </w:tc>
        <w:tc>
          <w:tcPr>
            <w:tcW w:w="582" w:type="pct"/>
            <w:tcBorders>
              <w:top w:val="single" w:color="auto" w:sz="4" w:space="0"/>
              <w:left w:val="single" w:color="auto" w:sz="4" w:space="0"/>
              <w:bottom w:val="single" w:color="auto" w:sz="4" w:space="0"/>
              <w:right w:val="single" w:color="auto" w:sz="12" w:space="0"/>
            </w:tcBorders>
            <w:shd w:val="clear" w:color="auto" w:fill="auto"/>
            <w:tcMar>
              <w:top w:w="0" w:type="dxa"/>
              <w:left w:w="102" w:type="dxa"/>
              <w:bottom w:w="0" w:type="dxa"/>
              <w:right w:w="102" w:type="dxa"/>
            </w:tcMar>
            <w:vAlign w:val="center"/>
          </w:tcPr>
          <w:p w14:paraId="6605A6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符合</w:t>
            </w:r>
          </w:p>
        </w:tc>
      </w:tr>
      <w:tr w14:paraId="77341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921" w:type="pct"/>
            <w:tcBorders>
              <w:top w:val="single" w:color="auto" w:sz="4" w:space="0"/>
              <w:left w:val="single" w:color="auto" w:sz="12" w:space="0"/>
              <w:bottom w:val="single" w:color="auto" w:sz="12" w:space="0"/>
              <w:right w:val="single" w:color="auto" w:sz="4" w:space="0"/>
            </w:tcBorders>
            <w:shd w:val="clear" w:color="auto" w:fill="auto"/>
            <w:tcMar>
              <w:top w:w="0" w:type="dxa"/>
              <w:left w:w="102" w:type="dxa"/>
              <w:bottom w:w="0" w:type="dxa"/>
              <w:right w:w="102" w:type="dxa"/>
            </w:tcMar>
            <w:vAlign w:val="center"/>
          </w:tcPr>
          <w:p w14:paraId="383D22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固体废物</w:t>
            </w:r>
          </w:p>
        </w:tc>
        <w:tc>
          <w:tcPr>
            <w:tcW w:w="1578" w:type="pct"/>
            <w:tcBorders>
              <w:top w:val="single" w:color="auto" w:sz="4" w:space="0"/>
              <w:left w:val="single" w:color="auto" w:sz="4" w:space="0"/>
              <w:bottom w:val="single" w:color="auto" w:sz="12" w:space="0"/>
              <w:right w:val="single" w:color="auto" w:sz="4" w:space="0"/>
            </w:tcBorders>
            <w:shd w:val="clear" w:color="auto" w:fill="auto"/>
            <w:tcMar>
              <w:top w:w="0" w:type="dxa"/>
              <w:left w:w="102" w:type="dxa"/>
              <w:bottom w:w="0" w:type="dxa"/>
              <w:right w:w="102" w:type="dxa"/>
            </w:tcMar>
            <w:vAlign w:val="center"/>
          </w:tcPr>
          <w:p w14:paraId="229575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推进固体废物源头减量和资源化利用。以尾矿和共伴生矿为重点，持续推进固体废物综合利用和环境整治。</w:t>
            </w:r>
          </w:p>
        </w:tc>
        <w:tc>
          <w:tcPr>
            <w:tcW w:w="1917" w:type="pct"/>
            <w:tcBorders>
              <w:top w:val="single" w:color="auto" w:sz="4" w:space="0"/>
              <w:left w:val="single" w:color="auto" w:sz="4" w:space="0"/>
              <w:bottom w:val="single" w:color="auto" w:sz="12" w:space="0"/>
              <w:right w:val="single" w:color="auto" w:sz="4" w:space="0"/>
            </w:tcBorders>
            <w:shd w:val="clear" w:color="auto" w:fill="auto"/>
            <w:tcMar>
              <w:top w:w="0" w:type="dxa"/>
              <w:left w:w="102" w:type="dxa"/>
              <w:bottom w:w="0" w:type="dxa"/>
              <w:right w:w="102" w:type="dxa"/>
            </w:tcMar>
            <w:vAlign w:val="center"/>
          </w:tcPr>
          <w:p w14:paraId="4F18AC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本项目尾矿全部排入专用尾矿库堆存，尾矿库采取全库区HDPE土工膜防渗，落实</w:t>
            </w:r>
            <w:r>
              <w:rPr>
                <w:rFonts w:hint="eastAsia" w:cs="Times New Roman"/>
                <w:color w:val="auto"/>
                <w:spacing w:val="0"/>
                <w:w w:val="100"/>
                <w:position w:val="0"/>
                <w:sz w:val="21"/>
                <w:szCs w:val="21"/>
                <w:highlight w:val="none"/>
                <w:lang w:val="en-US" w:eastAsia="zh-CN"/>
              </w:rPr>
              <w:t>“</w:t>
            </w:r>
            <w:r>
              <w:rPr>
                <w:rFonts w:hint="eastAsia" w:ascii="Times New Roman" w:hAnsi="Times New Roman" w:eastAsia="宋体" w:cs="Times New Roman"/>
                <w:color w:val="auto"/>
                <w:spacing w:val="0"/>
                <w:w w:val="100"/>
                <w:position w:val="0"/>
                <w:sz w:val="21"/>
                <w:szCs w:val="21"/>
                <w:highlight w:val="none"/>
                <w:lang w:val="en-US" w:eastAsia="zh-CN"/>
              </w:rPr>
              <w:t>三防</w:t>
            </w:r>
            <w:r>
              <w:rPr>
                <w:rFonts w:hint="eastAsia" w:cs="Times New Roman"/>
                <w:color w:val="auto"/>
                <w:spacing w:val="0"/>
                <w:w w:val="100"/>
                <w:position w:val="0"/>
                <w:sz w:val="21"/>
                <w:szCs w:val="21"/>
                <w:highlight w:val="none"/>
                <w:lang w:val="en-US" w:eastAsia="zh-CN"/>
              </w:rPr>
              <w:t>”</w:t>
            </w:r>
            <w:r>
              <w:rPr>
                <w:rFonts w:hint="eastAsia" w:ascii="Times New Roman" w:hAnsi="Times New Roman" w:eastAsia="宋体" w:cs="Times New Roman"/>
                <w:color w:val="auto"/>
                <w:spacing w:val="0"/>
                <w:w w:val="100"/>
                <w:position w:val="0"/>
                <w:sz w:val="21"/>
                <w:szCs w:val="21"/>
                <w:highlight w:val="none"/>
                <w:lang w:val="en-US" w:eastAsia="zh-CN"/>
              </w:rPr>
              <w:t>；废机油等危险废物规范暂存、委托资质单位处置；除尘灰回用于选矿生产。</w:t>
            </w:r>
          </w:p>
        </w:tc>
        <w:tc>
          <w:tcPr>
            <w:tcW w:w="582" w:type="pct"/>
            <w:tcBorders>
              <w:top w:val="single" w:color="auto" w:sz="4" w:space="0"/>
              <w:left w:val="single" w:color="auto" w:sz="4" w:space="0"/>
              <w:bottom w:val="single" w:color="auto" w:sz="12" w:space="0"/>
              <w:right w:val="single" w:color="auto" w:sz="12" w:space="0"/>
            </w:tcBorders>
            <w:shd w:val="clear" w:color="auto" w:fill="auto"/>
            <w:tcMar>
              <w:top w:w="0" w:type="dxa"/>
              <w:left w:w="102" w:type="dxa"/>
              <w:bottom w:w="0" w:type="dxa"/>
              <w:right w:w="102" w:type="dxa"/>
            </w:tcMar>
            <w:vAlign w:val="center"/>
          </w:tcPr>
          <w:p w14:paraId="7A9BF9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符合</w:t>
            </w:r>
          </w:p>
        </w:tc>
      </w:tr>
    </w:tbl>
    <w:p w14:paraId="3247327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pacing w:val="0"/>
          <w:w w:val="100"/>
          <w:position w:val="0"/>
          <w:sz w:val="24"/>
          <w:szCs w:val="24"/>
          <w:highlight w:val="none"/>
          <w:lang w:val="en-US" w:eastAsia="zh-CN" w:bidi="ar"/>
        </w:rPr>
      </w:pPr>
      <w:r>
        <w:rPr>
          <w:rFonts w:hint="default" w:ascii="Times New Roman" w:hAnsi="Times New Roman" w:eastAsia="宋体" w:cs="Times New Roman"/>
          <w:color w:val="auto"/>
          <w:spacing w:val="0"/>
          <w:w w:val="100"/>
          <w:position w:val="0"/>
          <w:sz w:val="24"/>
          <w:szCs w:val="24"/>
          <w:highlight w:val="none"/>
          <w:lang w:val="en-US" w:eastAsia="zh-CN" w:bidi="ar"/>
        </w:rPr>
        <w:t>综上，本项目的建设符合《新疆生态环境保护</w:t>
      </w:r>
      <w:r>
        <w:rPr>
          <w:rFonts w:hint="eastAsia" w:cs="Times New Roman"/>
          <w:color w:val="auto"/>
          <w:spacing w:val="0"/>
          <w:w w:val="100"/>
          <w:position w:val="0"/>
          <w:sz w:val="24"/>
          <w:szCs w:val="24"/>
          <w:highlight w:val="none"/>
          <w:lang w:val="en-US" w:eastAsia="zh-CN" w:bidi="ar"/>
        </w:rPr>
        <w:t>“</w:t>
      </w:r>
      <w:r>
        <w:rPr>
          <w:rFonts w:hint="default" w:ascii="Times New Roman" w:hAnsi="Times New Roman" w:eastAsia="宋体" w:cs="Times New Roman"/>
          <w:color w:val="auto"/>
          <w:spacing w:val="0"/>
          <w:w w:val="100"/>
          <w:position w:val="0"/>
          <w:sz w:val="24"/>
          <w:szCs w:val="24"/>
          <w:highlight w:val="none"/>
          <w:lang w:val="en-US" w:eastAsia="zh-CN" w:bidi="ar"/>
        </w:rPr>
        <w:t>十四五</w:t>
      </w:r>
      <w:r>
        <w:rPr>
          <w:rFonts w:hint="eastAsia" w:cs="Times New Roman"/>
          <w:color w:val="auto"/>
          <w:spacing w:val="0"/>
          <w:w w:val="100"/>
          <w:position w:val="0"/>
          <w:sz w:val="24"/>
          <w:szCs w:val="24"/>
          <w:highlight w:val="none"/>
          <w:lang w:val="en-US" w:eastAsia="zh-CN" w:bidi="ar"/>
        </w:rPr>
        <w:t>”</w:t>
      </w:r>
      <w:r>
        <w:rPr>
          <w:rFonts w:hint="default" w:ascii="Times New Roman" w:hAnsi="Times New Roman" w:eastAsia="宋体" w:cs="Times New Roman"/>
          <w:color w:val="auto"/>
          <w:spacing w:val="0"/>
          <w:w w:val="100"/>
          <w:position w:val="0"/>
          <w:sz w:val="24"/>
          <w:szCs w:val="24"/>
          <w:highlight w:val="none"/>
          <w:lang w:val="en-US" w:eastAsia="zh-CN" w:bidi="ar"/>
        </w:rPr>
        <w:t>规划》关于绿色矿山建设、矿山粉尘治理、水环境污染防治、土壤和地下水污染防控、尾矿库风险防控及固体废物减量化资源化利用等相关要求。</w:t>
      </w:r>
    </w:p>
    <w:p w14:paraId="32AAD92F">
      <w:pPr>
        <w:keepNext/>
        <w:keepLines/>
        <w:widowControl w:val="0"/>
        <w:spacing w:line="480" w:lineRule="exact"/>
        <w:ind w:firstLine="482" w:firstLineChars="200"/>
        <w:jc w:val="both"/>
        <w:outlineLvl w:val="3"/>
        <w:rPr>
          <w:rFonts w:hint="default" w:ascii="Times New Roman" w:hAnsi="Times New Roman" w:eastAsia="宋体" w:cs="Times New Roman"/>
          <w:b/>
          <w:bCs/>
          <w:color w:val="auto"/>
          <w:kern w:val="2"/>
          <w:sz w:val="24"/>
          <w:szCs w:val="28"/>
          <w:highlight w:val="none"/>
          <w:lang w:val="en-US" w:eastAsia="zh-CN" w:bidi="ar-SA"/>
        </w:rPr>
      </w:pPr>
      <w:r>
        <w:rPr>
          <w:rFonts w:hint="default" w:ascii="Times New Roman" w:hAnsi="Times New Roman" w:eastAsia="宋体" w:cs="Times New Roman"/>
          <w:b/>
          <w:bCs/>
          <w:color w:val="auto"/>
          <w:kern w:val="2"/>
          <w:sz w:val="24"/>
          <w:szCs w:val="28"/>
          <w:highlight w:val="none"/>
          <w:lang w:val="en-US" w:eastAsia="zh-CN" w:bidi="ar-SA"/>
        </w:rPr>
        <w:t>1.3.3.</w:t>
      </w:r>
      <w:r>
        <w:rPr>
          <w:rFonts w:hint="eastAsia" w:cs="Times New Roman"/>
          <w:b/>
          <w:bCs/>
          <w:color w:val="auto"/>
          <w:kern w:val="2"/>
          <w:sz w:val="24"/>
          <w:szCs w:val="28"/>
          <w:highlight w:val="none"/>
          <w:lang w:val="en-US" w:eastAsia="zh-CN" w:bidi="ar-SA"/>
        </w:rPr>
        <w:t>7</w:t>
      </w:r>
      <w:r>
        <w:rPr>
          <w:rFonts w:hint="default" w:ascii="Times New Roman" w:hAnsi="Times New Roman" w:eastAsia="宋体" w:cs="Times New Roman"/>
          <w:b/>
          <w:color w:val="auto"/>
          <w:kern w:val="2"/>
          <w:sz w:val="24"/>
          <w:szCs w:val="24"/>
          <w:highlight w:val="none"/>
          <w:lang w:val="en-US" w:eastAsia="zh-CN" w:bidi="ar-SA"/>
        </w:rPr>
        <w:t>与《哈密市生态环境保护</w:t>
      </w:r>
      <w:r>
        <w:rPr>
          <w:rFonts w:hint="eastAsia" w:cs="Times New Roman"/>
          <w:b/>
          <w:color w:val="auto"/>
          <w:kern w:val="2"/>
          <w:sz w:val="24"/>
          <w:szCs w:val="24"/>
          <w:highlight w:val="none"/>
          <w:lang w:val="en-US" w:eastAsia="zh-CN" w:bidi="ar-SA"/>
        </w:rPr>
        <w:t>“</w:t>
      </w:r>
      <w:r>
        <w:rPr>
          <w:rFonts w:hint="default" w:ascii="Times New Roman" w:hAnsi="Times New Roman" w:eastAsia="宋体" w:cs="Times New Roman"/>
          <w:b/>
          <w:color w:val="auto"/>
          <w:kern w:val="2"/>
          <w:sz w:val="24"/>
          <w:szCs w:val="24"/>
          <w:highlight w:val="none"/>
          <w:lang w:val="en-US" w:eastAsia="zh-CN" w:bidi="ar-SA"/>
        </w:rPr>
        <w:t>十四五</w:t>
      </w:r>
      <w:r>
        <w:rPr>
          <w:rFonts w:hint="eastAsia" w:cs="Times New Roman"/>
          <w:b/>
          <w:color w:val="auto"/>
          <w:kern w:val="2"/>
          <w:sz w:val="24"/>
          <w:szCs w:val="24"/>
          <w:highlight w:val="none"/>
          <w:lang w:val="en-US" w:eastAsia="zh-CN" w:bidi="ar-SA"/>
        </w:rPr>
        <w:t>”</w:t>
      </w:r>
      <w:r>
        <w:rPr>
          <w:rFonts w:hint="default" w:ascii="Times New Roman" w:hAnsi="Times New Roman" w:eastAsia="宋体" w:cs="Times New Roman"/>
          <w:b/>
          <w:color w:val="auto"/>
          <w:kern w:val="2"/>
          <w:sz w:val="24"/>
          <w:szCs w:val="24"/>
          <w:highlight w:val="none"/>
          <w:lang w:val="en-US" w:eastAsia="zh-CN" w:bidi="ar-SA"/>
        </w:rPr>
        <w:t>规划》的符合性</w:t>
      </w:r>
    </w:p>
    <w:p w14:paraId="37E88A3E">
      <w:pPr>
        <w:overflowPunct w:val="0"/>
        <w:topLinePunct/>
        <w:ind w:firstLine="480"/>
        <w:rPr>
          <w:rFonts w:hint="default" w:ascii="Times New Roman" w:hAnsi="Times New Roman" w:cs="Times New Roman"/>
          <w:color w:val="auto"/>
          <w:highlight w:val="none"/>
        </w:rPr>
      </w:pPr>
      <w:r>
        <w:rPr>
          <w:rFonts w:hint="default" w:ascii="Times New Roman" w:hAnsi="Times New Roman" w:eastAsia="宋体" w:cs="Times New Roman"/>
          <w:color w:val="auto"/>
          <w:spacing w:val="0"/>
          <w:w w:val="100"/>
          <w:position w:val="0"/>
          <w:sz w:val="24"/>
          <w:szCs w:val="24"/>
          <w:highlight w:val="none"/>
          <w:lang w:val="en-US" w:eastAsia="zh-CN" w:bidi="ar"/>
        </w:rPr>
        <w:t>哈密市</w:t>
      </w:r>
      <w:r>
        <w:rPr>
          <w:rFonts w:hint="eastAsia" w:cs="Times New Roman"/>
          <w:color w:val="auto"/>
          <w:spacing w:val="0"/>
          <w:w w:val="100"/>
          <w:position w:val="0"/>
          <w:sz w:val="24"/>
          <w:szCs w:val="24"/>
          <w:highlight w:val="none"/>
          <w:lang w:val="en-US" w:eastAsia="zh-CN" w:bidi="ar"/>
        </w:rPr>
        <w:t>“</w:t>
      </w:r>
      <w:r>
        <w:rPr>
          <w:rFonts w:hint="default" w:ascii="Times New Roman" w:hAnsi="Times New Roman" w:eastAsia="宋体" w:cs="Times New Roman"/>
          <w:color w:val="auto"/>
          <w:spacing w:val="0"/>
          <w:w w:val="100"/>
          <w:position w:val="0"/>
          <w:sz w:val="24"/>
          <w:szCs w:val="24"/>
          <w:highlight w:val="none"/>
          <w:lang w:val="en-US" w:eastAsia="zh-CN" w:bidi="ar"/>
        </w:rPr>
        <w:t>十四五</w:t>
      </w:r>
      <w:r>
        <w:rPr>
          <w:rFonts w:hint="eastAsia" w:cs="Times New Roman"/>
          <w:color w:val="auto"/>
          <w:spacing w:val="0"/>
          <w:w w:val="100"/>
          <w:position w:val="0"/>
          <w:sz w:val="24"/>
          <w:szCs w:val="24"/>
          <w:highlight w:val="none"/>
          <w:lang w:val="en-US" w:eastAsia="zh-CN" w:bidi="ar"/>
        </w:rPr>
        <w:t>”</w:t>
      </w:r>
      <w:r>
        <w:rPr>
          <w:rFonts w:hint="default" w:ascii="Times New Roman" w:hAnsi="Times New Roman" w:eastAsia="宋体" w:cs="Times New Roman"/>
          <w:color w:val="auto"/>
          <w:spacing w:val="0"/>
          <w:w w:val="100"/>
          <w:position w:val="0"/>
          <w:sz w:val="24"/>
          <w:szCs w:val="24"/>
          <w:highlight w:val="none"/>
          <w:lang w:val="en-US" w:eastAsia="zh-CN" w:bidi="ar"/>
        </w:rPr>
        <w:t>期间在矿业领域着力推动资源绿色高效开发利用，将绿色矿山创建要求纳入《矿产资源</w:t>
      </w:r>
      <w:r>
        <w:rPr>
          <w:rFonts w:hint="eastAsia" w:cs="Times New Roman"/>
          <w:color w:val="auto"/>
          <w:spacing w:val="0"/>
          <w:w w:val="100"/>
          <w:position w:val="0"/>
          <w:sz w:val="24"/>
          <w:szCs w:val="24"/>
          <w:highlight w:val="none"/>
          <w:lang w:val="en-US" w:eastAsia="zh-CN" w:bidi="ar"/>
        </w:rPr>
        <w:t>“</w:t>
      </w:r>
      <w:r>
        <w:rPr>
          <w:rFonts w:hint="default" w:ascii="Times New Roman" w:hAnsi="Times New Roman" w:eastAsia="宋体" w:cs="Times New Roman"/>
          <w:color w:val="auto"/>
          <w:spacing w:val="0"/>
          <w:w w:val="100"/>
          <w:position w:val="0"/>
          <w:sz w:val="24"/>
          <w:szCs w:val="24"/>
          <w:highlight w:val="none"/>
          <w:lang w:val="en-US" w:eastAsia="zh-CN" w:bidi="ar"/>
        </w:rPr>
        <w:t>十四五</w:t>
      </w:r>
      <w:r>
        <w:rPr>
          <w:rFonts w:hint="eastAsia" w:cs="Times New Roman"/>
          <w:color w:val="auto"/>
          <w:spacing w:val="0"/>
          <w:w w:val="100"/>
          <w:position w:val="0"/>
          <w:sz w:val="24"/>
          <w:szCs w:val="24"/>
          <w:highlight w:val="none"/>
          <w:lang w:val="en-US" w:eastAsia="zh-CN" w:bidi="ar"/>
        </w:rPr>
        <w:t>”</w:t>
      </w:r>
      <w:r>
        <w:rPr>
          <w:rFonts w:hint="default" w:ascii="Times New Roman" w:hAnsi="Times New Roman" w:eastAsia="宋体" w:cs="Times New Roman"/>
          <w:color w:val="auto"/>
          <w:spacing w:val="0"/>
          <w:w w:val="100"/>
          <w:position w:val="0"/>
          <w:sz w:val="24"/>
          <w:szCs w:val="24"/>
          <w:highlight w:val="none"/>
          <w:lang w:val="en-US" w:eastAsia="zh-CN" w:bidi="ar"/>
        </w:rPr>
        <w:t>规划》，监督各类新建矿山严格按照绿色矿山标准进行规划、设计、建设和运营管理。本项目与该规划的符合性分析如下：</w:t>
      </w:r>
    </w:p>
    <w:p w14:paraId="12C75C11">
      <w:pPr>
        <w:adjustRightInd w:val="0"/>
        <w:snapToGrid w:val="0"/>
        <w:ind w:firstLine="0" w:firstLineChars="0"/>
        <w:jc w:val="center"/>
        <w:rPr>
          <w:color w:val="auto"/>
          <w:highlight w:val="none"/>
        </w:rPr>
      </w:pPr>
      <w:r>
        <w:rPr>
          <w:rFonts w:hint="default" w:ascii="Times New Roman" w:hAnsi="Times New Roman" w:cs="Times New Roman"/>
          <w:b/>
          <w:color w:val="auto"/>
          <w:kern w:val="0"/>
          <w:highlight w:val="none"/>
        </w:rPr>
        <w:t>表1.3-</w:t>
      </w:r>
      <w:r>
        <w:rPr>
          <w:rFonts w:hint="eastAsia" w:cs="Times New Roman"/>
          <w:b/>
          <w:color w:val="auto"/>
          <w:kern w:val="0"/>
          <w:highlight w:val="none"/>
          <w:lang w:val="en-US" w:eastAsia="zh-CN"/>
        </w:rPr>
        <w:t>8</w:t>
      </w:r>
      <w:r>
        <w:rPr>
          <w:rFonts w:hint="default" w:ascii="Times New Roman" w:hAnsi="Times New Roman" w:cs="Times New Roman"/>
          <w:b/>
          <w:color w:val="auto"/>
          <w:kern w:val="0"/>
          <w:highlight w:val="none"/>
        </w:rPr>
        <w:t xml:space="preserve">    </w:t>
      </w:r>
      <w:r>
        <w:rPr>
          <w:rFonts w:hint="default" w:ascii="Times New Roman" w:hAnsi="Times New Roman" w:cs="Times New Roman"/>
          <w:b/>
          <w:color w:val="auto"/>
          <w:kern w:val="0"/>
          <w:highlight w:val="none"/>
          <w:lang w:bidi="ar"/>
        </w:rPr>
        <w:t>本项目与规划符合性分析表</w:t>
      </w:r>
    </w:p>
    <w:tbl>
      <w:tblPr>
        <w:tblStyle w:val="33"/>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1133"/>
        <w:gridCol w:w="2759"/>
        <w:gridCol w:w="3527"/>
        <w:gridCol w:w="1098"/>
      </w:tblGrid>
      <w:tr w14:paraId="4993B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blHeader/>
          <w:jc w:val="center"/>
        </w:trPr>
        <w:tc>
          <w:tcPr>
            <w:tcW w:w="665" w:type="pct"/>
            <w:tcBorders>
              <w:top w:val="single" w:color="auto" w:sz="12" w:space="0"/>
              <w:left w:val="single" w:color="auto" w:sz="12" w:space="0"/>
              <w:bottom w:val="single" w:color="auto" w:sz="4" w:space="0"/>
              <w:right w:val="single" w:color="auto" w:sz="4" w:space="0"/>
            </w:tcBorders>
            <w:shd w:val="clear" w:color="auto" w:fill="auto"/>
            <w:tcMar>
              <w:top w:w="0" w:type="dxa"/>
              <w:left w:w="102" w:type="dxa"/>
              <w:bottom w:w="0" w:type="dxa"/>
              <w:right w:w="102" w:type="dxa"/>
            </w:tcMar>
            <w:vAlign w:val="center"/>
          </w:tcPr>
          <w:p w14:paraId="03263A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bCs/>
                <w:color w:val="auto"/>
                <w:spacing w:val="0"/>
                <w:w w:val="100"/>
                <w:position w:val="0"/>
                <w:sz w:val="21"/>
                <w:szCs w:val="21"/>
                <w:highlight w:val="none"/>
                <w:lang w:val="en-US" w:eastAsia="zh-CN"/>
              </w:rPr>
            </w:pPr>
            <w:r>
              <w:rPr>
                <w:rFonts w:hint="eastAsia" w:ascii="Times New Roman" w:hAnsi="Times New Roman" w:eastAsia="宋体" w:cs="Times New Roman"/>
                <w:b/>
                <w:bCs/>
                <w:color w:val="auto"/>
                <w:spacing w:val="0"/>
                <w:w w:val="100"/>
                <w:position w:val="0"/>
                <w:sz w:val="21"/>
                <w:szCs w:val="21"/>
                <w:highlight w:val="none"/>
                <w:lang w:val="en-US" w:eastAsia="zh-CN"/>
              </w:rPr>
              <w:t>类别</w:t>
            </w:r>
          </w:p>
        </w:tc>
        <w:tc>
          <w:tcPr>
            <w:tcW w:w="1619" w:type="pct"/>
            <w:tcBorders>
              <w:top w:val="single" w:color="auto" w:sz="12" w:space="0"/>
              <w:left w:val="single" w:color="auto" w:sz="4" w:space="0"/>
              <w:bottom w:val="single" w:color="auto" w:sz="4" w:space="0"/>
              <w:right w:val="single" w:color="auto" w:sz="4" w:space="0"/>
            </w:tcBorders>
            <w:shd w:val="clear" w:color="auto" w:fill="auto"/>
            <w:tcMar>
              <w:top w:w="0" w:type="dxa"/>
              <w:left w:w="102" w:type="dxa"/>
              <w:bottom w:w="0" w:type="dxa"/>
              <w:right w:w="102" w:type="dxa"/>
            </w:tcMar>
            <w:vAlign w:val="center"/>
          </w:tcPr>
          <w:p w14:paraId="5995A7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bCs/>
                <w:color w:val="auto"/>
                <w:spacing w:val="0"/>
                <w:w w:val="100"/>
                <w:position w:val="0"/>
                <w:sz w:val="21"/>
                <w:szCs w:val="21"/>
                <w:highlight w:val="none"/>
                <w:lang w:val="en-US" w:eastAsia="zh-CN"/>
              </w:rPr>
            </w:pPr>
            <w:r>
              <w:rPr>
                <w:rFonts w:hint="eastAsia" w:ascii="Times New Roman" w:hAnsi="Times New Roman" w:eastAsia="宋体" w:cs="Times New Roman"/>
                <w:b/>
                <w:bCs/>
                <w:color w:val="auto"/>
                <w:spacing w:val="0"/>
                <w:w w:val="100"/>
                <w:position w:val="0"/>
                <w:sz w:val="21"/>
                <w:szCs w:val="21"/>
                <w:highlight w:val="none"/>
                <w:lang w:val="en-US" w:eastAsia="zh-CN"/>
              </w:rPr>
              <w:t>规划要求</w:t>
            </w:r>
          </w:p>
        </w:tc>
        <w:tc>
          <w:tcPr>
            <w:tcW w:w="2070" w:type="pct"/>
            <w:tcBorders>
              <w:top w:val="single" w:color="auto" w:sz="12" w:space="0"/>
              <w:left w:val="single" w:color="auto" w:sz="4" w:space="0"/>
              <w:bottom w:val="single" w:color="auto" w:sz="4" w:space="0"/>
              <w:right w:val="single" w:color="auto" w:sz="4" w:space="0"/>
            </w:tcBorders>
            <w:shd w:val="clear" w:color="auto" w:fill="auto"/>
            <w:tcMar>
              <w:top w:w="0" w:type="dxa"/>
              <w:left w:w="102" w:type="dxa"/>
              <w:bottom w:w="0" w:type="dxa"/>
              <w:right w:w="102" w:type="dxa"/>
            </w:tcMar>
            <w:vAlign w:val="center"/>
          </w:tcPr>
          <w:p w14:paraId="023B59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bCs/>
                <w:color w:val="auto"/>
                <w:spacing w:val="0"/>
                <w:w w:val="100"/>
                <w:position w:val="0"/>
                <w:sz w:val="21"/>
                <w:szCs w:val="21"/>
                <w:highlight w:val="none"/>
                <w:lang w:val="en-US" w:eastAsia="zh-CN"/>
              </w:rPr>
            </w:pPr>
            <w:r>
              <w:rPr>
                <w:rFonts w:hint="eastAsia" w:ascii="Times New Roman" w:hAnsi="Times New Roman" w:eastAsia="宋体" w:cs="Times New Roman"/>
                <w:b/>
                <w:bCs/>
                <w:color w:val="auto"/>
                <w:spacing w:val="0"/>
                <w:w w:val="100"/>
                <w:position w:val="0"/>
                <w:sz w:val="21"/>
                <w:szCs w:val="21"/>
                <w:highlight w:val="none"/>
                <w:lang w:val="en-US" w:eastAsia="zh-CN"/>
              </w:rPr>
              <w:t>本项目情况</w:t>
            </w:r>
          </w:p>
        </w:tc>
        <w:tc>
          <w:tcPr>
            <w:tcW w:w="644" w:type="pct"/>
            <w:tcBorders>
              <w:top w:val="single" w:color="auto" w:sz="12" w:space="0"/>
              <w:left w:val="single" w:color="auto" w:sz="4" w:space="0"/>
              <w:bottom w:val="single" w:color="auto" w:sz="4" w:space="0"/>
              <w:right w:val="single" w:color="auto" w:sz="12" w:space="0"/>
            </w:tcBorders>
            <w:shd w:val="clear" w:color="auto" w:fill="auto"/>
            <w:tcMar>
              <w:top w:w="0" w:type="dxa"/>
              <w:left w:w="102" w:type="dxa"/>
              <w:bottom w:w="0" w:type="dxa"/>
              <w:right w:w="102" w:type="dxa"/>
            </w:tcMar>
            <w:vAlign w:val="center"/>
          </w:tcPr>
          <w:p w14:paraId="3DE555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b/>
                <w:bCs/>
                <w:color w:val="auto"/>
                <w:spacing w:val="0"/>
                <w:w w:val="100"/>
                <w:position w:val="0"/>
                <w:sz w:val="21"/>
                <w:szCs w:val="21"/>
                <w:highlight w:val="none"/>
                <w:lang w:val="en-US" w:eastAsia="zh-CN"/>
              </w:rPr>
            </w:pPr>
            <w:r>
              <w:rPr>
                <w:rFonts w:hint="eastAsia" w:ascii="Times New Roman" w:hAnsi="Times New Roman" w:eastAsia="宋体" w:cs="Times New Roman"/>
                <w:b/>
                <w:bCs/>
                <w:color w:val="auto"/>
                <w:spacing w:val="0"/>
                <w:w w:val="100"/>
                <w:position w:val="0"/>
                <w:sz w:val="21"/>
                <w:szCs w:val="21"/>
                <w:highlight w:val="none"/>
                <w:lang w:val="en-US" w:eastAsia="zh-CN"/>
              </w:rPr>
              <w:t>符合性</w:t>
            </w:r>
          </w:p>
        </w:tc>
      </w:tr>
      <w:tr w14:paraId="68FED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665" w:type="pct"/>
            <w:tcBorders>
              <w:top w:val="single" w:color="auto" w:sz="4" w:space="0"/>
              <w:left w:val="single" w:color="auto" w:sz="12" w:space="0"/>
              <w:bottom w:val="single" w:color="auto" w:sz="4" w:space="0"/>
              <w:right w:val="single" w:color="auto" w:sz="4" w:space="0"/>
            </w:tcBorders>
            <w:shd w:val="clear" w:color="auto" w:fill="auto"/>
            <w:tcMar>
              <w:top w:w="0" w:type="dxa"/>
              <w:left w:w="102" w:type="dxa"/>
              <w:bottom w:w="0" w:type="dxa"/>
              <w:right w:w="102" w:type="dxa"/>
            </w:tcMar>
            <w:vAlign w:val="center"/>
          </w:tcPr>
          <w:p w14:paraId="51FDB8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绿色矿山建设</w:t>
            </w:r>
          </w:p>
        </w:tc>
        <w:tc>
          <w:tcPr>
            <w:tcW w:w="1619" w:type="pct"/>
            <w:tcBorders>
              <w:top w:val="single" w:color="auto" w:sz="4" w:space="0"/>
              <w:left w:val="single" w:color="auto" w:sz="4" w:space="0"/>
              <w:bottom w:val="single" w:color="auto" w:sz="4" w:space="0"/>
              <w:right w:val="single" w:color="auto" w:sz="4" w:space="0"/>
            </w:tcBorders>
            <w:shd w:val="clear" w:color="auto" w:fill="auto"/>
            <w:tcMar>
              <w:top w:w="0" w:type="dxa"/>
              <w:left w:w="102" w:type="dxa"/>
              <w:bottom w:w="0" w:type="dxa"/>
              <w:right w:w="102" w:type="dxa"/>
            </w:tcMar>
            <w:vAlign w:val="center"/>
          </w:tcPr>
          <w:p w14:paraId="588410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将绿色矿山创建要求纳入规划，新建矿山全部按照绿色矿山标准建设，从源头践行绿色发展理念。</w:t>
            </w:r>
          </w:p>
        </w:tc>
        <w:tc>
          <w:tcPr>
            <w:tcW w:w="2070" w:type="pct"/>
            <w:tcBorders>
              <w:top w:val="single" w:color="auto" w:sz="4" w:space="0"/>
              <w:left w:val="single" w:color="auto" w:sz="4" w:space="0"/>
              <w:bottom w:val="single" w:color="auto" w:sz="4" w:space="0"/>
              <w:right w:val="single" w:color="auto" w:sz="4" w:space="0"/>
            </w:tcBorders>
            <w:shd w:val="clear" w:color="auto" w:fill="auto"/>
            <w:tcMar>
              <w:top w:w="0" w:type="dxa"/>
              <w:left w:w="102" w:type="dxa"/>
              <w:bottom w:w="0" w:type="dxa"/>
              <w:right w:w="102" w:type="dxa"/>
            </w:tcMar>
            <w:vAlign w:val="center"/>
          </w:tcPr>
          <w:p w14:paraId="01CAA8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本项目为新建萤石选矿厂及尾矿库工程，按照绿色矿山标准建设，在工艺系统、设备选型、安全、环保等方面按照智能化、绿色化、生态化的标准进行设计。</w:t>
            </w:r>
          </w:p>
        </w:tc>
        <w:tc>
          <w:tcPr>
            <w:tcW w:w="644" w:type="pct"/>
            <w:tcBorders>
              <w:top w:val="single" w:color="auto" w:sz="4" w:space="0"/>
              <w:left w:val="single" w:color="auto" w:sz="4" w:space="0"/>
              <w:bottom w:val="single" w:color="auto" w:sz="4" w:space="0"/>
              <w:right w:val="single" w:color="auto" w:sz="12" w:space="0"/>
            </w:tcBorders>
            <w:shd w:val="clear" w:color="auto" w:fill="auto"/>
            <w:tcMar>
              <w:top w:w="0" w:type="dxa"/>
              <w:left w:w="102" w:type="dxa"/>
              <w:bottom w:w="0" w:type="dxa"/>
              <w:right w:w="102" w:type="dxa"/>
            </w:tcMar>
            <w:vAlign w:val="center"/>
          </w:tcPr>
          <w:p w14:paraId="485FA3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符合</w:t>
            </w:r>
          </w:p>
        </w:tc>
      </w:tr>
      <w:tr w14:paraId="1A0A6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665" w:type="pct"/>
            <w:tcBorders>
              <w:top w:val="single" w:color="auto" w:sz="4" w:space="0"/>
              <w:left w:val="single" w:color="auto" w:sz="12" w:space="0"/>
              <w:bottom w:val="single" w:color="auto" w:sz="4" w:space="0"/>
              <w:right w:val="single" w:color="auto" w:sz="4" w:space="0"/>
            </w:tcBorders>
            <w:shd w:val="clear" w:color="auto" w:fill="auto"/>
            <w:tcMar>
              <w:top w:w="0" w:type="dxa"/>
              <w:left w:w="102" w:type="dxa"/>
              <w:bottom w:w="0" w:type="dxa"/>
              <w:right w:w="102" w:type="dxa"/>
            </w:tcMar>
            <w:vAlign w:val="center"/>
          </w:tcPr>
          <w:p w14:paraId="20D3AA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大气污染防治</w:t>
            </w:r>
          </w:p>
        </w:tc>
        <w:tc>
          <w:tcPr>
            <w:tcW w:w="1619" w:type="pct"/>
            <w:tcBorders>
              <w:top w:val="single" w:color="auto" w:sz="4" w:space="0"/>
              <w:left w:val="single" w:color="auto" w:sz="4" w:space="0"/>
              <w:bottom w:val="single" w:color="auto" w:sz="4" w:space="0"/>
              <w:right w:val="single" w:color="auto" w:sz="4" w:space="0"/>
            </w:tcBorders>
            <w:shd w:val="clear" w:color="auto" w:fill="auto"/>
            <w:tcMar>
              <w:top w:w="0" w:type="dxa"/>
              <w:left w:w="102" w:type="dxa"/>
              <w:bottom w:w="0" w:type="dxa"/>
              <w:right w:w="102" w:type="dxa"/>
            </w:tcMar>
            <w:vAlign w:val="center"/>
          </w:tcPr>
          <w:p w14:paraId="5BF0F1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强化矿山粉尘治理，加强扬尘管控。</w:t>
            </w:r>
          </w:p>
        </w:tc>
        <w:tc>
          <w:tcPr>
            <w:tcW w:w="2070" w:type="pct"/>
            <w:tcBorders>
              <w:top w:val="single" w:color="auto" w:sz="4" w:space="0"/>
              <w:left w:val="single" w:color="auto" w:sz="4" w:space="0"/>
              <w:bottom w:val="single" w:color="auto" w:sz="4" w:space="0"/>
              <w:right w:val="single" w:color="auto" w:sz="4" w:space="0"/>
            </w:tcBorders>
            <w:shd w:val="clear" w:color="auto" w:fill="auto"/>
            <w:tcMar>
              <w:top w:w="0" w:type="dxa"/>
              <w:left w:w="102" w:type="dxa"/>
              <w:bottom w:w="0" w:type="dxa"/>
              <w:right w:w="102" w:type="dxa"/>
            </w:tcMar>
            <w:vAlign w:val="center"/>
          </w:tcPr>
          <w:p w14:paraId="08AE3A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破碎、筛分车间均设置密闭罩和局部抽风，配备高效脉冲布袋除尘器（除尘效率≥99%）；尾矿库采用湿式排放，保持滩面湿润；运输道路定期洒水抑尘。</w:t>
            </w:r>
          </w:p>
        </w:tc>
        <w:tc>
          <w:tcPr>
            <w:tcW w:w="644" w:type="pct"/>
            <w:tcBorders>
              <w:top w:val="single" w:color="auto" w:sz="4" w:space="0"/>
              <w:left w:val="single" w:color="auto" w:sz="4" w:space="0"/>
              <w:bottom w:val="single" w:color="auto" w:sz="4" w:space="0"/>
              <w:right w:val="single" w:color="auto" w:sz="12" w:space="0"/>
            </w:tcBorders>
            <w:shd w:val="clear" w:color="auto" w:fill="auto"/>
            <w:tcMar>
              <w:top w:w="0" w:type="dxa"/>
              <w:left w:w="102" w:type="dxa"/>
              <w:bottom w:w="0" w:type="dxa"/>
              <w:right w:w="102" w:type="dxa"/>
            </w:tcMar>
            <w:vAlign w:val="center"/>
          </w:tcPr>
          <w:p w14:paraId="354BC8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符合</w:t>
            </w:r>
          </w:p>
        </w:tc>
      </w:tr>
      <w:tr w14:paraId="050A1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665" w:type="pct"/>
            <w:tcBorders>
              <w:top w:val="single" w:color="auto" w:sz="4" w:space="0"/>
              <w:left w:val="single" w:color="auto" w:sz="12" w:space="0"/>
              <w:bottom w:val="single" w:color="auto" w:sz="4" w:space="0"/>
              <w:right w:val="single" w:color="auto" w:sz="4" w:space="0"/>
            </w:tcBorders>
            <w:shd w:val="clear" w:color="auto" w:fill="auto"/>
            <w:tcMar>
              <w:top w:w="0" w:type="dxa"/>
              <w:left w:w="102" w:type="dxa"/>
              <w:bottom w:w="0" w:type="dxa"/>
              <w:right w:w="102" w:type="dxa"/>
            </w:tcMar>
            <w:vAlign w:val="center"/>
          </w:tcPr>
          <w:p w14:paraId="2C3A22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水污染防治</w:t>
            </w:r>
          </w:p>
        </w:tc>
        <w:tc>
          <w:tcPr>
            <w:tcW w:w="1619" w:type="pct"/>
            <w:tcBorders>
              <w:top w:val="single" w:color="auto" w:sz="4" w:space="0"/>
              <w:left w:val="single" w:color="auto" w:sz="4" w:space="0"/>
              <w:bottom w:val="single" w:color="auto" w:sz="4" w:space="0"/>
              <w:right w:val="single" w:color="auto" w:sz="4" w:space="0"/>
            </w:tcBorders>
            <w:shd w:val="clear" w:color="auto" w:fill="auto"/>
            <w:tcMar>
              <w:top w:w="0" w:type="dxa"/>
              <w:left w:w="102" w:type="dxa"/>
              <w:bottom w:w="0" w:type="dxa"/>
              <w:right w:w="102" w:type="dxa"/>
            </w:tcMar>
            <w:vAlign w:val="center"/>
          </w:tcPr>
          <w:p w14:paraId="0C4E15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提高矿井水收集率，优先用于企业生产和绿化。</w:t>
            </w:r>
          </w:p>
        </w:tc>
        <w:tc>
          <w:tcPr>
            <w:tcW w:w="2070" w:type="pct"/>
            <w:tcBorders>
              <w:top w:val="single" w:color="auto" w:sz="4" w:space="0"/>
              <w:left w:val="single" w:color="auto" w:sz="4" w:space="0"/>
              <w:bottom w:val="single" w:color="auto" w:sz="4" w:space="0"/>
              <w:right w:val="single" w:color="auto" w:sz="4" w:space="0"/>
            </w:tcBorders>
            <w:shd w:val="clear" w:color="auto" w:fill="auto"/>
            <w:tcMar>
              <w:top w:w="0" w:type="dxa"/>
              <w:left w:w="102" w:type="dxa"/>
              <w:bottom w:w="0" w:type="dxa"/>
              <w:right w:w="102" w:type="dxa"/>
            </w:tcMar>
            <w:vAlign w:val="center"/>
          </w:tcPr>
          <w:p w14:paraId="067038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选矿废水闭路循环，回用于选矿生产；锅炉排污水和软化废水经沉淀后回用于降尘及选矿生产；生活污水经化粪池处理后定期清运至污水处理厂，各类废水均不外排。</w:t>
            </w:r>
          </w:p>
        </w:tc>
        <w:tc>
          <w:tcPr>
            <w:tcW w:w="644" w:type="pct"/>
            <w:tcBorders>
              <w:top w:val="single" w:color="auto" w:sz="4" w:space="0"/>
              <w:left w:val="single" w:color="auto" w:sz="4" w:space="0"/>
              <w:bottom w:val="single" w:color="auto" w:sz="4" w:space="0"/>
              <w:right w:val="single" w:color="auto" w:sz="12" w:space="0"/>
            </w:tcBorders>
            <w:shd w:val="clear" w:color="auto" w:fill="auto"/>
            <w:tcMar>
              <w:top w:w="0" w:type="dxa"/>
              <w:left w:w="102" w:type="dxa"/>
              <w:bottom w:w="0" w:type="dxa"/>
              <w:right w:w="102" w:type="dxa"/>
            </w:tcMar>
            <w:vAlign w:val="center"/>
          </w:tcPr>
          <w:p w14:paraId="79ED80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符合</w:t>
            </w:r>
          </w:p>
        </w:tc>
      </w:tr>
      <w:tr w14:paraId="07E50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665" w:type="pct"/>
            <w:tcBorders>
              <w:top w:val="single" w:color="auto" w:sz="4" w:space="0"/>
              <w:left w:val="single" w:color="auto" w:sz="12" w:space="0"/>
              <w:bottom w:val="single" w:color="auto" w:sz="4" w:space="0"/>
              <w:right w:val="single" w:color="auto" w:sz="4" w:space="0"/>
            </w:tcBorders>
            <w:shd w:val="clear" w:color="auto" w:fill="auto"/>
            <w:tcMar>
              <w:top w:w="0" w:type="dxa"/>
              <w:left w:w="102" w:type="dxa"/>
              <w:bottom w:w="0" w:type="dxa"/>
              <w:right w:w="102" w:type="dxa"/>
            </w:tcMar>
            <w:vAlign w:val="center"/>
          </w:tcPr>
          <w:p w14:paraId="36E3ED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矿山生态修复</w:t>
            </w:r>
          </w:p>
        </w:tc>
        <w:tc>
          <w:tcPr>
            <w:tcW w:w="1619" w:type="pct"/>
            <w:tcBorders>
              <w:top w:val="single" w:color="auto" w:sz="4" w:space="0"/>
              <w:left w:val="single" w:color="auto" w:sz="4" w:space="0"/>
              <w:bottom w:val="single" w:color="auto" w:sz="4" w:space="0"/>
              <w:right w:val="single" w:color="auto" w:sz="4" w:space="0"/>
            </w:tcBorders>
            <w:shd w:val="clear" w:color="auto" w:fill="auto"/>
            <w:tcMar>
              <w:top w:w="0" w:type="dxa"/>
              <w:left w:w="102" w:type="dxa"/>
              <w:bottom w:w="0" w:type="dxa"/>
              <w:right w:w="102" w:type="dxa"/>
            </w:tcMar>
            <w:vAlign w:val="center"/>
          </w:tcPr>
          <w:p w14:paraId="257B61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推进矿山生态环境综合治理，加强矿区生态保护与修复。</w:t>
            </w:r>
          </w:p>
        </w:tc>
        <w:tc>
          <w:tcPr>
            <w:tcW w:w="2070" w:type="pct"/>
            <w:tcBorders>
              <w:top w:val="single" w:color="auto" w:sz="4" w:space="0"/>
              <w:left w:val="single" w:color="auto" w:sz="4" w:space="0"/>
              <w:bottom w:val="single" w:color="auto" w:sz="4" w:space="0"/>
              <w:right w:val="single" w:color="auto" w:sz="4" w:space="0"/>
            </w:tcBorders>
            <w:shd w:val="clear" w:color="auto" w:fill="auto"/>
            <w:tcMar>
              <w:top w:w="0" w:type="dxa"/>
              <w:left w:w="102" w:type="dxa"/>
              <w:bottom w:w="0" w:type="dxa"/>
              <w:right w:w="102" w:type="dxa"/>
            </w:tcMar>
            <w:vAlign w:val="center"/>
          </w:tcPr>
          <w:p w14:paraId="7E81A4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本项目制定了完善的生态保护和恢复措施，施工期严格限制扰动范围，退役期对选矿厂进行拆除平整、对尾矿库进行闭库复垦，落实</w:t>
            </w:r>
            <w:r>
              <w:rPr>
                <w:rFonts w:hint="eastAsia" w:cs="Times New Roman"/>
                <w:color w:val="auto"/>
                <w:spacing w:val="0"/>
                <w:w w:val="100"/>
                <w:position w:val="0"/>
                <w:sz w:val="21"/>
                <w:szCs w:val="21"/>
                <w:highlight w:val="none"/>
                <w:lang w:val="en-US" w:eastAsia="zh-CN"/>
              </w:rPr>
              <w:t>“</w:t>
            </w:r>
            <w:r>
              <w:rPr>
                <w:rFonts w:hint="eastAsia" w:ascii="Times New Roman" w:hAnsi="Times New Roman" w:eastAsia="宋体" w:cs="Times New Roman"/>
                <w:color w:val="auto"/>
                <w:spacing w:val="0"/>
                <w:w w:val="100"/>
                <w:position w:val="0"/>
                <w:sz w:val="21"/>
                <w:szCs w:val="21"/>
                <w:highlight w:val="none"/>
                <w:lang w:val="en-US" w:eastAsia="zh-CN"/>
              </w:rPr>
              <w:t>边开采边修复</w:t>
            </w:r>
            <w:r>
              <w:rPr>
                <w:rFonts w:hint="eastAsia" w:cs="Times New Roman"/>
                <w:color w:val="auto"/>
                <w:spacing w:val="0"/>
                <w:w w:val="100"/>
                <w:position w:val="0"/>
                <w:sz w:val="21"/>
                <w:szCs w:val="21"/>
                <w:highlight w:val="none"/>
                <w:lang w:val="en-US" w:eastAsia="zh-CN"/>
              </w:rPr>
              <w:t>”</w:t>
            </w:r>
            <w:r>
              <w:rPr>
                <w:rFonts w:hint="eastAsia" w:ascii="Times New Roman" w:hAnsi="Times New Roman" w:eastAsia="宋体" w:cs="Times New Roman"/>
                <w:color w:val="auto"/>
                <w:spacing w:val="0"/>
                <w:w w:val="100"/>
                <w:position w:val="0"/>
                <w:sz w:val="21"/>
                <w:szCs w:val="21"/>
                <w:highlight w:val="none"/>
                <w:lang w:val="en-US" w:eastAsia="zh-CN"/>
              </w:rPr>
              <w:t>要求。</w:t>
            </w:r>
          </w:p>
        </w:tc>
        <w:tc>
          <w:tcPr>
            <w:tcW w:w="644" w:type="pct"/>
            <w:tcBorders>
              <w:top w:val="single" w:color="auto" w:sz="4" w:space="0"/>
              <w:left w:val="single" w:color="auto" w:sz="4" w:space="0"/>
              <w:bottom w:val="single" w:color="auto" w:sz="4" w:space="0"/>
              <w:right w:val="single" w:color="auto" w:sz="12" w:space="0"/>
            </w:tcBorders>
            <w:shd w:val="clear" w:color="auto" w:fill="auto"/>
            <w:tcMar>
              <w:top w:w="0" w:type="dxa"/>
              <w:left w:w="102" w:type="dxa"/>
              <w:bottom w:w="0" w:type="dxa"/>
              <w:right w:w="102" w:type="dxa"/>
            </w:tcMar>
            <w:vAlign w:val="center"/>
          </w:tcPr>
          <w:p w14:paraId="22304A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符合</w:t>
            </w:r>
          </w:p>
        </w:tc>
      </w:tr>
      <w:tr w14:paraId="0D837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665" w:type="pct"/>
            <w:tcBorders>
              <w:top w:val="single" w:color="auto" w:sz="4" w:space="0"/>
              <w:left w:val="single" w:color="auto" w:sz="12" w:space="0"/>
              <w:bottom w:val="single" w:color="auto" w:sz="4" w:space="0"/>
              <w:right w:val="single" w:color="auto" w:sz="4" w:space="0"/>
            </w:tcBorders>
            <w:shd w:val="clear" w:color="auto" w:fill="auto"/>
            <w:tcMar>
              <w:top w:w="0" w:type="dxa"/>
              <w:left w:w="102" w:type="dxa"/>
              <w:bottom w:w="0" w:type="dxa"/>
              <w:right w:w="102" w:type="dxa"/>
            </w:tcMar>
            <w:vAlign w:val="center"/>
          </w:tcPr>
          <w:p w14:paraId="3E7DE4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尾矿库环境风险管控</w:t>
            </w:r>
          </w:p>
        </w:tc>
        <w:tc>
          <w:tcPr>
            <w:tcW w:w="1619" w:type="pct"/>
            <w:tcBorders>
              <w:top w:val="single" w:color="auto" w:sz="4" w:space="0"/>
              <w:left w:val="single" w:color="auto" w:sz="4" w:space="0"/>
              <w:bottom w:val="single" w:color="auto" w:sz="4" w:space="0"/>
              <w:right w:val="single" w:color="auto" w:sz="4" w:space="0"/>
            </w:tcBorders>
            <w:shd w:val="clear" w:color="auto" w:fill="auto"/>
            <w:tcMar>
              <w:top w:w="0" w:type="dxa"/>
              <w:left w:w="102" w:type="dxa"/>
              <w:bottom w:w="0" w:type="dxa"/>
              <w:right w:w="102" w:type="dxa"/>
            </w:tcMar>
            <w:vAlign w:val="center"/>
          </w:tcPr>
          <w:p w14:paraId="0A4F2C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开展尾矿库风险排查，强化尾矿库环境风险防控。</w:t>
            </w:r>
          </w:p>
        </w:tc>
        <w:tc>
          <w:tcPr>
            <w:tcW w:w="2070" w:type="pct"/>
            <w:tcBorders>
              <w:top w:val="single" w:color="auto" w:sz="4" w:space="0"/>
              <w:left w:val="single" w:color="auto" w:sz="4" w:space="0"/>
              <w:bottom w:val="single" w:color="auto" w:sz="4" w:space="0"/>
              <w:right w:val="single" w:color="auto" w:sz="4" w:space="0"/>
            </w:tcBorders>
            <w:shd w:val="clear" w:color="auto" w:fill="auto"/>
            <w:tcMar>
              <w:top w:w="0" w:type="dxa"/>
              <w:left w:w="102" w:type="dxa"/>
              <w:bottom w:w="0" w:type="dxa"/>
              <w:right w:w="102" w:type="dxa"/>
            </w:tcMar>
            <w:vAlign w:val="center"/>
          </w:tcPr>
          <w:p w14:paraId="7E59E6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尾矿库采用全库区HDPE土工膜防渗，设置排洪、回水及监测系统，坝下设置3口地下水监测井，环评要求制定突发环境事件应急预案并备案，落实环境风险防范措施。</w:t>
            </w:r>
          </w:p>
        </w:tc>
        <w:tc>
          <w:tcPr>
            <w:tcW w:w="644" w:type="pct"/>
            <w:tcBorders>
              <w:top w:val="single" w:color="auto" w:sz="4" w:space="0"/>
              <w:left w:val="single" w:color="auto" w:sz="4" w:space="0"/>
              <w:bottom w:val="single" w:color="auto" w:sz="4" w:space="0"/>
              <w:right w:val="single" w:color="auto" w:sz="12" w:space="0"/>
            </w:tcBorders>
            <w:shd w:val="clear" w:color="auto" w:fill="auto"/>
            <w:tcMar>
              <w:top w:w="0" w:type="dxa"/>
              <w:left w:w="102" w:type="dxa"/>
              <w:bottom w:w="0" w:type="dxa"/>
              <w:right w:w="102" w:type="dxa"/>
            </w:tcMar>
            <w:vAlign w:val="center"/>
          </w:tcPr>
          <w:p w14:paraId="56D154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符合</w:t>
            </w:r>
          </w:p>
        </w:tc>
      </w:tr>
      <w:tr w14:paraId="4261A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665" w:type="pct"/>
            <w:tcBorders>
              <w:top w:val="single" w:color="auto" w:sz="4" w:space="0"/>
              <w:left w:val="single" w:color="auto" w:sz="12" w:space="0"/>
              <w:bottom w:val="single" w:color="auto" w:sz="4" w:space="0"/>
              <w:right w:val="single" w:color="auto" w:sz="4" w:space="0"/>
            </w:tcBorders>
            <w:shd w:val="clear" w:color="auto" w:fill="auto"/>
            <w:tcMar>
              <w:top w:w="0" w:type="dxa"/>
              <w:left w:w="102" w:type="dxa"/>
              <w:bottom w:w="0" w:type="dxa"/>
              <w:right w:w="102" w:type="dxa"/>
            </w:tcMar>
            <w:vAlign w:val="center"/>
          </w:tcPr>
          <w:p w14:paraId="3F180F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矿产资源绿色高效利用</w:t>
            </w:r>
          </w:p>
        </w:tc>
        <w:tc>
          <w:tcPr>
            <w:tcW w:w="1619" w:type="pct"/>
            <w:tcBorders>
              <w:top w:val="single" w:color="auto" w:sz="4" w:space="0"/>
              <w:left w:val="single" w:color="auto" w:sz="4" w:space="0"/>
              <w:bottom w:val="single" w:color="auto" w:sz="4" w:space="0"/>
              <w:right w:val="single" w:color="auto" w:sz="4" w:space="0"/>
            </w:tcBorders>
            <w:shd w:val="clear" w:color="auto" w:fill="auto"/>
            <w:tcMar>
              <w:top w:w="0" w:type="dxa"/>
              <w:left w:w="102" w:type="dxa"/>
              <w:bottom w:w="0" w:type="dxa"/>
              <w:right w:w="102" w:type="dxa"/>
            </w:tcMar>
            <w:vAlign w:val="center"/>
          </w:tcPr>
          <w:p w14:paraId="0A5BBF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推动矿产资源绿色高效开发利用，提高资源利用效率。</w:t>
            </w:r>
          </w:p>
        </w:tc>
        <w:tc>
          <w:tcPr>
            <w:tcW w:w="2070" w:type="pct"/>
            <w:tcBorders>
              <w:top w:val="single" w:color="auto" w:sz="4" w:space="0"/>
              <w:left w:val="single" w:color="auto" w:sz="4" w:space="0"/>
              <w:bottom w:val="single" w:color="auto" w:sz="4" w:space="0"/>
              <w:right w:val="single" w:color="auto" w:sz="4" w:space="0"/>
            </w:tcBorders>
            <w:shd w:val="clear" w:color="auto" w:fill="auto"/>
            <w:tcMar>
              <w:top w:w="0" w:type="dxa"/>
              <w:left w:w="102" w:type="dxa"/>
              <w:bottom w:w="0" w:type="dxa"/>
              <w:right w:w="102" w:type="dxa"/>
            </w:tcMar>
            <w:vAlign w:val="center"/>
          </w:tcPr>
          <w:p w14:paraId="1960C2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本项目选矿回收率达到83.32%，选矿废水循环利用率100%，除尘灰回用于选矿生产，实现资源节约与综合利用。</w:t>
            </w:r>
          </w:p>
        </w:tc>
        <w:tc>
          <w:tcPr>
            <w:tcW w:w="644" w:type="pct"/>
            <w:tcBorders>
              <w:top w:val="single" w:color="auto" w:sz="4" w:space="0"/>
              <w:left w:val="single" w:color="auto" w:sz="4" w:space="0"/>
              <w:bottom w:val="single" w:color="auto" w:sz="4" w:space="0"/>
              <w:right w:val="single" w:color="auto" w:sz="12" w:space="0"/>
            </w:tcBorders>
            <w:shd w:val="clear" w:color="auto" w:fill="auto"/>
            <w:tcMar>
              <w:top w:w="0" w:type="dxa"/>
              <w:left w:w="102" w:type="dxa"/>
              <w:bottom w:w="0" w:type="dxa"/>
              <w:right w:w="102" w:type="dxa"/>
            </w:tcMar>
            <w:vAlign w:val="center"/>
          </w:tcPr>
          <w:p w14:paraId="2DC876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符合</w:t>
            </w:r>
          </w:p>
        </w:tc>
      </w:tr>
      <w:tr w14:paraId="2540B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665" w:type="pct"/>
            <w:tcBorders>
              <w:top w:val="single" w:color="auto" w:sz="4" w:space="0"/>
              <w:left w:val="single" w:color="auto" w:sz="12" w:space="0"/>
              <w:bottom w:val="single" w:color="auto" w:sz="12" w:space="0"/>
              <w:right w:val="single" w:color="auto" w:sz="4" w:space="0"/>
            </w:tcBorders>
            <w:shd w:val="clear" w:color="auto" w:fill="auto"/>
            <w:tcMar>
              <w:top w:w="0" w:type="dxa"/>
              <w:left w:w="102" w:type="dxa"/>
              <w:bottom w:w="0" w:type="dxa"/>
              <w:right w:w="102" w:type="dxa"/>
            </w:tcMar>
            <w:vAlign w:val="center"/>
          </w:tcPr>
          <w:p w14:paraId="02B15B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cs="Times New Roman"/>
                <w:color w:val="auto"/>
                <w:spacing w:val="0"/>
                <w:w w:val="100"/>
                <w:position w:val="0"/>
                <w:sz w:val="21"/>
                <w:szCs w:val="21"/>
                <w:highlight w:val="none"/>
                <w:lang w:val="en-US" w:eastAsia="zh-CN"/>
              </w:rPr>
              <w:t>“</w:t>
            </w:r>
            <w:r>
              <w:rPr>
                <w:rFonts w:hint="eastAsia" w:ascii="Times New Roman" w:hAnsi="Times New Roman" w:eastAsia="宋体" w:cs="Times New Roman"/>
                <w:color w:val="auto"/>
                <w:spacing w:val="0"/>
                <w:w w:val="100"/>
                <w:position w:val="0"/>
                <w:sz w:val="21"/>
                <w:szCs w:val="21"/>
                <w:highlight w:val="none"/>
                <w:lang w:val="en-US" w:eastAsia="zh-CN"/>
              </w:rPr>
              <w:t>三线一单</w:t>
            </w:r>
            <w:r>
              <w:rPr>
                <w:rFonts w:hint="eastAsia" w:cs="Times New Roman"/>
                <w:color w:val="auto"/>
                <w:spacing w:val="0"/>
                <w:w w:val="100"/>
                <w:position w:val="0"/>
                <w:sz w:val="21"/>
                <w:szCs w:val="21"/>
                <w:highlight w:val="none"/>
                <w:lang w:val="en-US" w:eastAsia="zh-CN"/>
              </w:rPr>
              <w:t>”</w:t>
            </w:r>
            <w:r>
              <w:rPr>
                <w:rFonts w:hint="eastAsia" w:ascii="Times New Roman" w:hAnsi="Times New Roman" w:eastAsia="宋体" w:cs="Times New Roman"/>
                <w:color w:val="auto"/>
                <w:spacing w:val="0"/>
                <w:w w:val="100"/>
                <w:position w:val="0"/>
                <w:sz w:val="21"/>
                <w:szCs w:val="21"/>
                <w:highlight w:val="none"/>
                <w:lang w:val="en-US" w:eastAsia="zh-CN"/>
              </w:rPr>
              <w:t>管控</w:t>
            </w:r>
          </w:p>
        </w:tc>
        <w:tc>
          <w:tcPr>
            <w:tcW w:w="1619" w:type="pct"/>
            <w:tcBorders>
              <w:top w:val="single" w:color="auto" w:sz="4" w:space="0"/>
              <w:left w:val="single" w:color="auto" w:sz="4" w:space="0"/>
              <w:bottom w:val="single" w:color="auto" w:sz="12" w:space="0"/>
              <w:right w:val="single" w:color="auto" w:sz="4" w:space="0"/>
            </w:tcBorders>
            <w:shd w:val="clear" w:color="auto" w:fill="auto"/>
            <w:tcMar>
              <w:top w:w="0" w:type="dxa"/>
              <w:left w:w="102" w:type="dxa"/>
              <w:bottom w:w="0" w:type="dxa"/>
              <w:right w:w="102" w:type="dxa"/>
            </w:tcMar>
            <w:vAlign w:val="center"/>
          </w:tcPr>
          <w:p w14:paraId="3E0803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以</w:t>
            </w:r>
            <w:r>
              <w:rPr>
                <w:rFonts w:hint="eastAsia" w:cs="Times New Roman"/>
                <w:color w:val="auto"/>
                <w:spacing w:val="0"/>
                <w:w w:val="100"/>
                <w:position w:val="0"/>
                <w:sz w:val="21"/>
                <w:szCs w:val="21"/>
                <w:highlight w:val="none"/>
                <w:lang w:val="en-US" w:eastAsia="zh-CN"/>
              </w:rPr>
              <w:t>“</w:t>
            </w:r>
            <w:r>
              <w:rPr>
                <w:rFonts w:hint="eastAsia" w:ascii="Times New Roman" w:hAnsi="Times New Roman" w:eastAsia="宋体" w:cs="Times New Roman"/>
                <w:color w:val="auto"/>
                <w:spacing w:val="0"/>
                <w:w w:val="100"/>
                <w:position w:val="0"/>
                <w:sz w:val="21"/>
                <w:szCs w:val="21"/>
                <w:highlight w:val="none"/>
                <w:lang w:val="en-US" w:eastAsia="zh-CN"/>
              </w:rPr>
              <w:t>三线一单</w:t>
            </w:r>
            <w:r>
              <w:rPr>
                <w:rFonts w:hint="eastAsia" w:cs="Times New Roman"/>
                <w:color w:val="auto"/>
                <w:spacing w:val="0"/>
                <w:w w:val="100"/>
                <w:position w:val="0"/>
                <w:sz w:val="21"/>
                <w:szCs w:val="21"/>
                <w:highlight w:val="none"/>
                <w:lang w:val="en-US" w:eastAsia="zh-CN"/>
              </w:rPr>
              <w:t>”</w:t>
            </w:r>
            <w:r>
              <w:rPr>
                <w:rFonts w:hint="eastAsia" w:ascii="Times New Roman" w:hAnsi="Times New Roman" w:eastAsia="宋体" w:cs="Times New Roman"/>
                <w:color w:val="auto"/>
                <w:spacing w:val="0"/>
                <w:w w:val="100"/>
                <w:position w:val="0"/>
                <w:sz w:val="21"/>
                <w:szCs w:val="21"/>
                <w:highlight w:val="none"/>
                <w:lang w:val="en-US" w:eastAsia="zh-CN"/>
              </w:rPr>
              <w:t>生态环境分区管控支撑矿产资源绿色发展，确保勘查开发活动不破坏生态系统功能。</w:t>
            </w:r>
          </w:p>
        </w:tc>
        <w:tc>
          <w:tcPr>
            <w:tcW w:w="2070" w:type="pct"/>
            <w:tcBorders>
              <w:top w:val="single" w:color="auto" w:sz="4" w:space="0"/>
              <w:left w:val="single" w:color="auto" w:sz="4" w:space="0"/>
              <w:bottom w:val="single" w:color="auto" w:sz="12" w:space="0"/>
              <w:right w:val="single" w:color="auto" w:sz="4" w:space="0"/>
            </w:tcBorders>
            <w:shd w:val="clear" w:color="auto" w:fill="auto"/>
            <w:tcMar>
              <w:top w:w="0" w:type="dxa"/>
              <w:left w:w="102" w:type="dxa"/>
              <w:bottom w:w="0" w:type="dxa"/>
              <w:right w:w="102" w:type="dxa"/>
            </w:tcMar>
            <w:vAlign w:val="center"/>
          </w:tcPr>
          <w:p w14:paraId="2A1DC4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本项目选址不涉及生态保护红线，符合生态环境分区管控要求，污染物排放满足环境质量底线和资源利用上线要求。</w:t>
            </w:r>
          </w:p>
        </w:tc>
        <w:tc>
          <w:tcPr>
            <w:tcW w:w="644" w:type="pct"/>
            <w:tcBorders>
              <w:top w:val="single" w:color="auto" w:sz="4" w:space="0"/>
              <w:left w:val="single" w:color="auto" w:sz="4" w:space="0"/>
              <w:bottom w:val="single" w:color="auto" w:sz="12" w:space="0"/>
              <w:right w:val="single" w:color="auto" w:sz="12" w:space="0"/>
            </w:tcBorders>
            <w:shd w:val="clear" w:color="auto" w:fill="auto"/>
            <w:tcMar>
              <w:top w:w="0" w:type="dxa"/>
              <w:left w:w="102" w:type="dxa"/>
              <w:bottom w:w="0" w:type="dxa"/>
              <w:right w:w="102" w:type="dxa"/>
            </w:tcMar>
            <w:vAlign w:val="center"/>
          </w:tcPr>
          <w:p w14:paraId="542F01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符合</w:t>
            </w:r>
          </w:p>
        </w:tc>
      </w:tr>
    </w:tbl>
    <w:p w14:paraId="429C74F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pacing w:val="0"/>
          <w:w w:val="100"/>
          <w:position w:val="0"/>
          <w:sz w:val="24"/>
          <w:szCs w:val="24"/>
          <w:highlight w:val="none"/>
          <w:lang w:val="en-US" w:eastAsia="zh-CN" w:bidi="ar"/>
        </w:rPr>
      </w:pPr>
      <w:r>
        <w:rPr>
          <w:rFonts w:hint="default" w:ascii="Times New Roman" w:hAnsi="Times New Roman" w:eastAsia="宋体" w:cs="Times New Roman"/>
          <w:color w:val="auto"/>
          <w:spacing w:val="0"/>
          <w:w w:val="100"/>
          <w:position w:val="0"/>
          <w:sz w:val="24"/>
          <w:szCs w:val="24"/>
          <w:highlight w:val="none"/>
          <w:lang w:val="en-US" w:eastAsia="zh-CN" w:bidi="ar"/>
        </w:rPr>
        <w:t>综上，本项目的建设符合《哈密市生态环境保护</w:t>
      </w:r>
      <w:r>
        <w:rPr>
          <w:rFonts w:hint="eastAsia" w:cs="Times New Roman"/>
          <w:color w:val="auto"/>
          <w:spacing w:val="0"/>
          <w:w w:val="100"/>
          <w:position w:val="0"/>
          <w:sz w:val="24"/>
          <w:szCs w:val="24"/>
          <w:highlight w:val="none"/>
          <w:lang w:val="en-US" w:eastAsia="zh-CN" w:bidi="ar"/>
        </w:rPr>
        <w:t>“</w:t>
      </w:r>
      <w:r>
        <w:rPr>
          <w:rFonts w:hint="default" w:ascii="Times New Roman" w:hAnsi="Times New Roman" w:eastAsia="宋体" w:cs="Times New Roman"/>
          <w:color w:val="auto"/>
          <w:spacing w:val="0"/>
          <w:w w:val="100"/>
          <w:position w:val="0"/>
          <w:sz w:val="24"/>
          <w:szCs w:val="24"/>
          <w:highlight w:val="none"/>
          <w:lang w:val="en-US" w:eastAsia="zh-CN" w:bidi="ar"/>
        </w:rPr>
        <w:t>十四五</w:t>
      </w:r>
      <w:r>
        <w:rPr>
          <w:rFonts w:hint="eastAsia" w:cs="Times New Roman"/>
          <w:color w:val="auto"/>
          <w:spacing w:val="0"/>
          <w:w w:val="100"/>
          <w:position w:val="0"/>
          <w:sz w:val="24"/>
          <w:szCs w:val="24"/>
          <w:highlight w:val="none"/>
          <w:lang w:val="en-US" w:eastAsia="zh-CN" w:bidi="ar"/>
        </w:rPr>
        <w:t>”</w:t>
      </w:r>
      <w:r>
        <w:rPr>
          <w:rFonts w:hint="default" w:ascii="Times New Roman" w:hAnsi="Times New Roman" w:eastAsia="宋体" w:cs="Times New Roman"/>
          <w:color w:val="auto"/>
          <w:spacing w:val="0"/>
          <w:w w:val="100"/>
          <w:position w:val="0"/>
          <w:sz w:val="24"/>
          <w:szCs w:val="24"/>
          <w:highlight w:val="none"/>
          <w:lang w:val="en-US" w:eastAsia="zh-CN" w:bidi="ar"/>
        </w:rPr>
        <w:t>规划》的相关规定</w:t>
      </w:r>
      <w:r>
        <w:rPr>
          <w:rFonts w:hint="default" w:ascii="Times New Roman" w:hAnsi="Times New Roman" w:cs="Times New Roman"/>
          <w:color w:val="auto"/>
          <w:spacing w:val="0"/>
          <w:w w:val="100"/>
          <w:position w:val="0"/>
          <w:sz w:val="24"/>
          <w:szCs w:val="24"/>
          <w:highlight w:val="none"/>
          <w:lang w:val="en-US" w:eastAsia="zh-CN" w:bidi="ar"/>
        </w:rPr>
        <w:t>。</w:t>
      </w:r>
    </w:p>
    <w:p w14:paraId="704D2208">
      <w:pPr>
        <w:keepNext/>
        <w:keepLines/>
        <w:widowControl w:val="0"/>
        <w:spacing w:line="480" w:lineRule="exact"/>
        <w:ind w:firstLine="482" w:firstLineChars="0"/>
        <w:jc w:val="both"/>
        <w:outlineLvl w:val="3"/>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1.3.3.</w:t>
      </w:r>
      <w:r>
        <w:rPr>
          <w:rFonts w:hint="eastAsia" w:cs="Times New Roman"/>
          <w:b/>
          <w:color w:val="auto"/>
          <w:kern w:val="2"/>
          <w:sz w:val="24"/>
          <w:szCs w:val="24"/>
          <w:highlight w:val="none"/>
          <w:lang w:val="en-US" w:eastAsia="zh-CN" w:bidi="ar-SA"/>
        </w:rPr>
        <w:t>8</w:t>
      </w:r>
      <w:r>
        <w:rPr>
          <w:rFonts w:hint="default" w:ascii="Times New Roman" w:hAnsi="Times New Roman" w:eastAsia="宋体" w:cs="Times New Roman"/>
          <w:b/>
          <w:color w:val="auto"/>
          <w:kern w:val="2"/>
          <w:sz w:val="24"/>
          <w:szCs w:val="24"/>
          <w:highlight w:val="none"/>
          <w:lang w:val="en-US" w:eastAsia="zh-CN" w:bidi="ar-SA"/>
        </w:rPr>
        <w:t>与《矿山生态环境保护与污染防治技术政策》的符合性分析</w:t>
      </w:r>
    </w:p>
    <w:p w14:paraId="6250D0A1">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本项目与矿山生态环境保护与污染防治技术政策相符性见下表。</w:t>
      </w:r>
    </w:p>
    <w:p w14:paraId="346CAF5E">
      <w:pPr>
        <w:adjustRightInd w:val="0"/>
        <w:snapToGrid w:val="0"/>
        <w:ind w:firstLine="0" w:firstLineChars="0"/>
        <w:jc w:val="center"/>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表1.3-</w:t>
      </w:r>
      <w:r>
        <w:rPr>
          <w:rFonts w:hint="eastAsia" w:cs="Times New Roman"/>
          <w:b/>
          <w:color w:val="auto"/>
          <w:kern w:val="0"/>
          <w:highlight w:val="none"/>
          <w:lang w:val="en-US" w:eastAsia="zh-CN"/>
        </w:rPr>
        <w:t>9</w:t>
      </w:r>
      <w:r>
        <w:rPr>
          <w:rFonts w:hint="default" w:ascii="Times New Roman" w:hAnsi="Times New Roman" w:cs="Times New Roman"/>
          <w:b/>
          <w:color w:val="auto"/>
          <w:kern w:val="0"/>
          <w:highlight w:val="none"/>
        </w:rPr>
        <w:t xml:space="preserve">    </w:t>
      </w:r>
      <w:r>
        <w:rPr>
          <w:rFonts w:hint="default" w:ascii="Times New Roman" w:hAnsi="Times New Roman" w:cs="Times New Roman"/>
          <w:b/>
          <w:color w:val="auto"/>
          <w:kern w:val="0"/>
          <w:highlight w:val="none"/>
          <w:lang w:bidi="ar"/>
        </w:rPr>
        <w:t>《矿山生态环境保护与污染防治技术政策》相符性一览表</w:t>
      </w:r>
    </w:p>
    <w:tbl>
      <w:tblPr>
        <w:tblStyle w:val="33"/>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Layout w:type="fixed"/>
        <w:tblCellMar>
          <w:top w:w="0" w:type="dxa"/>
          <w:left w:w="108" w:type="dxa"/>
          <w:bottom w:w="0" w:type="dxa"/>
          <w:right w:w="108" w:type="dxa"/>
        </w:tblCellMar>
      </w:tblPr>
      <w:tblGrid>
        <w:gridCol w:w="1130"/>
        <w:gridCol w:w="3768"/>
        <w:gridCol w:w="2735"/>
        <w:gridCol w:w="896"/>
      </w:tblGrid>
      <w:tr w14:paraId="7FCD046F">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108" w:type="dxa"/>
            <w:bottom w:w="0" w:type="dxa"/>
            <w:right w:w="108" w:type="dxa"/>
          </w:tblCellMar>
        </w:tblPrEx>
        <w:trPr>
          <w:trHeight w:val="0" w:hRule="atLeast"/>
          <w:tblHeader/>
        </w:trPr>
        <w:tc>
          <w:tcPr>
            <w:tcW w:w="1130" w:type="dxa"/>
            <w:tcBorders>
              <w:tl2br w:val="nil"/>
              <w:tr2bl w:val="nil"/>
            </w:tcBorders>
            <w:vAlign w:val="center"/>
          </w:tcPr>
          <w:p w14:paraId="4AB52AE4">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auto"/>
                <w:spacing w:val="0"/>
                <w:w w:val="100"/>
                <w:position w:val="0"/>
                <w:sz w:val="21"/>
                <w:szCs w:val="21"/>
                <w:highlight w:val="none"/>
              </w:rPr>
            </w:pPr>
            <w:r>
              <w:rPr>
                <w:rFonts w:hint="default" w:ascii="Times New Roman" w:hAnsi="Times New Roman" w:eastAsia="宋体" w:cs="Times New Roman"/>
                <w:b/>
                <w:bCs/>
                <w:color w:val="auto"/>
                <w:spacing w:val="0"/>
                <w:w w:val="100"/>
                <w:position w:val="0"/>
                <w:sz w:val="21"/>
                <w:szCs w:val="21"/>
                <w:highlight w:val="none"/>
              </w:rPr>
              <w:t>项目</w:t>
            </w:r>
          </w:p>
        </w:tc>
        <w:tc>
          <w:tcPr>
            <w:tcW w:w="3768" w:type="dxa"/>
            <w:tcBorders>
              <w:tl2br w:val="nil"/>
              <w:tr2bl w:val="nil"/>
            </w:tcBorders>
            <w:vAlign w:val="center"/>
          </w:tcPr>
          <w:p w14:paraId="4D86F728">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auto"/>
                <w:spacing w:val="0"/>
                <w:w w:val="100"/>
                <w:position w:val="0"/>
                <w:sz w:val="21"/>
                <w:szCs w:val="21"/>
                <w:highlight w:val="none"/>
                <w:lang w:eastAsia="zh-CN"/>
              </w:rPr>
            </w:pPr>
            <w:r>
              <w:rPr>
                <w:rFonts w:hint="default" w:ascii="Times New Roman" w:hAnsi="Times New Roman" w:cs="Times New Roman"/>
                <w:b/>
                <w:bCs/>
                <w:color w:val="auto"/>
                <w:spacing w:val="0"/>
                <w:w w:val="100"/>
                <w:position w:val="0"/>
                <w:sz w:val="21"/>
                <w:szCs w:val="21"/>
                <w:highlight w:val="none"/>
                <w:lang w:val="en-US" w:eastAsia="zh-CN"/>
              </w:rPr>
              <w:t>具体要求</w:t>
            </w:r>
          </w:p>
        </w:tc>
        <w:tc>
          <w:tcPr>
            <w:tcW w:w="2735" w:type="dxa"/>
            <w:tcBorders>
              <w:tl2br w:val="nil"/>
              <w:tr2bl w:val="nil"/>
            </w:tcBorders>
            <w:vAlign w:val="center"/>
          </w:tcPr>
          <w:p w14:paraId="5E09A385">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auto"/>
                <w:spacing w:val="0"/>
                <w:w w:val="100"/>
                <w:position w:val="0"/>
                <w:sz w:val="21"/>
                <w:szCs w:val="21"/>
                <w:highlight w:val="none"/>
              </w:rPr>
            </w:pPr>
            <w:r>
              <w:rPr>
                <w:rFonts w:hint="default" w:ascii="Times New Roman" w:hAnsi="Times New Roman" w:eastAsia="宋体" w:cs="Times New Roman"/>
                <w:b/>
                <w:bCs/>
                <w:color w:val="auto"/>
                <w:spacing w:val="0"/>
                <w:w w:val="100"/>
                <w:position w:val="0"/>
                <w:sz w:val="21"/>
                <w:szCs w:val="21"/>
                <w:highlight w:val="none"/>
                <w:lang w:eastAsia="zh-CN"/>
              </w:rPr>
              <w:t>本项目</w:t>
            </w:r>
            <w:r>
              <w:rPr>
                <w:rFonts w:hint="default" w:ascii="Times New Roman" w:hAnsi="Times New Roman" w:eastAsia="宋体" w:cs="Times New Roman"/>
                <w:b/>
                <w:bCs/>
                <w:color w:val="auto"/>
                <w:spacing w:val="0"/>
                <w:w w:val="100"/>
                <w:position w:val="0"/>
                <w:sz w:val="21"/>
                <w:szCs w:val="21"/>
                <w:highlight w:val="none"/>
              </w:rPr>
              <w:t>情况</w:t>
            </w:r>
          </w:p>
        </w:tc>
        <w:tc>
          <w:tcPr>
            <w:tcW w:w="896" w:type="dxa"/>
            <w:tcBorders>
              <w:tl2br w:val="nil"/>
              <w:tr2bl w:val="nil"/>
            </w:tcBorders>
            <w:vAlign w:val="center"/>
          </w:tcPr>
          <w:p w14:paraId="4BFA9F26">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auto"/>
                <w:spacing w:val="0"/>
                <w:w w:val="100"/>
                <w:position w:val="0"/>
                <w:sz w:val="21"/>
                <w:szCs w:val="21"/>
                <w:highlight w:val="none"/>
              </w:rPr>
            </w:pPr>
            <w:r>
              <w:rPr>
                <w:rFonts w:hint="default" w:ascii="Times New Roman" w:hAnsi="Times New Roman" w:eastAsia="宋体" w:cs="Times New Roman"/>
                <w:b/>
                <w:bCs/>
                <w:color w:val="auto"/>
                <w:spacing w:val="0"/>
                <w:w w:val="100"/>
                <w:position w:val="0"/>
                <w:sz w:val="21"/>
                <w:szCs w:val="21"/>
                <w:highlight w:val="none"/>
              </w:rPr>
              <w:t>符合性</w:t>
            </w:r>
          </w:p>
        </w:tc>
      </w:tr>
      <w:tr w14:paraId="2A518122">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108" w:type="dxa"/>
            <w:bottom w:w="0" w:type="dxa"/>
            <w:right w:w="108" w:type="dxa"/>
          </w:tblCellMar>
        </w:tblPrEx>
        <w:trPr>
          <w:trHeight w:val="1050" w:hRule="atLeast"/>
        </w:trPr>
        <w:tc>
          <w:tcPr>
            <w:tcW w:w="1130" w:type="dxa"/>
            <w:tcBorders>
              <w:tl2br w:val="nil"/>
              <w:tr2bl w:val="nil"/>
            </w:tcBorders>
            <w:vAlign w:val="center"/>
          </w:tcPr>
          <w:p w14:paraId="365957A1">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鼓励采用的选矿技术</w:t>
            </w:r>
          </w:p>
        </w:tc>
        <w:tc>
          <w:tcPr>
            <w:tcW w:w="3768" w:type="dxa"/>
            <w:tcBorders>
              <w:tl2br w:val="nil"/>
              <w:tr2bl w:val="nil"/>
            </w:tcBorders>
            <w:vAlign w:val="center"/>
          </w:tcPr>
          <w:p w14:paraId="793D9402">
            <w:pPr>
              <w:keepNext w:val="0"/>
              <w:keepLines/>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color w:val="auto"/>
                <w:spacing w:val="0"/>
                <w:w w:val="100"/>
                <w:kern w:val="2"/>
                <w:position w:val="0"/>
                <w:sz w:val="21"/>
                <w:szCs w:val="21"/>
                <w:highlight w:val="none"/>
                <w:lang w:val="en-US" w:eastAsia="zh-CN" w:bidi="ar-SA"/>
              </w:rPr>
              <w:t>1.</w:t>
            </w:r>
            <w:r>
              <w:rPr>
                <w:rFonts w:hint="default" w:ascii="Times New Roman" w:hAnsi="Times New Roman" w:eastAsia="宋体" w:cs="Times New Roman"/>
                <w:color w:val="auto"/>
                <w:spacing w:val="0"/>
                <w:w w:val="100"/>
                <w:position w:val="0"/>
                <w:sz w:val="21"/>
                <w:szCs w:val="21"/>
                <w:highlight w:val="none"/>
                <w:lang w:val="en-US" w:eastAsia="zh-CN"/>
              </w:rPr>
              <w:t>开发推广高效无（低）毒的浮选新药剂产品。</w:t>
            </w:r>
          </w:p>
          <w:p w14:paraId="61A650A9">
            <w:pPr>
              <w:keepNext w:val="0"/>
              <w:keepLines/>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color w:val="auto"/>
                <w:spacing w:val="0"/>
                <w:w w:val="100"/>
                <w:kern w:val="2"/>
                <w:position w:val="0"/>
                <w:sz w:val="21"/>
                <w:szCs w:val="21"/>
                <w:highlight w:val="none"/>
                <w:lang w:val="en-US" w:eastAsia="zh-CN" w:bidi="ar-SA"/>
              </w:rPr>
              <w:t>2.</w:t>
            </w:r>
            <w:r>
              <w:rPr>
                <w:rFonts w:hint="default" w:ascii="Times New Roman" w:hAnsi="Times New Roman" w:eastAsia="宋体" w:cs="Times New Roman"/>
                <w:color w:val="auto"/>
                <w:spacing w:val="0"/>
                <w:w w:val="100"/>
                <w:position w:val="0"/>
                <w:sz w:val="21"/>
                <w:szCs w:val="21"/>
                <w:highlight w:val="none"/>
                <w:lang w:val="en-US" w:eastAsia="zh-CN"/>
              </w:rPr>
              <w:t>在干旱缺水地区，宜推广干选工艺或节水型选矿工艺，如煤炭干选、大块干选抛尾等工艺技术。</w:t>
            </w:r>
          </w:p>
          <w:p w14:paraId="6185BB1E">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color w:val="auto"/>
                <w:spacing w:val="0"/>
                <w:w w:val="100"/>
                <w:position w:val="0"/>
                <w:sz w:val="21"/>
                <w:szCs w:val="21"/>
                <w:highlight w:val="none"/>
                <w:lang w:val="en-US" w:eastAsia="zh-CN"/>
              </w:rPr>
              <w:t>3.推广高效脱硫降灰技术，有效去除和降低煤炭中的硫分和灰分。</w:t>
            </w:r>
          </w:p>
          <w:p w14:paraId="577FC742">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color w:val="auto"/>
                <w:spacing w:val="0"/>
                <w:w w:val="100"/>
                <w:position w:val="0"/>
                <w:sz w:val="21"/>
                <w:szCs w:val="21"/>
                <w:highlight w:val="none"/>
                <w:lang w:val="en-US" w:eastAsia="zh-CN"/>
              </w:rPr>
              <w:t>4.采用先进的洗选技术和设备，推广洁净煤技术，逐步降低直接销售、使用原煤的比率。</w:t>
            </w:r>
          </w:p>
          <w:p w14:paraId="5873FC1B">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color w:val="auto"/>
                <w:spacing w:val="0"/>
                <w:w w:val="100"/>
                <w:position w:val="0"/>
                <w:sz w:val="21"/>
                <w:szCs w:val="21"/>
                <w:highlight w:val="none"/>
                <w:lang w:val="en-US" w:eastAsia="zh-CN"/>
              </w:rPr>
              <w:t>5.积极研究推广共、伴生矿产资源中有价元素的分离回收技术，为共、伴生矿产资源的深加工创造条件。</w:t>
            </w:r>
          </w:p>
        </w:tc>
        <w:tc>
          <w:tcPr>
            <w:tcW w:w="2735" w:type="dxa"/>
            <w:tcBorders>
              <w:tl2br w:val="nil"/>
              <w:tr2bl w:val="nil"/>
            </w:tcBorders>
            <w:vAlign w:val="center"/>
          </w:tcPr>
          <w:p w14:paraId="498AC05F">
            <w:pPr>
              <w:keepNext w:val="0"/>
              <w:keepLines/>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cs="Times New Roman"/>
                <w:color w:val="auto"/>
                <w:spacing w:val="0"/>
                <w:w w:val="100"/>
                <w:position w:val="0"/>
                <w:sz w:val="21"/>
                <w:szCs w:val="21"/>
                <w:highlight w:val="none"/>
                <w:lang w:val="en-US" w:eastAsia="zh-CN"/>
              </w:rPr>
              <w:t>1.</w:t>
            </w:r>
            <w:r>
              <w:rPr>
                <w:rFonts w:hint="default" w:ascii="Times New Roman" w:hAnsi="Times New Roman" w:eastAsia="宋体" w:cs="Times New Roman"/>
                <w:color w:val="auto"/>
                <w:spacing w:val="0"/>
                <w:w w:val="100"/>
                <w:position w:val="0"/>
                <w:sz w:val="21"/>
                <w:szCs w:val="21"/>
                <w:highlight w:val="none"/>
                <w:lang w:val="en-US" w:eastAsia="zh-CN"/>
              </w:rPr>
              <w:t>本项目浮选采用常规药剂（油酸</w:t>
            </w:r>
            <w:r>
              <w:rPr>
                <w:rFonts w:hint="eastAsia" w:cs="Times New Roman"/>
                <w:color w:val="auto"/>
                <w:spacing w:val="0"/>
                <w:w w:val="100"/>
                <w:position w:val="0"/>
                <w:sz w:val="21"/>
                <w:szCs w:val="21"/>
                <w:highlight w:val="none"/>
                <w:lang w:val="en-US" w:eastAsia="zh-CN"/>
              </w:rPr>
              <w:t>、</w:t>
            </w:r>
            <w:r>
              <w:rPr>
                <w:rFonts w:hint="default" w:ascii="Times New Roman" w:hAnsi="Times New Roman" w:eastAsia="宋体" w:cs="Times New Roman"/>
                <w:color w:val="auto"/>
                <w:spacing w:val="0"/>
                <w:w w:val="100"/>
                <w:position w:val="0"/>
                <w:sz w:val="21"/>
                <w:szCs w:val="21"/>
                <w:highlight w:val="none"/>
                <w:lang w:val="en-US" w:eastAsia="zh-CN"/>
              </w:rPr>
              <w:t>水玻璃</w:t>
            </w:r>
            <w:r>
              <w:rPr>
                <w:rFonts w:hint="eastAsia" w:cs="Times New Roman"/>
                <w:color w:val="auto"/>
                <w:spacing w:val="0"/>
                <w:w w:val="100"/>
                <w:position w:val="0"/>
                <w:sz w:val="21"/>
                <w:szCs w:val="21"/>
                <w:highlight w:val="none"/>
                <w:lang w:val="en-US" w:eastAsia="zh-CN"/>
              </w:rPr>
              <w:t>、</w:t>
            </w:r>
            <w:r>
              <w:rPr>
                <w:rFonts w:hint="default" w:ascii="Times New Roman" w:hAnsi="Times New Roman" w:eastAsia="宋体" w:cs="Times New Roman"/>
                <w:color w:val="auto"/>
                <w:spacing w:val="0"/>
                <w:w w:val="100"/>
                <w:position w:val="0"/>
                <w:sz w:val="21"/>
                <w:szCs w:val="21"/>
                <w:highlight w:val="none"/>
                <w:lang w:val="en-US" w:eastAsia="zh-CN"/>
              </w:rPr>
              <w:t>碳酸钙抑制剂），均为常用选矿药剂，不属于高毒药剂，符合要求。</w:t>
            </w:r>
          </w:p>
          <w:p w14:paraId="29329B15">
            <w:pPr>
              <w:keepNext w:val="0"/>
              <w:keepLines/>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cs="Times New Roman"/>
                <w:color w:val="auto"/>
                <w:spacing w:val="0"/>
                <w:w w:val="100"/>
                <w:position w:val="0"/>
                <w:sz w:val="21"/>
                <w:szCs w:val="21"/>
                <w:highlight w:val="none"/>
                <w:lang w:val="en-US" w:eastAsia="zh-CN"/>
              </w:rPr>
              <w:t>2.</w:t>
            </w:r>
            <w:r>
              <w:rPr>
                <w:rFonts w:hint="default" w:ascii="Times New Roman" w:hAnsi="Times New Roman" w:eastAsia="宋体" w:cs="Times New Roman"/>
                <w:color w:val="auto"/>
                <w:spacing w:val="0"/>
                <w:w w:val="100"/>
                <w:position w:val="0"/>
                <w:sz w:val="21"/>
                <w:szCs w:val="21"/>
                <w:highlight w:val="none"/>
                <w:lang w:val="en-US" w:eastAsia="zh-CN"/>
              </w:rPr>
              <w:t>项目所在地属干旱缺水地区，但萤石选矿采用湿式浮选工艺，选矿废水循环利用率达100%，属于节水型工艺。</w:t>
            </w:r>
          </w:p>
          <w:p w14:paraId="0D89ED86">
            <w:pPr>
              <w:keepNext w:val="0"/>
              <w:keepLines/>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cs="Times New Roman"/>
                <w:color w:val="auto"/>
                <w:spacing w:val="0"/>
                <w:w w:val="100"/>
                <w:position w:val="0"/>
                <w:sz w:val="21"/>
                <w:szCs w:val="21"/>
                <w:highlight w:val="none"/>
                <w:lang w:val="en-US" w:eastAsia="zh-CN"/>
              </w:rPr>
              <w:t>3.</w:t>
            </w:r>
            <w:r>
              <w:rPr>
                <w:rFonts w:hint="default" w:ascii="Times New Roman" w:hAnsi="Times New Roman" w:eastAsia="宋体" w:cs="Times New Roman"/>
                <w:color w:val="auto"/>
                <w:spacing w:val="0"/>
                <w:w w:val="100"/>
                <w:position w:val="0"/>
                <w:sz w:val="21"/>
                <w:szCs w:val="21"/>
                <w:highlight w:val="none"/>
                <w:lang w:val="en-US" w:eastAsia="zh-CN"/>
              </w:rPr>
              <w:t>本项目为萤石选矿，不涉及煤炭脱硫。</w:t>
            </w:r>
          </w:p>
          <w:p w14:paraId="1DC493CE">
            <w:pPr>
              <w:keepNext w:val="0"/>
              <w:keepLines/>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cs="Times New Roman"/>
                <w:color w:val="auto"/>
                <w:spacing w:val="0"/>
                <w:w w:val="100"/>
                <w:position w:val="0"/>
                <w:sz w:val="21"/>
                <w:szCs w:val="21"/>
                <w:highlight w:val="none"/>
                <w:lang w:val="en-US" w:eastAsia="zh-CN"/>
              </w:rPr>
              <w:t>4.</w:t>
            </w:r>
            <w:r>
              <w:rPr>
                <w:rFonts w:hint="default" w:ascii="Times New Roman" w:hAnsi="Times New Roman" w:eastAsia="宋体" w:cs="Times New Roman"/>
                <w:color w:val="auto"/>
                <w:spacing w:val="0"/>
                <w:w w:val="100"/>
                <w:position w:val="0"/>
                <w:sz w:val="21"/>
                <w:szCs w:val="21"/>
                <w:highlight w:val="none"/>
                <w:lang w:val="en-US" w:eastAsia="zh-CN"/>
              </w:rPr>
              <w:t>本项目为萤石选矿，不涉及煤炭洗选。</w:t>
            </w:r>
          </w:p>
          <w:p w14:paraId="6952A313">
            <w:pPr>
              <w:keepNext w:val="0"/>
              <w:keepLines/>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cs="Times New Roman"/>
                <w:color w:val="auto"/>
                <w:spacing w:val="0"/>
                <w:w w:val="100"/>
                <w:position w:val="0"/>
                <w:sz w:val="21"/>
                <w:szCs w:val="21"/>
                <w:highlight w:val="none"/>
                <w:lang w:val="en-US" w:eastAsia="zh-CN"/>
              </w:rPr>
              <w:t>5.</w:t>
            </w:r>
            <w:r>
              <w:rPr>
                <w:rFonts w:hint="default" w:ascii="Times New Roman" w:hAnsi="Times New Roman" w:eastAsia="宋体" w:cs="Times New Roman"/>
                <w:color w:val="auto"/>
                <w:spacing w:val="0"/>
                <w:w w:val="100"/>
                <w:position w:val="0"/>
                <w:sz w:val="21"/>
                <w:szCs w:val="21"/>
                <w:highlight w:val="none"/>
                <w:lang w:val="en-US" w:eastAsia="zh-CN"/>
              </w:rPr>
              <w:t>本项目矿石中主要回收萤石，共伴生元素含量低，现阶段未考虑回收，但报告提及未来可开展综合利用研究。</w:t>
            </w:r>
          </w:p>
        </w:tc>
        <w:tc>
          <w:tcPr>
            <w:tcW w:w="896" w:type="dxa"/>
            <w:tcBorders>
              <w:tl2br w:val="nil"/>
              <w:tr2bl w:val="nil"/>
            </w:tcBorders>
            <w:vAlign w:val="center"/>
          </w:tcPr>
          <w:p w14:paraId="38BE9EE3">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eastAsia" w:ascii="Times New Roman" w:hAnsi="Times New Roman" w:eastAsia="宋体" w:cs="Times New Roman"/>
                <w:color w:val="auto"/>
                <w:spacing w:val="0"/>
                <w:w w:val="100"/>
                <w:position w:val="0"/>
                <w:sz w:val="21"/>
                <w:szCs w:val="21"/>
                <w:highlight w:val="none"/>
                <w:lang w:val="en-US" w:eastAsia="zh-CN"/>
              </w:rPr>
            </w:pPr>
            <w:r>
              <w:rPr>
                <w:rFonts w:hint="eastAsia" w:ascii="Times New Roman" w:hAnsi="Times New Roman" w:eastAsia="宋体" w:cs="Times New Roman"/>
                <w:color w:val="auto"/>
                <w:spacing w:val="0"/>
                <w:w w:val="100"/>
                <w:position w:val="0"/>
                <w:sz w:val="21"/>
                <w:szCs w:val="21"/>
                <w:highlight w:val="none"/>
                <w:lang w:val="en-US" w:eastAsia="zh-CN"/>
              </w:rPr>
              <w:t>符合</w:t>
            </w:r>
          </w:p>
        </w:tc>
      </w:tr>
      <w:tr w14:paraId="60A695CF">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108" w:type="dxa"/>
            <w:bottom w:w="0" w:type="dxa"/>
            <w:right w:w="108" w:type="dxa"/>
          </w:tblCellMar>
        </w:tblPrEx>
        <w:trPr>
          <w:trHeight w:val="1050" w:hRule="atLeast"/>
        </w:trPr>
        <w:tc>
          <w:tcPr>
            <w:tcW w:w="1130" w:type="dxa"/>
            <w:vMerge w:val="restart"/>
            <w:tcBorders>
              <w:tl2br w:val="nil"/>
              <w:tr2bl w:val="nil"/>
            </w:tcBorders>
            <w:vAlign w:val="center"/>
          </w:tcPr>
          <w:p w14:paraId="20A17615">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选矿废水、废气的处理</w:t>
            </w:r>
          </w:p>
        </w:tc>
        <w:tc>
          <w:tcPr>
            <w:tcW w:w="3768" w:type="dxa"/>
            <w:tcBorders>
              <w:tl2br w:val="nil"/>
              <w:tr2bl w:val="nil"/>
            </w:tcBorders>
            <w:vAlign w:val="center"/>
          </w:tcPr>
          <w:p w14:paraId="1DCEA857">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en-US"/>
              </w:rPr>
            </w:pPr>
            <w:r>
              <w:rPr>
                <w:rFonts w:hint="default" w:ascii="Times New Roman" w:hAnsi="Times New Roman" w:eastAsia="宋体" w:cs="Times New Roman"/>
                <w:color w:val="auto"/>
                <w:spacing w:val="0"/>
                <w:w w:val="100"/>
                <w:position w:val="0"/>
                <w:sz w:val="21"/>
                <w:szCs w:val="21"/>
                <w:highlight w:val="none"/>
                <w:lang w:val="en-US" w:eastAsia="en-US"/>
              </w:rPr>
              <w:t>1.选矿废水（含尾矿库溢流水）应循环利用，力求实现闭路循环。未循环利用的部分应进行收集，处理达标后排放。</w:t>
            </w:r>
          </w:p>
          <w:p w14:paraId="21D49BD3">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en-US"/>
              </w:rPr>
            </w:pPr>
            <w:r>
              <w:rPr>
                <w:rFonts w:hint="default" w:ascii="Times New Roman" w:hAnsi="Times New Roman" w:eastAsia="宋体" w:cs="Times New Roman"/>
                <w:color w:val="auto"/>
                <w:spacing w:val="0"/>
                <w:w w:val="100"/>
                <w:position w:val="0"/>
                <w:sz w:val="21"/>
                <w:szCs w:val="21"/>
                <w:highlight w:val="none"/>
                <w:lang w:val="en-US" w:eastAsia="en-US"/>
              </w:rPr>
              <w:t>2.研究推广含氰、含重金属选矿废水的高效处理工艺与技术。</w:t>
            </w:r>
          </w:p>
          <w:p w14:paraId="38E0D724">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en-US"/>
              </w:rPr>
            </w:pPr>
            <w:r>
              <w:rPr>
                <w:rFonts w:hint="default" w:ascii="Times New Roman" w:hAnsi="Times New Roman" w:eastAsia="宋体" w:cs="Times New Roman"/>
                <w:color w:val="auto"/>
                <w:spacing w:val="0"/>
                <w:w w:val="100"/>
                <w:position w:val="0"/>
                <w:sz w:val="21"/>
                <w:szCs w:val="21"/>
                <w:highlight w:val="none"/>
                <w:lang w:val="en-US" w:eastAsia="en-US"/>
              </w:rPr>
              <w:t>3.宜采用尘源密闭、局部抽风、安装除尘装置等措施，防治破碎、筛分等选矿作业中的粉尘污染。</w:t>
            </w:r>
          </w:p>
        </w:tc>
        <w:tc>
          <w:tcPr>
            <w:tcW w:w="2735" w:type="dxa"/>
            <w:tcBorders>
              <w:tl2br w:val="nil"/>
              <w:tr2bl w:val="nil"/>
            </w:tcBorders>
            <w:vAlign w:val="center"/>
          </w:tcPr>
          <w:p w14:paraId="40CE4DB3">
            <w:pPr>
              <w:keepNext w:val="0"/>
              <w:keepLines/>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cs="Times New Roman"/>
                <w:color w:val="auto"/>
                <w:spacing w:val="0"/>
                <w:w w:val="100"/>
                <w:position w:val="0"/>
                <w:sz w:val="21"/>
                <w:szCs w:val="21"/>
                <w:highlight w:val="none"/>
                <w:lang w:val="en-US" w:eastAsia="zh-CN"/>
              </w:rPr>
              <w:t>1.</w:t>
            </w:r>
            <w:r>
              <w:rPr>
                <w:rFonts w:hint="default" w:ascii="Times New Roman" w:hAnsi="Times New Roman" w:eastAsia="宋体" w:cs="Times New Roman"/>
                <w:color w:val="auto"/>
                <w:spacing w:val="0"/>
                <w:w w:val="100"/>
                <w:position w:val="0"/>
                <w:sz w:val="21"/>
                <w:szCs w:val="21"/>
                <w:highlight w:val="none"/>
                <w:lang w:val="en-US" w:eastAsia="zh-CN"/>
              </w:rPr>
              <w:t>选矿废水全部经尾矿库澄清后回用于生产，实现闭路循环；生活污水经处理后用于绿化，不外排。</w:t>
            </w:r>
          </w:p>
          <w:p w14:paraId="1973FF2E">
            <w:pPr>
              <w:keepNext w:val="0"/>
              <w:keepLines/>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cs="Times New Roman"/>
                <w:color w:val="auto"/>
                <w:spacing w:val="0"/>
                <w:w w:val="100"/>
                <w:position w:val="0"/>
                <w:sz w:val="21"/>
                <w:szCs w:val="21"/>
                <w:highlight w:val="none"/>
                <w:lang w:val="en-US" w:eastAsia="zh-CN"/>
              </w:rPr>
              <w:t>2.</w:t>
            </w:r>
            <w:r>
              <w:rPr>
                <w:rFonts w:hint="default" w:ascii="Times New Roman" w:hAnsi="Times New Roman" w:eastAsia="宋体" w:cs="Times New Roman"/>
                <w:color w:val="auto"/>
                <w:spacing w:val="0"/>
                <w:w w:val="100"/>
                <w:position w:val="0"/>
                <w:sz w:val="21"/>
                <w:szCs w:val="21"/>
                <w:highlight w:val="none"/>
                <w:lang w:val="en-US" w:eastAsia="zh-CN"/>
              </w:rPr>
              <w:t>本项目选矿废水不含氰化物和重金属，无需特殊处理。</w:t>
            </w:r>
          </w:p>
          <w:p w14:paraId="26493334">
            <w:pPr>
              <w:keepNext w:val="0"/>
              <w:keepLines/>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en-US"/>
              </w:rPr>
            </w:pPr>
            <w:r>
              <w:rPr>
                <w:rFonts w:hint="default" w:ascii="Times New Roman" w:hAnsi="Times New Roman" w:cs="Times New Roman"/>
                <w:color w:val="auto"/>
                <w:spacing w:val="0"/>
                <w:w w:val="100"/>
                <w:position w:val="0"/>
                <w:sz w:val="21"/>
                <w:szCs w:val="21"/>
                <w:highlight w:val="none"/>
                <w:lang w:val="en-US" w:eastAsia="zh-CN"/>
              </w:rPr>
              <w:t>3.</w:t>
            </w:r>
            <w:r>
              <w:rPr>
                <w:rFonts w:hint="default" w:ascii="Times New Roman" w:hAnsi="Times New Roman" w:eastAsia="宋体" w:cs="Times New Roman"/>
                <w:color w:val="auto"/>
                <w:spacing w:val="0"/>
                <w:w w:val="100"/>
                <w:position w:val="0"/>
                <w:sz w:val="21"/>
                <w:szCs w:val="21"/>
                <w:highlight w:val="none"/>
                <w:lang w:val="en-US" w:eastAsia="zh-CN"/>
              </w:rPr>
              <w:t>破碎、筛分车间均设置密闭罩和局部抽风，配备高效布袋除尘器，有效控制粉尘污染。</w:t>
            </w:r>
          </w:p>
        </w:tc>
        <w:tc>
          <w:tcPr>
            <w:tcW w:w="896" w:type="dxa"/>
            <w:tcBorders>
              <w:tl2br w:val="nil"/>
              <w:tr2bl w:val="nil"/>
            </w:tcBorders>
            <w:vAlign w:val="center"/>
          </w:tcPr>
          <w:p w14:paraId="799F91EB">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auto"/>
                <w:spacing w:val="0"/>
                <w:w w:val="100"/>
                <w:position w:val="0"/>
                <w:sz w:val="21"/>
                <w:szCs w:val="21"/>
                <w:highlight w:val="none"/>
              </w:rPr>
            </w:pPr>
            <w:r>
              <w:rPr>
                <w:rFonts w:hint="eastAsia" w:ascii="Times New Roman" w:hAnsi="Times New Roman" w:eastAsia="宋体" w:cs="Times New Roman"/>
                <w:color w:val="auto"/>
                <w:spacing w:val="0"/>
                <w:w w:val="100"/>
                <w:position w:val="0"/>
                <w:sz w:val="21"/>
                <w:szCs w:val="21"/>
                <w:highlight w:val="none"/>
                <w:lang w:val="en-US" w:eastAsia="zh-CN"/>
              </w:rPr>
              <w:t>符合</w:t>
            </w:r>
          </w:p>
        </w:tc>
      </w:tr>
      <w:tr w14:paraId="2F77BEAA">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108" w:type="dxa"/>
            <w:bottom w:w="0" w:type="dxa"/>
            <w:right w:w="108" w:type="dxa"/>
          </w:tblCellMar>
        </w:tblPrEx>
        <w:trPr>
          <w:trHeight w:val="0" w:hRule="atLeast"/>
        </w:trPr>
        <w:tc>
          <w:tcPr>
            <w:tcW w:w="1130" w:type="dxa"/>
            <w:vMerge w:val="restart"/>
            <w:tcBorders>
              <w:tl2br w:val="nil"/>
              <w:tr2bl w:val="nil"/>
            </w:tcBorders>
            <w:vAlign w:val="center"/>
          </w:tcPr>
          <w:p w14:paraId="48521410">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尾矿的贮存和综合利用</w:t>
            </w:r>
          </w:p>
        </w:tc>
        <w:tc>
          <w:tcPr>
            <w:tcW w:w="3768" w:type="dxa"/>
            <w:tcBorders>
              <w:tl2br w:val="nil"/>
              <w:tr2bl w:val="nil"/>
            </w:tcBorders>
            <w:vAlign w:val="center"/>
          </w:tcPr>
          <w:p w14:paraId="072C3C6C">
            <w:pPr>
              <w:keepNext w:val="0"/>
              <w:keepLines/>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en-US"/>
              </w:rPr>
            </w:pPr>
            <w:r>
              <w:rPr>
                <w:rFonts w:hint="default" w:ascii="Times New Roman" w:hAnsi="Times New Roman" w:eastAsia="宋体" w:cs="Times New Roman"/>
                <w:color w:val="auto"/>
                <w:spacing w:val="0"/>
                <w:w w:val="100"/>
                <w:kern w:val="2"/>
                <w:position w:val="0"/>
                <w:sz w:val="21"/>
                <w:szCs w:val="21"/>
                <w:highlight w:val="none"/>
                <w:lang w:val="en-US" w:eastAsia="en-US" w:bidi="ar-SA"/>
              </w:rPr>
              <w:t>1.</w:t>
            </w:r>
            <w:r>
              <w:rPr>
                <w:rFonts w:hint="default" w:ascii="Times New Roman" w:hAnsi="Times New Roman" w:eastAsia="宋体" w:cs="Times New Roman"/>
                <w:color w:val="auto"/>
                <w:spacing w:val="0"/>
                <w:w w:val="100"/>
                <w:position w:val="0"/>
                <w:sz w:val="21"/>
                <w:szCs w:val="21"/>
                <w:highlight w:val="none"/>
                <w:lang w:val="en-US" w:eastAsia="en-US"/>
              </w:rPr>
              <w:t>应建造专用的尾矿库，并采取措施防止尾矿库的二次环境污染及诱发次生地质灾害。</w:t>
            </w:r>
          </w:p>
          <w:p w14:paraId="37E9FF75">
            <w:pPr>
              <w:keepNext w:val="0"/>
              <w:keepLines/>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en-US"/>
              </w:rPr>
            </w:pPr>
            <w:r>
              <w:rPr>
                <w:rFonts w:hint="default" w:ascii="Times New Roman" w:hAnsi="Times New Roman" w:eastAsia="宋体" w:cs="Times New Roman"/>
                <w:color w:val="auto"/>
                <w:spacing w:val="0"/>
                <w:w w:val="100"/>
                <w:position w:val="0"/>
                <w:sz w:val="21"/>
                <w:szCs w:val="21"/>
                <w:highlight w:val="none"/>
                <w:lang w:val="en-US" w:eastAsia="en-US"/>
              </w:rPr>
              <w:t>（1）采用防渗、集排水措施，防止尾矿库溢流水污染地表水和地下水；</w:t>
            </w:r>
          </w:p>
          <w:p w14:paraId="4A4BA6AF">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en-US"/>
              </w:rPr>
            </w:pPr>
            <w:r>
              <w:rPr>
                <w:rFonts w:hint="default" w:ascii="Times New Roman" w:hAnsi="Times New Roman" w:eastAsia="宋体" w:cs="Times New Roman"/>
                <w:color w:val="auto"/>
                <w:spacing w:val="0"/>
                <w:w w:val="100"/>
                <w:position w:val="0"/>
                <w:sz w:val="21"/>
                <w:szCs w:val="21"/>
                <w:highlight w:val="none"/>
                <w:lang w:val="en-US" w:eastAsia="en-US"/>
              </w:rPr>
              <w:t>（2）尾矿库坝面、坝坡应采取种植植物和覆盖等措施，防止扬尘、滑坡和水土流失。</w:t>
            </w:r>
          </w:p>
        </w:tc>
        <w:tc>
          <w:tcPr>
            <w:tcW w:w="2735" w:type="dxa"/>
            <w:tcBorders>
              <w:tl2br w:val="nil"/>
              <w:tr2bl w:val="nil"/>
            </w:tcBorders>
            <w:vAlign w:val="center"/>
          </w:tcPr>
          <w:p w14:paraId="260C5284">
            <w:pPr>
              <w:keepNext w:val="0"/>
              <w:keepLines/>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en-US"/>
              </w:rPr>
            </w:pPr>
            <w:r>
              <w:rPr>
                <w:rFonts w:hint="default" w:ascii="Times New Roman" w:hAnsi="Times New Roman" w:cs="Times New Roman"/>
                <w:color w:val="auto"/>
                <w:spacing w:val="0"/>
                <w:w w:val="100"/>
                <w:position w:val="0"/>
                <w:sz w:val="21"/>
                <w:szCs w:val="21"/>
                <w:highlight w:val="none"/>
                <w:lang w:val="en-US" w:eastAsia="zh-CN"/>
              </w:rPr>
              <w:t>1.</w:t>
            </w:r>
            <w:r>
              <w:rPr>
                <w:rFonts w:hint="default" w:ascii="Times New Roman" w:hAnsi="Times New Roman" w:eastAsia="宋体" w:cs="Times New Roman"/>
                <w:color w:val="auto"/>
                <w:spacing w:val="0"/>
                <w:w w:val="100"/>
                <w:position w:val="0"/>
                <w:sz w:val="21"/>
                <w:szCs w:val="21"/>
                <w:highlight w:val="none"/>
                <w:lang w:val="en-US" w:eastAsia="en-US"/>
              </w:rPr>
              <w:t>项目新建专用尾矿库，采取全库防渗、排洪、回水、监测等措施，防止环境污染和地质灾害。</w:t>
            </w:r>
          </w:p>
          <w:p w14:paraId="75C344FE">
            <w:pPr>
              <w:keepNext w:val="0"/>
              <w:keepLines/>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en-US"/>
              </w:rPr>
            </w:pPr>
            <w:r>
              <w:rPr>
                <w:rFonts w:hint="default" w:ascii="Times New Roman" w:hAnsi="Times New Roman" w:cs="Times New Roman"/>
                <w:color w:val="auto"/>
                <w:spacing w:val="0"/>
                <w:w w:val="100"/>
                <w:position w:val="0"/>
                <w:sz w:val="21"/>
                <w:szCs w:val="21"/>
                <w:highlight w:val="none"/>
                <w:lang w:val="en-US" w:eastAsia="zh-CN"/>
              </w:rPr>
              <w:t>（1）</w:t>
            </w:r>
            <w:r>
              <w:rPr>
                <w:rFonts w:hint="default" w:ascii="Times New Roman" w:hAnsi="Times New Roman" w:eastAsia="宋体" w:cs="Times New Roman"/>
                <w:color w:val="auto"/>
                <w:spacing w:val="0"/>
                <w:w w:val="100"/>
                <w:position w:val="0"/>
                <w:sz w:val="21"/>
                <w:szCs w:val="21"/>
                <w:highlight w:val="none"/>
                <w:lang w:val="en-US" w:eastAsia="en-US"/>
              </w:rPr>
              <w:t>尾矿库全库区铺设1.0mm厚HDPE土工膜防渗，库周设截水沟，坝下设置地下水监测井，防止污染。</w:t>
            </w:r>
          </w:p>
          <w:p w14:paraId="2271C19B">
            <w:pPr>
              <w:keepNext w:val="0"/>
              <w:keepLines/>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en-US"/>
              </w:rPr>
            </w:pPr>
            <w:r>
              <w:rPr>
                <w:rFonts w:hint="default" w:ascii="Times New Roman" w:hAnsi="Times New Roman" w:cs="Times New Roman"/>
                <w:color w:val="auto"/>
                <w:spacing w:val="0"/>
                <w:w w:val="100"/>
                <w:position w:val="0"/>
                <w:sz w:val="21"/>
                <w:szCs w:val="21"/>
                <w:highlight w:val="none"/>
                <w:lang w:val="en-US" w:eastAsia="zh-CN"/>
              </w:rPr>
              <w:t>（2）</w:t>
            </w:r>
            <w:r>
              <w:rPr>
                <w:rFonts w:hint="default" w:ascii="Times New Roman" w:hAnsi="Times New Roman" w:eastAsia="宋体" w:cs="Times New Roman"/>
                <w:color w:val="auto"/>
                <w:spacing w:val="0"/>
                <w:w w:val="100"/>
                <w:position w:val="0"/>
                <w:sz w:val="21"/>
                <w:szCs w:val="21"/>
                <w:highlight w:val="none"/>
                <w:lang w:val="en-US" w:eastAsia="en-US"/>
              </w:rPr>
              <w:t>尾矿坝下游坡采用植草</w:t>
            </w:r>
            <w:r>
              <w:rPr>
                <w:rFonts w:hint="eastAsia" w:cs="Times New Roman"/>
                <w:color w:val="auto"/>
                <w:spacing w:val="0"/>
                <w:w w:val="100"/>
                <w:position w:val="0"/>
                <w:sz w:val="21"/>
                <w:szCs w:val="21"/>
                <w:highlight w:val="none"/>
                <w:lang w:val="en-US" w:eastAsia="zh-CN"/>
              </w:rPr>
              <w:t>、</w:t>
            </w:r>
            <w:r>
              <w:rPr>
                <w:rFonts w:hint="default" w:ascii="Times New Roman" w:hAnsi="Times New Roman" w:eastAsia="宋体" w:cs="Times New Roman"/>
                <w:color w:val="auto"/>
                <w:spacing w:val="0"/>
                <w:w w:val="100"/>
                <w:position w:val="0"/>
                <w:sz w:val="21"/>
                <w:szCs w:val="21"/>
                <w:highlight w:val="none"/>
                <w:lang w:val="en-US" w:eastAsia="en-US"/>
              </w:rPr>
              <w:t>碎石护坡，防止扬尘和水土流失；服务期满后将进行复垦。</w:t>
            </w:r>
          </w:p>
        </w:tc>
        <w:tc>
          <w:tcPr>
            <w:tcW w:w="896" w:type="dxa"/>
            <w:tcBorders>
              <w:tl2br w:val="nil"/>
              <w:tr2bl w:val="nil"/>
            </w:tcBorders>
            <w:vAlign w:val="center"/>
          </w:tcPr>
          <w:p w14:paraId="6861D2FA">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auto"/>
                <w:spacing w:val="0"/>
                <w:w w:val="100"/>
                <w:position w:val="0"/>
                <w:sz w:val="21"/>
                <w:szCs w:val="21"/>
                <w:highlight w:val="none"/>
              </w:rPr>
            </w:pPr>
            <w:r>
              <w:rPr>
                <w:rFonts w:hint="eastAsia" w:ascii="Times New Roman" w:hAnsi="Times New Roman" w:eastAsia="宋体" w:cs="Times New Roman"/>
                <w:color w:val="auto"/>
                <w:spacing w:val="0"/>
                <w:w w:val="100"/>
                <w:position w:val="0"/>
                <w:sz w:val="21"/>
                <w:szCs w:val="21"/>
                <w:highlight w:val="none"/>
                <w:lang w:val="en-US" w:eastAsia="zh-CN"/>
              </w:rPr>
              <w:t>符合</w:t>
            </w:r>
          </w:p>
        </w:tc>
      </w:tr>
      <w:tr w14:paraId="5687C565">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108" w:type="dxa"/>
            <w:bottom w:w="0" w:type="dxa"/>
            <w:right w:w="108" w:type="dxa"/>
          </w:tblCellMar>
        </w:tblPrEx>
        <w:trPr>
          <w:trHeight w:val="0" w:hRule="atLeast"/>
        </w:trPr>
        <w:tc>
          <w:tcPr>
            <w:tcW w:w="1130" w:type="dxa"/>
            <w:vMerge w:val="continue"/>
            <w:tcBorders>
              <w:tl2br w:val="nil"/>
              <w:tr2bl w:val="nil"/>
            </w:tcBorders>
            <w:vAlign w:val="center"/>
          </w:tcPr>
          <w:p w14:paraId="5E444B09">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auto"/>
                <w:spacing w:val="0"/>
                <w:w w:val="100"/>
                <w:position w:val="0"/>
                <w:sz w:val="21"/>
                <w:szCs w:val="21"/>
                <w:highlight w:val="none"/>
              </w:rPr>
            </w:pPr>
          </w:p>
        </w:tc>
        <w:tc>
          <w:tcPr>
            <w:tcW w:w="3768" w:type="dxa"/>
            <w:tcBorders>
              <w:tl2br w:val="nil"/>
              <w:tr2bl w:val="nil"/>
            </w:tcBorders>
            <w:vAlign w:val="center"/>
          </w:tcPr>
          <w:p w14:paraId="20F076DC">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en-US"/>
              </w:rPr>
            </w:pPr>
            <w:r>
              <w:rPr>
                <w:rFonts w:hint="default" w:ascii="Times New Roman" w:hAnsi="Times New Roman" w:eastAsia="宋体" w:cs="Times New Roman"/>
                <w:color w:val="auto"/>
                <w:spacing w:val="0"/>
                <w:w w:val="100"/>
                <w:position w:val="0"/>
                <w:sz w:val="21"/>
                <w:szCs w:val="21"/>
                <w:highlight w:val="none"/>
                <w:lang w:val="en-US" w:eastAsia="en-US"/>
              </w:rPr>
              <w:t>2.推广选矿固体废物的综合利用技术。</w:t>
            </w:r>
          </w:p>
          <w:p w14:paraId="7CC8490B">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en-US"/>
              </w:rPr>
            </w:pPr>
            <w:r>
              <w:rPr>
                <w:rFonts w:hint="default" w:ascii="Times New Roman" w:hAnsi="Times New Roman" w:eastAsia="宋体" w:cs="Times New Roman"/>
                <w:color w:val="auto"/>
                <w:spacing w:val="0"/>
                <w:w w:val="100"/>
                <w:position w:val="0"/>
                <w:sz w:val="21"/>
                <w:szCs w:val="21"/>
                <w:highlight w:val="none"/>
                <w:lang w:val="en-US" w:eastAsia="en-US"/>
              </w:rPr>
              <w:t>（1）尾矿再选和共伴生矿物及有价元素的回收技术；</w:t>
            </w:r>
          </w:p>
          <w:p w14:paraId="2407E802">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en-US"/>
              </w:rPr>
            </w:pPr>
            <w:r>
              <w:rPr>
                <w:rFonts w:hint="default" w:ascii="Times New Roman" w:hAnsi="Times New Roman" w:eastAsia="宋体" w:cs="Times New Roman"/>
                <w:color w:val="auto"/>
                <w:spacing w:val="0"/>
                <w:w w:val="100"/>
                <w:position w:val="0"/>
                <w:sz w:val="21"/>
                <w:szCs w:val="21"/>
                <w:highlight w:val="none"/>
                <w:lang w:val="en-US" w:eastAsia="en-US"/>
              </w:rPr>
              <w:t>（2）利用尾矿加工生产建筑材料及制品技术，如作水泥添加剂、尾矿制砖等；</w:t>
            </w:r>
          </w:p>
          <w:p w14:paraId="568C4AD2">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en-US"/>
              </w:rPr>
            </w:pPr>
            <w:r>
              <w:rPr>
                <w:rFonts w:hint="default" w:ascii="Times New Roman" w:hAnsi="Times New Roman" w:eastAsia="宋体" w:cs="Times New Roman"/>
                <w:color w:val="auto"/>
                <w:spacing w:val="0"/>
                <w:w w:val="100"/>
                <w:position w:val="0"/>
                <w:sz w:val="21"/>
                <w:szCs w:val="21"/>
                <w:highlight w:val="none"/>
                <w:lang w:val="en-US" w:eastAsia="en-US"/>
              </w:rPr>
              <w:t>（3）推广利用尾矿、废石作充填料，充填采空区或塌陷地的工艺技术；</w:t>
            </w:r>
          </w:p>
          <w:p w14:paraId="75D3BD71">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en-US"/>
              </w:rPr>
            </w:pPr>
            <w:r>
              <w:rPr>
                <w:rFonts w:hint="default" w:ascii="Times New Roman" w:hAnsi="Times New Roman" w:eastAsia="宋体" w:cs="Times New Roman"/>
                <w:color w:val="auto"/>
                <w:spacing w:val="0"/>
                <w:w w:val="100"/>
                <w:position w:val="0"/>
                <w:sz w:val="21"/>
                <w:szCs w:val="21"/>
                <w:highlight w:val="none"/>
                <w:lang w:val="en-US" w:eastAsia="en-US"/>
              </w:rPr>
              <w:t>（4）利用选煤煤泥开发生物有机肥料技术。</w:t>
            </w:r>
          </w:p>
        </w:tc>
        <w:tc>
          <w:tcPr>
            <w:tcW w:w="2735" w:type="dxa"/>
            <w:tcBorders>
              <w:tl2br w:val="nil"/>
              <w:tr2bl w:val="nil"/>
            </w:tcBorders>
            <w:vAlign w:val="center"/>
          </w:tcPr>
          <w:p w14:paraId="37044007">
            <w:pPr>
              <w:keepNext w:val="0"/>
              <w:keepLines/>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en-US"/>
              </w:rPr>
            </w:pPr>
            <w:r>
              <w:rPr>
                <w:rFonts w:hint="default" w:ascii="Times New Roman" w:hAnsi="Times New Roman" w:eastAsia="宋体" w:cs="Times New Roman"/>
                <w:color w:val="auto"/>
                <w:spacing w:val="0"/>
                <w:w w:val="100"/>
                <w:position w:val="0"/>
                <w:sz w:val="21"/>
                <w:szCs w:val="21"/>
                <w:highlight w:val="none"/>
                <w:lang w:val="en-US" w:eastAsia="en-US"/>
              </w:rPr>
              <w:t>现阶段尾矿全部入库堆存，未来将研究尾矿制砖、充填等综合利用途径。</w:t>
            </w:r>
          </w:p>
        </w:tc>
        <w:tc>
          <w:tcPr>
            <w:tcW w:w="896" w:type="dxa"/>
            <w:tcBorders>
              <w:tl2br w:val="nil"/>
              <w:tr2bl w:val="nil"/>
            </w:tcBorders>
            <w:vAlign w:val="center"/>
          </w:tcPr>
          <w:p w14:paraId="66ADAA43">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auto"/>
                <w:spacing w:val="0"/>
                <w:w w:val="100"/>
                <w:position w:val="0"/>
                <w:sz w:val="21"/>
                <w:szCs w:val="21"/>
                <w:highlight w:val="none"/>
              </w:rPr>
            </w:pPr>
            <w:r>
              <w:rPr>
                <w:rFonts w:hint="eastAsia" w:ascii="Times New Roman" w:hAnsi="Times New Roman" w:eastAsia="宋体" w:cs="Times New Roman"/>
                <w:color w:val="auto"/>
                <w:spacing w:val="0"/>
                <w:w w:val="100"/>
                <w:position w:val="0"/>
                <w:sz w:val="21"/>
                <w:szCs w:val="21"/>
                <w:highlight w:val="none"/>
                <w:lang w:val="en-US" w:eastAsia="zh-CN"/>
              </w:rPr>
              <w:t>符合</w:t>
            </w:r>
          </w:p>
        </w:tc>
      </w:tr>
      <w:tr w14:paraId="6381DBBD">
        <w:tblPrEx>
          <w:tblBorders>
            <w:top w:val="single" w:color="auto" w:sz="12" w:space="0"/>
            <w:left w:val="single" w:color="auto" w:sz="12" w:space="0"/>
            <w:bottom w:val="single" w:color="auto" w:sz="12" w:space="0"/>
            <w:right w:val="single" w:color="auto" w:sz="12" w:space="0"/>
            <w:insideH w:val="single" w:color="auto" w:sz="4" w:space="0"/>
            <w:insideV w:val="single" w:color="000000" w:sz="4" w:space="0"/>
          </w:tblBorders>
          <w:tblCellMar>
            <w:top w:w="0" w:type="dxa"/>
            <w:left w:w="108" w:type="dxa"/>
            <w:bottom w:w="0" w:type="dxa"/>
            <w:right w:w="108" w:type="dxa"/>
          </w:tblCellMar>
        </w:tblPrEx>
        <w:trPr>
          <w:trHeight w:val="0" w:hRule="atLeast"/>
        </w:trPr>
        <w:tc>
          <w:tcPr>
            <w:tcW w:w="1130" w:type="dxa"/>
            <w:tcBorders>
              <w:tl2br w:val="nil"/>
              <w:tr2bl w:val="nil"/>
            </w:tcBorders>
            <w:vAlign w:val="center"/>
          </w:tcPr>
          <w:p w14:paraId="6BAA3821">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rPr>
              <w:t>废弃地复垦</w:t>
            </w:r>
          </w:p>
        </w:tc>
        <w:tc>
          <w:tcPr>
            <w:tcW w:w="3768" w:type="dxa"/>
            <w:tcBorders>
              <w:tl2br w:val="nil"/>
              <w:tr2bl w:val="nil"/>
            </w:tcBorders>
            <w:vAlign w:val="center"/>
          </w:tcPr>
          <w:p w14:paraId="015F855F">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en-US"/>
              </w:rPr>
            </w:pPr>
            <w:r>
              <w:rPr>
                <w:rFonts w:hint="default" w:ascii="Times New Roman" w:hAnsi="Times New Roman" w:eastAsia="宋体" w:cs="Times New Roman"/>
                <w:color w:val="auto"/>
                <w:spacing w:val="0"/>
                <w:w w:val="100"/>
                <w:position w:val="0"/>
                <w:sz w:val="21"/>
                <w:szCs w:val="21"/>
                <w:highlight w:val="none"/>
                <w:lang w:val="en-US" w:eastAsia="en-US"/>
              </w:rPr>
              <w:t>1.矿山开采企业应将废弃地复垦纳入矿山日常生产与管理，提倡采用采（选）矿—排土（尾）—造地—复垦一体化技术。</w:t>
            </w:r>
          </w:p>
          <w:p w14:paraId="5CC08517">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en-US"/>
              </w:rPr>
            </w:pPr>
            <w:r>
              <w:rPr>
                <w:rFonts w:hint="default" w:ascii="Times New Roman" w:hAnsi="Times New Roman" w:eastAsia="宋体" w:cs="Times New Roman"/>
                <w:color w:val="auto"/>
                <w:spacing w:val="0"/>
                <w:w w:val="100"/>
                <w:position w:val="0"/>
                <w:sz w:val="21"/>
                <w:szCs w:val="21"/>
                <w:highlight w:val="none"/>
                <w:lang w:val="en-US" w:eastAsia="en-US"/>
              </w:rPr>
              <w:t>2.矿山废弃地复垦应做可垦性试验，采取最合理的方式进行废弃地复垦。对于存在污染的矿山废弃地，不宜复垦作为农牧业生产用地；对于可开发为农牧业用地的矿山废弃地，应对其进行全面的监测与评估。</w:t>
            </w:r>
          </w:p>
          <w:p w14:paraId="06714FAA">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en-US"/>
              </w:rPr>
            </w:pPr>
            <w:r>
              <w:rPr>
                <w:rFonts w:hint="default" w:ascii="Times New Roman" w:hAnsi="Times New Roman" w:eastAsia="宋体" w:cs="Times New Roman"/>
                <w:color w:val="auto"/>
                <w:spacing w:val="0"/>
                <w:w w:val="100"/>
                <w:position w:val="0"/>
                <w:sz w:val="21"/>
                <w:szCs w:val="21"/>
                <w:highlight w:val="none"/>
                <w:lang w:val="en-US" w:eastAsia="en-US"/>
              </w:rPr>
              <w:t>3.矿山生产过程中应采取种植植物和覆盖等复垦措施，对露天坑、废石场、尾矿库、矸石山等永久性坡面进行稳定化处理，防止水土流失和滑坡。废石场、尾矿库、矸石山等固废堆场服务期满后，应及时封场和复垦，防止水土流失及风蚀扬尘等。</w:t>
            </w:r>
          </w:p>
          <w:p w14:paraId="2C6F5BB2">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en-US"/>
              </w:rPr>
            </w:pPr>
            <w:r>
              <w:rPr>
                <w:rFonts w:hint="default" w:ascii="Times New Roman" w:hAnsi="Times New Roman" w:eastAsia="宋体" w:cs="Times New Roman"/>
                <w:color w:val="auto"/>
                <w:spacing w:val="0"/>
                <w:w w:val="100"/>
                <w:position w:val="0"/>
                <w:sz w:val="21"/>
                <w:szCs w:val="21"/>
                <w:highlight w:val="none"/>
                <w:lang w:val="en-US" w:eastAsia="en-US"/>
              </w:rPr>
              <w:t>4.鼓励推广采用覆岩离层注浆，利用尾矿、废石充填采空区等技术，减轻采空区上覆岩层塌陷。</w:t>
            </w:r>
          </w:p>
          <w:p w14:paraId="40EF3DCF">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en-US"/>
              </w:rPr>
            </w:pPr>
            <w:r>
              <w:rPr>
                <w:rFonts w:hint="default" w:ascii="Times New Roman" w:hAnsi="Times New Roman" w:eastAsia="宋体" w:cs="Times New Roman"/>
                <w:color w:val="auto"/>
                <w:spacing w:val="0"/>
                <w:w w:val="100"/>
                <w:position w:val="0"/>
                <w:sz w:val="21"/>
                <w:szCs w:val="21"/>
                <w:highlight w:val="none"/>
                <w:lang w:val="en-US" w:eastAsia="en-US"/>
              </w:rPr>
              <w:t>5.采用生物工程进行废弃地复垦时，宜对土壤重构、地形、景观进行优化设计，对物种选择、配置及种植方式进行优化。</w:t>
            </w:r>
          </w:p>
        </w:tc>
        <w:tc>
          <w:tcPr>
            <w:tcW w:w="2735" w:type="dxa"/>
            <w:tcBorders>
              <w:tl2br w:val="nil"/>
              <w:tr2bl w:val="nil"/>
            </w:tcBorders>
            <w:vAlign w:val="center"/>
          </w:tcPr>
          <w:p w14:paraId="73231183">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en-US"/>
              </w:rPr>
            </w:pPr>
            <w:r>
              <w:rPr>
                <w:rFonts w:hint="default" w:ascii="Times New Roman" w:hAnsi="Times New Roman" w:cs="Times New Roman"/>
                <w:color w:val="auto"/>
                <w:spacing w:val="0"/>
                <w:w w:val="100"/>
                <w:position w:val="0"/>
                <w:sz w:val="21"/>
                <w:szCs w:val="21"/>
                <w:highlight w:val="none"/>
                <w:lang w:val="en-US" w:eastAsia="zh-CN"/>
              </w:rPr>
              <w:t>1.</w:t>
            </w:r>
            <w:r>
              <w:rPr>
                <w:rFonts w:hint="default" w:ascii="Times New Roman" w:hAnsi="Times New Roman" w:eastAsia="宋体" w:cs="Times New Roman"/>
                <w:color w:val="auto"/>
                <w:spacing w:val="0"/>
                <w:w w:val="100"/>
                <w:position w:val="0"/>
                <w:sz w:val="21"/>
                <w:szCs w:val="21"/>
                <w:highlight w:val="none"/>
                <w:lang w:val="en-US" w:eastAsia="en-US"/>
              </w:rPr>
              <w:t>项目尾矿库服务期满后将进行复垦，纳入闭库设计。</w:t>
            </w:r>
          </w:p>
          <w:p w14:paraId="06F8C7C6">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en-US"/>
              </w:rPr>
            </w:pPr>
            <w:r>
              <w:rPr>
                <w:rFonts w:hint="default" w:ascii="Times New Roman" w:hAnsi="Times New Roman" w:cs="Times New Roman"/>
                <w:color w:val="auto"/>
                <w:spacing w:val="0"/>
                <w:w w:val="100"/>
                <w:position w:val="0"/>
                <w:sz w:val="21"/>
                <w:szCs w:val="21"/>
                <w:highlight w:val="none"/>
                <w:lang w:val="en-US" w:eastAsia="zh-CN"/>
              </w:rPr>
              <w:t>2.</w:t>
            </w:r>
            <w:r>
              <w:rPr>
                <w:rFonts w:hint="default" w:ascii="Times New Roman" w:hAnsi="Times New Roman" w:eastAsia="宋体" w:cs="Times New Roman"/>
                <w:color w:val="auto"/>
                <w:spacing w:val="0"/>
                <w:w w:val="100"/>
                <w:position w:val="0"/>
                <w:sz w:val="21"/>
                <w:szCs w:val="21"/>
                <w:highlight w:val="none"/>
                <w:lang w:val="en-US" w:eastAsia="en-US"/>
              </w:rPr>
              <w:t>尾矿库闭库前将进行可垦性评估，采取适宜的复垦方式，确保安全和无污染。</w:t>
            </w:r>
          </w:p>
          <w:p w14:paraId="351DEDE0">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en-US"/>
              </w:rPr>
            </w:pPr>
            <w:r>
              <w:rPr>
                <w:rFonts w:hint="default" w:ascii="Times New Roman" w:hAnsi="Times New Roman" w:cs="Times New Roman"/>
                <w:color w:val="auto"/>
                <w:spacing w:val="0"/>
                <w:w w:val="100"/>
                <w:position w:val="0"/>
                <w:sz w:val="21"/>
                <w:szCs w:val="21"/>
                <w:highlight w:val="none"/>
                <w:lang w:val="en-US" w:eastAsia="zh-CN"/>
              </w:rPr>
              <w:t>3.</w:t>
            </w:r>
            <w:r>
              <w:rPr>
                <w:rFonts w:hint="default" w:ascii="Times New Roman" w:hAnsi="Times New Roman" w:eastAsia="宋体" w:cs="Times New Roman"/>
                <w:color w:val="auto"/>
                <w:spacing w:val="0"/>
                <w:w w:val="100"/>
                <w:position w:val="0"/>
                <w:sz w:val="21"/>
                <w:szCs w:val="21"/>
                <w:highlight w:val="none"/>
                <w:lang w:val="en-US" w:eastAsia="en-US"/>
              </w:rPr>
              <w:t>尾矿库坝坡已采取护坡措施，服务期满后将及时封场复垦，防止水土流失和扬尘。</w:t>
            </w:r>
          </w:p>
          <w:p w14:paraId="24CE51B1">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both"/>
              <w:textAlignment w:val="auto"/>
              <w:rPr>
                <w:rFonts w:hint="default" w:ascii="Times New Roman" w:hAnsi="Times New Roman" w:eastAsia="宋体" w:cs="Times New Roman"/>
                <w:color w:val="auto"/>
                <w:spacing w:val="0"/>
                <w:w w:val="100"/>
                <w:position w:val="0"/>
                <w:sz w:val="21"/>
                <w:szCs w:val="21"/>
                <w:highlight w:val="none"/>
                <w:lang w:val="en-US" w:eastAsia="en-US"/>
              </w:rPr>
            </w:pPr>
            <w:r>
              <w:rPr>
                <w:rFonts w:hint="eastAsia" w:cs="Times New Roman"/>
                <w:color w:val="auto"/>
                <w:spacing w:val="0"/>
                <w:w w:val="100"/>
                <w:position w:val="0"/>
                <w:sz w:val="21"/>
                <w:szCs w:val="21"/>
                <w:highlight w:val="none"/>
                <w:lang w:val="en-US" w:eastAsia="zh-CN"/>
              </w:rPr>
              <w:t>4</w:t>
            </w:r>
            <w:r>
              <w:rPr>
                <w:rFonts w:hint="default" w:ascii="Times New Roman" w:hAnsi="Times New Roman" w:cs="Times New Roman"/>
                <w:color w:val="auto"/>
                <w:spacing w:val="0"/>
                <w:w w:val="100"/>
                <w:position w:val="0"/>
                <w:sz w:val="21"/>
                <w:szCs w:val="21"/>
                <w:highlight w:val="none"/>
                <w:lang w:val="en-US" w:eastAsia="zh-CN"/>
              </w:rPr>
              <w:t>.</w:t>
            </w:r>
            <w:r>
              <w:rPr>
                <w:rFonts w:hint="default" w:ascii="Times New Roman" w:hAnsi="Times New Roman" w:eastAsia="宋体" w:cs="Times New Roman"/>
                <w:color w:val="auto"/>
                <w:spacing w:val="0"/>
                <w:w w:val="100"/>
                <w:position w:val="0"/>
                <w:sz w:val="21"/>
                <w:szCs w:val="21"/>
                <w:highlight w:val="none"/>
                <w:lang w:val="en-US" w:eastAsia="en-US"/>
              </w:rPr>
              <w:t>尾矿库复垦将根据当地自然条件选择适宜物种，优化配置，确保生态恢复效果。</w:t>
            </w:r>
          </w:p>
        </w:tc>
        <w:tc>
          <w:tcPr>
            <w:tcW w:w="896" w:type="dxa"/>
            <w:tcBorders>
              <w:tl2br w:val="nil"/>
              <w:tr2bl w:val="nil"/>
            </w:tcBorders>
            <w:vAlign w:val="center"/>
          </w:tcPr>
          <w:p w14:paraId="5FBA4DA9">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宋体" w:cs="Times New Roman"/>
                <w:color w:val="auto"/>
                <w:spacing w:val="0"/>
                <w:w w:val="100"/>
                <w:position w:val="0"/>
                <w:sz w:val="21"/>
                <w:szCs w:val="21"/>
                <w:highlight w:val="none"/>
              </w:rPr>
            </w:pPr>
            <w:r>
              <w:rPr>
                <w:rFonts w:hint="eastAsia" w:ascii="Times New Roman" w:hAnsi="Times New Roman" w:eastAsia="宋体" w:cs="Times New Roman"/>
                <w:color w:val="auto"/>
                <w:spacing w:val="0"/>
                <w:w w:val="100"/>
                <w:position w:val="0"/>
                <w:sz w:val="21"/>
                <w:szCs w:val="21"/>
                <w:highlight w:val="none"/>
                <w:lang w:val="en-US" w:eastAsia="zh-CN"/>
              </w:rPr>
              <w:t>符合</w:t>
            </w:r>
          </w:p>
        </w:tc>
      </w:tr>
    </w:tbl>
    <w:p w14:paraId="2AF196B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综上所述，本项目符合《矿山生态环境保护与污染防治技术政策》的相关要求。</w:t>
      </w:r>
    </w:p>
    <w:p w14:paraId="6280D369">
      <w:pPr>
        <w:keepNext/>
        <w:keepLines/>
        <w:widowControl w:val="0"/>
        <w:spacing w:line="480" w:lineRule="exact"/>
        <w:ind w:firstLine="482" w:firstLineChars="0"/>
        <w:jc w:val="both"/>
        <w:outlineLvl w:val="3"/>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1.3.3.</w:t>
      </w:r>
      <w:r>
        <w:rPr>
          <w:rFonts w:hint="eastAsia" w:cs="Times New Roman"/>
          <w:b/>
          <w:color w:val="auto"/>
          <w:kern w:val="2"/>
          <w:sz w:val="24"/>
          <w:szCs w:val="24"/>
          <w:highlight w:val="none"/>
          <w:lang w:val="en-US" w:eastAsia="zh-CN" w:bidi="ar-SA"/>
        </w:rPr>
        <w:t>9</w:t>
      </w:r>
      <w:r>
        <w:rPr>
          <w:rFonts w:hint="default" w:ascii="Times New Roman" w:hAnsi="Times New Roman" w:eastAsia="宋体" w:cs="Times New Roman"/>
          <w:b/>
          <w:color w:val="auto"/>
          <w:kern w:val="2"/>
          <w:sz w:val="24"/>
          <w:szCs w:val="24"/>
          <w:highlight w:val="none"/>
          <w:lang w:val="en-US" w:eastAsia="zh-CN" w:bidi="ar-SA"/>
        </w:rPr>
        <w:t>与《新疆维吾尔自治区28个国家重点生态功能区县（市）产业准入负面清单（试行）》符合性</w:t>
      </w:r>
    </w:p>
    <w:p w14:paraId="3683D663">
      <w:pPr>
        <w:overflowPunct w:val="0"/>
        <w:topLinePunct/>
        <w:ind w:firstLine="480"/>
        <w:rPr>
          <w:rFonts w:hint="default" w:ascii="Times New Roman" w:hAnsi="Times New Roman" w:cs="Times New Roman"/>
          <w:color w:val="auto"/>
          <w:kern w:val="0"/>
          <w:highlight w:val="none"/>
          <w:lang w:eastAsia="zh-CN"/>
        </w:rPr>
      </w:pPr>
      <w:r>
        <w:rPr>
          <w:rFonts w:hint="default" w:ascii="Times New Roman" w:hAnsi="Times New Roman" w:cs="Times New Roman"/>
          <w:color w:val="auto"/>
          <w:kern w:val="0"/>
          <w:highlight w:val="none"/>
        </w:rPr>
        <w:t>根据《关于印发新疆维吾尔自治区28个国家重点生态功能区县（市）产业准入负面清单（试行）的通知》（新发改规划〔2017〕891号）和《关于印发新疆维吾尔自治区17个新增纳入国家重点生态功能区县（市）产业准入负面清单（试行）的通知》（新发改规划〔2017〕1796号）的规定，本项目不在国家重点生态功能区县（市）产业准入负面清单之列</w:t>
      </w:r>
      <w:r>
        <w:rPr>
          <w:rFonts w:hint="default" w:ascii="Times New Roman" w:hAnsi="Times New Roman" w:cs="Times New Roman"/>
          <w:color w:val="auto"/>
          <w:kern w:val="0"/>
          <w:highlight w:val="none"/>
          <w:lang w:eastAsia="zh-CN"/>
        </w:rPr>
        <w:t>。</w:t>
      </w:r>
    </w:p>
    <w:p w14:paraId="064FA679">
      <w:pPr>
        <w:keepNext/>
        <w:keepLines/>
        <w:widowControl w:val="0"/>
        <w:spacing w:line="480" w:lineRule="exact"/>
        <w:ind w:firstLine="482" w:firstLineChars="0"/>
        <w:jc w:val="both"/>
        <w:outlineLvl w:val="3"/>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1.3.3.</w:t>
      </w:r>
      <w:r>
        <w:rPr>
          <w:rFonts w:hint="eastAsia" w:cs="Times New Roman"/>
          <w:b/>
          <w:color w:val="auto"/>
          <w:kern w:val="2"/>
          <w:sz w:val="24"/>
          <w:szCs w:val="24"/>
          <w:highlight w:val="none"/>
          <w:lang w:val="en-US" w:eastAsia="zh-CN" w:bidi="ar-SA"/>
        </w:rPr>
        <w:t>10</w:t>
      </w:r>
      <w:r>
        <w:rPr>
          <w:rFonts w:hint="default" w:ascii="Times New Roman" w:hAnsi="Times New Roman" w:eastAsia="宋体" w:cs="Times New Roman"/>
          <w:b/>
          <w:color w:val="auto"/>
          <w:kern w:val="2"/>
          <w:sz w:val="24"/>
          <w:szCs w:val="24"/>
          <w:highlight w:val="none"/>
          <w:lang w:val="en-US" w:eastAsia="zh-CN" w:bidi="ar-SA"/>
        </w:rPr>
        <w:t>与《新疆维吾尔自治区环境保护条例》的符合性</w:t>
      </w:r>
    </w:p>
    <w:p w14:paraId="0316E14D">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根据《新疆维吾尔自治区环境保护条例》第三十条</w:t>
      </w:r>
      <w:r>
        <w:rPr>
          <w:rFonts w:hint="eastAsia" w:cs="Times New Roman"/>
          <w:color w:val="auto"/>
          <w:kern w:val="0"/>
          <w:highlight w:val="none"/>
          <w:lang w:eastAsia="zh-CN"/>
        </w:rPr>
        <w:t>“</w:t>
      </w:r>
      <w:r>
        <w:rPr>
          <w:rFonts w:hint="default" w:ascii="Times New Roman" w:hAnsi="Times New Roman" w:cs="Times New Roman"/>
          <w:color w:val="auto"/>
          <w:kern w:val="0"/>
          <w:highlight w:val="none"/>
        </w:rPr>
        <w:t>任何单位和个人不得在水源涵养区、饮用水水源保护区内和河流、湖泊、水库周围建设重化工、涉重金属等工业污染项目；对已建成的工业污染项目，当地人民政府应当组织限期搬迁。</w:t>
      </w:r>
      <w:r>
        <w:rPr>
          <w:rFonts w:hint="eastAsia" w:cs="Times New Roman"/>
          <w:color w:val="auto"/>
          <w:kern w:val="0"/>
          <w:highlight w:val="none"/>
          <w:lang w:eastAsia="zh-CN"/>
        </w:rPr>
        <w:t>”</w:t>
      </w:r>
      <w:r>
        <w:rPr>
          <w:rFonts w:hint="default" w:ascii="Times New Roman" w:hAnsi="Times New Roman" w:cs="Times New Roman"/>
          <w:color w:val="auto"/>
          <w:kern w:val="0"/>
          <w:highlight w:val="none"/>
        </w:rPr>
        <w:t>本</w:t>
      </w:r>
      <w:r>
        <w:rPr>
          <w:rFonts w:hint="default" w:ascii="Times New Roman" w:hAnsi="Times New Roman" w:cs="Times New Roman"/>
          <w:color w:val="auto"/>
          <w:kern w:val="0"/>
          <w:highlight w:val="none"/>
          <w:lang w:val="en-US" w:eastAsia="zh-CN"/>
        </w:rPr>
        <w:t>项目</w:t>
      </w:r>
      <w:r>
        <w:rPr>
          <w:rFonts w:hint="default" w:ascii="Times New Roman" w:hAnsi="Times New Roman" w:cs="Times New Roman"/>
          <w:color w:val="auto"/>
          <w:kern w:val="0"/>
          <w:highlight w:val="none"/>
        </w:rPr>
        <w:t>属于非金属矿</w:t>
      </w:r>
      <w:r>
        <w:rPr>
          <w:rFonts w:hint="default" w:ascii="Times New Roman" w:hAnsi="Times New Roman" w:cs="Times New Roman"/>
          <w:color w:val="auto"/>
          <w:kern w:val="0"/>
          <w:highlight w:val="none"/>
          <w:lang w:val="en-US" w:eastAsia="zh-CN"/>
        </w:rPr>
        <w:t>选尾项目</w:t>
      </w:r>
      <w:r>
        <w:rPr>
          <w:rFonts w:hint="default" w:ascii="Times New Roman" w:hAnsi="Times New Roman" w:cs="Times New Roman"/>
          <w:color w:val="auto"/>
          <w:kern w:val="0"/>
          <w:highlight w:val="none"/>
        </w:rPr>
        <w:t>，不属于重化工、涉重金属工业污染项目，符合《新疆维吾尔自治区环境保护条例》的相关要求。</w:t>
      </w:r>
    </w:p>
    <w:p w14:paraId="47BD5200">
      <w:pPr>
        <w:keepNext/>
        <w:keepLines/>
        <w:widowControl w:val="0"/>
        <w:spacing w:line="480" w:lineRule="exact"/>
        <w:ind w:firstLine="482" w:firstLineChars="200"/>
        <w:jc w:val="both"/>
        <w:outlineLvl w:val="3"/>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1.3.3.</w:t>
      </w:r>
      <w:r>
        <w:rPr>
          <w:rFonts w:hint="eastAsia" w:cs="Times New Roman"/>
          <w:b/>
          <w:color w:val="auto"/>
          <w:kern w:val="2"/>
          <w:sz w:val="24"/>
          <w:szCs w:val="24"/>
          <w:highlight w:val="none"/>
          <w:lang w:val="en-US" w:eastAsia="zh-CN" w:bidi="ar-SA"/>
        </w:rPr>
        <w:t>11</w:t>
      </w:r>
      <w:r>
        <w:rPr>
          <w:rFonts w:hint="default" w:ascii="Times New Roman" w:hAnsi="Times New Roman" w:eastAsia="宋体" w:cs="Times New Roman"/>
          <w:b/>
          <w:color w:val="auto"/>
          <w:kern w:val="2"/>
          <w:sz w:val="24"/>
          <w:szCs w:val="24"/>
          <w:highlight w:val="none"/>
          <w:lang w:val="en-US" w:eastAsia="zh-CN" w:bidi="ar-SA"/>
        </w:rPr>
        <w:t>与《土壤污染源头防控行动计划》符合性分析</w:t>
      </w:r>
    </w:p>
    <w:p w14:paraId="258E5CBD">
      <w:pPr>
        <w:widowControl w:val="0"/>
        <w:overflowPunct w:val="0"/>
        <w:topLinePunct/>
        <w:spacing w:line="480" w:lineRule="exact"/>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20</w:t>
      </w:r>
      <w:r>
        <w:rPr>
          <w:rFonts w:hint="eastAsia" w:cs="Times New Roman"/>
          <w:color w:val="auto"/>
          <w:kern w:val="2"/>
          <w:sz w:val="24"/>
          <w:szCs w:val="24"/>
          <w:highlight w:val="none"/>
          <w:lang w:val="en-US" w:eastAsia="zh-CN" w:bidi="ar-SA"/>
        </w:rPr>
        <w:t>24</w:t>
      </w:r>
      <w:r>
        <w:rPr>
          <w:rFonts w:hint="default" w:ascii="Times New Roman" w:hAnsi="Times New Roman" w:eastAsia="宋体" w:cs="Times New Roman"/>
          <w:color w:val="auto"/>
          <w:kern w:val="2"/>
          <w:sz w:val="24"/>
          <w:szCs w:val="24"/>
          <w:highlight w:val="none"/>
          <w:lang w:val="en-US" w:eastAsia="zh-CN" w:bidi="ar-SA"/>
        </w:rPr>
        <w:t>年</w:t>
      </w:r>
      <w:r>
        <w:rPr>
          <w:rFonts w:hint="eastAsia" w:cs="Times New Roman"/>
          <w:color w:val="auto"/>
          <w:kern w:val="2"/>
          <w:sz w:val="24"/>
          <w:szCs w:val="24"/>
          <w:highlight w:val="none"/>
          <w:lang w:val="en-US" w:eastAsia="zh-CN" w:bidi="ar-SA"/>
        </w:rPr>
        <w:t>11</w:t>
      </w:r>
      <w:r>
        <w:rPr>
          <w:rFonts w:hint="default" w:ascii="Times New Roman" w:hAnsi="Times New Roman" w:eastAsia="宋体" w:cs="Times New Roman"/>
          <w:color w:val="auto"/>
          <w:kern w:val="2"/>
          <w:sz w:val="24"/>
          <w:szCs w:val="24"/>
          <w:highlight w:val="none"/>
          <w:lang w:val="en-US" w:eastAsia="zh-CN" w:bidi="ar-SA"/>
        </w:rPr>
        <w:t>月</w:t>
      </w:r>
      <w:r>
        <w:rPr>
          <w:rFonts w:hint="eastAsia" w:cs="Times New Roman"/>
          <w:color w:val="auto"/>
          <w:kern w:val="2"/>
          <w:sz w:val="24"/>
          <w:szCs w:val="24"/>
          <w:highlight w:val="none"/>
          <w:lang w:val="en-US" w:eastAsia="zh-CN" w:bidi="ar-SA"/>
        </w:rPr>
        <w:t>6</w:t>
      </w:r>
      <w:r>
        <w:rPr>
          <w:rFonts w:hint="default" w:ascii="Times New Roman" w:hAnsi="Times New Roman" w:eastAsia="宋体" w:cs="Times New Roman"/>
          <w:color w:val="auto"/>
          <w:kern w:val="2"/>
          <w:sz w:val="24"/>
          <w:szCs w:val="24"/>
          <w:highlight w:val="none"/>
          <w:lang w:val="en-US" w:eastAsia="zh-CN" w:bidi="ar-SA"/>
        </w:rPr>
        <w:t>日，生态环境部印发《关于印发</w:t>
      </w:r>
      <w:r>
        <w:rPr>
          <w:rFonts w:hint="eastAsia" w:cs="Times New Roman"/>
          <w:color w:val="auto"/>
          <w:kern w:val="2"/>
          <w:sz w:val="24"/>
          <w:szCs w:val="24"/>
          <w:highlight w:val="none"/>
          <w:lang w:val="en-US" w:eastAsia="zh-CN" w:bidi="ar-SA"/>
        </w:rPr>
        <w:t>&lt;</w:t>
      </w:r>
      <w:r>
        <w:rPr>
          <w:rFonts w:hint="default" w:ascii="Times New Roman" w:hAnsi="Times New Roman" w:eastAsia="宋体" w:cs="Times New Roman"/>
          <w:color w:val="auto"/>
          <w:kern w:val="2"/>
          <w:sz w:val="24"/>
          <w:szCs w:val="24"/>
          <w:highlight w:val="none"/>
          <w:lang w:val="en-US" w:eastAsia="zh-CN" w:bidi="ar-SA"/>
        </w:rPr>
        <w:t>土壤污染源头防控行动计划</w:t>
      </w:r>
      <w:r>
        <w:rPr>
          <w:rFonts w:hint="eastAsia" w:cs="Times New Roman"/>
          <w:color w:val="auto"/>
          <w:kern w:val="2"/>
          <w:sz w:val="24"/>
          <w:szCs w:val="24"/>
          <w:highlight w:val="none"/>
          <w:lang w:val="en-US" w:eastAsia="zh-CN" w:bidi="ar-SA"/>
        </w:rPr>
        <w:t>&gt;</w:t>
      </w:r>
      <w:r>
        <w:rPr>
          <w:rFonts w:hint="default" w:ascii="Times New Roman" w:hAnsi="Times New Roman" w:eastAsia="宋体" w:cs="Times New Roman"/>
          <w:color w:val="auto"/>
          <w:kern w:val="2"/>
          <w:sz w:val="24"/>
          <w:szCs w:val="24"/>
          <w:highlight w:val="none"/>
          <w:lang w:val="en-US" w:eastAsia="zh-CN" w:bidi="ar-SA"/>
        </w:rPr>
        <w:t>的通知》（环土壤〔2024〕80号）。项目与《土壤污染源头防控行动计划》符合性分析如下。</w:t>
      </w:r>
    </w:p>
    <w:p w14:paraId="28E998CB">
      <w:pPr>
        <w:widowControl w:val="0"/>
        <w:spacing w:line="480" w:lineRule="atLeast"/>
        <w:ind w:firstLine="0" w:firstLineChars="0"/>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表1.3-</w:t>
      </w:r>
      <w:r>
        <w:rPr>
          <w:rFonts w:hint="eastAsia" w:cs="Times New Roman"/>
          <w:b/>
          <w:bCs/>
          <w:color w:val="auto"/>
          <w:kern w:val="2"/>
          <w:sz w:val="24"/>
          <w:szCs w:val="24"/>
          <w:highlight w:val="none"/>
          <w:lang w:val="en-US" w:eastAsia="zh-CN" w:bidi="ar-SA"/>
        </w:rPr>
        <w:t>10</w:t>
      </w:r>
      <w:r>
        <w:rPr>
          <w:rFonts w:hint="default" w:ascii="Times New Roman" w:hAnsi="Times New Roman" w:eastAsia="宋体" w:cs="Times New Roman"/>
          <w:b/>
          <w:bCs/>
          <w:color w:val="auto"/>
          <w:kern w:val="2"/>
          <w:sz w:val="24"/>
          <w:szCs w:val="24"/>
          <w:highlight w:val="none"/>
          <w:lang w:val="en-US" w:eastAsia="zh-CN" w:bidi="ar-SA"/>
        </w:rPr>
        <w:t xml:space="preserve">    与《土壤污染源头防控行动计划》符合性分析</w:t>
      </w:r>
    </w:p>
    <w:tbl>
      <w:tblPr>
        <w:tblStyle w:val="34"/>
        <w:tblW w:w="852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9"/>
        <w:gridCol w:w="4428"/>
        <w:gridCol w:w="2746"/>
        <w:gridCol w:w="663"/>
      </w:tblGrid>
      <w:tr w14:paraId="30BE3D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0" w:hRule="atLeast"/>
          <w:tblHeader/>
          <w:jc w:val="center"/>
        </w:trPr>
        <w:tc>
          <w:tcPr>
            <w:tcW w:w="689" w:type="dxa"/>
            <w:tcBorders>
              <w:tl2br w:val="nil"/>
              <w:tr2bl w:val="nil"/>
            </w:tcBorders>
            <w:vAlign w:val="center"/>
          </w:tcPr>
          <w:p w14:paraId="25CAED5D">
            <w:pPr>
              <w:widowControl w:val="0"/>
              <w:spacing w:line="360" w:lineRule="exact"/>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序号</w:t>
            </w:r>
          </w:p>
        </w:tc>
        <w:tc>
          <w:tcPr>
            <w:tcW w:w="4428" w:type="dxa"/>
            <w:tcBorders>
              <w:tl2br w:val="nil"/>
              <w:tr2bl w:val="nil"/>
            </w:tcBorders>
            <w:vAlign w:val="center"/>
          </w:tcPr>
          <w:p w14:paraId="4D2306F3">
            <w:pPr>
              <w:widowControl w:val="0"/>
              <w:spacing w:line="360" w:lineRule="exact"/>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相关要求</w:t>
            </w:r>
          </w:p>
        </w:tc>
        <w:tc>
          <w:tcPr>
            <w:tcW w:w="2746" w:type="dxa"/>
            <w:tcBorders>
              <w:tl2br w:val="nil"/>
              <w:tr2bl w:val="nil"/>
            </w:tcBorders>
            <w:vAlign w:val="center"/>
          </w:tcPr>
          <w:p w14:paraId="6F03A192">
            <w:pPr>
              <w:widowControl w:val="0"/>
              <w:spacing w:line="360" w:lineRule="exact"/>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本项目情况</w:t>
            </w:r>
          </w:p>
        </w:tc>
        <w:tc>
          <w:tcPr>
            <w:tcW w:w="663" w:type="dxa"/>
            <w:tcBorders>
              <w:tl2br w:val="nil"/>
              <w:tr2bl w:val="nil"/>
            </w:tcBorders>
            <w:vAlign w:val="center"/>
          </w:tcPr>
          <w:p w14:paraId="3D38A011">
            <w:pPr>
              <w:widowControl w:val="0"/>
              <w:spacing w:line="360" w:lineRule="exact"/>
              <w:ind w:left="-120" w:leftChars="-50" w:right="-120" w:rightChars="-5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符合性</w:t>
            </w:r>
          </w:p>
        </w:tc>
      </w:tr>
      <w:tr w14:paraId="08D80D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689" w:type="dxa"/>
            <w:tcBorders>
              <w:tl2br w:val="nil"/>
              <w:tr2bl w:val="nil"/>
            </w:tcBorders>
            <w:vAlign w:val="center"/>
          </w:tcPr>
          <w:p w14:paraId="65627515">
            <w:pPr>
              <w:widowControl w:val="0"/>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4428" w:type="dxa"/>
            <w:tcBorders>
              <w:tl2br w:val="nil"/>
              <w:tr2bl w:val="nil"/>
            </w:tcBorders>
            <w:vAlign w:val="center"/>
          </w:tcPr>
          <w:p w14:paraId="3CE57016">
            <w:pPr>
              <w:widowControl w:val="0"/>
              <w:spacing w:line="360" w:lineRule="exact"/>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一</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落实生态环境分区管控｡加强农用地分类管理</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衔接国土空间规划</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根据土壤污染程度和相关标准</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动态调整优先保护类､安全利用类和严格管控类农用地的数量和边界</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细化并落实分类管理措施｡城镇开发边界外不得规划建设各类开发区</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区内各类开发建设活动应严格落实生态环境准入清单｡严格重点建设用地安全利用｡完善地下水环境风险管控划定技术要求</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划定地下水污染防治重点区</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精准编制差异化准入清单</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提出土壤和地下水污染风险管控要求｡形成地下水环境风险管控分区成果</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纳入生态环境分区管控体系</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并加强与国土空间规划的动态衔接｡</w:t>
            </w:r>
          </w:p>
        </w:tc>
        <w:tc>
          <w:tcPr>
            <w:tcW w:w="2746" w:type="dxa"/>
            <w:tcBorders>
              <w:tl2br w:val="nil"/>
              <w:tr2bl w:val="nil"/>
            </w:tcBorders>
            <w:vAlign w:val="center"/>
          </w:tcPr>
          <w:p w14:paraId="6933B755">
            <w:pPr>
              <w:widowControl w:val="0"/>
              <w:spacing w:line="360" w:lineRule="exact"/>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本项目位于哈密市伊州区雅满苏镇一般管控单元与一般生态空间优先保护单元，不占用耕地、基本农田，不涉及生态保护红线，符合生态环境分区管控与重点建设用地安全利用要求。</w:t>
            </w:r>
          </w:p>
        </w:tc>
        <w:tc>
          <w:tcPr>
            <w:tcW w:w="663" w:type="dxa"/>
            <w:tcBorders>
              <w:tl2br w:val="nil"/>
              <w:tr2bl w:val="nil"/>
            </w:tcBorders>
            <w:vAlign w:val="center"/>
          </w:tcPr>
          <w:p w14:paraId="217CBD02">
            <w:pPr>
              <w:widowControl w:val="0"/>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14:paraId="2E8D5C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9" w:type="dxa"/>
            <w:tcBorders>
              <w:tl2br w:val="nil"/>
              <w:tr2bl w:val="nil"/>
            </w:tcBorders>
            <w:vAlign w:val="center"/>
          </w:tcPr>
          <w:p w14:paraId="2930B415">
            <w:pPr>
              <w:widowControl w:val="0"/>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w:t>
            </w:r>
          </w:p>
        </w:tc>
        <w:tc>
          <w:tcPr>
            <w:tcW w:w="4428" w:type="dxa"/>
            <w:tcBorders>
              <w:tl2br w:val="nil"/>
              <w:tr2bl w:val="nil"/>
            </w:tcBorders>
            <w:vAlign w:val="center"/>
          </w:tcPr>
          <w:p w14:paraId="6CEC2CB0">
            <w:pPr>
              <w:widowControl w:val="0"/>
              <w:spacing w:line="360" w:lineRule="exact"/>
              <w:ind w:firstLine="0" w:firstLineChars="0"/>
              <w:jc w:val="left"/>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四</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加强未污染土壤保护｡强化优先保护类耕地管理</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加强土壤生态环境质量监测和保护｡加强盐碱地生态环境保护｡新建涉重金属排放企业</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要在相关建设项目中加强重金属排放对周边耕地土壤的累积性风险分析</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存在风险的</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要采取防控措施｡</w:t>
            </w:r>
          </w:p>
        </w:tc>
        <w:tc>
          <w:tcPr>
            <w:tcW w:w="2746" w:type="dxa"/>
            <w:tcBorders>
              <w:tl2br w:val="nil"/>
              <w:tr2bl w:val="nil"/>
            </w:tcBorders>
            <w:vAlign w:val="center"/>
          </w:tcPr>
          <w:p w14:paraId="4B91B3AB">
            <w:pPr>
              <w:widowControl w:val="0"/>
              <w:spacing w:line="360" w:lineRule="exact"/>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本项目为萤石选矿项目，不涉及重金属排放，不涉及优先保护类耕地，不存在重金属对耕地累积污染风险，符合未污染土壤保护要求。</w:t>
            </w:r>
          </w:p>
        </w:tc>
        <w:tc>
          <w:tcPr>
            <w:tcW w:w="663" w:type="dxa"/>
            <w:tcBorders>
              <w:tl2br w:val="nil"/>
              <w:tr2bl w:val="nil"/>
            </w:tcBorders>
            <w:vAlign w:val="center"/>
          </w:tcPr>
          <w:p w14:paraId="3CFFFFC1">
            <w:pPr>
              <w:widowControl w:val="0"/>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14:paraId="71FDC6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689" w:type="dxa"/>
            <w:tcBorders>
              <w:tl2br w:val="nil"/>
              <w:tr2bl w:val="nil"/>
            </w:tcBorders>
            <w:vAlign w:val="center"/>
          </w:tcPr>
          <w:p w14:paraId="30CC182E">
            <w:pPr>
              <w:widowControl w:val="0"/>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c>
          <w:tcPr>
            <w:tcW w:w="4428" w:type="dxa"/>
            <w:tcBorders>
              <w:tl2br w:val="nil"/>
              <w:tr2bl w:val="nil"/>
            </w:tcBorders>
            <w:vAlign w:val="center"/>
          </w:tcPr>
          <w:p w14:paraId="38A5E88B">
            <w:pPr>
              <w:widowControl w:val="0"/>
              <w:spacing w:line="360" w:lineRule="exact"/>
              <w:ind w:firstLine="0" w:firstLineChars="0"/>
              <w:jc w:val="left"/>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六</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严防污水废液渗漏｡全面推进工业园区污水管网排查整治｡鼓励有条件的化工园区开展初期雨水污染控制试点示范</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实施化工企业污水</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一企一管､明管输送､实时监测</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｡深入推进化工园区突发水污染事件环境应急三级防控体系建设｡持续推进涉重金属行业水污染物排放标准制修订｡组织对蒸发塘建设､运行､维护等情况开展排查整治｡</w:t>
            </w:r>
          </w:p>
        </w:tc>
        <w:tc>
          <w:tcPr>
            <w:tcW w:w="2746" w:type="dxa"/>
            <w:tcBorders>
              <w:tl2br w:val="nil"/>
              <w:tr2bl w:val="nil"/>
            </w:tcBorders>
            <w:vAlign w:val="center"/>
          </w:tcPr>
          <w:p w14:paraId="1B0F446B">
            <w:pPr>
              <w:widowControl w:val="0"/>
              <w:spacing w:line="360" w:lineRule="exact"/>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本项目生产废水闭路循环、零排放；生活污水经化粪池处理后委托清运，不利用渗井、渗坑排放，无污水废液渗漏途径，严防污染土壤与地下水。</w:t>
            </w:r>
          </w:p>
        </w:tc>
        <w:tc>
          <w:tcPr>
            <w:tcW w:w="663" w:type="dxa"/>
            <w:tcBorders>
              <w:tl2br w:val="nil"/>
              <w:tr2bl w:val="nil"/>
            </w:tcBorders>
            <w:vAlign w:val="center"/>
          </w:tcPr>
          <w:p w14:paraId="407A6564">
            <w:pPr>
              <w:widowControl w:val="0"/>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14:paraId="2C4604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689" w:type="dxa"/>
            <w:tcBorders>
              <w:tl2br w:val="nil"/>
              <w:tr2bl w:val="nil"/>
            </w:tcBorders>
            <w:vAlign w:val="center"/>
          </w:tcPr>
          <w:p w14:paraId="2AF2C08A">
            <w:pPr>
              <w:widowControl w:val="0"/>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w:t>
            </w:r>
          </w:p>
        </w:tc>
        <w:tc>
          <w:tcPr>
            <w:tcW w:w="4428" w:type="dxa"/>
            <w:tcBorders>
              <w:tl2br w:val="nil"/>
              <w:tr2bl w:val="nil"/>
            </w:tcBorders>
            <w:vAlign w:val="center"/>
          </w:tcPr>
          <w:p w14:paraId="548E6316">
            <w:pPr>
              <w:widowControl w:val="0"/>
              <w:spacing w:line="360" w:lineRule="exact"/>
              <w:ind w:firstLine="0" w:firstLineChars="0"/>
              <w:jc w:val="left"/>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八</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推进固体废物源头减量和综合利用｡加强一般工业固体废物规范化环境管理</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开展历史遗留固体废物堆存场摸底排查和分级分类整改</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全面完善防渗漏､防流失､防扬散等措施｡严密防控危险废物环境风险</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深化危险废物规范化环境管理评估</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推进全过程信息化环境管理</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严格管控最终填埋处置｡严厉打击非法排放､倾倒､转移､处置固体废物</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尤其是危险废物环境违法犯罪行为｡加快推进大宗固体废弃物综合利用示范基地､工业资源综合利用基地建设</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推动提升磷石膏､赤泥等复杂难用大宗固废净化处理和综合利用水平｡加强废弃电器电子产品､报废机动车､废有色金属等再生资源加工利用企业土壤和地下水污染防治监管</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强化防渗等措施落实｡加强生活垃圾填埋场和危险废物处置场运行监管</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严格落实雨污分流､地表水与地下水导排､渗沥液收集与处理等污染防治措施</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对库容已满的规范有序开展封场治理｡加强建筑垃圾处置监管｡</w:t>
            </w:r>
          </w:p>
        </w:tc>
        <w:tc>
          <w:tcPr>
            <w:tcW w:w="2746" w:type="dxa"/>
            <w:tcBorders>
              <w:tl2br w:val="nil"/>
              <w:tr2bl w:val="nil"/>
            </w:tcBorders>
            <w:vAlign w:val="center"/>
          </w:tcPr>
          <w:p w14:paraId="04B82F96">
            <w:pPr>
              <w:widowControl w:val="0"/>
              <w:spacing w:line="360" w:lineRule="exact"/>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尾矿全部送入专用尾矿库堆存，尾矿库采取全库区HDPE 土工膜防渗，落实</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三防</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；废机油等危险废物规范暂存、委托资质单位处置，符合固废与危废管控要求。</w:t>
            </w:r>
          </w:p>
        </w:tc>
        <w:tc>
          <w:tcPr>
            <w:tcW w:w="663" w:type="dxa"/>
            <w:tcBorders>
              <w:tl2br w:val="nil"/>
              <w:tr2bl w:val="nil"/>
            </w:tcBorders>
            <w:vAlign w:val="center"/>
          </w:tcPr>
          <w:p w14:paraId="1EE39973">
            <w:pPr>
              <w:widowControl w:val="0"/>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bl>
    <w:p w14:paraId="05CC983F">
      <w:pPr>
        <w:widowControl w:val="0"/>
        <w:overflowPunct w:val="0"/>
        <w:topLinePunct/>
        <w:spacing w:line="480" w:lineRule="exact"/>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综上分析可见，本项目符合《土壤污染源头防控行动计划》各项规定。</w:t>
      </w:r>
    </w:p>
    <w:p w14:paraId="4C8A765B">
      <w:pPr>
        <w:keepNext/>
        <w:keepLines/>
        <w:widowControl w:val="0"/>
        <w:spacing w:line="480" w:lineRule="exact"/>
        <w:ind w:firstLine="482" w:firstLineChars="200"/>
        <w:jc w:val="both"/>
        <w:outlineLvl w:val="3"/>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1.3.3.1</w:t>
      </w:r>
      <w:r>
        <w:rPr>
          <w:rFonts w:hint="eastAsia" w:cs="Times New Roman"/>
          <w:b/>
          <w:color w:val="auto"/>
          <w:kern w:val="2"/>
          <w:sz w:val="24"/>
          <w:szCs w:val="24"/>
          <w:highlight w:val="none"/>
          <w:lang w:val="en-US" w:eastAsia="zh-CN" w:bidi="ar-SA"/>
        </w:rPr>
        <w:t>2</w:t>
      </w:r>
      <w:r>
        <w:rPr>
          <w:rFonts w:hint="default" w:ascii="Times New Roman" w:hAnsi="Times New Roman" w:eastAsia="宋体" w:cs="Times New Roman"/>
          <w:b/>
          <w:color w:val="auto"/>
          <w:kern w:val="2"/>
          <w:sz w:val="24"/>
          <w:szCs w:val="24"/>
          <w:highlight w:val="none"/>
          <w:lang w:val="en-US" w:eastAsia="zh-CN" w:bidi="ar-SA"/>
        </w:rPr>
        <w:t>与</w:t>
      </w:r>
      <w:r>
        <w:rPr>
          <w:rFonts w:hint="eastAsia" w:cs="Times New Roman"/>
          <w:b/>
          <w:color w:val="auto"/>
          <w:kern w:val="2"/>
          <w:sz w:val="24"/>
          <w:szCs w:val="24"/>
          <w:highlight w:val="none"/>
          <w:lang w:val="en-US" w:eastAsia="zh-CN" w:bidi="ar-SA"/>
        </w:rPr>
        <w:t>“</w:t>
      </w:r>
      <w:r>
        <w:rPr>
          <w:rFonts w:hint="default" w:ascii="Times New Roman" w:hAnsi="Times New Roman" w:eastAsia="宋体" w:cs="Times New Roman"/>
          <w:b/>
          <w:color w:val="auto"/>
          <w:kern w:val="2"/>
          <w:sz w:val="24"/>
          <w:szCs w:val="24"/>
          <w:highlight w:val="none"/>
          <w:lang w:val="en-US" w:eastAsia="zh-CN" w:bidi="ar-SA"/>
        </w:rPr>
        <w:t>关于印发《防范化解尾矿库安全风险工作方案》的通知</w:t>
      </w:r>
      <w:r>
        <w:rPr>
          <w:rFonts w:hint="eastAsia" w:cs="Times New Roman"/>
          <w:b/>
          <w:color w:val="auto"/>
          <w:kern w:val="2"/>
          <w:sz w:val="24"/>
          <w:szCs w:val="24"/>
          <w:highlight w:val="none"/>
          <w:lang w:val="en-US" w:eastAsia="zh-CN" w:bidi="ar-SA"/>
        </w:rPr>
        <w:t>”</w:t>
      </w:r>
      <w:r>
        <w:rPr>
          <w:rFonts w:hint="default" w:ascii="Times New Roman" w:hAnsi="Times New Roman" w:eastAsia="宋体" w:cs="Times New Roman"/>
          <w:b/>
          <w:color w:val="auto"/>
          <w:kern w:val="2"/>
          <w:sz w:val="24"/>
          <w:szCs w:val="24"/>
          <w:highlight w:val="none"/>
          <w:lang w:val="en-US" w:eastAsia="zh-CN" w:bidi="ar-SA"/>
        </w:rPr>
        <w:t>符合性分析</w:t>
      </w:r>
    </w:p>
    <w:p w14:paraId="4608AC34">
      <w:pPr>
        <w:overflowPunct w:val="0"/>
        <w:topLinePunct/>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根据《防范化解尾矿库安全风险工作方案》可知：</w:t>
      </w:r>
    </w:p>
    <w:p w14:paraId="4093C150">
      <w:pPr>
        <w:overflowPunct w:val="0"/>
        <w:topLinePunct/>
        <w:ind w:firstLine="48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（二）强化源头准入，严格控制尾矿库数量。</w:t>
      </w:r>
    </w:p>
    <w:p w14:paraId="0CA0617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严格实行总量控制。各省（自治区、直辖市）要结合本地区国民经济和社会发展规划、土地利用、安全生产、水土保持和生态环境保护等要求，采取等量或减量置换等政策措施对本地区尾矿库实施总量控制，自2020年起，在保证紧缺和战略性矿产矿山正常建设开发的前提下，尾矿库数量原则上只减不增。要实行尾矿库基本情况公告制度，每年年初将上年度尾矿库数量、名称、地址、所属或管理单位等信息在当地政府和有关部门网站以及当地其他主流媒体上公告，主动接受新闻舆论和社会公众监督。</w:t>
      </w:r>
    </w:p>
    <w:p w14:paraId="5390277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严格准入条件审查。鼓励新开发矿山项目优先利用现有尾矿库；确需配套新建尾矿库的，严格新建尾矿库项目立项、项目选址、河道保护、安全生产、生态环境保护等方面的审查，对于不符合产业总体布局、国土空间规划、河道保护、安全生产、水土保持、生态环境保护等国家有关法律法规、标准和政策要求的，一律不予批准。严格控制新建独立选矿厂尾矿库，严禁新建</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头顶库</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、总坝高超过200米的尾矿库，严禁在距离长江和黄河干流岸线3公里、重要支流岸线1公里范围内新（改、扩）建尾矿库，新建四等、五等尾矿库必须采用一次建坝方式。</w:t>
      </w:r>
      <w:r>
        <w:rPr>
          <w:rFonts w:hint="eastAsia" w:cs="Times New Roman"/>
          <w:color w:val="auto"/>
          <w:highlight w:val="none"/>
          <w:lang w:val="en-US" w:eastAsia="zh-CN"/>
        </w:rPr>
        <w:t>”</w:t>
      </w:r>
    </w:p>
    <w:p w14:paraId="7A92C2D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本项目选矿厂</w:t>
      </w:r>
      <w:r>
        <w:rPr>
          <w:rFonts w:hint="default" w:ascii="Times New Roman" w:hAnsi="Times New Roman" w:cs="Times New Roman"/>
          <w:color w:val="auto"/>
          <w:highlight w:val="none"/>
          <w:lang w:eastAsia="zh-CN"/>
        </w:rPr>
        <w:t>新建</w:t>
      </w:r>
      <w:r>
        <w:rPr>
          <w:rFonts w:hint="default" w:ascii="Times New Roman" w:hAnsi="Times New Roman" w:cs="Times New Roman"/>
          <w:color w:val="auto"/>
          <w:highlight w:val="none"/>
        </w:rPr>
        <w:t>后生产过程中产生的尾矿排放至尾矿库</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本项目尾矿库下游1公里距离内无居民或重要设施，所以尾矿库不属于</w:t>
      </w:r>
      <w:r>
        <w:rPr>
          <w:rFonts w:hint="eastAsia" w:cs="Times New Roman"/>
          <w:color w:val="auto"/>
          <w:highlight w:val="none"/>
          <w:lang w:eastAsia="zh-CN"/>
        </w:rPr>
        <w:t>“</w:t>
      </w:r>
      <w:r>
        <w:rPr>
          <w:rFonts w:hint="default" w:ascii="Times New Roman" w:hAnsi="Times New Roman" w:cs="Times New Roman"/>
          <w:color w:val="auto"/>
          <w:highlight w:val="none"/>
        </w:rPr>
        <w:t>头顶库</w:t>
      </w:r>
      <w:r>
        <w:rPr>
          <w:rFonts w:hint="eastAsia" w:cs="Times New Roman"/>
          <w:color w:val="auto"/>
          <w:highlight w:val="none"/>
          <w:lang w:eastAsia="zh-CN"/>
        </w:rPr>
        <w:t>”</w:t>
      </w:r>
      <w:r>
        <w:rPr>
          <w:rFonts w:hint="default" w:ascii="Times New Roman" w:hAnsi="Times New Roman" w:cs="Times New Roman"/>
          <w:color w:val="auto"/>
          <w:highlight w:val="none"/>
        </w:rPr>
        <w:t>。尾矿库为</w:t>
      </w:r>
      <w:r>
        <w:rPr>
          <w:rFonts w:hint="default" w:ascii="Times New Roman" w:hAnsi="Times New Roman" w:cs="Times New Roman"/>
          <w:color w:val="auto"/>
          <w:highlight w:val="none"/>
          <w:lang w:val="en-US" w:eastAsia="zh-CN"/>
        </w:rPr>
        <w:t>四</w:t>
      </w:r>
      <w:r>
        <w:rPr>
          <w:rFonts w:hint="default" w:ascii="Times New Roman" w:hAnsi="Times New Roman" w:cs="Times New Roman"/>
          <w:color w:val="auto"/>
          <w:highlight w:val="none"/>
        </w:rPr>
        <w:t>等库，尾矿坝采用一次建坝</w:t>
      </w:r>
      <w:r>
        <w:rPr>
          <w:rFonts w:hint="default" w:ascii="Times New Roman" w:hAnsi="Times New Roman" w:cs="Times New Roman"/>
          <w:color w:val="auto"/>
          <w:highlight w:val="none"/>
          <w:lang w:eastAsia="zh-CN"/>
        </w:rPr>
        <w:t>的</w:t>
      </w:r>
      <w:r>
        <w:rPr>
          <w:rFonts w:hint="default" w:ascii="Times New Roman" w:hAnsi="Times New Roman" w:cs="Times New Roman"/>
          <w:color w:val="auto"/>
          <w:highlight w:val="none"/>
          <w:lang w:val="en-US" w:eastAsia="zh-CN"/>
        </w:rPr>
        <w:t>方式</w:t>
      </w:r>
      <w:r>
        <w:rPr>
          <w:rFonts w:hint="default" w:ascii="Times New Roman" w:hAnsi="Times New Roman" w:cs="Times New Roman"/>
          <w:color w:val="auto"/>
          <w:highlight w:val="none"/>
        </w:rPr>
        <w:t>。</w:t>
      </w:r>
    </w:p>
    <w:p w14:paraId="46F106C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综上所述，本项目尾矿库建设符合《防范化解尾矿库安全风险工作方案》的准入条件。</w:t>
      </w:r>
    </w:p>
    <w:p w14:paraId="7568911D">
      <w:pPr>
        <w:keepNext/>
        <w:keepLines/>
        <w:widowControl w:val="0"/>
        <w:spacing w:line="480" w:lineRule="exact"/>
        <w:ind w:firstLine="482" w:firstLineChars="200"/>
        <w:jc w:val="both"/>
        <w:outlineLvl w:val="3"/>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1.3.3.</w:t>
      </w:r>
      <w:r>
        <w:rPr>
          <w:rFonts w:hint="eastAsia" w:cs="Times New Roman"/>
          <w:b/>
          <w:color w:val="auto"/>
          <w:kern w:val="2"/>
          <w:sz w:val="24"/>
          <w:szCs w:val="24"/>
          <w:highlight w:val="none"/>
          <w:lang w:val="en-US" w:eastAsia="zh-CN" w:bidi="ar-SA"/>
        </w:rPr>
        <w:t>13</w:t>
      </w:r>
      <w:r>
        <w:rPr>
          <w:rFonts w:hint="default" w:ascii="Times New Roman" w:hAnsi="Times New Roman" w:eastAsia="宋体" w:cs="Times New Roman"/>
          <w:b/>
          <w:color w:val="auto"/>
          <w:kern w:val="2"/>
          <w:sz w:val="24"/>
          <w:szCs w:val="24"/>
          <w:highlight w:val="none"/>
          <w:lang w:val="en-US" w:eastAsia="zh-CN" w:bidi="ar-SA"/>
        </w:rPr>
        <w:t>与《哈密市戈壁生态环境保护条例》的符合性</w:t>
      </w:r>
    </w:p>
    <w:p w14:paraId="75C1331C">
      <w:pPr>
        <w:overflowPunct w:val="0"/>
        <w:topLinePunct/>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根据《哈密市戈壁生态环境保护条例》（2024年10月24日哈密市第二届人民代表大会常务委员会第十八次会议审议通过）：</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第十二条在戈壁区域进行工程建设、旅游开发、生产经营活动，应当符合戈壁生态环境保护规划。第十三条市、区（县）人民政府应当组织有关部门在戈壁边界设立地理界标、警示标志和戈壁保护宣传牌等。禁止侵占、损坏、擅自移动戈壁地理界标、警示标志和戈壁保护宣传牌等。第十四条除法律法规规定外，禁止在戈壁区域挖掘戈壁石。</w:t>
      </w:r>
      <w:r>
        <w:rPr>
          <w:rFonts w:hint="eastAsia" w:cs="Times New Roman"/>
          <w:color w:val="auto"/>
          <w:sz w:val="24"/>
          <w:highlight w:val="none"/>
          <w:lang w:eastAsia="zh-CN"/>
        </w:rPr>
        <w:t>”</w:t>
      </w:r>
    </w:p>
    <w:p w14:paraId="09C22BC0">
      <w:pPr>
        <w:overflowPunct w:val="0"/>
        <w:topLinePunct/>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本项目位于哈密市伊州区雅满苏镇南约90km处，属于典型的戈壁荒漠区。项目选址为裸岩石砾地</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在建设过程中，将严格按照戈壁生态环境保护要求，合理规划施工范围，减少地表扰动，并在永久占地边界设置地理界标和警示标志，禁止施工人员擅自移动或损坏相关设施</w:t>
      </w:r>
      <w:r>
        <w:rPr>
          <w:rFonts w:hint="eastAsia" w:cs="Times New Roman"/>
          <w:color w:val="auto"/>
          <w:sz w:val="24"/>
          <w:highlight w:val="none"/>
          <w:lang w:eastAsia="zh-CN"/>
        </w:rPr>
        <w:t>，</w:t>
      </w:r>
      <w:r>
        <w:rPr>
          <w:rFonts w:hint="eastAsia" w:cs="Times New Roman"/>
          <w:color w:val="auto"/>
          <w:sz w:val="24"/>
          <w:highlight w:val="none"/>
          <w:lang w:val="en-US" w:eastAsia="zh-CN"/>
        </w:rPr>
        <w:t>减少建设过程中对戈壁的扰动及破坏</w:t>
      </w:r>
      <w:r>
        <w:rPr>
          <w:rFonts w:hint="default" w:ascii="Times New Roman" w:hAnsi="Times New Roman" w:eastAsia="宋体" w:cs="Times New Roman"/>
          <w:color w:val="auto"/>
          <w:sz w:val="24"/>
          <w:highlight w:val="none"/>
        </w:rPr>
        <w:t>。运营期将严格落实各项污染防治和生态保护措施，确保不对戈壁生态环境造成破坏。因此，本项目的建设符合《哈密市戈壁生态环境保护条例》的相关要求。</w:t>
      </w:r>
    </w:p>
    <w:p w14:paraId="7A9D4C74">
      <w:pPr>
        <w:keepNext/>
        <w:keepLines/>
        <w:widowControl w:val="0"/>
        <w:spacing w:line="480" w:lineRule="exact"/>
        <w:ind w:firstLine="482" w:firstLineChars="200"/>
        <w:jc w:val="both"/>
        <w:outlineLvl w:val="3"/>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1.3.</w:t>
      </w:r>
      <w:r>
        <w:rPr>
          <w:rFonts w:hint="eastAsia" w:cs="Times New Roman"/>
          <w:b/>
          <w:color w:val="auto"/>
          <w:kern w:val="2"/>
          <w:sz w:val="24"/>
          <w:szCs w:val="24"/>
          <w:highlight w:val="none"/>
          <w:lang w:val="en-US" w:eastAsia="zh-CN" w:bidi="ar-SA"/>
        </w:rPr>
        <w:t>3</w:t>
      </w:r>
      <w:r>
        <w:rPr>
          <w:rFonts w:hint="default" w:ascii="Times New Roman" w:hAnsi="Times New Roman" w:eastAsia="宋体" w:cs="Times New Roman"/>
          <w:b/>
          <w:color w:val="auto"/>
          <w:kern w:val="2"/>
          <w:sz w:val="24"/>
          <w:szCs w:val="24"/>
          <w:highlight w:val="none"/>
          <w:lang w:val="en-US" w:eastAsia="zh-CN" w:bidi="ar-SA"/>
        </w:rPr>
        <w:t>.1</w:t>
      </w:r>
      <w:r>
        <w:rPr>
          <w:rFonts w:hint="eastAsia" w:cs="Times New Roman"/>
          <w:b/>
          <w:color w:val="auto"/>
          <w:kern w:val="2"/>
          <w:sz w:val="24"/>
          <w:szCs w:val="24"/>
          <w:highlight w:val="none"/>
          <w:lang w:val="en-US" w:eastAsia="zh-CN" w:bidi="ar-SA"/>
        </w:rPr>
        <w:t>4</w:t>
      </w:r>
      <w:r>
        <w:rPr>
          <w:rFonts w:hint="eastAsia" w:ascii="Times New Roman" w:hAnsi="Times New Roman" w:eastAsia="宋体" w:cs="Times New Roman"/>
          <w:b/>
          <w:color w:val="auto"/>
          <w:kern w:val="2"/>
          <w:sz w:val="24"/>
          <w:szCs w:val="24"/>
          <w:highlight w:val="none"/>
          <w:lang w:val="en-US" w:eastAsia="zh-CN" w:bidi="ar-SA"/>
        </w:rPr>
        <w:t>与</w:t>
      </w:r>
      <w:r>
        <w:rPr>
          <w:rFonts w:hint="default" w:ascii="Times New Roman" w:hAnsi="Times New Roman" w:eastAsia="宋体" w:cs="Times New Roman"/>
          <w:b/>
          <w:color w:val="auto"/>
          <w:kern w:val="2"/>
          <w:sz w:val="24"/>
          <w:szCs w:val="24"/>
          <w:highlight w:val="none"/>
          <w:lang w:val="en-US" w:eastAsia="zh-CN" w:bidi="ar-SA"/>
        </w:rPr>
        <w:t>《哈密市国民经济和社会发展第十四个五年规划和2035年远景目标纲要》</w:t>
      </w:r>
      <w:r>
        <w:rPr>
          <w:rFonts w:hint="eastAsia" w:ascii="Times New Roman" w:hAnsi="Times New Roman" w:eastAsia="宋体" w:cs="Times New Roman"/>
          <w:b/>
          <w:color w:val="auto"/>
          <w:kern w:val="2"/>
          <w:sz w:val="24"/>
          <w:szCs w:val="24"/>
          <w:highlight w:val="none"/>
          <w:lang w:val="en-US" w:eastAsia="zh-CN" w:bidi="ar-SA"/>
        </w:rPr>
        <w:t>的</w:t>
      </w:r>
      <w:r>
        <w:rPr>
          <w:rFonts w:hint="default" w:ascii="Times New Roman" w:hAnsi="Times New Roman" w:eastAsia="宋体" w:cs="Times New Roman"/>
          <w:b/>
          <w:color w:val="auto"/>
          <w:kern w:val="2"/>
          <w:sz w:val="24"/>
          <w:szCs w:val="24"/>
          <w:highlight w:val="none"/>
          <w:lang w:val="en-US" w:eastAsia="zh-CN" w:bidi="ar-SA"/>
        </w:rPr>
        <w:t>符合性</w:t>
      </w:r>
    </w:p>
    <w:p w14:paraId="368867F4">
      <w:pPr>
        <w:overflowPunct w:val="0"/>
        <w:topLinePunct/>
        <w:spacing w:line="480" w:lineRule="exact"/>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根据《哈密市国民经济和社会发展第十四个五年规划和2035年远景目标纲要》</w:t>
      </w:r>
      <w:r>
        <w:rPr>
          <w:rFonts w:hint="eastAsia" w:ascii="Times New Roman" w:hAnsi="Times New Roman" w:eastAsia="宋体" w:cs="Times New Roman"/>
          <w:color w:val="auto"/>
          <w:sz w:val="24"/>
          <w:highlight w:val="none"/>
          <w:lang w:eastAsia="zh-CN"/>
        </w:rPr>
        <w:t>：</w:t>
      </w:r>
      <w:r>
        <w:rPr>
          <w:rFonts w:hint="eastAsia" w:cs="Times New Roman"/>
          <w:color w:val="auto"/>
          <w:sz w:val="24"/>
          <w:highlight w:val="none"/>
          <w:lang w:eastAsia="zh-CN"/>
        </w:rPr>
        <w:t>“</w:t>
      </w:r>
      <w:r>
        <w:rPr>
          <w:rFonts w:hint="eastAsia" w:ascii="Times New Roman" w:hAnsi="Times New Roman" w:eastAsia="宋体" w:cs="Times New Roman"/>
          <w:color w:val="auto"/>
          <w:sz w:val="24"/>
          <w:highlight w:val="none"/>
          <w:lang w:eastAsia="zh-CN"/>
        </w:rPr>
        <w:t>千方百计稳定和扩大就业，坚持经济发展就业导向，促进经济增长与扩大就业良性互动、结构优化与就业转型协同，推动本地劳动力就业，吸纳各类劳动力来哈就业，保障产业用工需求。通过园区建设、能源、矿产、加工制造等固定资产投资、引进生产性企业拉动就业，引进和培育一批产业工人队伍。大力发展旅游、物流、交通运输等现代服务业，有效带动和扩大就业规模。</w:t>
      </w:r>
      <w:r>
        <w:rPr>
          <w:rFonts w:hint="eastAsia" w:cs="Times New Roman"/>
          <w:color w:val="auto"/>
          <w:sz w:val="24"/>
          <w:highlight w:val="none"/>
          <w:lang w:eastAsia="zh-CN"/>
        </w:rPr>
        <w:t>”</w:t>
      </w:r>
    </w:p>
    <w:p w14:paraId="3E574F50">
      <w:pPr>
        <w:overflowPunct w:val="0"/>
        <w:topLinePunct/>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本项目为萤石矿选矿及尾矿库工程，属于矿产资源加工制造类项目，总投资约1</w:t>
      </w:r>
      <w:r>
        <w:rPr>
          <w:rFonts w:hint="eastAsia" w:cs="Times New Roman"/>
          <w:color w:val="auto"/>
          <w:sz w:val="24"/>
          <w:highlight w:val="none"/>
          <w:lang w:val="en-US" w:eastAsia="zh-CN"/>
        </w:rPr>
        <w:t>.7</w:t>
      </w:r>
      <w:r>
        <w:rPr>
          <w:rFonts w:hint="default" w:ascii="Times New Roman" w:hAnsi="Times New Roman" w:eastAsia="宋体" w:cs="Times New Roman"/>
          <w:color w:val="auto"/>
          <w:sz w:val="24"/>
          <w:highlight w:val="none"/>
        </w:rPr>
        <w:t>亿元，建设期间及运营后可新增就业岗位70余人，直接带动本地及周边劳动力就业，同时通过产业链延伸可间接促进相关产业发展。项目的实施符合哈密市</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十四五</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规划中关于利用矿产资源开发拉动就业、促进经济增长的要求。因此，本项目的建设符合《哈密市国民经济和社会发展第十四个五年规划和2035年远景目标纲要》的相关要求。</w:t>
      </w:r>
    </w:p>
    <w:p w14:paraId="44F28181">
      <w:pPr>
        <w:keepNext/>
        <w:keepLines/>
        <w:widowControl w:val="0"/>
        <w:spacing w:line="480" w:lineRule="exact"/>
        <w:ind w:firstLine="482" w:firstLineChars="200"/>
        <w:jc w:val="both"/>
        <w:outlineLvl w:val="3"/>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1.3.3.1</w:t>
      </w:r>
      <w:r>
        <w:rPr>
          <w:rFonts w:hint="eastAsia" w:cs="Times New Roman"/>
          <w:b/>
          <w:color w:val="auto"/>
          <w:kern w:val="2"/>
          <w:sz w:val="24"/>
          <w:szCs w:val="24"/>
          <w:highlight w:val="none"/>
          <w:lang w:val="en-US" w:eastAsia="zh-CN" w:bidi="ar-SA"/>
        </w:rPr>
        <w:t>5</w:t>
      </w:r>
      <w:r>
        <w:rPr>
          <w:rFonts w:hint="default" w:ascii="Times New Roman" w:hAnsi="Times New Roman" w:eastAsia="宋体" w:cs="Times New Roman"/>
          <w:b/>
          <w:color w:val="auto"/>
          <w:kern w:val="2"/>
          <w:sz w:val="24"/>
          <w:szCs w:val="24"/>
          <w:highlight w:val="none"/>
          <w:lang w:val="en-US" w:eastAsia="zh-CN" w:bidi="ar-SA"/>
        </w:rPr>
        <w:t>与《关于</w:t>
      </w:r>
      <w:r>
        <w:rPr>
          <w:rFonts w:hint="eastAsia" w:cs="Times New Roman"/>
          <w:b/>
          <w:color w:val="auto"/>
          <w:kern w:val="2"/>
          <w:sz w:val="24"/>
          <w:szCs w:val="24"/>
          <w:highlight w:val="none"/>
          <w:lang w:val="en-US" w:eastAsia="zh-CN" w:bidi="ar-SA"/>
        </w:rPr>
        <w:t>“</w:t>
      </w:r>
      <w:r>
        <w:rPr>
          <w:rFonts w:hint="default" w:ascii="Times New Roman" w:hAnsi="Times New Roman" w:eastAsia="宋体" w:cs="Times New Roman"/>
          <w:b/>
          <w:color w:val="auto"/>
          <w:kern w:val="2"/>
          <w:sz w:val="24"/>
          <w:szCs w:val="24"/>
          <w:highlight w:val="none"/>
          <w:lang w:val="en-US" w:eastAsia="zh-CN" w:bidi="ar-SA"/>
        </w:rPr>
        <w:t>十四五</w:t>
      </w:r>
      <w:r>
        <w:rPr>
          <w:rFonts w:hint="eastAsia" w:cs="Times New Roman"/>
          <w:b/>
          <w:color w:val="auto"/>
          <w:kern w:val="2"/>
          <w:sz w:val="24"/>
          <w:szCs w:val="24"/>
          <w:highlight w:val="none"/>
          <w:lang w:val="en-US" w:eastAsia="zh-CN" w:bidi="ar-SA"/>
        </w:rPr>
        <w:t>”</w:t>
      </w:r>
      <w:r>
        <w:rPr>
          <w:rFonts w:hint="default" w:ascii="Times New Roman" w:hAnsi="Times New Roman" w:eastAsia="宋体" w:cs="Times New Roman"/>
          <w:b/>
          <w:color w:val="auto"/>
          <w:kern w:val="2"/>
          <w:sz w:val="24"/>
          <w:szCs w:val="24"/>
          <w:highlight w:val="none"/>
          <w:lang w:val="en-US" w:eastAsia="zh-CN" w:bidi="ar-SA"/>
        </w:rPr>
        <w:t>大宗固体废弃物综合利用的指导意见》符合性分析</w:t>
      </w:r>
    </w:p>
    <w:p w14:paraId="26088625">
      <w:pPr>
        <w:widowControl/>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本项目与《关于</w:t>
      </w:r>
      <w:r>
        <w:rPr>
          <w:rFonts w:hint="eastAsia" w:cs="Times New Roman"/>
          <w:color w:val="auto"/>
          <w:highlight w:val="none"/>
          <w:lang w:eastAsia="zh-CN"/>
        </w:rPr>
        <w:t>“</w:t>
      </w:r>
      <w:r>
        <w:rPr>
          <w:rFonts w:hint="default" w:ascii="Times New Roman" w:hAnsi="Times New Roman" w:cs="Times New Roman"/>
          <w:color w:val="auto"/>
          <w:highlight w:val="none"/>
        </w:rPr>
        <w:t>十四五</w:t>
      </w:r>
      <w:r>
        <w:rPr>
          <w:rFonts w:hint="eastAsia" w:cs="Times New Roman"/>
          <w:color w:val="auto"/>
          <w:highlight w:val="none"/>
          <w:lang w:eastAsia="zh-CN"/>
        </w:rPr>
        <w:t>”</w:t>
      </w:r>
      <w:r>
        <w:rPr>
          <w:rFonts w:hint="default" w:ascii="Times New Roman" w:hAnsi="Times New Roman" w:cs="Times New Roman"/>
          <w:color w:val="auto"/>
          <w:highlight w:val="none"/>
        </w:rPr>
        <w:t>大宗固体废弃物综合利用的指导意见》符合性分析详见下表。</w:t>
      </w:r>
    </w:p>
    <w:p w14:paraId="17A6110A">
      <w:pPr>
        <w:widowControl/>
        <w:overflowPunct w:val="0"/>
        <w:topLinePunct/>
        <w:ind w:firstLine="0" w:firstLineChars="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表1.3-</w:t>
      </w:r>
      <w:r>
        <w:rPr>
          <w:rFonts w:hint="default" w:ascii="Times New Roman" w:hAnsi="Times New Roman" w:cs="Times New Roman"/>
          <w:b/>
          <w:color w:val="auto"/>
          <w:highlight w:val="none"/>
          <w:lang w:val="en-US" w:eastAsia="zh-CN"/>
        </w:rPr>
        <w:t>1</w:t>
      </w:r>
      <w:r>
        <w:rPr>
          <w:rFonts w:hint="eastAsia" w:cs="Times New Roman"/>
          <w:b/>
          <w:color w:val="auto"/>
          <w:highlight w:val="none"/>
          <w:lang w:val="en-US" w:eastAsia="zh-CN"/>
        </w:rPr>
        <w:t>1</w:t>
      </w:r>
      <w:r>
        <w:rPr>
          <w:rFonts w:hint="default" w:ascii="Times New Roman" w:hAnsi="Times New Roman" w:cs="Times New Roman"/>
          <w:b/>
          <w:color w:val="auto"/>
          <w:highlight w:val="none"/>
        </w:rPr>
        <w:t xml:space="preserve">    与《关于</w:t>
      </w:r>
      <w:r>
        <w:rPr>
          <w:rFonts w:hint="eastAsia" w:cs="Times New Roman"/>
          <w:b/>
          <w:color w:val="auto"/>
          <w:highlight w:val="none"/>
          <w:lang w:eastAsia="zh-CN"/>
        </w:rPr>
        <w:t>“</w:t>
      </w:r>
      <w:r>
        <w:rPr>
          <w:rFonts w:hint="default" w:ascii="Times New Roman" w:hAnsi="Times New Roman" w:cs="Times New Roman"/>
          <w:b/>
          <w:color w:val="auto"/>
          <w:highlight w:val="none"/>
        </w:rPr>
        <w:t>十四五</w:t>
      </w:r>
      <w:r>
        <w:rPr>
          <w:rFonts w:hint="eastAsia" w:cs="Times New Roman"/>
          <w:b/>
          <w:color w:val="auto"/>
          <w:highlight w:val="none"/>
          <w:lang w:eastAsia="zh-CN"/>
        </w:rPr>
        <w:t>”</w:t>
      </w:r>
      <w:r>
        <w:rPr>
          <w:rFonts w:hint="default" w:ascii="Times New Roman" w:hAnsi="Times New Roman" w:cs="Times New Roman"/>
          <w:b/>
          <w:color w:val="auto"/>
          <w:highlight w:val="none"/>
        </w:rPr>
        <w:t>大宗固体废弃物综合利用的指导意见》符合性分析一览表</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7"/>
        <w:gridCol w:w="4113"/>
        <w:gridCol w:w="2947"/>
        <w:gridCol w:w="892"/>
      </w:tblGrid>
      <w:tr w14:paraId="664AD0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90" w:type="dxa"/>
            <w:gridSpan w:val="2"/>
            <w:shd w:val="clear" w:color="auto" w:fill="auto"/>
            <w:vAlign w:val="center"/>
          </w:tcPr>
          <w:p w14:paraId="62B3DE13">
            <w:pPr>
              <w:spacing w:line="360" w:lineRule="exact"/>
              <w:ind w:firstLine="0" w:firstLineChars="0"/>
              <w:jc w:val="center"/>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有关规定</w:t>
            </w:r>
          </w:p>
        </w:tc>
        <w:tc>
          <w:tcPr>
            <w:tcW w:w="2947" w:type="dxa"/>
            <w:shd w:val="clear" w:color="auto" w:fill="auto"/>
            <w:vAlign w:val="center"/>
          </w:tcPr>
          <w:p w14:paraId="22CEC998">
            <w:pPr>
              <w:spacing w:line="360" w:lineRule="exact"/>
              <w:ind w:firstLine="0" w:firstLineChars="0"/>
              <w:jc w:val="center"/>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项目情况</w:t>
            </w:r>
          </w:p>
        </w:tc>
        <w:tc>
          <w:tcPr>
            <w:tcW w:w="892" w:type="dxa"/>
            <w:shd w:val="clear" w:color="auto" w:fill="auto"/>
            <w:vAlign w:val="center"/>
          </w:tcPr>
          <w:p w14:paraId="62451977">
            <w:pPr>
              <w:spacing w:line="360" w:lineRule="exact"/>
              <w:ind w:firstLine="0" w:firstLineChars="0"/>
              <w:jc w:val="center"/>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相符性结论</w:t>
            </w:r>
          </w:p>
        </w:tc>
      </w:tr>
      <w:tr w14:paraId="583B9C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7" w:type="dxa"/>
            <w:shd w:val="clear" w:color="auto" w:fill="auto"/>
            <w:vAlign w:val="center"/>
          </w:tcPr>
          <w:p w14:paraId="707905F1">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尾矿</w:t>
            </w:r>
          </w:p>
        </w:tc>
        <w:tc>
          <w:tcPr>
            <w:tcW w:w="4113" w:type="dxa"/>
            <w:shd w:val="clear" w:color="auto" w:fill="auto"/>
            <w:vAlign w:val="center"/>
          </w:tcPr>
          <w:p w14:paraId="250F5E55">
            <w:pPr>
              <w:spacing w:line="360" w:lineRule="exact"/>
              <w:ind w:firstLine="0" w:firstLineChars="0"/>
              <w:jc w:val="both"/>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到</w:t>
            </w:r>
            <w:r>
              <w:rPr>
                <w:rFonts w:hint="default" w:ascii="Times New Roman" w:hAnsi="Times New Roman" w:eastAsia="宋体" w:cs="Times New Roman"/>
                <w:color w:val="auto"/>
                <w:sz w:val="21"/>
                <w:highlight w:val="none"/>
                <w:lang w:val="en-US" w:eastAsia="zh-CN"/>
              </w:rPr>
              <w:t>2025年，煤矸石、粉煤灰、尾矿（共伴生矿）、冶炼渣、工业副产石膏、建筑垃圾、农作物秸秆等大宗固废的综合利用能力显著提升，利用规模不断扩大，新增大宗固废综合利用率达到60%，存量大宗固废有序减少。</w:t>
            </w:r>
          </w:p>
          <w:p w14:paraId="63C2803E">
            <w:pPr>
              <w:spacing w:line="360" w:lineRule="exact"/>
              <w:ind w:firstLine="0" w:firstLineChars="0"/>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稳步推进金属尾矿有价组分高效提取及整体利用，推动采矿废石制备砂石骨料、陶粒、干混砂浆等砂源替代材料和胶凝回填利用，探索尾矿在生态环境治理领域的利用。加快推进黑色金属、有色金属、稀贵金属等共伴生矿产资源综合开发利用和有价组分梯级回收，推动有价金属提取后剩余废渣的规模化利用。依法依规推动已闭库尾矿库生态修复，未经批准不得擅自回采尾矿。</w:t>
            </w:r>
          </w:p>
        </w:tc>
        <w:tc>
          <w:tcPr>
            <w:tcW w:w="2947" w:type="dxa"/>
            <w:shd w:val="clear" w:color="auto" w:fill="auto"/>
            <w:vAlign w:val="center"/>
          </w:tcPr>
          <w:p w14:paraId="627BA538">
            <w:pPr>
              <w:spacing w:line="360" w:lineRule="exact"/>
              <w:ind w:firstLine="0" w:firstLineChars="0"/>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本项目为新疆嘉西矿业有限公司配套建设的萤石选矿厂及尾矿库工程，选矿厂原矿处理能力60万t/a，尾矿库总库容102万</w:t>
            </w:r>
            <w:r>
              <w:rPr>
                <w:rFonts w:hint="eastAsia" w:cs="Times New Roman"/>
                <w:color w:val="auto"/>
                <w:sz w:val="21"/>
                <w:highlight w:val="none"/>
                <w:lang w:val="en-US" w:eastAsia="zh-CN"/>
              </w:rPr>
              <w:t>m</w:t>
            </w:r>
            <w:r>
              <w:rPr>
                <w:rFonts w:hint="eastAsia" w:cs="Times New Roman"/>
                <w:color w:val="auto"/>
                <w:sz w:val="21"/>
                <w:highlight w:val="none"/>
                <w:vertAlign w:val="superscript"/>
                <w:lang w:val="en-US" w:eastAsia="zh-CN"/>
              </w:rPr>
              <w:t>3</w:t>
            </w:r>
            <w:r>
              <w:rPr>
                <w:rFonts w:hint="default" w:ascii="Times New Roman" w:hAnsi="Times New Roman" w:cs="Times New Roman"/>
                <w:color w:val="auto"/>
                <w:sz w:val="21"/>
                <w:highlight w:val="none"/>
              </w:rPr>
              <w:t>，配套建设了规范的尾矿库用于尾矿堆存，符合</w:t>
            </w:r>
            <w:r>
              <w:rPr>
                <w:rFonts w:hint="eastAsia" w:cs="Times New Roman"/>
                <w:color w:val="auto"/>
                <w:sz w:val="21"/>
                <w:highlight w:val="none"/>
                <w:lang w:eastAsia="zh-CN"/>
              </w:rPr>
              <w:t>“</w:t>
            </w:r>
            <w:r>
              <w:rPr>
                <w:rFonts w:hint="default" w:ascii="Times New Roman" w:hAnsi="Times New Roman" w:cs="Times New Roman"/>
                <w:color w:val="auto"/>
                <w:sz w:val="21"/>
                <w:highlight w:val="none"/>
              </w:rPr>
              <w:t>有配套尾矿利用处置设施</w:t>
            </w:r>
            <w:r>
              <w:rPr>
                <w:rFonts w:hint="eastAsia" w:cs="Times New Roman"/>
                <w:color w:val="auto"/>
                <w:sz w:val="21"/>
                <w:highlight w:val="none"/>
                <w:lang w:eastAsia="zh-CN"/>
              </w:rPr>
              <w:t>”</w:t>
            </w:r>
            <w:r>
              <w:rPr>
                <w:rFonts w:hint="default" w:ascii="Times New Roman" w:hAnsi="Times New Roman" w:cs="Times New Roman"/>
                <w:color w:val="auto"/>
                <w:sz w:val="21"/>
                <w:highlight w:val="none"/>
              </w:rPr>
              <w:t>的基本要求。</w:t>
            </w:r>
            <w:r>
              <w:rPr>
                <w:rFonts w:hint="eastAsia" w:cs="Times New Roman"/>
                <w:color w:val="auto"/>
                <w:sz w:val="21"/>
                <w:highlight w:val="none"/>
                <w:lang w:val="en-US" w:eastAsia="zh-CN"/>
              </w:rPr>
              <w:t>本项目尾矿属于非金属尾矿，不涉及金属尾矿有价组分高效提取及整体利用。</w:t>
            </w:r>
          </w:p>
        </w:tc>
        <w:tc>
          <w:tcPr>
            <w:tcW w:w="892" w:type="dxa"/>
            <w:shd w:val="clear" w:color="auto" w:fill="auto"/>
            <w:vAlign w:val="center"/>
          </w:tcPr>
          <w:p w14:paraId="170795D0">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符合</w:t>
            </w:r>
          </w:p>
        </w:tc>
      </w:tr>
      <w:tr w14:paraId="48C439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7" w:type="dxa"/>
            <w:shd w:val="clear" w:color="auto" w:fill="auto"/>
            <w:vAlign w:val="center"/>
          </w:tcPr>
          <w:p w14:paraId="5C513526">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建筑垃圾</w:t>
            </w:r>
          </w:p>
        </w:tc>
        <w:tc>
          <w:tcPr>
            <w:tcW w:w="4113" w:type="dxa"/>
            <w:shd w:val="clear" w:color="auto" w:fill="auto"/>
            <w:vAlign w:val="center"/>
          </w:tcPr>
          <w:p w14:paraId="2748BC9F">
            <w:pPr>
              <w:spacing w:line="360" w:lineRule="exact"/>
              <w:ind w:firstLine="0" w:firstLineChars="0"/>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加强建筑垃圾分类处理和回收利用，规范建筑垃圾堆存、中转和资源化利用场所建设和运营，推动建筑垃圾综合利用产品应用。鼓励建筑垃圾再生骨料及制品在建筑工程和道路工程中的应用，以及将建筑垃圾用于土方平衡、林业用土、环境治理、烧结制品及回填等，不断提高利用质量、扩大资源化利用规模。</w:t>
            </w:r>
          </w:p>
        </w:tc>
        <w:tc>
          <w:tcPr>
            <w:tcW w:w="2947" w:type="dxa"/>
            <w:shd w:val="clear" w:color="auto" w:fill="auto"/>
            <w:vAlign w:val="center"/>
          </w:tcPr>
          <w:p w14:paraId="4E1ED6BF">
            <w:pPr>
              <w:spacing w:line="360" w:lineRule="exact"/>
              <w:ind w:firstLine="0" w:firstLineChars="0"/>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施工期产生的建筑垃圾包括碎石、砂土等废弃土石方、废钢筋、废钢材等废弃建筑材料。废弃土石方用于场地平整及地面硬化，废钢筋、废钢材等废弃建筑材料由施工单位及时收集后综合利用。</w:t>
            </w:r>
          </w:p>
        </w:tc>
        <w:tc>
          <w:tcPr>
            <w:tcW w:w="892" w:type="dxa"/>
            <w:shd w:val="clear" w:color="auto" w:fill="auto"/>
            <w:vAlign w:val="center"/>
          </w:tcPr>
          <w:p w14:paraId="569732CE">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符合</w:t>
            </w:r>
          </w:p>
        </w:tc>
      </w:tr>
    </w:tbl>
    <w:p w14:paraId="7CBE1E63">
      <w:pPr>
        <w:widowControl/>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由</w:t>
      </w:r>
      <w:r>
        <w:rPr>
          <w:rFonts w:hint="default" w:ascii="Times New Roman" w:hAnsi="Times New Roman" w:cs="Times New Roman"/>
          <w:color w:val="auto"/>
          <w:highlight w:val="none"/>
          <w:lang w:eastAsia="zh-CN"/>
        </w:rPr>
        <w:t>上</w:t>
      </w:r>
      <w:r>
        <w:rPr>
          <w:rFonts w:hint="default" w:ascii="Times New Roman" w:hAnsi="Times New Roman" w:cs="Times New Roman"/>
          <w:color w:val="auto"/>
          <w:highlight w:val="none"/>
        </w:rPr>
        <w:t>表分析可知，本项目建设符合《关于</w:t>
      </w:r>
      <w:r>
        <w:rPr>
          <w:rFonts w:hint="eastAsia" w:cs="Times New Roman"/>
          <w:color w:val="auto"/>
          <w:highlight w:val="none"/>
          <w:lang w:eastAsia="zh-CN"/>
        </w:rPr>
        <w:t>“</w:t>
      </w:r>
      <w:r>
        <w:rPr>
          <w:rFonts w:hint="default" w:ascii="Times New Roman" w:hAnsi="Times New Roman" w:cs="Times New Roman"/>
          <w:color w:val="auto"/>
          <w:highlight w:val="none"/>
        </w:rPr>
        <w:t>十四五</w:t>
      </w:r>
      <w:r>
        <w:rPr>
          <w:rFonts w:hint="eastAsia" w:cs="Times New Roman"/>
          <w:color w:val="auto"/>
          <w:highlight w:val="none"/>
          <w:lang w:eastAsia="zh-CN"/>
        </w:rPr>
        <w:t>”</w:t>
      </w:r>
      <w:r>
        <w:rPr>
          <w:rFonts w:hint="default" w:ascii="Times New Roman" w:hAnsi="Times New Roman" w:cs="Times New Roman"/>
          <w:color w:val="auto"/>
          <w:highlight w:val="none"/>
        </w:rPr>
        <w:t>大宗固体废弃物综合利用的指导意见》的相关要求。</w:t>
      </w:r>
    </w:p>
    <w:p w14:paraId="40855B94">
      <w:pPr>
        <w:keepNext/>
        <w:keepLines/>
        <w:widowControl w:val="0"/>
        <w:spacing w:line="480" w:lineRule="exact"/>
        <w:ind w:firstLine="482" w:firstLineChars="200"/>
        <w:jc w:val="both"/>
        <w:outlineLvl w:val="3"/>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1.3.3.1</w:t>
      </w:r>
      <w:r>
        <w:rPr>
          <w:rFonts w:hint="eastAsia" w:cs="Times New Roman"/>
          <w:b/>
          <w:color w:val="auto"/>
          <w:kern w:val="2"/>
          <w:sz w:val="24"/>
          <w:szCs w:val="24"/>
          <w:highlight w:val="none"/>
          <w:lang w:val="en-US" w:eastAsia="zh-CN" w:bidi="ar-SA"/>
        </w:rPr>
        <w:t>6</w:t>
      </w:r>
      <w:r>
        <w:rPr>
          <w:rFonts w:hint="default" w:ascii="Times New Roman" w:hAnsi="Times New Roman" w:eastAsia="宋体" w:cs="Times New Roman"/>
          <w:b/>
          <w:color w:val="auto"/>
          <w:kern w:val="2"/>
          <w:sz w:val="24"/>
          <w:szCs w:val="24"/>
          <w:highlight w:val="none"/>
          <w:lang w:val="en-US" w:eastAsia="zh-CN" w:bidi="ar-SA"/>
        </w:rPr>
        <w:t>与《萤石行业准入标准公告》（工联原〔2010〕87号）等符合性分析</w:t>
      </w:r>
    </w:p>
    <w:p w14:paraId="165D7492">
      <w:pPr>
        <w:widowControl/>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本项目与《</w:t>
      </w:r>
      <w:r>
        <w:rPr>
          <w:rFonts w:hint="default" w:ascii="Times New Roman" w:hAnsi="Times New Roman" w:cs="Times New Roman"/>
          <w:color w:val="auto"/>
          <w:highlight w:val="none"/>
          <w:lang w:val="en-US" w:eastAsia="zh-CN"/>
        </w:rPr>
        <w:t>萤石行业准入标准公告</w:t>
      </w:r>
      <w:r>
        <w:rPr>
          <w:rFonts w:hint="eastAsia" w:cs="Times New Roman"/>
          <w:color w:val="auto"/>
          <w:highlight w:val="none"/>
          <w:lang w:val="en-US" w:eastAsia="zh-CN"/>
        </w:rPr>
        <w:t>》</w:t>
      </w:r>
      <w:r>
        <w:rPr>
          <w:rFonts w:hint="default" w:ascii="Times New Roman" w:hAnsi="Times New Roman" w:cs="Times New Roman"/>
          <w:color w:val="auto"/>
          <w:highlight w:val="none"/>
        </w:rPr>
        <w:t>符合性分析详见下表。</w:t>
      </w:r>
    </w:p>
    <w:p w14:paraId="5D423137">
      <w:pPr>
        <w:widowControl/>
        <w:overflowPunct w:val="0"/>
        <w:topLinePunct/>
        <w:ind w:firstLine="0" w:firstLineChars="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表1.3-</w:t>
      </w:r>
      <w:r>
        <w:rPr>
          <w:rFonts w:hint="default" w:ascii="Times New Roman" w:hAnsi="Times New Roman" w:cs="Times New Roman"/>
          <w:b/>
          <w:color w:val="auto"/>
          <w:highlight w:val="none"/>
          <w:lang w:val="en-US" w:eastAsia="zh-CN"/>
        </w:rPr>
        <w:t>1</w:t>
      </w:r>
      <w:r>
        <w:rPr>
          <w:rFonts w:hint="eastAsia" w:cs="Times New Roman"/>
          <w:b/>
          <w:color w:val="auto"/>
          <w:highlight w:val="none"/>
          <w:lang w:val="en-US" w:eastAsia="zh-CN"/>
        </w:rPr>
        <w:t>2</w:t>
      </w:r>
      <w:r>
        <w:rPr>
          <w:rFonts w:hint="default" w:ascii="Times New Roman" w:hAnsi="Times New Roman" w:cs="Times New Roman"/>
          <w:b/>
          <w:color w:val="auto"/>
          <w:highlight w:val="none"/>
        </w:rPr>
        <w:t xml:space="preserve">    与《</w:t>
      </w:r>
      <w:r>
        <w:rPr>
          <w:rFonts w:hint="default" w:ascii="Times New Roman" w:hAnsi="Times New Roman" w:cs="Times New Roman"/>
          <w:b/>
          <w:color w:val="auto"/>
          <w:highlight w:val="none"/>
          <w:lang w:val="en-US" w:eastAsia="zh-CN"/>
        </w:rPr>
        <w:t>萤石行业准入标准公告</w:t>
      </w:r>
      <w:r>
        <w:rPr>
          <w:rFonts w:hint="default" w:ascii="Times New Roman" w:hAnsi="Times New Roman" w:cs="Times New Roman"/>
          <w:b/>
          <w:color w:val="auto"/>
          <w:highlight w:val="none"/>
        </w:rPr>
        <w:t>》</w:t>
      </w:r>
      <w:r>
        <w:rPr>
          <w:rFonts w:hint="default" w:ascii="Times New Roman" w:hAnsi="Times New Roman" w:cs="Times New Roman"/>
          <w:b/>
          <w:color w:val="auto"/>
          <w:highlight w:val="none"/>
          <w:lang w:eastAsia="zh-CN"/>
        </w:rPr>
        <w:t>等</w:t>
      </w:r>
      <w:r>
        <w:rPr>
          <w:rFonts w:hint="default" w:ascii="Times New Roman" w:hAnsi="Times New Roman" w:cs="Times New Roman"/>
          <w:b/>
          <w:color w:val="auto"/>
          <w:highlight w:val="none"/>
        </w:rPr>
        <w:t>符合性分析一览表</w:t>
      </w:r>
    </w:p>
    <w:tbl>
      <w:tblPr>
        <w:tblStyle w:val="33"/>
        <w:tblW w:w="852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
        <w:gridCol w:w="3795"/>
        <w:gridCol w:w="3413"/>
        <w:gridCol w:w="892"/>
      </w:tblGrid>
      <w:tr w14:paraId="3C099E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21" w:type="dxa"/>
            <w:gridSpan w:val="2"/>
            <w:shd w:val="clear" w:color="auto" w:fill="auto"/>
            <w:vAlign w:val="center"/>
          </w:tcPr>
          <w:p w14:paraId="1A2012AC">
            <w:pPr>
              <w:spacing w:line="360" w:lineRule="exact"/>
              <w:ind w:firstLine="0" w:firstLineChars="0"/>
              <w:jc w:val="center"/>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有关规定</w:t>
            </w:r>
          </w:p>
        </w:tc>
        <w:tc>
          <w:tcPr>
            <w:tcW w:w="3413" w:type="dxa"/>
            <w:shd w:val="clear" w:color="auto" w:fill="auto"/>
            <w:vAlign w:val="center"/>
          </w:tcPr>
          <w:p w14:paraId="531EE23A">
            <w:pPr>
              <w:spacing w:line="360" w:lineRule="exact"/>
              <w:ind w:firstLine="0" w:firstLineChars="0"/>
              <w:jc w:val="center"/>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项目情况</w:t>
            </w:r>
          </w:p>
        </w:tc>
        <w:tc>
          <w:tcPr>
            <w:tcW w:w="892" w:type="dxa"/>
            <w:shd w:val="clear" w:color="auto" w:fill="auto"/>
            <w:vAlign w:val="center"/>
          </w:tcPr>
          <w:p w14:paraId="7E2DC753">
            <w:pPr>
              <w:spacing w:line="360" w:lineRule="exact"/>
              <w:ind w:firstLine="0" w:firstLineChars="0"/>
              <w:jc w:val="center"/>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相符性结论</w:t>
            </w:r>
          </w:p>
        </w:tc>
      </w:tr>
      <w:tr w14:paraId="053B8C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shd w:val="clear" w:color="auto" w:fill="auto"/>
            <w:vAlign w:val="center"/>
          </w:tcPr>
          <w:p w14:paraId="54E8E9B2">
            <w:pPr>
              <w:spacing w:line="360" w:lineRule="exact"/>
              <w:ind w:firstLine="0" w:firstLineChars="0"/>
              <w:jc w:val="center"/>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生产布局条件</w:t>
            </w:r>
          </w:p>
        </w:tc>
        <w:tc>
          <w:tcPr>
            <w:tcW w:w="3795" w:type="dxa"/>
            <w:shd w:val="clear" w:color="auto" w:fill="auto"/>
            <w:vAlign w:val="center"/>
          </w:tcPr>
          <w:p w14:paraId="021EA2EB">
            <w:pPr>
              <w:spacing w:line="360" w:lineRule="exact"/>
              <w:ind w:firstLine="0" w:firstLineChars="0"/>
              <w:jc w:val="both"/>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萤石矿开采、选矿生产企业必须符合国家产业政策、矿产资源规划和产业规划，符合各省（自治区、直辖市）萤石行业发展规划、城市建设规划、土地利用总体规划、矿产资源规划、环境保护和污染防治规划要求。</w:t>
            </w:r>
          </w:p>
        </w:tc>
        <w:tc>
          <w:tcPr>
            <w:tcW w:w="3413" w:type="dxa"/>
            <w:shd w:val="clear" w:color="auto" w:fill="auto"/>
            <w:vAlign w:val="center"/>
          </w:tcPr>
          <w:p w14:paraId="5A975FDE">
            <w:pPr>
              <w:spacing w:line="360" w:lineRule="exact"/>
              <w:ind w:firstLine="0" w:firstLineChars="0"/>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本项目</w:t>
            </w:r>
            <w:r>
              <w:rPr>
                <w:rFonts w:hint="default" w:ascii="Times New Roman" w:hAnsi="Times New Roman" w:cs="Times New Roman"/>
                <w:color w:val="auto"/>
                <w:sz w:val="21"/>
                <w:highlight w:val="none"/>
                <w:lang w:eastAsia="zh-CN"/>
              </w:rPr>
              <w:t>萤石</w:t>
            </w:r>
            <w:r>
              <w:rPr>
                <w:rFonts w:hint="default" w:ascii="Times New Roman" w:hAnsi="Times New Roman" w:cs="Times New Roman"/>
                <w:color w:val="auto"/>
                <w:sz w:val="21"/>
                <w:highlight w:val="none"/>
              </w:rPr>
              <w:t>选矿工程，</w:t>
            </w:r>
            <w:r>
              <w:rPr>
                <w:rFonts w:hint="default" w:ascii="Times New Roman" w:hAnsi="Times New Roman" w:cs="Times New Roman"/>
                <w:color w:val="auto"/>
                <w:sz w:val="21"/>
                <w:highlight w:val="none"/>
                <w:lang w:val="en-US" w:eastAsia="zh-CN"/>
              </w:rPr>
              <w:t>符合国家产业政策、新疆维吾尔自治区矿产资源规划，在采取污染防治措施的情况下，符合环境保护和污染防治规划要求</w:t>
            </w:r>
            <w:r>
              <w:rPr>
                <w:rFonts w:hint="default" w:ascii="Times New Roman" w:hAnsi="Times New Roman" w:cs="Times New Roman"/>
                <w:color w:val="auto"/>
                <w:sz w:val="21"/>
                <w:highlight w:val="none"/>
              </w:rPr>
              <w:t>。</w:t>
            </w:r>
          </w:p>
        </w:tc>
        <w:tc>
          <w:tcPr>
            <w:tcW w:w="892" w:type="dxa"/>
            <w:shd w:val="clear" w:color="auto" w:fill="auto"/>
            <w:vAlign w:val="center"/>
          </w:tcPr>
          <w:p w14:paraId="6D95C36A">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符合</w:t>
            </w:r>
          </w:p>
        </w:tc>
      </w:tr>
      <w:tr w14:paraId="3DFEF2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shd w:val="clear" w:color="auto" w:fill="auto"/>
            <w:vAlign w:val="center"/>
          </w:tcPr>
          <w:p w14:paraId="7E6E9C38">
            <w:pPr>
              <w:spacing w:line="360" w:lineRule="exact"/>
              <w:ind w:firstLine="0" w:firstLineChars="0"/>
              <w:jc w:val="center"/>
              <w:rPr>
                <w:rFonts w:hint="default" w:ascii="Times New Roman" w:hAnsi="Times New Roman" w:cs="Times New Roman"/>
                <w:color w:val="auto"/>
                <w:sz w:val="21"/>
                <w:highlight w:val="none"/>
                <w:lang w:eastAsia="zh-CN"/>
              </w:rPr>
            </w:pPr>
          </w:p>
        </w:tc>
        <w:tc>
          <w:tcPr>
            <w:tcW w:w="3795" w:type="dxa"/>
            <w:shd w:val="clear" w:color="auto" w:fill="auto"/>
            <w:vAlign w:val="center"/>
          </w:tcPr>
          <w:p w14:paraId="1A368A54">
            <w:pPr>
              <w:spacing w:line="360" w:lineRule="exact"/>
              <w:ind w:firstLine="0" w:firstLineChars="0"/>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严格限制在国家和地方规定的限采区新设开采矿山。禁止在禁采区内新设开采矿山，已建矿山应按照矿产资源规划和国家有关规定进行处置。</w:t>
            </w:r>
          </w:p>
          <w:p w14:paraId="3E0A90B0">
            <w:pPr>
              <w:spacing w:line="360" w:lineRule="exact"/>
              <w:ind w:firstLine="0" w:firstLineChars="0"/>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在饮用水水源保护区、自然保护区、风景名胜区、生态功能保护区和基本农田保护区等需要特殊保护的地区，大中城市及其近郊，居民集中区、学校与托幼机构、疗养地、医院和食品、药品、电子等对环境质量要求高的企业周边1公里内，主要河流两岸、公路、铁路干线两侧一定范围，不得新建萤石生产加工企业。</w:t>
            </w:r>
          </w:p>
        </w:tc>
        <w:tc>
          <w:tcPr>
            <w:tcW w:w="3413" w:type="dxa"/>
            <w:shd w:val="clear" w:color="auto" w:fill="auto"/>
            <w:vAlign w:val="center"/>
          </w:tcPr>
          <w:p w14:paraId="13AC1F5F">
            <w:pPr>
              <w:spacing w:line="360" w:lineRule="exact"/>
              <w:ind w:firstLine="0" w:firstLineChars="0"/>
              <w:jc w:val="both"/>
              <w:rPr>
                <w:rFonts w:hint="default" w:ascii="Times New Roman" w:hAnsi="Times New Roman" w:eastAsia="宋体" w:cs="Times New Roman"/>
                <w:color w:val="auto"/>
                <w:sz w:val="21"/>
                <w:highlight w:val="none"/>
                <w:lang w:eastAsia="zh-CN"/>
              </w:rPr>
            </w:pPr>
            <w:r>
              <w:rPr>
                <w:rFonts w:hint="default" w:ascii="Times New Roman" w:hAnsi="Times New Roman" w:cs="Times New Roman"/>
                <w:color w:val="auto"/>
                <w:sz w:val="21"/>
                <w:highlight w:val="none"/>
                <w:lang w:eastAsia="zh-CN"/>
              </w:rPr>
              <w:t>本项目位于新疆维吾尔自治区哈密市伊州区170°方向直线距离184km，雅满苏镇正南方约90km处，行政区划属新疆维吾尔自治区哈密市伊州区管辖，</w:t>
            </w:r>
            <w:r>
              <w:rPr>
                <w:rFonts w:hint="eastAsia" w:cs="Times New Roman"/>
                <w:color w:val="auto"/>
                <w:sz w:val="21"/>
                <w:highlight w:val="none"/>
                <w:lang w:val="en-US" w:eastAsia="zh-CN"/>
              </w:rPr>
              <w:t>项目区不属于</w:t>
            </w:r>
            <w:r>
              <w:rPr>
                <w:rFonts w:hint="default" w:ascii="Times New Roman" w:hAnsi="Times New Roman" w:cs="Times New Roman"/>
                <w:color w:val="auto"/>
                <w:sz w:val="21"/>
                <w:highlight w:val="none"/>
                <w:lang w:eastAsia="zh-CN"/>
              </w:rPr>
              <w:t>限制开采区和禁止开采区</w:t>
            </w:r>
            <w:r>
              <w:rPr>
                <w:rFonts w:hint="eastAsia" w:cs="Times New Roman"/>
                <w:color w:val="auto"/>
                <w:sz w:val="21"/>
                <w:highlight w:val="none"/>
                <w:lang w:eastAsia="zh-CN"/>
              </w:rPr>
              <w:t>，</w:t>
            </w:r>
            <w:r>
              <w:rPr>
                <w:rFonts w:hint="default" w:ascii="Times New Roman" w:hAnsi="Times New Roman" w:cs="Times New Roman"/>
                <w:color w:val="auto"/>
                <w:sz w:val="21"/>
                <w:highlight w:val="none"/>
                <w:lang w:val="en-US" w:eastAsia="zh-CN"/>
              </w:rPr>
              <w:t>项目</w:t>
            </w:r>
            <w:r>
              <w:rPr>
                <w:rFonts w:hint="default" w:ascii="Times New Roman" w:hAnsi="Times New Roman" w:cs="Times New Roman"/>
                <w:color w:val="auto"/>
                <w:sz w:val="21"/>
                <w:highlight w:val="none"/>
                <w:lang w:eastAsia="zh-CN"/>
              </w:rPr>
              <w:t>不</w:t>
            </w:r>
            <w:r>
              <w:rPr>
                <w:rFonts w:hint="default" w:ascii="Times New Roman" w:hAnsi="Times New Roman" w:cs="Times New Roman"/>
                <w:color w:val="auto"/>
                <w:sz w:val="21"/>
                <w:highlight w:val="none"/>
                <w:lang w:val="en-US" w:eastAsia="zh-CN"/>
              </w:rPr>
              <w:t>在饮用水水源保护区、自然保护区、风景名胜区、生态功能保护区和基本农田保护区等需要特殊保护的地区，不在大中城市及其近郊，不在居民集中区、学校与托幼机构、疗养地、医院和食品、药品、电子等对环境质量要求高的企业周边1公里内，不在主要河流两岸、公路、铁路干线两侧一定范围。</w:t>
            </w:r>
          </w:p>
        </w:tc>
        <w:tc>
          <w:tcPr>
            <w:tcW w:w="892" w:type="dxa"/>
            <w:shd w:val="clear" w:color="auto" w:fill="auto"/>
            <w:vAlign w:val="center"/>
          </w:tcPr>
          <w:p w14:paraId="1F9172F2">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符合</w:t>
            </w:r>
          </w:p>
        </w:tc>
      </w:tr>
      <w:tr w14:paraId="138F18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426" w:type="dxa"/>
            <w:vMerge w:val="restart"/>
            <w:shd w:val="clear" w:color="auto" w:fill="auto"/>
            <w:vAlign w:val="center"/>
          </w:tcPr>
          <w:p w14:paraId="70A2BD86">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生产规模、工艺与装备</w:t>
            </w:r>
          </w:p>
        </w:tc>
        <w:tc>
          <w:tcPr>
            <w:tcW w:w="3795" w:type="dxa"/>
            <w:shd w:val="clear" w:color="auto" w:fill="auto"/>
            <w:vAlign w:val="center"/>
          </w:tcPr>
          <w:p w14:paraId="0085B684">
            <w:pPr>
              <w:spacing w:line="360" w:lineRule="exact"/>
              <w:ind w:firstLine="0" w:firstLineChars="0"/>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萤石选矿单条生产线日处理矿石能力应≥100吨（每年按300天计算）。矿山开采规模在3万吨/年以上的企业，要求有相应配套的选厂。</w:t>
            </w:r>
          </w:p>
        </w:tc>
        <w:tc>
          <w:tcPr>
            <w:tcW w:w="3413" w:type="dxa"/>
            <w:shd w:val="clear" w:color="auto" w:fill="auto"/>
            <w:vAlign w:val="center"/>
          </w:tcPr>
          <w:p w14:paraId="7B6026F1">
            <w:pPr>
              <w:spacing w:line="360" w:lineRule="exact"/>
              <w:ind w:firstLine="0" w:firstLineChars="0"/>
              <w:jc w:val="both"/>
              <w:rPr>
                <w:rFonts w:hint="default" w:ascii="Times New Roman" w:hAnsi="Times New Roman" w:eastAsia="宋体" w:cs="Times New Roman"/>
                <w:color w:val="auto"/>
                <w:sz w:val="21"/>
                <w:highlight w:val="none"/>
                <w:lang w:eastAsia="zh-CN"/>
              </w:rPr>
            </w:pPr>
            <w:r>
              <w:rPr>
                <w:rFonts w:hint="default" w:ascii="Times New Roman" w:hAnsi="Times New Roman" w:cs="Times New Roman"/>
                <w:color w:val="auto"/>
                <w:sz w:val="21"/>
                <w:highlight w:val="none"/>
                <w:lang w:eastAsia="zh-CN"/>
              </w:rPr>
              <w:t>本项目</w:t>
            </w:r>
            <w:r>
              <w:rPr>
                <w:rFonts w:hint="default" w:ascii="Times New Roman" w:hAnsi="Times New Roman" w:cs="Times New Roman"/>
                <w:color w:val="auto"/>
                <w:sz w:val="21"/>
                <w:highlight w:val="none"/>
                <w:lang w:val="en-US" w:eastAsia="zh-CN"/>
              </w:rPr>
              <w:t>选矿单条生产线日处理矿石能力</w:t>
            </w:r>
            <w:r>
              <w:rPr>
                <w:rFonts w:hint="eastAsia" w:cs="Times New Roman"/>
                <w:color w:val="auto"/>
                <w:sz w:val="21"/>
                <w:highlight w:val="none"/>
                <w:lang w:val="en-US" w:eastAsia="zh-CN"/>
              </w:rPr>
              <w:t>为2000吨，大于1</w:t>
            </w:r>
            <w:r>
              <w:rPr>
                <w:rFonts w:hint="default" w:ascii="Times New Roman" w:hAnsi="Times New Roman" w:cs="Times New Roman"/>
                <w:color w:val="auto"/>
                <w:sz w:val="21"/>
                <w:highlight w:val="none"/>
                <w:lang w:val="en-US" w:eastAsia="zh-CN"/>
              </w:rPr>
              <w:t>00吨。</w:t>
            </w:r>
          </w:p>
        </w:tc>
        <w:tc>
          <w:tcPr>
            <w:tcW w:w="892" w:type="dxa"/>
            <w:shd w:val="clear" w:color="auto" w:fill="auto"/>
            <w:vAlign w:val="center"/>
          </w:tcPr>
          <w:p w14:paraId="7E6A4848">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符合</w:t>
            </w:r>
          </w:p>
        </w:tc>
      </w:tr>
      <w:tr w14:paraId="71CB56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shd w:val="clear" w:color="auto" w:fill="auto"/>
            <w:vAlign w:val="center"/>
          </w:tcPr>
          <w:p w14:paraId="3EBE81B5">
            <w:pPr>
              <w:spacing w:line="360" w:lineRule="exact"/>
              <w:ind w:firstLine="0" w:firstLineChars="0"/>
              <w:jc w:val="center"/>
              <w:rPr>
                <w:rFonts w:hint="default" w:ascii="Times New Roman" w:hAnsi="Times New Roman" w:cs="Times New Roman"/>
                <w:color w:val="auto"/>
                <w:sz w:val="21"/>
                <w:highlight w:val="none"/>
              </w:rPr>
            </w:pPr>
          </w:p>
        </w:tc>
        <w:tc>
          <w:tcPr>
            <w:tcW w:w="3795" w:type="dxa"/>
            <w:shd w:val="clear" w:color="auto" w:fill="auto"/>
            <w:vAlign w:val="center"/>
          </w:tcPr>
          <w:p w14:paraId="675B9F6B">
            <w:pPr>
              <w:spacing w:line="360" w:lineRule="exact"/>
              <w:ind w:firstLine="0" w:firstLineChars="0"/>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新建和改（扩）建萤石选矿厂，必须具备相匹配的自备矿山、尾矿库、污水（物）处理设施，不得新建</w:t>
            </w:r>
            <w:r>
              <w:rPr>
                <w:rFonts w:hint="eastAsia" w:cs="Times New Roman"/>
                <w:color w:val="auto"/>
                <w:sz w:val="21"/>
                <w:highlight w:val="none"/>
                <w:lang w:val="en-US" w:eastAsia="zh-CN"/>
              </w:rPr>
              <w:t>“</w:t>
            </w:r>
            <w:r>
              <w:rPr>
                <w:rFonts w:hint="default" w:ascii="Times New Roman" w:hAnsi="Times New Roman" w:cs="Times New Roman"/>
                <w:color w:val="auto"/>
                <w:sz w:val="21"/>
                <w:highlight w:val="none"/>
                <w:lang w:val="en-US" w:eastAsia="zh-CN"/>
              </w:rPr>
              <w:t>三无</w:t>
            </w:r>
            <w:r>
              <w:rPr>
                <w:rFonts w:hint="eastAsia" w:cs="Times New Roman"/>
                <w:color w:val="auto"/>
                <w:sz w:val="21"/>
                <w:highlight w:val="none"/>
                <w:lang w:val="en-US" w:eastAsia="zh-CN"/>
              </w:rPr>
              <w:t>”</w:t>
            </w:r>
            <w:r>
              <w:rPr>
                <w:rFonts w:hint="default" w:ascii="Times New Roman" w:hAnsi="Times New Roman" w:cs="Times New Roman"/>
                <w:color w:val="auto"/>
                <w:sz w:val="21"/>
                <w:highlight w:val="none"/>
                <w:lang w:val="en-US" w:eastAsia="zh-CN"/>
              </w:rPr>
              <w:t>萤石浮选厂。</w:t>
            </w:r>
          </w:p>
        </w:tc>
        <w:tc>
          <w:tcPr>
            <w:tcW w:w="3413" w:type="dxa"/>
            <w:shd w:val="clear" w:color="auto" w:fill="auto"/>
            <w:vAlign w:val="center"/>
          </w:tcPr>
          <w:p w14:paraId="0FB2BDEE">
            <w:pPr>
              <w:spacing w:line="360" w:lineRule="exact"/>
              <w:ind w:firstLine="0" w:firstLineChars="0"/>
              <w:jc w:val="both"/>
              <w:rPr>
                <w:rFonts w:hint="default" w:ascii="Times New Roman" w:hAnsi="Times New Roman" w:eastAsia="宋体" w:cs="Times New Roman"/>
                <w:color w:val="auto"/>
                <w:sz w:val="21"/>
                <w:highlight w:val="none"/>
                <w:lang w:eastAsia="zh-CN"/>
              </w:rPr>
            </w:pPr>
            <w:r>
              <w:rPr>
                <w:rFonts w:hint="default" w:ascii="Times New Roman" w:hAnsi="Times New Roman" w:cs="Times New Roman"/>
                <w:color w:val="auto"/>
                <w:sz w:val="21"/>
                <w:highlight w:val="none"/>
                <w:lang w:eastAsia="zh-CN"/>
              </w:rPr>
              <w:t>本项目为萤石矿山的配套选矿厂，设有尾矿库和</w:t>
            </w:r>
            <w:r>
              <w:rPr>
                <w:rFonts w:hint="default" w:ascii="Times New Roman" w:hAnsi="Times New Roman" w:cs="Times New Roman"/>
                <w:color w:val="auto"/>
                <w:sz w:val="21"/>
                <w:highlight w:val="none"/>
                <w:lang w:val="en-US" w:eastAsia="zh-CN"/>
              </w:rPr>
              <w:t>污水（物）处理设施。</w:t>
            </w:r>
          </w:p>
        </w:tc>
        <w:tc>
          <w:tcPr>
            <w:tcW w:w="892" w:type="dxa"/>
            <w:shd w:val="clear" w:color="auto" w:fill="auto"/>
            <w:vAlign w:val="center"/>
          </w:tcPr>
          <w:p w14:paraId="4DFDE18E">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符合</w:t>
            </w:r>
          </w:p>
        </w:tc>
      </w:tr>
      <w:tr w14:paraId="4AED3D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shd w:val="clear" w:color="auto" w:fill="auto"/>
            <w:vAlign w:val="center"/>
          </w:tcPr>
          <w:p w14:paraId="1D206B36">
            <w:pPr>
              <w:spacing w:line="360" w:lineRule="exact"/>
              <w:ind w:firstLine="0" w:firstLineChars="0"/>
              <w:jc w:val="center"/>
              <w:rPr>
                <w:rFonts w:hint="default" w:ascii="Times New Roman" w:hAnsi="Times New Roman" w:eastAsia="宋体" w:cs="Times New Roman"/>
                <w:color w:val="auto"/>
                <w:sz w:val="21"/>
                <w:highlight w:val="none"/>
                <w:lang w:eastAsia="zh-CN"/>
              </w:rPr>
            </w:pPr>
            <w:r>
              <w:rPr>
                <w:rFonts w:hint="default" w:ascii="Times New Roman" w:hAnsi="Times New Roman" w:cs="Times New Roman"/>
                <w:color w:val="auto"/>
                <w:sz w:val="21"/>
                <w:highlight w:val="none"/>
                <w:lang w:eastAsia="zh-CN"/>
              </w:rPr>
              <w:t>资源综合利用</w:t>
            </w:r>
          </w:p>
        </w:tc>
        <w:tc>
          <w:tcPr>
            <w:tcW w:w="3795" w:type="dxa"/>
            <w:shd w:val="clear" w:color="auto" w:fill="auto"/>
            <w:vAlign w:val="center"/>
          </w:tcPr>
          <w:p w14:paraId="220811FD">
            <w:pPr>
              <w:spacing w:line="360" w:lineRule="exact"/>
              <w:ind w:firstLine="0" w:firstLineChars="0"/>
              <w:jc w:val="both"/>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选矿回收率应达到80%以上（伴生矿、尾矿利用除外）。企业应制定尾矿综合利用和治理方案。</w:t>
            </w:r>
          </w:p>
        </w:tc>
        <w:tc>
          <w:tcPr>
            <w:tcW w:w="3413" w:type="dxa"/>
            <w:shd w:val="clear" w:color="auto" w:fill="auto"/>
            <w:vAlign w:val="center"/>
          </w:tcPr>
          <w:p w14:paraId="5F7D4A29">
            <w:pPr>
              <w:spacing w:line="360" w:lineRule="exact"/>
              <w:ind w:firstLine="0" w:firstLineChars="0"/>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eastAsia="zh-CN"/>
              </w:rPr>
              <w:t>本项目为萤石选矿项目</w:t>
            </w:r>
            <w:r>
              <w:rPr>
                <w:rFonts w:hint="default" w:ascii="Times New Roman" w:hAnsi="Times New Roman" w:cs="Times New Roman"/>
                <w:color w:val="auto"/>
                <w:sz w:val="21"/>
                <w:highlight w:val="none"/>
                <w:lang w:val="en-US" w:eastAsia="zh-CN"/>
              </w:rPr>
              <w:t>选矿回收率可达到80%。</w:t>
            </w:r>
            <w:r>
              <w:rPr>
                <w:rFonts w:hint="eastAsia" w:ascii="Times New Roman" w:hAnsi="Times New Roman" w:cs="Times New Roman"/>
                <w:color w:val="auto"/>
                <w:sz w:val="21"/>
                <w:highlight w:val="none"/>
                <w:lang w:val="en-US" w:eastAsia="zh-CN"/>
              </w:rPr>
              <w:t>目前项目无</w:t>
            </w:r>
            <w:r>
              <w:rPr>
                <w:rFonts w:hint="default" w:ascii="Times New Roman" w:hAnsi="Times New Roman" w:cs="Times New Roman"/>
                <w:color w:val="auto"/>
                <w:sz w:val="21"/>
                <w:highlight w:val="none"/>
                <w:lang w:val="en-US" w:eastAsia="zh-CN"/>
              </w:rPr>
              <w:t>尾矿综合利用和治理方案。</w:t>
            </w:r>
          </w:p>
        </w:tc>
        <w:tc>
          <w:tcPr>
            <w:tcW w:w="892" w:type="dxa"/>
            <w:shd w:val="clear" w:color="auto" w:fill="auto"/>
            <w:vAlign w:val="center"/>
          </w:tcPr>
          <w:p w14:paraId="1A1A7063">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符合</w:t>
            </w:r>
          </w:p>
        </w:tc>
      </w:tr>
      <w:tr w14:paraId="79BED7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shd w:val="clear" w:color="auto" w:fill="auto"/>
            <w:vAlign w:val="center"/>
          </w:tcPr>
          <w:p w14:paraId="2C071986">
            <w:pPr>
              <w:spacing w:line="360" w:lineRule="exact"/>
              <w:ind w:firstLine="0" w:firstLineChars="0"/>
              <w:jc w:val="center"/>
              <w:rPr>
                <w:rFonts w:hint="default" w:ascii="Times New Roman" w:hAnsi="Times New Roman" w:cs="Times New Roman"/>
                <w:color w:val="auto"/>
                <w:sz w:val="21"/>
                <w:highlight w:val="none"/>
                <w:lang w:eastAsia="zh-CN"/>
              </w:rPr>
            </w:pPr>
          </w:p>
        </w:tc>
        <w:tc>
          <w:tcPr>
            <w:tcW w:w="3795" w:type="dxa"/>
            <w:shd w:val="clear" w:color="auto" w:fill="auto"/>
            <w:vAlign w:val="center"/>
          </w:tcPr>
          <w:p w14:paraId="355A3629">
            <w:pPr>
              <w:spacing w:line="360" w:lineRule="exact"/>
              <w:ind w:firstLine="0" w:firstLineChars="0"/>
              <w:jc w:val="both"/>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鼓励对低品位萤石矿进行选矿加工提纯，分级选别、分级使用，实现资源综合利用。鼓励对矿物品位大于10%的萤石尾矿进行浮选回收。</w:t>
            </w:r>
          </w:p>
        </w:tc>
        <w:tc>
          <w:tcPr>
            <w:tcW w:w="3413" w:type="dxa"/>
            <w:shd w:val="clear" w:color="auto" w:fill="auto"/>
            <w:vAlign w:val="center"/>
          </w:tcPr>
          <w:p w14:paraId="5D60622A">
            <w:pPr>
              <w:spacing w:line="360" w:lineRule="exact"/>
              <w:ind w:firstLine="0" w:firstLineChars="0"/>
              <w:jc w:val="both"/>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本项目选矿加工的萤石矿</w:t>
            </w:r>
            <w:r>
              <w:rPr>
                <w:rFonts w:hint="default" w:ascii="Times New Roman" w:hAnsi="Times New Roman" w:cs="Times New Roman"/>
                <w:color w:val="auto"/>
                <w:sz w:val="21"/>
                <w:highlight w:val="none"/>
                <w:lang w:val="en-US" w:eastAsia="zh-CN"/>
              </w:rPr>
              <w:t>原矿品位为25.16%</w:t>
            </w:r>
            <w:r>
              <w:rPr>
                <w:rFonts w:hint="default" w:ascii="Times New Roman" w:hAnsi="Times New Roman" w:cs="Times New Roman"/>
                <w:color w:val="auto"/>
                <w:sz w:val="21"/>
                <w:highlight w:val="none"/>
                <w:lang w:eastAsia="zh-CN"/>
              </w:rPr>
              <w:t>，采取浮选的方式进行选别。</w:t>
            </w:r>
          </w:p>
        </w:tc>
        <w:tc>
          <w:tcPr>
            <w:tcW w:w="892" w:type="dxa"/>
            <w:shd w:val="clear" w:color="auto" w:fill="auto"/>
            <w:vAlign w:val="center"/>
          </w:tcPr>
          <w:p w14:paraId="20D67F70">
            <w:pPr>
              <w:spacing w:line="360" w:lineRule="exact"/>
              <w:ind w:firstLine="0" w:firstLineChars="0"/>
              <w:jc w:val="center"/>
              <w:rPr>
                <w:rFonts w:hint="default" w:ascii="Times New Roman" w:hAnsi="Times New Roman" w:eastAsia="宋体" w:cs="Times New Roman"/>
                <w:color w:val="auto"/>
                <w:sz w:val="21"/>
                <w:highlight w:val="none"/>
                <w:lang w:eastAsia="zh-CN"/>
              </w:rPr>
            </w:pPr>
            <w:r>
              <w:rPr>
                <w:rFonts w:hint="default" w:ascii="Times New Roman" w:hAnsi="Times New Roman" w:cs="Times New Roman"/>
                <w:color w:val="auto"/>
                <w:sz w:val="21"/>
                <w:highlight w:val="none"/>
                <w:lang w:eastAsia="zh-CN"/>
              </w:rPr>
              <w:t>符合</w:t>
            </w:r>
          </w:p>
        </w:tc>
      </w:tr>
      <w:tr w14:paraId="6B158D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shd w:val="clear" w:color="auto" w:fill="auto"/>
            <w:vAlign w:val="center"/>
          </w:tcPr>
          <w:p w14:paraId="37AB637C">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环境保护</w:t>
            </w:r>
          </w:p>
        </w:tc>
        <w:tc>
          <w:tcPr>
            <w:tcW w:w="3795" w:type="dxa"/>
            <w:shd w:val="clear" w:color="auto" w:fill="auto"/>
            <w:vAlign w:val="center"/>
          </w:tcPr>
          <w:p w14:paraId="19445DC0">
            <w:pPr>
              <w:spacing w:line="360" w:lineRule="exact"/>
              <w:ind w:firstLine="0" w:firstLineChars="0"/>
              <w:jc w:val="both"/>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采选生产过程中应实施清洁生产，保护环境。污染物排放要符合国家《大气污染物综合排放标准》（GB16297-1996）、《污水综合排放标准》（GB8978-1996）、《一般工业固体废物贮存和填埋污染控制标准》（GB18599）的有关要求和有关地方标准的规定。</w:t>
            </w:r>
          </w:p>
        </w:tc>
        <w:tc>
          <w:tcPr>
            <w:tcW w:w="3413" w:type="dxa"/>
            <w:shd w:val="clear" w:color="auto" w:fill="auto"/>
            <w:vAlign w:val="center"/>
          </w:tcPr>
          <w:p w14:paraId="4A99E753">
            <w:pPr>
              <w:spacing w:line="360" w:lineRule="exact"/>
              <w:ind w:firstLine="0" w:firstLineChars="0"/>
              <w:jc w:val="both"/>
              <w:rPr>
                <w:rFonts w:hint="default" w:ascii="Times New Roman" w:hAnsi="Times New Roman" w:eastAsia="宋体" w:cs="Times New Roman"/>
                <w:color w:val="auto"/>
                <w:sz w:val="21"/>
                <w:highlight w:val="none"/>
                <w:lang w:eastAsia="zh-CN"/>
              </w:rPr>
            </w:pPr>
            <w:r>
              <w:rPr>
                <w:rFonts w:hint="default" w:ascii="Times New Roman" w:hAnsi="Times New Roman" w:cs="Times New Roman"/>
                <w:color w:val="auto"/>
                <w:sz w:val="21"/>
                <w:highlight w:val="none"/>
                <w:lang w:eastAsia="zh-CN"/>
              </w:rPr>
              <w:t>本项目运行后实施清洁生产审核</w:t>
            </w:r>
            <w:r>
              <w:rPr>
                <w:rFonts w:hint="eastAsia" w:cs="Times New Roman"/>
                <w:color w:val="auto"/>
                <w:sz w:val="21"/>
                <w:highlight w:val="none"/>
                <w:lang w:val="en-US" w:eastAsia="zh-CN"/>
              </w:rPr>
              <w:t>工作</w:t>
            </w:r>
            <w:r>
              <w:rPr>
                <w:rFonts w:hint="default" w:ascii="Times New Roman" w:hAnsi="Times New Roman" w:cs="Times New Roman"/>
                <w:color w:val="auto"/>
                <w:sz w:val="21"/>
                <w:highlight w:val="none"/>
                <w:lang w:eastAsia="zh-CN"/>
              </w:rPr>
              <w:t>。在采取有效污染防治措施后，本项目污染物排放符合国家和地方有关要求及标准的规定</w:t>
            </w:r>
            <w:r>
              <w:rPr>
                <w:rFonts w:hint="default" w:ascii="Times New Roman" w:hAnsi="Times New Roman" w:cs="Times New Roman"/>
                <w:color w:val="auto"/>
                <w:sz w:val="21"/>
                <w:highlight w:val="none"/>
                <w:lang w:val="en-US" w:eastAsia="zh-CN"/>
              </w:rPr>
              <w:t>。</w:t>
            </w:r>
          </w:p>
        </w:tc>
        <w:tc>
          <w:tcPr>
            <w:tcW w:w="892" w:type="dxa"/>
            <w:shd w:val="clear" w:color="auto" w:fill="auto"/>
            <w:vAlign w:val="center"/>
          </w:tcPr>
          <w:p w14:paraId="671CBBA4">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eastAsia="zh-CN"/>
              </w:rPr>
              <w:t>符合</w:t>
            </w:r>
          </w:p>
        </w:tc>
      </w:tr>
      <w:tr w14:paraId="5BE5D3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shd w:val="clear" w:color="auto" w:fill="auto"/>
            <w:vAlign w:val="center"/>
          </w:tcPr>
          <w:p w14:paraId="2640F472">
            <w:pPr>
              <w:spacing w:line="360" w:lineRule="exact"/>
              <w:ind w:firstLine="0" w:firstLineChars="0"/>
              <w:jc w:val="center"/>
              <w:rPr>
                <w:rFonts w:hint="default" w:ascii="Times New Roman" w:hAnsi="Times New Roman" w:cs="Times New Roman"/>
                <w:color w:val="auto"/>
                <w:sz w:val="21"/>
                <w:highlight w:val="none"/>
              </w:rPr>
            </w:pPr>
          </w:p>
        </w:tc>
        <w:tc>
          <w:tcPr>
            <w:tcW w:w="3795" w:type="dxa"/>
            <w:shd w:val="clear" w:color="auto" w:fill="auto"/>
            <w:vAlign w:val="center"/>
          </w:tcPr>
          <w:p w14:paraId="6F6AEFF8">
            <w:pPr>
              <w:spacing w:line="360" w:lineRule="exact"/>
              <w:ind w:firstLine="0" w:firstLineChars="0"/>
              <w:jc w:val="both"/>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企业必须按照环保、水土保持和耕地保护等要求，严格执行相关法律法规和标准规范，防止土壤污染，保护生态环境，严格执行土地复垦和生态恢复规定，履行土地复垦与生态恢复义务。</w:t>
            </w:r>
          </w:p>
        </w:tc>
        <w:tc>
          <w:tcPr>
            <w:tcW w:w="3413" w:type="dxa"/>
            <w:shd w:val="clear" w:color="auto" w:fill="auto"/>
            <w:vAlign w:val="center"/>
          </w:tcPr>
          <w:p w14:paraId="3EFC23A9">
            <w:pPr>
              <w:spacing w:line="360" w:lineRule="exact"/>
              <w:ind w:firstLine="0" w:firstLineChars="0"/>
              <w:jc w:val="both"/>
              <w:rPr>
                <w:rFonts w:hint="default" w:ascii="Times New Roman" w:hAnsi="Times New Roman" w:eastAsia="宋体" w:cs="Times New Roman"/>
                <w:color w:val="auto"/>
                <w:sz w:val="21"/>
                <w:highlight w:val="none"/>
                <w:lang w:eastAsia="zh-CN"/>
              </w:rPr>
            </w:pPr>
            <w:r>
              <w:rPr>
                <w:rFonts w:hint="default" w:ascii="Times New Roman" w:hAnsi="Times New Roman" w:cs="Times New Roman"/>
                <w:color w:val="auto"/>
                <w:sz w:val="21"/>
                <w:highlight w:val="none"/>
                <w:lang w:eastAsia="zh-CN"/>
              </w:rPr>
              <w:t>企业前期已开展</w:t>
            </w:r>
            <w:r>
              <w:rPr>
                <w:rFonts w:hint="default" w:ascii="Times New Roman" w:hAnsi="Times New Roman" w:cs="Times New Roman"/>
                <w:color w:val="auto"/>
                <w:sz w:val="21"/>
                <w:highlight w:val="none"/>
                <w:lang w:val="en-US" w:eastAsia="zh-CN"/>
              </w:rPr>
              <w:t>环评</w:t>
            </w:r>
            <w:r>
              <w:rPr>
                <w:rFonts w:hint="default" w:ascii="Times New Roman" w:hAnsi="Times New Roman" w:cs="Times New Roman"/>
                <w:color w:val="auto"/>
                <w:sz w:val="21"/>
                <w:highlight w:val="none"/>
                <w:lang w:eastAsia="zh-CN"/>
              </w:rPr>
              <w:t>、水土保持、土地复垦等相关报告的编制工作。</w:t>
            </w:r>
          </w:p>
        </w:tc>
        <w:tc>
          <w:tcPr>
            <w:tcW w:w="892" w:type="dxa"/>
            <w:shd w:val="clear" w:color="auto" w:fill="auto"/>
            <w:vAlign w:val="center"/>
          </w:tcPr>
          <w:p w14:paraId="652FFBFD">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eastAsia="zh-CN"/>
              </w:rPr>
              <w:t>符合</w:t>
            </w:r>
          </w:p>
        </w:tc>
      </w:tr>
    </w:tbl>
    <w:p w14:paraId="5C582A2F">
      <w:pPr>
        <w:widowControl/>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由</w:t>
      </w:r>
      <w:r>
        <w:rPr>
          <w:rFonts w:hint="default" w:ascii="Times New Roman" w:hAnsi="Times New Roman" w:cs="Times New Roman"/>
          <w:color w:val="auto"/>
          <w:highlight w:val="none"/>
          <w:lang w:eastAsia="zh-CN"/>
        </w:rPr>
        <w:t>上</w:t>
      </w:r>
      <w:r>
        <w:rPr>
          <w:rFonts w:hint="default" w:ascii="Times New Roman" w:hAnsi="Times New Roman" w:cs="Times New Roman"/>
          <w:color w:val="auto"/>
          <w:highlight w:val="none"/>
        </w:rPr>
        <w:t>表分析可知，本项目建设符合《</w:t>
      </w:r>
      <w:r>
        <w:rPr>
          <w:rFonts w:hint="default" w:ascii="Times New Roman" w:hAnsi="Times New Roman" w:cs="Times New Roman"/>
          <w:color w:val="auto"/>
          <w:highlight w:val="none"/>
          <w:lang w:val="en-US" w:eastAsia="zh-CN"/>
        </w:rPr>
        <w:t>萤石行业准入标准公告</w:t>
      </w:r>
      <w:r>
        <w:rPr>
          <w:rFonts w:hint="eastAsia" w:cs="Times New Roman"/>
          <w:color w:val="auto"/>
          <w:highlight w:val="none"/>
          <w:lang w:val="en-US" w:eastAsia="zh-CN"/>
        </w:rPr>
        <w:t>》</w:t>
      </w:r>
      <w:r>
        <w:rPr>
          <w:rFonts w:hint="default" w:ascii="Times New Roman" w:hAnsi="Times New Roman" w:cs="Times New Roman"/>
          <w:color w:val="auto"/>
          <w:highlight w:val="none"/>
        </w:rPr>
        <w:t>的相关要求。</w:t>
      </w:r>
    </w:p>
    <w:p w14:paraId="40CE21D7">
      <w:pPr>
        <w:pStyle w:val="3"/>
        <w:spacing w:line="560" w:lineRule="atLeast"/>
        <w:rPr>
          <w:rFonts w:hint="default" w:ascii="Times New Roman" w:hAnsi="Times New Roman" w:cs="Times New Roman"/>
          <w:color w:val="auto"/>
          <w:highlight w:val="none"/>
        </w:rPr>
      </w:pPr>
      <w:bookmarkStart w:id="50" w:name="_Toc107413874"/>
      <w:bookmarkStart w:id="51" w:name="_Toc14582"/>
      <w:bookmarkStart w:id="52" w:name="_Toc107414641"/>
      <w:bookmarkStart w:id="53" w:name="_Toc6774"/>
      <w:bookmarkStart w:id="54" w:name="_Toc30600"/>
      <w:bookmarkStart w:id="55" w:name="_Toc25649"/>
      <w:bookmarkStart w:id="56" w:name="_Toc12116"/>
      <w:r>
        <w:rPr>
          <w:rFonts w:hint="default" w:ascii="Times New Roman" w:hAnsi="Times New Roman" w:cs="Times New Roman"/>
          <w:color w:val="auto"/>
          <w:highlight w:val="none"/>
        </w:rPr>
        <w:t>1.4关注的主要环境问题及环境影响</w:t>
      </w:r>
      <w:bookmarkEnd w:id="50"/>
      <w:bookmarkEnd w:id="51"/>
      <w:bookmarkEnd w:id="52"/>
      <w:bookmarkEnd w:id="53"/>
      <w:bookmarkEnd w:id="54"/>
      <w:bookmarkEnd w:id="55"/>
      <w:bookmarkEnd w:id="56"/>
    </w:p>
    <w:p w14:paraId="2E2A6E3D">
      <w:pPr>
        <w:pStyle w:val="43"/>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highlight w:val="none"/>
        </w:rPr>
        <w:t>本项目运营期以废气、废水、固废排放为主要污染特征，其大气污染物处理措施合理性、生产废水闭路循环可行性、固体废物处置可行性等是减少项目建设对外环境污染的重点关注问题。还需重视项目施工及运营引发的环境影响能否满足区域环境功能，采取的污染防治措施能否保证各项污染物达标排放，项目环境风险是否可以接受。</w:t>
      </w:r>
    </w:p>
    <w:p w14:paraId="0622ADBB">
      <w:pPr>
        <w:pStyle w:val="3"/>
        <w:spacing w:line="560" w:lineRule="atLeast"/>
        <w:rPr>
          <w:rFonts w:hint="default" w:ascii="Times New Roman" w:hAnsi="Times New Roman" w:cs="Times New Roman"/>
          <w:color w:val="auto"/>
          <w:highlight w:val="none"/>
        </w:rPr>
      </w:pPr>
      <w:bookmarkStart w:id="57" w:name="_Toc5133"/>
      <w:bookmarkStart w:id="58" w:name="_Toc2314"/>
      <w:bookmarkStart w:id="59" w:name="_Toc17117"/>
      <w:bookmarkStart w:id="60" w:name="_Toc20694"/>
      <w:bookmarkStart w:id="61" w:name="_Toc13281"/>
      <w:bookmarkStart w:id="62" w:name="_Toc107414642"/>
      <w:bookmarkStart w:id="63" w:name="_Toc107413875"/>
      <w:r>
        <w:rPr>
          <w:rFonts w:hint="default" w:ascii="Times New Roman" w:hAnsi="Times New Roman" w:cs="Times New Roman"/>
          <w:color w:val="auto"/>
          <w:highlight w:val="none"/>
        </w:rPr>
        <w:t>1.5环境影响评价的主要结论</w:t>
      </w:r>
      <w:bookmarkEnd w:id="57"/>
      <w:bookmarkEnd w:id="58"/>
      <w:bookmarkEnd w:id="59"/>
      <w:bookmarkEnd w:id="60"/>
      <w:bookmarkEnd w:id="61"/>
      <w:bookmarkEnd w:id="62"/>
      <w:bookmarkEnd w:id="63"/>
    </w:p>
    <w:p w14:paraId="5756F149">
      <w:pPr>
        <w:pStyle w:val="44"/>
        <w:overflowPunct w:val="0"/>
        <w:topLinePunct/>
        <w:spacing w:after="0"/>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根据</w:t>
      </w:r>
      <w:r>
        <w:rPr>
          <w:rFonts w:hint="default" w:ascii="Times New Roman" w:hAnsi="Times New Roman" w:eastAsia="宋体" w:cs="Times New Roman"/>
          <w:color w:val="auto"/>
          <w:kern w:val="2"/>
          <w:sz w:val="24"/>
          <w:szCs w:val="20"/>
          <w:highlight w:val="none"/>
          <w:lang w:val="en-US" w:eastAsia="zh-CN" w:bidi="ar-SA"/>
        </w:rPr>
        <w:t>《产业结构调整指导目录（2024年本）》</w:t>
      </w:r>
      <w:r>
        <w:rPr>
          <w:rFonts w:hint="default" w:ascii="Times New Roman" w:hAnsi="Times New Roman" w:cs="Times New Roman"/>
          <w:color w:val="auto"/>
          <w:highlight w:val="none"/>
        </w:rPr>
        <w:t>，本项目属于名录</w:t>
      </w:r>
      <w:r>
        <w:rPr>
          <w:rFonts w:hint="default" w:ascii="Times New Roman" w:hAnsi="Times New Roman" w:cs="Times New Roman"/>
          <w:color w:val="auto"/>
          <w:highlight w:val="none"/>
          <w:lang w:val="en-US" w:eastAsia="zh-CN"/>
        </w:rPr>
        <w:t>中的中低品位萤石矿采选项目，属于鼓励类项目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本项目符合国家产业政策。</w:t>
      </w:r>
    </w:p>
    <w:p w14:paraId="28BCAFCC">
      <w:pPr>
        <w:pStyle w:val="44"/>
        <w:overflowPunct w:val="0"/>
        <w:topLinePunct/>
        <w:spacing w:after="0"/>
        <w:ind w:firstLine="480"/>
        <w:jc w:val="both"/>
        <w:rPr>
          <w:rFonts w:hint="default" w:ascii="Times New Roman" w:hAnsi="Times New Roman" w:cs="Times New Roman"/>
          <w:color w:val="auto"/>
          <w:highlight w:val="none"/>
          <w:shd w:val="clear" w:color="auto" w:fill="FFC000"/>
        </w:rPr>
      </w:pPr>
      <w:r>
        <w:rPr>
          <w:rFonts w:hint="default" w:ascii="Times New Roman" w:hAnsi="Times New Roman" w:cs="Times New Roman"/>
          <w:color w:val="auto"/>
          <w:highlight w:val="none"/>
        </w:rPr>
        <w:t>项目选址与空间布局符合性及污染防治与环境影响符合性，满足</w:t>
      </w:r>
      <w:r>
        <w:rPr>
          <w:rFonts w:hint="default" w:ascii="Times New Roman" w:hAnsi="Times New Roman" w:cs="Times New Roman"/>
          <w:color w:val="auto"/>
          <w:highlight w:val="none"/>
          <w:lang w:val="en-US" w:eastAsia="zh-CN"/>
        </w:rPr>
        <w:t>《新疆维吾尔自治区矿产资源总体规划（2021-2025年）</w:t>
      </w:r>
      <w:r>
        <w:rPr>
          <w:rFonts w:hint="eastAsia" w:ascii="Times New Roman" w:cs="Times New Roman"/>
          <w:color w:val="auto"/>
          <w:highlight w:val="none"/>
          <w:lang w:val="en-US" w:eastAsia="zh-CN"/>
        </w:rPr>
        <w:t>》和</w:t>
      </w:r>
      <w:r>
        <w:rPr>
          <w:rFonts w:hint="default" w:ascii="Times New Roman" w:hAnsi="Times New Roman" w:cs="Times New Roman"/>
          <w:color w:val="auto"/>
          <w:highlight w:val="none"/>
        </w:rPr>
        <w:t>《新疆维吾尔自治区重点行业生态环境准入条件（2024年）》</w:t>
      </w:r>
      <w:r>
        <w:rPr>
          <w:rFonts w:hint="default" w:ascii="Times New Roman" w:hAnsi="Times New Roman" w:cs="Times New Roman"/>
          <w:color w:val="auto"/>
          <w:highlight w:val="none"/>
          <w:lang w:val="en-US" w:eastAsia="zh-CN"/>
        </w:rPr>
        <w:t>中</w:t>
      </w:r>
      <w:r>
        <w:rPr>
          <w:rFonts w:hint="default" w:ascii="Times New Roman" w:hAnsi="Times New Roman" w:cs="Times New Roman"/>
          <w:color w:val="auto"/>
          <w:highlight w:val="none"/>
        </w:rPr>
        <w:t>的有关要求。</w:t>
      </w:r>
    </w:p>
    <w:p w14:paraId="235B4AD8">
      <w:pPr>
        <w:pStyle w:val="44"/>
        <w:overflowPunct w:val="0"/>
        <w:topLinePunct/>
        <w:spacing w:after="0"/>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符合清洁生产要求，本次评价要求建设单位积极开展清洁生产审核工作，采用国内先进的工艺设备，提高工业水重复利用率，加强尾矿综合利用，按照清洁生产二级标准执行环境管理工作；项目产生的各类废物污染物均采取了有效的防治措施，可达标排放并符合污染物总量控制要求，经预测本项目投产后对周围环境影响较小；环境风险水平在可接受程度内；公众参与调查工作中，未收到公众对该项目的反馈意见。建设单位应加强环保设施的运行维护和管理，保证各种环保设施的正常运行和污染物长期稳定达标排放。在落实并保证以上条件实施的前提下，从</w:t>
      </w:r>
      <w:r>
        <w:rPr>
          <w:rFonts w:hint="eastAsia" w:ascii="Times New Roman" w:cs="Times New Roman"/>
          <w:color w:val="auto"/>
          <w:highlight w:val="none"/>
          <w:lang w:val="en-US" w:eastAsia="zh-CN"/>
        </w:rPr>
        <w:t>生态环境保护</w:t>
      </w:r>
      <w:r>
        <w:rPr>
          <w:rFonts w:hint="default" w:ascii="Times New Roman" w:hAnsi="Times New Roman" w:cs="Times New Roman"/>
          <w:color w:val="auto"/>
          <w:highlight w:val="none"/>
        </w:rPr>
        <w:t>角度分析，该项目的建设是可行的。</w:t>
      </w:r>
    </w:p>
    <w:p w14:paraId="24930CE7">
      <w:pPr>
        <w:pStyle w:val="45"/>
        <w:rPr>
          <w:rFonts w:hint="default" w:ascii="Times New Roman" w:hAnsi="Times New Roman" w:cs="Times New Roman"/>
          <w:color w:val="auto"/>
          <w:highlight w:val="none"/>
        </w:rPr>
      </w:pPr>
    </w:p>
    <w:p w14:paraId="2094CA26">
      <w:pPr>
        <w:autoSpaceDE w:val="0"/>
        <w:autoSpaceDN w:val="0"/>
        <w:adjustRightInd w:val="0"/>
        <w:spacing w:line="560" w:lineRule="exact"/>
        <w:ind w:firstLine="480"/>
        <w:rPr>
          <w:rFonts w:hint="default" w:ascii="Times New Roman" w:hAnsi="Times New Roman" w:cs="Times New Roman"/>
          <w:color w:val="auto"/>
          <w:highlight w:val="none"/>
        </w:rPr>
        <w:sectPr>
          <w:pgSz w:w="11907" w:h="16840"/>
          <w:pgMar w:top="1440" w:right="1797" w:bottom="1440" w:left="1797" w:header="851" w:footer="964" w:gutter="0"/>
          <w:pgBorders>
            <w:top w:val="none" w:sz="0" w:space="0"/>
            <w:left w:val="none" w:sz="0" w:space="0"/>
            <w:bottom w:val="none" w:sz="0" w:space="0"/>
            <w:right w:val="none" w:sz="0" w:space="0"/>
          </w:pgBorders>
          <w:pgNumType w:fmt="decimal"/>
          <w:cols w:space="425" w:num="1"/>
          <w:docGrid w:linePitch="312" w:charSpace="0"/>
        </w:sectPr>
      </w:pPr>
    </w:p>
    <w:p w14:paraId="6F2EB1A8">
      <w:pPr>
        <w:pStyle w:val="2"/>
        <w:spacing w:line="720" w:lineRule="exact"/>
        <w:rPr>
          <w:rFonts w:hint="default" w:ascii="Times New Roman" w:hAnsi="Times New Roman" w:cs="Times New Roman"/>
          <w:color w:val="auto"/>
          <w:highlight w:val="none"/>
        </w:rPr>
      </w:pPr>
      <w:bookmarkStart w:id="64" w:name="_Toc31238"/>
      <w:bookmarkStart w:id="65" w:name="_Toc5046"/>
      <w:bookmarkStart w:id="66" w:name="_Toc9287"/>
      <w:bookmarkStart w:id="67" w:name="_Toc20555"/>
      <w:bookmarkStart w:id="68" w:name="_Toc107413876"/>
      <w:bookmarkStart w:id="69" w:name="_Toc107414643"/>
      <w:bookmarkStart w:id="70" w:name="_Toc20670"/>
      <w:r>
        <w:rPr>
          <w:rFonts w:hint="default" w:ascii="Times New Roman" w:hAnsi="Times New Roman" w:cs="Times New Roman"/>
          <w:color w:val="auto"/>
          <w:highlight w:val="none"/>
        </w:rPr>
        <w:t>2总则</w:t>
      </w:r>
      <w:bookmarkEnd w:id="64"/>
      <w:bookmarkEnd w:id="65"/>
      <w:bookmarkEnd w:id="66"/>
      <w:bookmarkEnd w:id="67"/>
      <w:bookmarkEnd w:id="68"/>
      <w:bookmarkEnd w:id="69"/>
      <w:bookmarkEnd w:id="70"/>
    </w:p>
    <w:p w14:paraId="5D95653C">
      <w:pPr>
        <w:pStyle w:val="3"/>
        <w:rPr>
          <w:rFonts w:hint="default" w:ascii="Times New Roman" w:hAnsi="Times New Roman" w:cs="Times New Roman"/>
          <w:color w:val="auto"/>
          <w:highlight w:val="none"/>
        </w:rPr>
      </w:pPr>
      <w:bookmarkStart w:id="71" w:name="_Toc312148931"/>
      <w:bookmarkStart w:id="72" w:name="_Toc475111950"/>
      <w:bookmarkStart w:id="73" w:name="_Toc107413877"/>
      <w:bookmarkStart w:id="74" w:name="_Toc11946"/>
      <w:bookmarkStart w:id="75" w:name="_Toc107414644"/>
      <w:bookmarkStart w:id="76" w:name="_Toc16457"/>
      <w:bookmarkStart w:id="77" w:name="_Toc22808"/>
      <w:bookmarkStart w:id="78" w:name="_Toc3671"/>
      <w:bookmarkStart w:id="79" w:name="_Toc23503"/>
      <w:bookmarkStart w:id="80" w:name="_Toc2817"/>
      <w:bookmarkStart w:id="81" w:name="_Toc27409"/>
      <w:bookmarkStart w:id="82" w:name="_Toc24626"/>
      <w:bookmarkStart w:id="83" w:name="_Toc1972"/>
      <w:bookmarkStart w:id="84" w:name="_Toc24352"/>
      <w:bookmarkStart w:id="85" w:name="_Toc27448"/>
      <w:bookmarkStart w:id="86" w:name="_Toc29099"/>
      <w:bookmarkStart w:id="87" w:name="_Toc1176"/>
      <w:bookmarkStart w:id="88" w:name="_Toc5693"/>
      <w:bookmarkStart w:id="89" w:name="_Toc650"/>
      <w:bookmarkStart w:id="90" w:name="_Toc14873"/>
      <w:bookmarkStart w:id="91" w:name="_Toc7119"/>
      <w:bookmarkStart w:id="92" w:name="_Toc10163"/>
      <w:r>
        <w:rPr>
          <w:rFonts w:hint="default" w:ascii="Times New Roman" w:hAnsi="Times New Roman" w:cs="Times New Roman"/>
          <w:color w:val="auto"/>
          <w:highlight w:val="none"/>
        </w:rPr>
        <w:t>2.1评价</w:t>
      </w:r>
      <w:bookmarkEnd w:id="71"/>
      <w:r>
        <w:rPr>
          <w:rFonts w:hint="default" w:ascii="Times New Roman" w:hAnsi="Times New Roman" w:cs="Times New Roman"/>
          <w:color w:val="auto"/>
          <w:highlight w:val="none"/>
        </w:rPr>
        <w:t>原则与</w:t>
      </w:r>
      <w:bookmarkEnd w:id="72"/>
      <w:r>
        <w:rPr>
          <w:rFonts w:hint="default" w:ascii="Times New Roman" w:hAnsi="Times New Roman" w:cs="Times New Roman"/>
          <w:color w:val="auto"/>
          <w:highlight w:val="none"/>
        </w:rPr>
        <w:t>目的</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30DAF0A4">
      <w:pPr>
        <w:pStyle w:val="4"/>
        <w:rPr>
          <w:rFonts w:hint="default" w:ascii="Times New Roman" w:hAnsi="Times New Roman" w:cs="Times New Roman"/>
          <w:color w:val="auto"/>
          <w:highlight w:val="none"/>
        </w:rPr>
      </w:pPr>
      <w:bookmarkStart w:id="93" w:name="_Toc30249"/>
      <w:bookmarkStart w:id="94" w:name="_Toc4690"/>
      <w:bookmarkStart w:id="95" w:name="_Toc14651"/>
      <w:bookmarkStart w:id="96" w:name="_Toc27705"/>
      <w:bookmarkStart w:id="97" w:name="_Toc10657"/>
      <w:r>
        <w:rPr>
          <w:rFonts w:hint="default" w:ascii="Times New Roman" w:hAnsi="Times New Roman" w:cs="Times New Roman"/>
          <w:color w:val="auto"/>
          <w:highlight w:val="none"/>
        </w:rPr>
        <w:t>2.1.1评价原则</w:t>
      </w:r>
      <w:bookmarkEnd w:id="93"/>
      <w:bookmarkEnd w:id="94"/>
      <w:bookmarkEnd w:id="95"/>
      <w:bookmarkEnd w:id="96"/>
      <w:bookmarkEnd w:id="97"/>
    </w:p>
    <w:p w14:paraId="44483262">
      <w:pPr>
        <w:overflowPunct w:val="0"/>
        <w:topLinePunct/>
        <w:ind w:firstLine="480"/>
        <w:rPr>
          <w:rFonts w:hint="default" w:ascii="Times New Roman" w:hAnsi="Times New Roman" w:cs="Times New Roman"/>
          <w:color w:val="auto"/>
          <w:highlight w:val="none"/>
        </w:rPr>
      </w:pPr>
      <w:bookmarkStart w:id="98" w:name="_Toc384828343"/>
      <w:r>
        <w:rPr>
          <w:rFonts w:hint="default" w:ascii="Times New Roman" w:hAnsi="Times New Roman" w:cs="Times New Roman"/>
          <w:color w:val="auto"/>
          <w:highlight w:val="none"/>
        </w:rPr>
        <w:t>突出环境影响评价的源头预防作用，坚持保护和改善环境质量。</w:t>
      </w:r>
    </w:p>
    <w:p w14:paraId="5590F43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（1）依法评价</w:t>
      </w:r>
    </w:p>
    <w:p w14:paraId="12B4D9E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贯彻执行我国环境保护相关法律法规、标准、政策和规划等，优化项目建设，服务环境管理。</w:t>
      </w:r>
    </w:p>
    <w:p w14:paraId="7EA8BF2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（2）科学评价</w:t>
      </w:r>
    </w:p>
    <w:p w14:paraId="278680D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规范环境影响评价方法，科学分析项目建设对环境质量的影响。</w:t>
      </w:r>
    </w:p>
    <w:p w14:paraId="0916928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（3）突出重点</w:t>
      </w:r>
    </w:p>
    <w:p w14:paraId="3FC3D94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根据建设项目的工程内容及其特点，明确与环境要素间的作用效应关系，充分利用符合时效的数据资料及成果，对建设项目主要环境影响予以重点分析和评价。</w:t>
      </w:r>
    </w:p>
    <w:p w14:paraId="1D4F40D4">
      <w:pPr>
        <w:pStyle w:val="4"/>
        <w:rPr>
          <w:rFonts w:hint="default" w:ascii="Times New Roman" w:hAnsi="Times New Roman" w:cs="Times New Roman"/>
          <w:color w:val="auto"/>
          <w:highlight w:val="none"/>
        </w:rPr>
      </w:pPr>
      <w:bookmarkStart w:id="99" w:name="_Toc12557"/>
      <w:bookmarkStart w:id="100" w:name="_Toc26663"/>
      <w:bookmarkStart w:id="101" w:name="_Toc17480"/>
      <w:bookmarkStart w:id="102" w:name="_Toc29884"/>
      <w:bookmarkStart w:id="103" w:name="_Toc12265"/>
      <w:bookmarkStart w:id="104" w:name="_Toc13743"/>
      <w:bookmarkStart w:id="105" w:name="_Toc6915"/>
      <w:bookmarkStart w:id="106" w:name="_Toc32653"/>
      <w:bookmarkStart w:id="107" w:name="_Toc11031"/>
      <w:r>
        <w:rPr>
          <w:rFonts w:hint="default" w:ascii="Times New Roman" w:hAnsi="Times New Roman" w:cs="Times New Roman"/>
          <w:color w:val="auto"/>
          <w:highlight w:val="none"/>
        </w:rPr>
        <w:t>2.1.2评价</w:t>
      </w:r>
      <w:bookmarkEnd w:id="98"/>
      <w:r>
        <w:rPr>
          <w:rFonts w:hint="default" w:ascii="Times New Roman" w:hAnsi="Times New Roman" w:cs="Times New Roman"/>
          <w:color w:val="auto"/>
          <w:highlight w:val="none"/>
        </w:rPr>
        <w:t>目的</w:t>
      </w:r>
      <w:bookmarkEnd w:id="99"/>
      <w:bookmarkEnd w:id="100"/>
      <w:bookmarkEnd w:id="101"/>
      <w:bookmarkEnd w:id="102"/>
      <w:bookmarkEnd w:id="103"/>
      <w:bookmarkEnd w:id="104"/>
      <w:bookmarkEnd w:id="105"/>
      <w:bookmarkEnd w:id="106"/>
      <w:bookmarkEnd w:id="107"/>
    </w:p>
    <w:p w14:paraId="7E22CF3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（1）通过现场调查、资料收集及环境监测，了解项目所在地自然环境、社会经济环境、环境质量现状以及存在的主要环境问题。</w:t>
      </w:r>
    </w:p>
    <w:p w14:paraId="389754A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通过工程分析，明确建设项目的主要环境影响，筛选对环境造成影响的因子，尤其关注建设项目产生的主要污染因子。并通过类比调查、物料衡算，核算污染源源强，预测项目建设对环境影响的程度与范围。</w:t>
      </w:r>
    </w:p>
    <w:p w14:paraId="0A8BE35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（3）从工艺着手，分析生产工艺、生产设备及原辅材料的消耗，掌握主要污染源及排放状况。</w:t>
      </w:r>
    </w:p>
    <w:p w14:paraId="0D5981D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（4）通过分析和计算，预测污染物排放对周围环境的影响程度，判断其是否满足环境质量标准和总量控制要求。</w:t>
      </w:r>
    </w:p>
    <w:p w14:paraId="37047BB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（5）从技术、经济角度分析拟采取的环保措施的可行性，为工程环保措施的设计和环境管理提供依据。</w:t>
      </w:r>
    </w:p>
    <w:p w14:paraId="39D36FF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（6）从环保法规、产业政策、环境特点、污染防治等方面进行综合分析，对拟建项目的环境可行性做出明确结论，为项目的决策、污染控制和环境管理提供科学依据。</w:t>
      </w:r>
    </w:p>
    <w:p w14:paraId="27231F44">
      <w:pPr>
        <w:pStyle w:val="3"/>
        <w:spacing w:line="560" w:lineRule="atLeast"/>
        <w:rPr>
          <w:rFonts w:hint="default" w:ascii="Times New Roman" w:hAnsi="Times New Roman" w:cs="Times New Roman"/>
          <w:color w:val="auto"/>
          <w:highlight w:val="none"/>
        </w:rPr>
      </w:pPr>
      <w:bookmarkStart w:id="108" w:name="_Toc28811"/>
      <w:bookmarkStart w:id="109" w:name="_Toc107413878"/>
      <w:bookmarkStart w:id="110" w:name="_Toc21338"/>
      <w:bookmarkStart w:id="111" w:name="_Toc107414645"/>
      <w:bookmarkStart w:id="112" w:name="_Toc6758"/>
      <w:bookmarkStart w:id="113" w:name="_Toc3095"/>
      <w:bookmarkStart w:id="114" w:name="_Toc19680"/>
      <w:r>
        <w:rPr>
          <w:rFonts w:hint="default" w:ascii="Times New Roman" w:hAnsi="Times New Roman" w:cs="Times New Roman"/>
          <w:color w:val="auto"/>
          <w:highlight w:val="none"/>
        </w:rPr>
        <w:t>2.2编制依据</w:t>
      </w:r>
      <w:bookmarkEnd w:id="108"/>
      <w:bookmarkEnd w:id="109"/>
      <w:bookmarkEnd w:id="110"/>
      <w:bookmarkEnd w:id="111"/>
      <w:bookmarkEnd w:id="112"/>
      <w:bookmarkEnd w:id="113"/>
      <w:bookmarkEnd w:id="114"/>
    </w:p>
    <w:p w14:paraId="2C2A6711">
      <w:pPr>
        <w:pStyle w:val="4"/>
        <w:rPr>
          <w:rFonts w:hint="default" w:ascii="Times New Roman" w:hAnsi="Times New Roman" w:cs="Times New Roman"/>
          <w:color w:val="auto"/>
          <w:highlight w:val="none"/>
        </w:rPr>
      </w:pPr>
      <w:bookmarkStart w:id="115" w:name="_Toc19960"/>
      <w:bookmarkStart w:id="116" w:name="_Toc23138"/>
      <w:bookmarkStart w:id="117" w:name="_Toc27672"/>
      <w:r>
        <w:rPr>
          <w:rFonts w:hint="default" w:ascii="Times New Roman" w:hAnsi="Times New Roman" w:cs="Times New Roman"/>
          <w:color w:val="auto"/>
          <w:highlight w:val="none"/>
        </w:rPr>
        <w:t>2.2.1国家及地方有关</w:t>
      </w:r>
      <w:r>
        <w:rPr>
          <w:rFonts w:hint="eastAsia" w:cs="Times New Roman"/>
          <w:color w:val="auto"/>
          <w:highlight w:val="none"/>
          <w:lang w:eastAsia="zh-CN"/>
        </w:rPr>
        <w:t>法律法规</w:t>
      </w:r>
      <w:r>
        <w:rPr>
          <w:rFonts w:hint="default" w:ascii="Times New Roman" w:hAnsi="Times New Roman" w:cs="Times New Roman"/>
          <w:color w:val="auto"/>
          <w:highlight w:val="none"/>
        </w:rPr>
        <w:t>和规章</w:t>
      </w:r>
      <w:bookmarkEnd w:id="115"/>
      <w:bookmarkEnd w:id="116"/>
      <w:bookmarkEnd w:id="117"/>
    </w:p>
    <w:tbl>
      <w:tblPr>
        <w:tblStyle w:val="33"/>
        <w:tblW w:w="501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426"/>
        <w:gridCol w:w="4437"/>
        <w:gridCol w:w="2321"/>
        <w:gridCol w:w="1182"/>
      </w:tblGrid>
      <w:tr w14:paraId="5CCE39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255" w:type="pct"/>
            <w:tcBorders>
              <w:tl2br w:val="nil"/>
              <w:tr2bl w:val="nil"/>
            </w:tcBorders>
            <w:vAlign w:val="center"/>
          </w:tcPr>
          <w:p w14:paraId="17609483">
            <w:pPr>
              <w:pStyle w:val="47"/>
              <w:spacing w:before="0" w:beforeAutospacing="0" w:line="360" w:lineRule="exact"/>
              <w:ind w:firstLine="0" w:firstLineChars="0"/>
              <w:jc w:val="center"/>
              <w:rPr>
                <w:rFonts w:hint="default" w:ascii="Times New Roman" w:hAnsi="Times New Roman" w:cs="Times New Roman"/>
                <w:b/>
                <w:bCs/>
                <w:color w:val="auto"/>
                <w:sz w:val="21"/>
                <w:szCs w:val="21"/>
                <w:highlight w:val="none"/>
              </w:rPr>
            </w:pPr>
            <w:bookmarkStart w:id="118" w:name="_Toc32434"/>
            <w:bookmarkStart w:id="119" w:name="_Toc27197"/>
            <w:bookmarkStart w:id="120" w:name="_Toc29643"/>
            <w:r>
              <w:rPr>
                <w:rFonts w:hint="default" w:ascii="Times New Roman" w:hAnsi="Times New Roman" w:cs="Times New Roman"/>
                <w:b/>
                <w:bCs/>
                <w:color w:val="auto"/>
                <w:sz w:val="21"/>
                <w:szCs w:val="21"/>
                <w:highlight w:val="none"/>
              </w:rPr>
              <w:t>序号</w:t>
            </w:r>
          </w:p>
        </w:tc>
        <w:tc>
          <w:tcPr>
            <w:tcW w:w="2651" w:type="pct"/>
            <w:tcBorders>
              <w:tl2br w:val="nil"/>
              <w:tr2bl w:val="nil"/>
            </w:tcBorders>
            <w:vAlign w:val="center"/>
          </w:tcPr>
          <w:p w14:paraId="0B3F39D7">
            <w:pPr>
              <w:pStyle w:val="47"/>
              <w:spacing w:before="0" w:beforeAutospacing="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依据名称</w:t>
            </w:r>
          </w:p>
        </w:tc>
        <w:tc>
          <w:tcPr>
            <w:tcW w:w="1387" w:type="pct"/>
            <w:tcBorders>
              <w:tl2br w:val="nil"/>
              <w:tr2bl w:val="nil"/>
            </w:tcBorders>
            <w:vAlign w:val="center"/>
          </w:tcPr>
          <w:p w14:paraId="786D840A">
            <w:pPr>
              <w:pStyle w:val="47"/>
              <w:spacing w:before="0" w:beforeAutospacing="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会议、主席令、文号</w:t>
            </w:r>
          </w:p>
        </w:tc>
        <w:tc>
          <w:tcPr>
            <w:tcW w:w="705" w:type="pct"/>
            <w:tcBorders>
              <w:tl2br w:val="nil"/>
              <w:tr2bl w:val="nil"/>
            </w:tcBorders>
            <w:vAlign w:val="center"/>
          </w:tcPr>
          <w:p w14:paraId="34991205">
            <w:pPr>
              <w:pStyle w:val="47"/>
              <w:spacing w:before="0" w:beforeAutospacing="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实施时间</w:t>
            </w:r>
          </w:p>
        </w:tc>
      </w:tr>
      <w:tr w14:paraId="174D33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1129EC55">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w w:val="99"/>
                <w:sz w:val="21"/>
                <w:szCs w:val="21"/>
                <w:highlight w:val="none"/>
              </w:rPr>
              <w:t>一</w:t>
            </w:r>
          </w:p>
        </w:tc>
        <w:tc>
          <w:tcPr>
            <w:tcW w:w="4744" w:type="pct"/>
            <w:gridSpan w:val="3"/>
            <w:tcBorders>
              <w:tl2br w:val="nil"/>
              <w:tr2bl w:val="nil"/>
            </w:tcBorders>
            <w:vAlign w:val="center"/>
          </w:tcPr>
          <w:p w14:paraId="2F0ABAAF">
            <w:pPr>
              <w:spacing w:line="360" w:lineRule="exact"/>
              <w:ind w:firstLine="0" w:firstLineChars="0"/>
              <w:jc w:val="center"/>
              <w:rPr>
                <w:rFonts w:hint="default" w:ascii="Times New Roman" w:hAnsi="Times New Roman" w:cs="Times New Roman"/>
                <w:color w:val="auto"/>
                <w:sz w:val="21"/>
                <w:szCs w:val="21"/>
                <w:highlight w:val="none"/>
              </w:rPr>
            </w:pPr>
            <w:r>
              <w:rPr>
                <w:rFonts w:hint="eastAsia" w:cs="Times New Roman"/>
                <w:b/>
                <w:bCs/>
                <w:color w:val="auto"/>
                <w:sz w:val="21"/>
                <w:szCs w:val="21"/>
                <w:highlight w:val="none"/>
                <w:lang w:eastAsia="zh-CN"/>
              </w:rPr>
              <w:t>法律法规</w:t>
            </w:r>
            <w:r>
              <w:rPr>
                <w:rFonts w:hint="default" w:ascii="Times New Roman" w:hAnsi="Times New Roman" w:cs="Times New Roman"/>
                <w:b/>
                <w:bCs/>
                <w:color w:val="auto"/>
                <w:sz w:val="21"/>
                <w:szCs w:val="21"/>
                <w:highlight w:val="none"/>
              </w:rPr>
              <w:t>、条例</w:t>
            </w:r>
          </w:p>
        </w:tc>
      </w:tr>
      <w:tr w14:paraId="126672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38" w:hRule="atLeast"/>
          <w:jc w:val="center"/>
        </w:trPr>
        <w:tc>
          <w:tcPr>
            <w:tcW w:w="255" w:type="pct"/>
            <w:tcBorders>
              <w:tl2br w:val="nil"/>
              <w:tr2bl w:val="nil"/>
            </w:tcBorders>
            <w:vAlign w:val="center"/>
          </w:tcPr>
          <w:p w14:paraId="52226B3B">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1</w:t>
            </w:r>
          </w:p>
        </w:tc>
        <w:tc>
          <w:tcPr>
            <w:tcW w:w="2651" w:type="pct"/>
            <w:tcBorders>
              <w:tl2br w:val="nil"/>
              <w:tr2bl w:val="nil"/>
            </w:tcBorders>
            <w:vAlign w:val="center"/>
          </w:tcPr>
          <w:p w14:paraId="296BAB33">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中华人民共和国突发事件应对法</w:t>
            </w:r>
          </w:p>
        </w:tc>
        <w:tc>
          <w:tcPr>
            <w:tcW w:w="1387" w:type="pct"/>
            <w:tcBorders>
              <w:tl2br w:val="nil"/>
              <w:tr2bl w:val="nil"/>
            </w:tcBorders>
            <w:vAlign w:val="center"/>
          </w:tcPr>
          <w:p w14:paraId="59EC74B5">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1</w:t>
            </w:r>
            <w:r>
              <w:rPr>
                <w:rFonts w:hint="default" w:ascii="Times New Roman" w:hAnsi="Times New Roman" w:eastAsia="等线" w:cs="Times New Roman"/>
                <w:color w:val="auto"/>
                <w:sz w:val="21"/>
                <w:szCs w:val="21"/>
                <w:highlight w:val="none"/>
                <w:woUserID w:val="1"/>
              </w:rPr>
              <w:t>4</w:t>
            </w:r>
            <w:r>
              <w:rPr>
                <w:rFonts w:hint="default" w:ascii="Times New Roman" w:hAnsi="Times New Roman" w:cs="Times New Roman"/>
                <w:color w:val="auto"/>
                <w:sz w:val="21"/>
                <w:szCs w:val="21"/>
                <w:highlight w:val="none"/>
              </w:rPr>
              <w:t>届人大第</w:t>
            </w:r>
            <w:r>
              <w:rPr>
                <w:rFonts w:hint="default" w:ascii="Times New Roman" w:hAnsi="Times New Roman" w:cs="Times New Roman"/>
                <w:color w:val="auto"/>
                <w:sz w:val="21"/>
                <w:szCs w:val="21"/>
                <w:highlight w:val="none"/>
                <w:woUserID w:val="1"/>
              </w:rPr>
              <w:t>10</w:t>
            </w:r>
            <w:r>
              <w:rPr>
                <w:rFonts w:hint="default" w:ascii="Times New Roman" w:hAnsi="Times New Roman" w:cs="Times New Roman"/>
                <w:color w:val="auto"/>
                <w:sz w:val="21"/>
                <w:szCs w:val="21"/>
                <w:highlight w:val="none"/>
              </w:rPr>
              <w:t>次会议</w:t>
            </w:r>
          </w:p>
        </w:tc>
        <w:tc>
          <w:tcPr>
            <w:tcW w:w="705" w:type="pct"/>
            <w:tcBorders>
              <w:tl2br w:val="nil"/>
              <w:tr2bl w:val="nil"/>
            </w:tcBorders>
            <w:vAlign w:val="center"/>
          </w:tcPr>
          <w:p w14:paraId="30680C8B">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woUserID w:val="1"/>
              </w:rPr>
            </w:pPr>
            <w:r>
              <w:rPr>
                <w:rFonts w:hint="default" w:ascii="Times New Roman" w:hAnsi="Times New Roman" w:eastAsia="等线" w:cs="Times New Roman"/>
                <w:color w:val="auto"/>
                <w:sz w:val="21"/>
                <w:szCs w:val="21"/>
                <w:highlight w:val="none"/>
              </w:rPr>
              <w:t>20</w:t>
            </w:r>
            <w:r>
              <w:rPr>
                <w:rFonts w:hint="default" w:ascii="Times New Roman" w:hAnsi="Times New Roman" w:eastAsia="等线" w:cs="Times New Roman"/>
                <w:color w:val="auto"/>
                <w:sz w:val="21"/>
                <w:szCs w:val="21"/>
                <w:highlight w:val="none"/>
                <w:woUserID w:val="1"/>
              </w:rPr>
              <w:t>24</w:t>
            </w:r>
            <w:r>
              <w:rPr>
                <w:rFonts w:hint="default" w:ascii="Times New Roman" w:hAnsi="Times New Roman" w:eastAsia="等线" w:cs="Times New Roman"/>
                <w:color w:val="auto"/>
                <w:sz w:val="21"/>
                <w:szCs w:val="21"/>
                <w:highlight w:val="none"/>
              </w:rPr>
              <w:t>-</w:t>
            </w:r>
            <w:r>
              <w:rPr>
                <w:rFonts w:hint="default" w:ascii="Times New Roman" w:hAnsi="Times New Roman" w:eastAsia="等线" w:cs="Times New Roman"/>
                <w:color w:val="auto"/>
                <w:sz w:val="21"/>
                <w:szCs w:val="21"/>
                <w:highlight w:val="none"/>
                <w:woUserID w:val="1"/>
              </w:rPr>
              <w:t>11</w:t>
            </w:r>
            <w:r>
              <w:rPr>
                <w:rFonts w:hint="default" w:ascii="Times New Roman" w:hAnsi="Times New Roman" w:eastAsia="等线" w:cs="Times New Roman"/>
                <w:color w:val="auto"/>
                <w:sz w:val="21"/>
                <w:szCs w:val="21"/>
                <w:highlight w:val="none"/>
              </w:rPr>
              <w:t>-</w:t>
            </w:r>
            <w:r>
              <w:rPr>
                <w:rFonts w:hint="default" w:ascii="Times New Roman" w:hAnsi="Times New Roman" w:eastAsia="等线" w:cs="Times New Roman"/>
                <w:color w:val="auto"/>
                <w:sz w:val="21"/>
                <w:szCs w:val="21"/>
                <w:highlight w:val="none"/>
                <w:woUserID w:val="1"/>
              </w:rPr>
              <w:t>01</w:t>
            </w:r>
          </w:p>
        </w:tc>
      </w:tr>
      <w:tr w14:paraId="4B7B82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62D48F51">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w:t>
            </w:r>
          </w:p>
        </w:tc>
        <w:tc>
          <w:tcPr>
            <w:tcW w:w="2651" w:type="pct"/>
            <w:tcBorders>
              <w:tl2br w:val="nil"/>
              <w:tr2bl w:val="nil"/>
            </w:tcBorders>
            <w:vAlign w:val="center"/>
          </w:tcPr>
          <w:p w14:paraId="74291D33">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中华人民共和国矿产资源法</w:t>
            </w:r>
          </w:p>
        </w:tc>
        <w:tc>
          <w:tcPr>
            <w:tcW w:w="1387" w:type="pct"/>
            <w:tcBorders>
              <w:tl2br w:val="nil"/>
              <w:tr2bl w:val="nil"/>
            </w:tcBorders>
            <w:vAlign w:val="center"/>
          </w:tcPr>
          <w:p w14:paraId="42AA64B0">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1</w:t>
            </w:r>
            <w:r>
              <w:rPr>
                <w:rFonts w:hint="default" w:ascii="Times New Roman" w:hAnsi="Times New Roman" w:eastAsia="等线" w:cs="Times New Roman"/>
                <w:color w:val="auto"/>
                <w:sz w:val="21"/>
                <w:szCs w:val="21"/>
                <w:highlight w:val="none"/>
                <w:woUserID w:val="1"/>
              </w:rPr>
              <w:t>4</w:t>
            </w:r>
            <w:r>
              <w:rPr>
                <w:rFonts w:hint="default" w:ascii="Times New Roman" w:hAnsi="Times New Roman" w:cs="Times New Roman"/>
                <w:color w:val="auto"/>
                <w:sz w:val="21"/>
                <w:szCs w:val="21"/>
                <w:highlight w:val="none"/>
              </w:rPr>
              <w:t>届人大第</w:t>
            </w:r>
            <w:r>
              <w:rPr>
                <w:rFonts w:hint="default" w:ascii="Times New Roman" w:hAnsi="Times New Roman" w:eastAsia="等线" w:cs="Times New Roman"/>
                <w:color w:val="auto"/>
                <w:sz w:val="21"/>
                <w:szCs w:val="21"/>
                <w:highlight w:val="none"/>
              </w:rPr>
              <w:t>1</w:t>
            </w:r>
            <w:r>
              <w:rPr>
                <w:rFonts w:hint="default" w:ascii="Times New Roman" w:hAnsi="Times New Roman" w:eastAsia="等线" w:cs="Times New Roman"/>
                <w:color w:val="auto"/>
                <w:sz w:val="21"/>
                <w:szCs w:val="21"/>
                <w:highlight w:val="none"/>
                <w:woUserID w:val="1"/>
              </w:rPr>
              <w:t>2</w:t>
            </w:r>
            <w:r>
              <w:rPr>
                <w:rFonts w:hint="default" w:ascii="Times New Roman" w:hAnsi="Times New Roman" w:cs="Times New Roman"/>
                <w:color w:val="auto"/>
                <w:sz w:val="21"/>
                <w:szCs w:val="21"/>
                <w:highlight w:val="none"/>
              </w:rPr>
              <w:t>次会议</w:t>
            </w:r>
          </w:p>
        </w:tc>
        <w:tc>
          <w:tcPr>
            <w:tcW w:w="705" w:type="pct"/>
            <w:tcBorders>
              <w:tl2br w:val="nil"/>
              <w:tr2bl w:val="nil"/>
            </w:tcBorders>
            <w:vAlign w:val="center"/>
          </w:tcPr>
          <w:p w14:paraId="683E2457">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woUserID w:val="1"/>
              </w:rPr>
            </w:pPr>
            <w:r>
              <w:rPr>
                <w:rFonts w:hint="default" w:ascii="Times New Roman" w:hAnsi="Times New Roman" w:eastAsia="等线" w:cs="Times New Roman"/>
                <w:color w:val="auto"/>
                <w:sz w:val="21"/>
                <w:szCs w:val="21"/>
                <w:highlight w:val="none"/>
              </w:rPr>
              <w:t>20</w:t>
            </w:r>
            <w:r>
              <w:rPr>
                <w:rFonts w:hint="default" w:ascii="Times New Roman" w:hAnsi="Times New Roman" w:eastAsia="等线" w:cs="Times New Roman"/>
                <w:color w:val="auto"/>
                <w:sz w:val="21"/>
                <w:szCs w:val="21"/>
                <w:highlight w:val="none"/>
                <w:woUserID w:val="1"/>
              </w:rPr>
              <w:t>25</w:t>
            </w:r>
            <w:r>
              <w:rPr>
                <w:rFonts w:hint="default" w:ascii="Times New Roman" w:hAnsi="Times New Roman" w:eastAsia="等线" w:cs="Times New Roman"/>
                <w:color w:val="auto"/>
                <w:sz w:val="21"/>
                <w:szCs w:val="21"/>
                <w:highlight w:val="none"/>
              </w:rPr>
              <w:t>-0</w:t>
            </w:r>
            <w:r>
              <w:rPr>
                <w:rFonts w:hint="default" w:ascii="Times New Roman" w:hAnsi="Times New Roman" w:eastAsia="等线" w:cs="Times New Roman"/>
                <w:color w:val="auto"/>
                <w:sz w:val="21"/>
                <w:szCs w:val="21"/>
                <w:highlight w:val="none"/>
                <w:woUserID w:val="1"/>
              </w:rPr>
              <w:t>7</w:t>
            </w:r>
            <w:r>
              <w:rPr>
                <w:rFonts w:hint="default" w:ascii="Times New Roman" w:hAnsi="Times New Roman" w:eastAsia="等线" w:cs="Times New Roman"/>
                <w:color w:val="auto"/>
                <w:sz w:val="21"/>
                <w:szCs w:val="21"/>
                <w:highlight w:val="none"/>
              </w:rPr>
              <w:t>-</w:t>
            </w:r>
            <w:r>
              <w:rPr>
                <w:rFonts w:hint="default" w:ascii="Times New Roman" w:hAnsi="Times New Roman" w:eastAsia="等线" w:cs="Times New Roman"/>
                <w:color w:val="auto"/>
                <w:sz w:val="21"/>
                <w:szCs w:val="21"/>
                <w:highlight w:val="none"/>
                <w:woUserID w:val="1"/>
              </w:rPr>
              <w:t>01</w:t>
            </w:r>
          </w:p>
        </w:tc>
      </w:tr>
      <w:tr w14:paraId="184577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3221AB8E">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3</w:t>
            </w:r>
          </w:p>
        </w:tc>
        <w:tc>
          <w:tcPr>
            <w:tcW w:w="2651" w:type="pct"/>
            <w:tcBorders>
              <w:tl2br w:val="nil"/>
              <w:tr2bl w:val="nil"/>
            </w:tcBorders>
            <w:vAlign w:val="center"/>
          </w:tcPr>
          <w:p w14:paraId="2AD4ECE6">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中华人民共和国防洪法（2016修正）</w:t>
            </w:r>
          </w:p>
        </w:tc>
        <w:tc>
          <w:tcPr>
            <w:tcW w:w="1387" w:type="pct"/>
            <w:tcBorders>
              <w:tl2br w:val="nil"/>
              <w:tr2bl w:val="nil"/>
            </w:tcBorders>
            <w:vAlign w:val="center"/>
          </w:tcPr>
          <w:p w14:paraId="2E335118">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12</w:t>
            </w:r>
            <w:r>
              <w:rPr>
                <w:rFonts w:hint="default" w:ascii="Times New Roman" w:hAnsi="Times New Roman" w:cs="Times New Roman"/>
                <w:color w:val="auto"/>
                <w:sz w:val="21"/>
                <w:szCs w:val="21"/>
                <w:highlight w:val="none"/>
              </w:rPr>
              <w:t>届全国人民代表大会常务委员会第</w:t>
            </w:r>
            <w:r>
              <w:rPr>
                <w:rFonts w:hint="eastAsia" w:cs="Times New Roman"/>
                <w:color w:val="auto"/>
                <w:sz w:val="21"/>
                <w:szCs w:val="21"/>
                <w:highlight w:val="none"/>
                <w:lang w:val="en-US" w:eastAsia="zh-CN"/>
              </w:rPr>
              <w:t>21</w:t>
            </w:r>
            <w:r>
              <w:rPr>
                <w:rFonts w:hint="default" w:ascii="Times New Roman" w:hAnsi="Times New Roman" w:cs="Times New Roman"/>
                <w:color w:val="auto"/>
                <w:sz w:val="21"/>
                <w:szCs w:val="21"/>
                <w:highlight w:val="none"/>
              </w:rPr>
              <w:t>次会议</w:t>
            </w:r>
          </w:p>
        </w:tc>
        <w:tc>
          <w:tcPr>
            <w:tcW w:w="705" w:type="pct"/>
            <w:tcBorders>
              <w:tl2br w:val="nil"/>
              <w:tr2bl w:val="nil"/>
            </w:tcBorders>
            <w:vAlign w:val="center"/>
          </w:tcPr>
          <w:p w14:paraId="52E7200B">
            <w:pPr>
              <w:pStyle w:val="47"/>
              <w:spacing w:before="0" w:beforeAutospacing="0" w:line="360" w:lineRule="exact"/>
              <w:ind w:firstLine="0" w:firstLineChars="0"/>
              <w:jc w:val="center"/>
              <w:rPr>
                <w:rFonts w:hint="default" w:ascii="Times New Roman" w:hAnsi="Times New Roman" w:eastAsia="等线" w:cs="Times New Roman"/>
                <w:color w:val="auto"/>
                <w:sz w:val="21"/>
                <w:szCs w:val="21"/>
                <w:highlight w:val="none"/>
                <w:lang w:val="en-US" w:eastAsia="zh-CN"/>
              </w:rPr>
            </w:pPr>
            <w:r>
              <w:rPr>
                <w:rFonts w:hint="default" w:ascii="Times New Roman" w:hAnsi="Times New Roman" w:eastAsia="等线" w:cs="Times New Roman"/>
                <w:color w:val="auto"/>
                <w:sz w:val="21"/>
                <w:szCs w:val="21"/>
                <w:highlight w:val="none"/>
              </w:rPr>
              <w:t>20</w:t>
            </w:r>
            <w:r>
              <w:rPr>
                <w:rFonts w:hint="eastAsia" w:eastAsia="等线" w:cs="Times New Roman"/>
                <w:color w:val="auto"/>
                <w:sz w:val="21"/>
                <w:szCs w:val="21"/>
                <w:highlight w:val="none"/>
                <w:lang w:val="en-US" w:eastAsia="zh-CN"/>
              </w:rPr>
              <w:t>16</w:t>
            </w:r>
            <w:r>
              <w:rPr>
                <w:rFonts w:hint="default" w:ascii="Times New Roman" w:hAnsi="Times New Roman" w:eastAsia="等线" w:cs="Times New Roman"/>
                <w:color w:val="auto"/>
                <w:sz w:val="21"/>
                <w:szCs w:val="21"/>
                <w:highlight w:val="none"/>
              </w:rPr>
              <w:t>-</w:t>
            </w:r>
            <w:r>
              <w:rPr>
                <w:rFonts w:hint="eastAsia" w:eastAsia="等线" w:cs="Times New Roman"/>
                <w:color w:val="auto"/>
                <w:sz w:val="21"/>
                <w:szCs w:val="21"/>
                <w:highlight w:val="none"/>
                <w:lang w:val="en-US" w:eastAsia="zh-CN"/>
              </w:rPr>
              <w:t>07</w:t>
            </w:r>
            <w:r>
              <w:rPr>
                <w:rFonts w:hint="default" w:ascii="Times New Roman" w:hAnsi="Times New Roman" w:eastAsia="等线" w:cs="Times New Roman"/>
                <w:color w:val="auto"/>
                <w:sz w:val="21"/>
                <w:szCs w:val="21"/>
                <w:highlight w:val="none"/>
              </w:rPr>
              <w:t>-</w:t>
            </w:r>
            <w:r>
              <w:rPr>
                <w:rFonts w:hint="eastAsia" w:eastAsia="等线" w:cs="Times New Roman"/>
                <w:color w:val="auto"/>
                <w:sz w:val="21"/>
                <w:szCs w:val="21"/>
                <w:highlight w:val="none"/>
                <w:lang w:val="en-US" w:eastAsia="zh-CN"/>
              </w:rPr>
              <w:t>02</w:t>
            </w:r>
          </w:p>
        </w:tc>
      </w:tr>
      <w:tr w14:paraId="1F3ED0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35D0E677">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4</w:t>
            </w:r>
          </w:p>
        </w:tc>
        <w:tc>
          <w:tcPr>
            <w:tcW w:w="2651" w:type="pct"/>
            <w:tcBorders>
              <w:tl2br w:val="nil"/>
              <w:tr2bl w:val="nil"/>
            </w:tcBorders>
            <w:vAlign w:val="center"/>
          </w:tcPr>
          <w:p w14:paraId="654B6CD8">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国务院关于印发全国主体功能区规划的通知</w:t>
            </w:r>
          </w:p>
        </w:tc>
        <w:tc>
          <w:tcPr>
            <w:tcW w:w="1387" w:type="pct"/>
            <w:tcBorders>
              <w:tl2br w:val="nil"/>
              <w:tr2bl w:val="nil"/>
            </w:tcBorders>
            <w:vAlign w:val="center"/>
          </w:tcPr>
          <w:p w14:paraId="4D64C385">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国发〔2010〕46号</w:t>
            </w:r>
          </w:p>
        </w:tc>
        <w:tc>
          <w:tcPr>
            <w:tcW w:w="705" w:type="pct"/>
            <w:tcBorders>
              <w:tl2br w:val="nil"/>
              <w:tr2bl w:val="nil"/>
            </w:tcBorders>
            <w:vAlign w:val="center"/>
          </w:tcPr>
          <w:p w14:paraId="3B12FA96">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2010-12-21</w:t>
            </w:r>
          </w:p>
        </w:tc>
      </w:tr>
      <w:tr w14:paraId="5FB53C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35" w:hRule="atLeast"/>
          <w:jc w:val="center"/>
        </w:trPr>
        <w:tc>
          <w:tcPr>
            <w:tcW w:w="255" w:type="pct"/>
            <w:tcBorders>
              <w:tl2br w:val="nil"/>
              <w:tr2bl w:val="nil"/>
            </w:tcBorders>
            <w:vAlign w:val="center"/>
          </w:tcPr>
          <w:p w14:paraId="1BE16E52">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5</w:t>
            </w:r>
          </w:p>
        </w:tc>
        <w:tc>
          <w:tcPr>
            <w:tcW w:w="2651" w:type="pct"/>
            <w:tcBorders>
              <w:tl2br w:val="nil"/>
              <w:tr2bl w:val="nil"/>
            </w:tcBorders>
            <w:vAlign w:val="center"/>
          </w:tcPr>
          <w:p w14:paraId="5D97DEB0">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土壤污染源头防控行动计划</w:t>
            </w:r>
          </w:p>
        </w:tc>
        <w:tc>
          <w:tcPr>
            <w:tcW w:w="1387" w:type="pct"/>
            <w:tcBorders>
              <w:tl2br w:val="nil"/>
              <w:tr2bl w:val="nil"/>
            </w:tcBorders>
            <w:vAlign w:val="center"/>
          </w:tcPr>
          <w:p w14:paraId="7A08ADB0">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环土壤〔2024〕80号</w:t>
            </w:r>
          </w:p>
        </w:tc>
        <w:tc>
          <w:tcPr>
            <w:tcW w:w="705" w:type="pct"/>
            <w:tcBorders>
              <w:tl2br w:val="nil"/>
              <w:tr2bl w:val="nil"/>
            </w:tcBorders>
            <w:vAlign w:val="center"/>
          </w:tcPr>
          <w:p w14:paraId="2AC3BFED">
            <w:pPr>
              <w:pStyle w:val="47"/>
              <w:spacing w:before="0" w:beforeAutospacing="0" w:line="360" w:lineRule="exact"/>
              <w:ind w:firstLine="0" w:firstLineChars="0"/>
              <w:jc w:val="center"/>
              <w:rPr>
                <w:rFonts w:hint="eastAsia" w:ascii="Times New Roman" w:hAnsi="Times New Roman" w:eastAsia="等线" w:cs="Times New Roman"/>
                <w:color w:val="auto"/>
                <w:sz w:val="21"/>
                <w:szCs w:val="21"/>
                <w:highlight w:val="none"/>
                <w:lang w:eastAsia="zh-CN"/>
              </w:rPr>
            </w:pPr>
            <w:r>
              <w:rPr>
                <w:rFonts w:hint="default" w:ascii="Times New Roman" w:hAnsi="Times New Roman" w:eastAsia="等线" w:cs="Times New Roman"/>
                <w:color w:val="auto"/>
                <w:sz w:val="21"/>
                <w:szCs w:val="21"/>
                <w:highlight w:val="none"/>
              </w:rPr>
              <w:t>20</w:t>
            </w:r>
            <w:r>
              <w:rPr>
                <w:rFonts w:hint="eastAsia" w:eastAsia="等线" w:cs="Times New Roman"/>
                <w:color w:val="auto"/>
                <w:sz w:val="21"/>
                <w:szCs w:val="21"/>
                <w:highlight w:val="none"/>
                <w:lang w:val="en-US" w:eastAsia="zh-CN"/>
              </w:rPr>
              <w:t>24</w:t>
            </w:r>
            <w:r>
              <w:rPr>
                <w:rFonts w:hint="default" w:ascii="Times New Roman" w:hAnsi="Times New Roman" w:eastAsia="等线" w:cs="Times New Roman"/>
                <w:color w:val="auto"/>
                <w:sz w:val="21"/>
                <w:szCs w:val="21"/>
                <w:highlight w:val="none"/>
              </w:rPr>
              <w:t>-1</w:t>
            </w:r>
            <w:r>
              <w:rPr>
                <w:rFonts w:hint="eastAsia" w:eastAsia="等线" w:cs="Times New Roman"/>
                <w:color w:val="auto"/>
                <w:sz w:val="21"/>
                <w:szCs w:val="21"/>
                <w:highlight w:val="none"/>
                <w:lang w:val="en-US" w:eastAsia="zh-CN"/>
              </w:rPr>
              <w:t>1</w:t>
            </w:r>
            <w:r>
              <w:rPr>
                <w:rFonts w:hint="default" w:ascii="Times New Roman" w:hAnsi="Times New Roman" w:eastAsia="等线" w:cs="Times New Roman"/>
                <w:color w:val="auto"/>
                <w:sz w:val="21"/>
                <w:szCs w:val="21"/>
                <w:highlight w:val="none"/>
              </w:rPr>
              <w:t>-</w:t>
            </w:r>
            <w:r>
              <w:rPr>
                <w:rFonts w:hint="eastAsia" w:eastAsia="等线" w:cs="Times New Roman"/>
                <w:color w:val="auto"/>
                <w:sz w:val="21"/>
                <w:szCs w:val="21"/>
                <w:highlight w:val="none"/>
                <w:lang w:val="en-US" w:eastAsia="zh-CN"/>
              </w:rPr>
              <w:t>06</w:t>
            </w:r>
          </w:p>
        </w:tc>
      </w:tr>
      <w:tr w14:paraId="3FE0B7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77254D83">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6</w:t>
            </w:r>
          </w:p>
        </w:tc>
        <w:tc>
          <w:tcPr>
            <w:tcW w:w="2651" w:type="pct"/>
            <w:tcBorders>
              <w:tl2br w:val="nil"/>
              <w:tr2bl w:val="nil"/>
            </w:tcBorders>
            <w:vAlign w:val="center"/>
          </w:tcPr>
          <w:p w14:paraId="0DDED3DA">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中华人民共和国水法</w:t>
            </w:r>
          </w:p>
        </w:tc>
        <w:tc>
          <w:tcPr>
            <w:tcW w:w="1387" w:type="pct"/>
            <w:tcBorders>
              <w:tl2br w:val="nil"/>
              <w:tr2bl w:val="nil"/>
            </w:tcBorders>
            <w:vAlign w:val="center"/>
          </w:tcPr>
          <w:p w14:paraId="5745DF0E">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12</w:t>
            </w:r>
            <w:r>
              <w:rPr>
                <w:rFonts w:hint="default" w:ascii="Times New Roman" w:hAnsi="Times New Roman" w:cs="Times New Roman"/>
                <w:color w:val="auto"/>
                <w:sz w:val="21"/>
                <w:szCs w:val="21"/>
                <w:highlight w:val="none"/>
              </w:rPr>
              <w:t>届人大第</w:t>
            </w:r>
            <w:r>
              <w:rPr>
                <w:rFonts w:hint="default" w:ascii="Times New Roman" w:hAnsi="Times New Roman" w:eastAsia="等线" w:cs="Times New Roman"/>
                <w:color w:val="auto"/>
                <w:sz w:val="21"/>
                <w:szCs w:val="21"/>
                <w:highlight w:val="none"/>
              </w:rPr>
              <w:t>21</w:t>
            </w:r>
            <w:r>
              <w:rPr>
                <w:rFonts w:hint="default" w:ascii="Times New Roman" w:hAnsi="Times New Roman" w:cs="Times New Roman"/>
                <w:color w:val="auto"/>
                <w:sz w:val="21"/>
                <w:szCs w:val="21"/>
                <w:highlight w:val="none"/>
              </w:rPr>
              <w:t>次会议</w:t>
            </w:r>
          </w:p>
        </w:tc>
        <w:tc>
          <w:tcPr>
            <w:tcW w:w="705" w:type="pct"/>
            <w:tcBorders>
              <w:tl2br w:val="nil"/>
              <w:tr2bl w:val="nil"/>
            </w:tcBorders>
            <w:vAlign w:val="center"/>
          </w:tcPr>
          <w:p w14:paraId="038FF41C">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2016-07-02</w:t>
            </w:r>
          </w:p>
        </w:tc>
      </w:tr>
      <w:tr w14:paraId="68A775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09E7BD40">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7</w:t>
            </w:r>
          </w:p>
        </w:tc>
        <w:tc>
          <w:tcPr>
            <w:tcW w:w="2651" w:type="pct"/>
            <w:tcBorders>
              <w:tl2br w:val="nil"/>
              <w:tr2bl w:val="nil"/>
            </w:tcBorders>
            <w:vAlign w:val="center"/>
          </w:tcPr>
          <w:p w14:paraId="01827F1A">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中华人民共和国水土保持法</w:t>
            </w:r>
          </w:p>
        </w:tc>
        <w:tc>
          <w:tcPr>
            <w:tcW w:w="1387" w:type="pct"/>
            <w:tcBorders>
              <w:tl2br w:val="nil"/>
              <w:tr2bl w:val="nil"/>
            </w:tcBorders>
            <w:vAlign w:val="center"/>
          </w:tcPr>
          <w:p w14:paraId="532E2489">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11</w:t>
            </w:r>
            <w:r>
              <w:rPr>
                <w:rFonts w:hint="default" w:ascii="Times New Roman" w:hAnsi="Times New Roman" w:cs="Times New Roman"/>
                <w:color w:val="auto"/>
                <w:sz w:val="21"/>
                <w:szCs w:val="21"/>
                <w:highlight w:val="none"/>
              </w:rPr>
              <w:t>届人大第</w:t>
            </w:r>
            <w:r>
              <w:rPr>
                <w:rFonts w:hint="default" w:ascii="Times New Roman" w:hAnsi="Times New Roman" w:eastAsia="等线" w:cs="Times New Roman"/>
                <w:color w:val="auto"/>
                <w:sz w:val="21"/>
                <w:szCs w:val="21"/>
                <w:highlight w:val="none"/>
              </w:rPr>
              <w:t>18</w:t>
            </w:r>
            <w:r>
              <w:rPr>
                <w:rFonts w:hint="default" w:ascii="Times New Roman" w:hAnsi="Times New Roman" w:cs="Times New Roman"/>
                <w:color w:val="auto"/>
                <w:sz w:val="21"/>
                <w:szCs w:val="21"/>
                <w:highlight w:val="none"/>
              </w:rPr>
              <w:t>次会议</w:t>
            </w:r>
          </w:p>
        </w:tc>
        <w:tc>
          <w:tcPr>
            <w:tcW w:w="705" w:type="pct"/>
            <w:tcBorders>
              <w:tl2br w:val="nil"/>
              <w:tr2bl w:val="nil"/>
            </w:tcBorders>
            <w:vAlign w:val="center"/>
          </w:tcPr>
          <w:p w14:paraId="4E54F9DC">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2011-03-01</w:t>
            </w:r>
          </w:p>
        </w:tc>
      </w:tr>
      <w:tr w14:paraId="7577C2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36BCBD9A">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8</w:t>
            </w:r>
          </w:p>
        </w:tc>
        <w:tc>
          <w:tcPr>
            <w:tcW w:w="2651" w:type="pct"/>
            <w:tcBorders>
              <w:tl2br w:val="nil"/>
              <w:tr2bl w:val="nil"/>
            </w:tcBorders>
            <w:vAlign w:val="center"/>
          </w:tcPr>
          <w:p w14:paraId="76836069">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土地复垦条例</w:t>
            </w:r>
          </w:p>
        </w:tc>
        <w:tc>
          <w:tcPr>
            <w:tcW w:w="1387" w:type="pct"/>
            <w:tcBorders>
              <w:tl2br w:val="nil"/>
              <w:tr2bl w:val="nil"/>
            </w:tcBorders>
            <w:vAlign w:val="center"/>
          </w:tcPr>
          <w:p w14:paraId="46D3C76D">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国务院令第592号</w:t>
            </w:r>
          </w:p>
        </w:tc>
        <w:tc>
          <w:tcPr>
            <w:tcW w:w="705" w:type="pct"/>
            <w:tcBorders>
              <w:tl2br w:val="nil"/>
              <w:tr2bl w:val="nil"/>
            </w:tcBorders>
            <w:vAlign w:val="center"/>
          </w:tcPr>
          <w:p w14:paraId="32544240">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2011-03-05</w:t>
            </w:r>
          </w:p>
        </w:tc>
      </w:tr>
      <w:tr w14:paraId="3ED455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67E5AB90">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9</w:t>
            </w:r>
          </w:p>
        </w:tc>
        <w:tc>
          <w:tcPr>
            <w:tcW w:w="2651" w:type="pct"/>
            <w:tcBorders>
              <w:tl2br w:val="nil"/>
              <w:tr2bl w:val="nil"/>
            </w:tcBorders>
            <w:vAlign w:val="center"/>
          </w:tcPr>
          <w:p w14:paraId="7D423946">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国务院关于加强环境保护重点工作的意见</w:t>
            </w:r>
          </w:p>
        </w:tc>
        <w:tc>
          <w:tcPr>
            <w:tcW w:w="1387" w:type="pct"/>
            <w:tcBorders>
              <w:tl2br w:val="nil"/>
              <w:tr2bl w:val="nil"/>
            </w:tcBorders>
            <w:vAlign w:val="center"/>
          </w:tcPr>
          <w:p w14:paraId="39083176">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国发〔2011〕35号</w:t>
            </w:r>
          </w:p>
        </w:tc>
        <w:tc>
          <w:tcPr>
            <w:tcW w:w="705" w:type="pct"/>
            <w:tcBorders>
              <w:tl2br w:val="nil"/>
              <w:tr2bl w:val="nil"/>
            </w:tcBorders>
            <w:vAlign w:val="center"/>
          </w:tcPr>
          <w:p w14:paraId="020EE183">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2011-10-20</w:t>
            </w:r>
          </w:p>
        </w:tc>
      </w:tr>
      <w:tr w14:paraId="1401DD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2E4ADC13">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10</w:t>
            </w:r>
          </w:p>
        </w:tc>
        <w:tc>
          <w:tcPr>
            <w:tcW w:w="2651" w:type="pct"/>
            <w:tcBorders>
              <w:tl2br w:val="nil"/>
              <w:tr2bl w:val="nil"/>
            </w:tcBorders>
            <w:vAlign w:val="center"/>
          </w:tcPr>
          <w:p w14:paraId="6C4D9BB7">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中华人民共和国清洁生产促进法</w:t>
            </w:r>
          </w:p>
        </w:tc>
        <w:tc>
          <w:tcPr>
            <w:tcW w:w="1387" w:type="pct"/>
            <w:tcBorders>
              <w:tl2br w:val="nil"/>
              <w:tr2bl w:val="nil"/>
            </w:tcBorders>
            <w:vAlign w:val="center"/>
          </w:tcPr>
          <w:p w14:paraId="48DD2807">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11</w:t>
            </w:r>
            <w:r>
              <w:rPr>
                <w:rFonts w:hint="default" w:ascii="Times New Roman" w:hAnsi="Times New Roman" w:cs="Times New Roman"/>
                <w:color w:val="auto"/>
                <w:sz w:val="21"/>
                <w:szCs w:val="21"/>
                <w:highlight w:val="none"/>
              </w:rPr>
              <w:t>届人大第</w:t>
            </w:r>
            <w:r>
              <w:rPr>
                <w:rFonts w:hint="default" w:ascii="Times New Roman" w:hAnsi="Times New Roman" w:eastAsia="等线" w:cs="Times New Roman"/>
                <w:color w:val="auto"/>
                <w:sz w:val="21"/>
                <w:szCs w:val="21"/>
                <w:highlight w:val="none"/>
              </w:rPr>
              <w:t>25</w:t>
            </w:r>
            <w:r>
              <w:rPr>
                <w:rFonts w:hint="default" w:ascii="Times New Roman" w:hAnsi="Times New Roman" w:cs="Times New Roman"/>
                <w:color w:val="auto"/>
                <w:sz w:val="21"/>
                <w:szCs w:val="21"/>
                <w:highlight w:val="none"/>
              </w:rPr>
              <w:t>次会议</w:t>
            </w:r>
          </w:p>
        </w:tc>
        <w:tc>
          <w:tcPr>
            <w:tcW w:w="705" w:type="pct"/>
            <w:tcBorders>
              <w:tl2br w:val="nil"/>
              <w:tr2bl w:val="nil"/>
            </w:tcBorders>
            <w:vAlign w:val="center"/>
          </w:tcPr>
          <w:p w14:paraId="1D1A956E">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2012-07-01</w:t>
            </w:r>
          </w:p>
        </w:tc>
      </w:tr>
      <w:tr w14:paraId="6F4338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76E31FA1">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11</w:t>
            </w:r>
          </w:p>
        </w:tc>
        <w:tc>
          <w:tcPr>
            <w:tcW w:w="2651" w:type="pct"/>
            <w:tcBorders>
              <w:tl2br w:val="nil"/>
              <w:tr2bl w:val="nil"/>
            </w:tcBorders>
            <w:vAlign w:val="center"/>
          </w:tcPr>
          <w:p w14:paraId="075B3ECB">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大气污染防治行动计划</w:t>
            </w:r>
          </w:p>
        </w:tc>
        <w:tc>
          <w:tcPr>
            <w:tcW w:w="1387" w:type="pct"/>
            <w:tcBorders>
              <w:tl2br w:val="nil"/>
              <w:tr2bl w:val="nil"/>
            </w:tcBorders>
            <w:vAlign w:val="center"/>
          </w:tcPr>
          <w:p w14:paraId="273B1B1A">
            <w:pPr>
              <w:pStyle w:val="47"/>
              <w:spacing w:before="0" w:beforeAutospacing="0" w:line="360" w:lineRule="exact"/>
              <w:ind w:firstLine="0" w:firstLineChars="0"/>
              <w:jc w:val="center"/>
              <w:rPr>
                <w:rFonts w:hint="default" w:ascii="Times New Roman" w:hAnsi="Times New Roman" w:cs="Times New Roman"/>
                <w:color w:val="auto"/>
                <w:spacing w:val="-3"/>
                <w:sz w:val="21"/>
                <w:szCs w:val="21"/>
                <w:highlight w:val="none"/>
              </w:rPr>
            </w:pPr>
            <w:r>
              <w:rPr>
                <w:rFonts w:hint="default" w:ascii="Times New Roman" w:hAnsi="Times New Roman" w:cs="Times New Roman"/>
                <w:color w:val="auto"/>
                <w:sz w:val="21"/>
                <w:szCs w:val="21"/>
                <w:highlight w:val="none"/>
              </w:rPr>
              <w:t>国发〔2013〕37号</w:t>
            </w:r>
          </w:p>
        </w:tc>
        <w:tc>
          <w:tcPr>
            <w:tcW w:w="705" w:type="pct"/>
            <w:tcBorders>
              <w:tl2br w:val="nil"/>
              <w:tr2bl w:val="nil"/>
            </w:tcBorders>
            <w:vAlign w:val="center"/>
          </w:tcPr>
          <w:p w14:paraId="740C0994">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2013-09-10</w:t>
            </w:r>
          </w:p>
        </w:tc>
      </w:tr>
      <w:tr w14:paraId="731438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7D747EA0">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12</w:t>
            </w:r>
          </w:p>
        </w:tc>
        <w:tc>
          <w:tcPr>
            <w:tcW w:w="2651" w:type="pct"/>
            <w:tcBorders>
              <w:tl2br w:val="nil"/>
              <w:tr2bl w:val="nil"/>
            </w:tcBorders>
            <w:vAlign w:val="center"/>
          </w:tcPr>
          <w:p w14:paraId="2C9EF520">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"javascript:SLC(38905,0)"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 w:val="21"/>
                <w:szCs w:val="21"/>
                <w:highlight w:val="none"/>
              </w:rPr>
              <w:t>危险化学品安全管理条例</w:t>
            </w:r>
            <w:r>
              <w:rPr>
                <w:rFonts w:hint="default" w:ascii="Times New Roman" w:hAnsi="Times New Roman" w:cs="Times New Roman"/>
                <w:color w:val="auto"/>
                <w:sz w:val="21"/>
                <w:szCs w:val="21"/>
                <w:highlight w:val="none"/>
              </w:rPr>
              <w:fldChar w:fldCharType="end"/>
            </w:r>
          </w:p>
        </w:tc>
        <w:tc>
          <w:tcPr>
            <w:tcW w:w="1387" w:type="pct"/>
            <w:tcBorders>
              <w:tl2br w:val="nil"/>
              <w:tr2bl w:val="nil"/>
            </w:tcBorders>
            <w:vAlign w:val="center"/>
          </w:tcPr>
          <w:p w14:paraId="6ED55599">
            <w:pPr>
              <w:pStyle w:val="47"/>
              <w:spacing w:before="0" w:beforeAutospacing="0" w:line="360" w:lineRule="exact"/>
              <w:ind w:firstLine="0" w:firstLineChars="0"/>
              <w:jc w:val="center"/>
              <w:rPr>
                <w:rFonts w:hint="default" w:ascii="Times New Roman" w:hAnsi="Times New Roman" w:cs="Times New Roman"/>
                <w:color w:val="auto"/>
                <w:spacing w:val="-3"/>
                <w:sz w:val="21"/>
                <w:szCs w:val="21"/>
                <w:highlight w:val="none"/>
              </w:rPr>
            </w:pPr>
            <w:r>
              <w:rPr>
                <w:rFonts w:hint="default" w:ascii="Times New Roman" w:hAnsi="Times New Roman" w:cs="Times New Roman"/>
                <w:color w:val="auto"/>
                <w:sz w:val="21"/>
                <w:szCs w:val="21"/>
                <w:highlight w:val="none"/>
              </w:rPr>
              <w:t>国务院令第645号</w:t>
            </w:r>
          </w:p>
        </w:tc>
        <w:tc>
          <w:tcPr>
            <w:tcW w:w="705" w:type="pct"/>
            <w:tcBorders>
              <w:tl2br w:val="nil"/>
              <w:tr2bl w:val="nil"/>
            </w:tcBorders>
            <w:vAlign w:val="center"/>
          </w:tcPr>
          <w:p w14:paraId="1F251CE4">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2013-12-07</w:t>
            </w:r>
          </w:p>
        </w:tc>
      </w:tr>
      <w:tr w14:paraId="4DA571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071C33E7">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13</w:t>
            </w:r>
          </w:p>
        </w:tc>
        <w:tc>
          <w:tcPr>
            <w:tcW w:w="2651" w:type="pct"/>
            <w:tcBorders>
              <w:tl2br w:val="nil"/>
              <w:tr2bl w:val="nil"/>
            </w:tcBorders>
            <w:vAlign w:val="center"/>
          </w:tcPr>
          <w:p w14:paraId="721EC48C">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中华人民共和国环境保护法</w:t>
            </w:r>
          </w:p>
        </w:tc>
        <w:tc>
          <w:tcPr>
            <w:tcW w:w="1387" w:type="pct"/>
            <w:tcBorders>
              <w:tl2br w:val="nil"/>
              <w:tr2bl w:val="nil"/>
            </w:tcBorders>
            <w:vAlign w:val="center"/>
          </w:tcPr>
          <w:p w14:paraId="04517150">
            <w:pPr>
              <w:pStyle w:val="47"/>
              <w:spacing w:before="0" w:beforeAutospacing="0" w:line="360" w:lineRule="exact"/>
              <w:ind w:firstLine="0" w:firstLineChars="0"/>
              <w:jc w:val="center"/>
              <w:rPr>
                <w:rFonts w:hint="default" w:ascii="Times New Roman" w:hAnsi="Times New Roman" w:cs="Times New Roman"/>
                <w:color w:val="auto"/>
                <w:spacing w:val="-3"/>
                <w:sz w:val="21"/>
                <w:szCs w:val="21"/>
                <w:highlight w:val="none"/>
              </w:rPr>
            </w:pPr>
            <w:r>
              <w:rPr>
                <w:rFonts w:hint="default" w:ascii="Times New Roman" w:hAnsi="Times New Roman" w:eastAsia="等线" w:cs="Times New Roman"/>
                <w:color w:val="auto"/>
                <w:sz w:val="21"/>
                <w:szCs w:val="21"/>
                <w:highlight w:val="none"/>
              </w:rPr>
              <w:t>12</w:t>
            </w:r>
            <w:r>
              <w:rPr>
                <w:rFonts w:hint="default" w:ascii="Times New Roman" w:hAnsi="Times New Roman" w:cs="Times New Roman"/>
                <w:color w:val="auto"/>
                <w:sz w:val="21"/>
                <w:szCs w:val="21"/>
                <w:highlight w:val="none"/>
              </w:rPr>
              <w:t>届人大第</w:t>
            </w:r>
            <w:r>
              <w:rPr>
                <w:rFonts w:hint="default" w:ascii="Times New Roman" w:hAnsi="Times New Roman" w:eastAsia="等线" w:cs="Times New Roman"/>
                <w:color w:val="auto"/>
                <w:sz w:val="21"/>
                <w:szCs w:val="21"/>
                <w:highlight w:val="none"/>
              </w:rPr>
              <w:t>8</w:t>
            </w:r>
            <w:r>
              <w:rPr>
                <w:rFonts w:hint="default" w:ascii="Times New Roman" w:hAnsi="Times New Roman" w:cs="Times New Roman"/>
                <w:color w:val="auto"/>
                <w:sz w:val="21"/>
                <w:szCs w:val="21"/>
                <w:highlight w:val="none"/>
              </w:rPr>
              <w:t>次会议</w:t>
            </w:r>
          </w:p>
        </w:tc>
        <w:tc>
          <w:tcPr>
            <w:tcW w:w="705" w:type="pct"/>
            <w:tcBorders>
              <w:tl2br w:val="nil"/>
              <w:tr2bl w:val="nil"/>
            </w:tcBorders>
            <w:vAlign w:val="center"/>
          </w:tcPr>
          <w:p w14:paraId="3C57F299">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2015-01-01</w:t>
            </w:r>
          </w:p>
        </w:tc>
      </w:tr>
      <w:tr w14:paraId="5EDC3F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5C21AC6D">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14</w:t>
            </w:r>
          </w:p>
        </w:tc>
        <w:tc>
          <w:tcPr>
            <w:tcW w:w="2651" w:type="pct"/>
            <w:tcBorders>
              <w:tl2br w:val="nil"/>
              <w:tr2bl w:val="nil"/>
            </w:tcBorders>
            <w:vAlign w:val="center"/>
          </w:tcPr>
          <w:p w14:paraId="253A40B7">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水污染防治行动计划</w:t>
            </w:r>
          </w:p>
        </w:tc>
        <w:tc>
          <w:tcPr>
            <w:tcW w:w="1387" w:type="pct"/>
            <w:tcBorders>
              <w:tl2br w:val="nil"/>
              <w:tr2bl w:val="nil"/>
            </w:tcBorders>
            <w:vAlign w:val="center"/>
          </w:tcPr>
          <w:p w14:paraId="3D78B353">
            <w:pPr>
              <w:pStyle w:val="47"/>
              <w:spacing w:before="0" w:beforeAutospacing="0" w:line="360" w:lineRule="exact"/>
              <w:ind w:firstLine="0" w:firstLineChars="0"/>
              <w:jc w:val="center"/>
              <w:rPr>
                <w:rFonts w:hint="default" w:ascii="Times New Roman" w:hAnsi="Times New Roman" w:cs="Times New Roman"/>
                <w:color w:val="auto"/>
                <w:spacing w:val="-3"/>
                <w:sz w:val="21"/>
                <w:szCs w:val="21"/>
                <w:highlight w:val="none"/>
              </w:rPr>
            </w:pPr>
            <w:r>
              <w:rPr>
                <w:rFonts w:hint="default" w:ascii="Times New Roman" w:hAnsi="Times New Roman" w:cs="Times New Roman"/>
                <w:color w:val="auto"/>
                <w:sz w:val="21"/>
                <w:szCs w:val="21"/>
                <w:highlight w:val="none"/>
              </w:rPr>
              <w:t>国发〔2015〕17号</w:t>
            </w:r>
          </w:p>
        </w:tc>
        <w:tc>
          <w:tcPr>
            <w:tcW w:w="705" w:type="pct"/>
            <w:tcBorders>
              <w:tl2br w:val="nil"/>
              <w:tr2bl w:val="nil"/>
            </w:tcBorders>
            <w:vAlign w:val="center"/>
          </w:tcPr>
          <w:p w14:paraId="52C396CC">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2015-04-02</w:t>
            </w:r>
          </w:p>
        </w:tc>
      </w:tr>
      <w:tr w14:paraId="19E56D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35" w:hRule="atLeast"/>
          <w:jc w:val="center"/>
        </w:trPr>
        <w:tc>
          <w:tcPr>
            <w:tcW w:w="255" w:type="pct"/>
            <w:tcBorders>
              <w:tl2br w:val="nil"/>
              <w:tr2bl w:val="nil"/>
            </w:tcBorders>
            <w:vAlign w:val="center"/>
          </w:tcPr>
          <w:p w14:paraId="2CCF2078">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15</w:t>
            </w:r>
          </w:p>
        </w:tc>
        <w:tc>
          <w:tcPr>
            <w:tcW w:w="2651" w:type="pct"/>
            <w:tcBorders>
              <w:tl2br w:val="nil"/>
              <w:tr2bl w:val="nil"/>
            </w:tcBorders>
            <w:vAlign w:val="center"/>
          </w:tcPr>
          <w:p w14:paraId="25F91605">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中华人民共和国陆生野生动物保护实施条例</w:t>
            </w:r>
          </w:p>
        </w:tc>
        <w:tc>
          <w:tcPr>
            <w:tcW w:w="1387" w:type="pct"/>
            <w:tcBorders>
              <w:tl2br w:val="nil"/>
              <w:tr2bl w:val="nil"/>
            </w:tcBorders>
            <w:vAlign w:val="center"/>
          </w:tcPr>
          <w:p w14:paraId="7504FF14">
            <w:pPr>
              <w:pStyle w:val="47"/>
              <w:spacing w:before="0" w:beforeAutospacing="0" w:line="360" w:lineRule="exact"/>
              <w:ind w:firstLine="0" w:firstLineChars="0"/>
              <w:jc w:val="center"/>
              <w:rPr>
                <w:rFonts w:hint="default" w:ascii="Times New Roman" w:hAnsi="Times New Roman" w:cs="Times New Roman"/>
                <w:color w:val="auto"/>
                <w:spacing w:val="-3"/>
                <w:sz w:val="21"/>
                <w:szCs w:val="21"/>
                <w:highlight w:val="none"/>
              </w:rPr>
            </w:pPr>
            <w:r>
              <w:rPr>
                <w:rFonts w:hint="default" w:ascii="Times New Roman" w:hAnsi="Times New Roman" w:cs="Times New Roman"/>
                <w:color w:val="auto"/>
                <w:sz w:val="21"/>
                <w:szCs w:val="21"/>
                <w:highlight w:val="none"/>
              </w:rPr>
              <w:t>国务院令第666号</w:t>
            </w:r>
          </w:p>
        </w:tc>
        <w:tc>
          <w:tcPr>
            <w:tcW w:w="705" w:type="pct"/>
            <w:tcBorders>
              <w:tl2br w:val="nil"/>
              <w:tr2bl w:val="nil"/>
            </w:tcBorders>
            <w:vAlign w:val="center"/>
          </w:tcPr>
          <w:p w14:paraId="3CCD988F">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2016-02-06</w:t>
            </w:r>
          </w:p>
        </w:tc>
      </w:tr>
      <w:tr w14:paraId="61CD50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2C37B06F">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16</w:t>
            </w:r>
          </w:p>
        </w:tc>
        <w:tc>
          <w:tcPr>
            <w:tcW w:w="2651" w:type="pct"/>
            <w:tcBorders>
              <w:tl2br w:val="nil"/>
              <w:tr2bl w:val="nil"/>
            </w:tcBorders>
            <w:vAlign w:val="center"/>
          </w:tcPr>
          <w:p w14:paraId="7D201C92">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关于划定并严守生态保护红线的若干意见</w:t>
            </w:r>
          </w:p>
        </w:tc>
        <w:tc>
          <w:tcPr>
            <w:tcW w:w="1387" w:type="pct"/>
            <w:tcBorders>
              <w:tl2br w:val="nil"/>
              <w:tr2bl w:val="nil"/>
            </w:tcBorders>
            <w:vAlign w:val="center"/>
          </w:tcPr>
          <w:p w14:paraId="20BC8239">
            <w:pPr>
              <w:pStyle w:val="47"/>
              <w:spacing w:before="0" w:beforeAutospacing="0" w:line="360" w:lineRule="exact"/>
              <w:ind w:firstLine="0" w:firstLineChars="0"/>
              <w:jc w:val="center"/>
              <w:rPr>
                <w:rFonts w:hint="default" w:ascii="Times New Roman" w:hAnsi="Times New Roman" w:cs="Times New Roman"/>
                <w:color w:val="auto"/>
                <w:spacing w:val="-3"/>
                <w:sz w:val="21"/>
                <w:szCs w:val="21"/>
                <w:highlight w:val="none"/>
              </w:rPr>
            </w:pPr>
            <w:r>
              <w:rPr>
                <w:rFonts w:hint="default" w:ascii="Times New Roman" w:hAnsi="Times New Roman" w:eastAsia="宋体" w:cs="Times New Roman"/>
                <w:color w:val="auto"/>
                <w:sz w:val="21"/>
                <w:szCs w:val="21"/>
                <w:highlight w:val="none"/>
              </w:rPr>
              <w:t>中共中央办公厅 国务院办公厅</w:t>
            </w:r>
          </w:p>
        </w:tc>
        <w:tc>
          <w:tcPr>
            <w:tcW w:w="705" w:type="pct"/>
            <w:tcBorders>
              <w:tl2br w:val="nil"/>
              <w:tr2bl w:val="nil"/>
            </w:tcBorders>
            <w:vAlign w:val="center"/>
          </w:tcPr>
          <w:p w14:paraId="182C22FF">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2017-02-07</w:t>
            </w:r>
          </w:p>
        </w:tc>
      </w:tr>
      <w:tr w14:paraId="03EEFA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5DB541AA">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17</w:t>
            </w:r>
          </w:p>
        </w:tc>
        <w:tc>
          <w:tcPr>
            <w:tcW w:w="2651" w:type="pct"/>
            <w:tcBorders>
              <w:tl2br w:val="nil"/>
              <w:tr2bl w:val="nil"/>
            </w:tcBorders>
            <w:vAlign w:val="center"/>
          </w:tcPr>
          <w:p w14:paraId="4D2FDE22">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建设项目环境保护管理条例</w:t>
            </w:r>
          </w:p>
        </w:tc>
        <w:tc>
          <w:tcPr>
            <w:tcW w:w="1387" w:type="pct"/>
            <w:tcBorders>
              <w:tl2br w:val="nil"/>
              <w:tr2bl w:val="nil"/>
            </w:tcBorders>
            <w:vAlign w:val="center"/>
          </w:tcPr>
          <w:p w14:paraId="31F15EBF">
            <w:pPr>
              <w:pStyle w:val="47"/>
              <w:spacing w:before="0" w:beforeAutospacing="0" w:line="360" w:lineRule="exact"/>
              <w:ind w:firstLine="0" w:firstLineChars="0"/>
              <w:jc w:val="center"/>
              <w:rPr>
                <w:rFonts w:hint="default" w:ascii="Times New Roman" w:hAnsi="Times New Roman" w:cs="Times New Roman"/>
                <w:color w:val="auto"/>
                <w:spacing w:val="-3"/>
                <w:sz w:val="21"/>
                <w:szCs w:val="21"/>
                <w:highlight w:val="none"/>
              </w:rPr>
            </w:pPr>
            <w:r>
              <w:rPr>
                <w:rFonts w:hint="default" w:ascii="Times New Roman" w:hAnsi="Times New Roman" w:eastAsia="宋体" w:cs="Times New Roman"/>
                <w:color w:val="auto"/>
                <w:sz w:val="21"/>
                <w:szCs w:val="21"/>
                <w:highlight w:val="none"/>
              </w:rPr>
              <w:t>国务院令第682号</w:t>
            </w:r>
          </w:p>
        </w:tc>
        <w:tc>
          <w:tcPr>
            <w:tcW w:w="705" w:type="pct"/>
            <w:tcBorders>
              <w:tl2br w:val="nil"/>
              <w:tr2bl w:val="nil"/>
            </w:tcBorders>
            <w:vAlign w:val="center"/>
          </w:tcPr>
          <w:p w14:paraId="44E03420">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2017-10-01</w:t>
            </w:r>
          </w:p>
        </w:tc>
      </w:tr>
      <w:tr w14:paraId="45A272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42B246AC">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18</w:t>
            </w:r>
          </w:p>
        </w:tc>
        <w:tc>
          <w:tcPr>
            <w:tcW w:w="2651" w:type="pct"/>
            <w:tcBorders>
              <w:tl2br w:val="nil"/>
              <w:tr2bl w:val="nil"/>
            </w:tcBorders>
            <w:vAlign w:val="center"/>
          </w:tcPr>
          <w:p w14:paraId="40489DC8">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中华人民共和国野生植物保护条例</w:t>
            </w:r>
          </w:p>
        </w:tc>
        <w:tc>
          <w:tcPr>
            <w:tcW w:w="1387" w:type="pct"/>
            <w:tcBorders>
              <w:tl2br w:val="nil"/>
              <w:tr2bl w:val="nil"/>
            </w:tcBorders>
            <w:vAlign w:val="center"/>
          </w:tcPr>
          <w:p w14:paraId="4EFDA974">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国务院令第204号</w:t>
            </w:r>
          </w:p>
        </w:tc>
        <w:tc>
          <w:tcPr>
            <w:tcW w:w="705" w:type="pct"/>
            <w:tcBorders>
              <w:tl2br w:val="nil"/>
              <w:tr2bl w:val="nil"/>
            </w:tcBorders>
            <w:vAlign w:val="center"/>
          </w:tcPr>
          <w:p w14:paraId="783B9602">
            <w:pPr>
              <w:pStyle w:val="47"/>
              <w:spacing w:before="0" w:beforeAutospacing="0" w:line="360" w:lineRule="exact"/>
              <w:ind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2017-10-07</w:t>
            </w:r>
          </w:p>
        </w:tc>
      </w:tr>
      <w:tr w14:paraId="3FEDD4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5497BCF8">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19</w:t>
            </w:r>
          </w:p>
        </w:tc>
        <w:tc>
          <w:tcPr>
            <w:tcW w:w="2651" w:type="pct"/>
            <w:tcBorders>
              <w:tl2br w:val="nil"/>
              <w:tr2bl w:val="nil"/>
            </w:tcBorders>
            <w:vAlign w:val="center"/>
          </w:tcPr>
          <w:p w14:paraId="3EAF117B">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中华人民共和国道路交通安全法实施条例</w:t>
            </w:r>
          </w:p>
        </w:tc>
        <w:tc>
          <w:tcPr>
            <w:tcW w:w="1387" w:type="pct"/>
            <w:tcBorders>
              <w:tl2br w:val="nil"/>
              <w:tr2bl w:val="nil"/>
            </w:tcBorders>
            <w:vAlign w:val="center"/>
          </w:tcPr>
          <w:p w14:paraId="6D47334E">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国务院令第405号</w:t>
            </w:r>
          </w:p>
        </w:tc>
        <w:tc>
          <w:tcPr>
            <w:tcW w:w="705" w:type="pct"/>
            <w:tcBorders>
              <w:tl2br w:val="nil"/>
              <w:tr2bl w:val="nil"/>
            </w:tcBorders>
            <w:vAlign w:val="center"/>
          </w:tcPr>
          <w:p w14:paraId="53B623DD">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2017-10-07</w:t>
            </w:r>
          </w:p>
        </w:tc>
      </w:tr>
      <w:tr w14:paraId="22B817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0FEFE7EC">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w:t>
            </w:r>
          </w:p>
        </w:tc>
        <w:tc>
          <w:tcPr>
            <w:tcW w:w="2651" w:type="pct"/>
            <w:tcBorders>
              <w:tl2br w:val="nil"/>
              <w:tr2bl w:val="nil"/>
            </w:tcBorders>
            <w:vAlign w:val="center"/>
          </w:tcPr>
          <w:p w14:paraId="411F8BDF">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中华人民共和国自然保护区条例</w:t>
            </w:r>
          </w:p>
        </w:tc>
        <w:tc>
          <w:tcPr>
            <w:tcW w:w="1387" w:type="pct"/>
            <w:tcBorders>
              <w:tl2br w:val="nil"/>
              <w:tr2bl w:val="nil"/>
            </w:tcBorders>
            <w:vAlign w:val="center"/>
          </w:tcPr>
          <w:p w14:paraId="736358FA">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国务院令第830号</w:t>
            </w:r>
          </w:p>
        </w:tc>
        <w:tc>
          <w:tcPr>
            <w:tcW w:w="705" w:type="pct"/>
            <w:tcBorders>
              <w:tl2br w:val="nil"/>
              <w:tr2bl w:val="nil"/>
            </w:tcBorders>
            <w:vAlign w:val="center"/>
          </w:tcPr>
          <w:p w14:paraId="4A32C598">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2026</w:t>
            </w:r>
            <w:r>
              <w:rPr>
                <w:rFonts w:hint="eastAsia"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2</w:t>
            </w:r>
            <w:r>
              <w:rPr>
                <w:rFonts w:hint="eastAsia"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3</w:t>
            </w:r>
          </w:p>
        </w:tc>
      </w:tr>
      <w:tr w14:paraId="08D040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32F9BD70">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21</w:t>
            </w:r>
          </w:p>
        </w:tc>
        <w:tc>
          <w:tcPr>
            <w:tcW w:w="2651" w:type="pct"/>
            <w:tcBorders>
              <w:tl2br w:val="nil"/>
              <w:tr2bl w:val="nil"/>
            </w:tcBorders>
            <w:vAlign w:val="center"/>
          </w:tcPr>
          <w:p w14:paraId="055DE314">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中华人民共和国河道管理条例</w:t>
            </w:r>
          </w:p>
        </w:tc>
        <w:tc>
          <w:tcPr>
            <w:tcW w:w="1387" w:type="pct"/>
            <w:tcBorders>
              <w:tl2br w:val="nil"/>
              <w:tr2bl w:val="nil"/>
            </w:tcBorders>
            <w:vAlign w:val="center"/>
          </w:tcPr>
          <w:p w14:paraId="28C325F2">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国务院令第698号</w:t>
            </w:r>
          </w:p>
        </w:tc>
        <w:tc>
          <w:tcPr>
            <w:tcW w:w="705" w:type="pct"/>
            <w:tcBorders>
              <w:tl2br w:val="nil"/>
              <w:tr2bl w:val="nil"/>
            </w:tcBorders>
            <w:vAlign w:val="center"/>
          </w:tcPr>
          <w:p w14:paraId="7EACAE54">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2018-03-19</w:t>
            </w:r>
          </w:p>
        </w:tc>
      </w:tr>
      <w:tr w14:paraId="17A173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3DC0F8FA">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22</w:t>
            </w:r>
          </w:p>
        </w:tc>
        <w:tc>
          <w:tcPr>
            <w:tcW w:w="2651" w:type="pct"/>
            <w:tcBorders>
              <w:tl2br w:val="nil"/>
              <w:tr2bl w:val="nil"/>
            </w:tcBorders>
            <w:vAlign w:val="center"/>
          </w:tcPr>
          <w:p w14:paraId="716F0975">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关于全面加强生态环境保护坚决打好污染防治攻坚战的意见</w:t>
            </w:r>
          </w:p>
        </w:tc>
        <w:tc>
          <w:tcPr>
            <w:tcW w:w="1387" w:type="pct"/>
            <w:tcBorders>
              <w:tl2br w:val="nil"/>
              <w:tr2bl w:val="nil"/>
            </w:tcBorders>
            <w:vAlign w:val="center"/>
          </w:tcPr>
          <w:p w14:paraId="592307F4">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中发〔2018〕17号</w:t>
            </w:r>
          </w:p>
        </w:tc>
        <w:tc>
          <w:tcPr>
            <w:tcW w:w="705" w:type="pct"/>
            <w:tcBorders>
              <w:tl2br w:val="nil"/>
              <w:tr2bl w:val="nil"/>
            </w:tcBorders>
            <w:vAlign w:val="center"/>
          </w:tcPr>
          <w:p w14:paraId="4F61B6F6">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2018-06-16</w:t>
            </w:r>
          </w:p>
        </w:tc>
      </w:tr>
      <w:tr w14:paraId="068C20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6B7015AC">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23</w:t>
            </w:r>
          </w:p>
        </w:tc>
        <w:tc>
          <w:tcPr>
            <w:tcW w:w="2651" w:type="pct"/>
            <w:tcBorders>
              <w:tl2br w:val="nil"/>
              <w:tr2bl w:val="nil"/>
            </w:tcBorders>
            <w:vAlign w:val="center"/>
          </w:tcPr>
          <w:p w14:paraId="6A6AC6C1">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中华人民共和国水污染防治法</w:t>
            </w:r>
          </w:p>
        </w:tc>
        <w:tc>
          <w:tcPr>
            <w:tcW w:w="1387" w:type="pct"/>
            <w:tcBorders>
              <w:tl2br w:val="nil"/>
              <w:tr2bl w:val="nil"/>
            </w:tcBorders>
            <w:vAlign w:val="center"/>
          </w:tcPr>
          <w:p w14:paraId="4DC3E436">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12届人大第28次会议</w:t>
            </w:r>
          </w:p>
        </w:tc>
        <w:tc>
          <w:tcPr>
            <w:tcW w:w="705" w:type="pct"/>
            <w:tcBorders>
              <w:tl2br w:val="nil"/>
              <w:tr2bl w:val="nil"/>
            </w:tcBorders>
            <w:vAlign w:val="center"/>
          </w:tcPr>
          <w:p w14:paraId="55620AD1">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2018-01-01</w:t>
            </w:r>
          </w:p>
        </w:tc>
      </w:tr>
      <w:tr w14:paraId="792C49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4B4A3693">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24</w:t>
            </w:r>
          </w:p>
        </w:tc>
        <w:tc>
          <w:tcPr>
            <w:tcW w:w="2651" w:type="pct"/>
            <w:tcBorders>
              <w:tl2br w:val="nil"/>
              <w:tr2bl w:val="nil"/>
            </w:tcBorders>
            <w:vAlign w:val="center"/>
          </w:tcPr>
          <w:p w14:paraId="129FBC0E">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中华人民共和国城乡规划法</w:t>
            </w:r>
          </w:p>
        </w:tc>
        <w:tc>
          <w:tcPr>
            <w:tcW w:w="1387" w:type="pct"/>
            <w:tcBorders>
              <w:tl2br w:val="nil"/>
              <w:tr2bl w:val="nil"/>
            </w:tcBorders>
            <w:vAlign w:val="center"/>
          </w:tcPr>
          <w:p w14:paraId="7612662C">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13</w:t>
            </w:r>
            <w:r>
              <w:rPr>
                <w:rFonts w:hint="default" w:ascii="Times New Roman" w:hAnsi="Times New Roman" w:eastAsia="宋体" w:cs="Times New Roman"/>
                <w:color w:val="auto"/>
                <w:sz w:val="21"/>
                <w:szCs w:val="21"/>
                <w:highlight w:val="none"/>
              </w:rPr>
              <w:t>届人大第</w:t>
            </w:r>
            <w:r>
              <w:rPr>
                <w:rFonts w:hint="eastAsia"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次会议</w:t>
            </w:r>
          </w:p>
        </w:tc>
        <w:tc>
          <w:tcPr>
            <w:tcW w:w="705" w:type="pct"/>
            <w:tcBorders>
              <w:tl2br w:val="nil"/>
              <w:tr2bl w:val="nil"/>
            </w:tcBorders>
            <w:vAlign w:val="center"/>
          </w:tcPr>
          <w:p w14:paraId="75B40B49">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201</w:t>
            </w: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-0</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23</w:t>
            </w:r>
          </w:p>
        </w:tc>
      </w:tr>
      <w:tr w14:paraId="4C78CF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164C8DCE">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25</w:t>
            </w:r>
          </w:p>
        </w:tc>
        <w:tc>
          <w:tcPr>
            <w:tcW w:w="2651" w:type="pct"/>
            <w:tcBorders>
              <w:tl2br w:val="nil"/>
              <w:tr2bl w:val="nil"/>
            </w:tcBorders>
            <w:vAlign w:val="center"/>
          </w:tcPr>
          <w:p w14:paraId="104CAF87">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中华人民共和国野生动物保护法</w:t>
            </w:r>
          </w:p>
        </w:tc>
        <w:tc>
          <w:tcPr>
            <w:tcW w:w="1387" w:type="pct"/>
            <w:tcBorders>
              <w:tl2br w:val="nil"/>
              <w:tr2bl w:val="nil"/>
            </w:tcBorders>
            <w:vAlign w:val="center"/>
          </w:tcPr>
          <w:p w14:paraId="58590112">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16届人大第6次会议</w:t>
            </w:r>
          </w:p>
        </w:tc>
        <w:tc>
          <w:tcPr>
            <w:tcW w:w="705" w:type="pct"/>
            <w:tcBorders>
              <w:tl2br w:val="nil"/>
              <w:tr2bl w:val="nil"/>
            </w:tcBorders>
            <w:vAlign w:val="center"/>
          </w:tcPr>
          <w:p w14:paraId="089A2CB2">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2018-10-26</w:t>
            </w:r>
          </w:p>
        </w:tc>
      </w:tr>
      <w:tr w14:paraId="349D54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178CD0DB">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26</w:t>
            </w:r>
          </w:p>
        </w:tc>
        <w:tc>
          <w:tcPr>
            <w:tcW w:w="2651" w:type="pct"/>
            <w:tcBorders>
              <w:tl2br w:val="nil"/>
              <w:tr2bl w:val="nil"/>
            </w:tcBorders>
            <w:vAlign w:val="center"/>
          </w:tcPr>
          <w:p w14:paraId="39976699">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中华人民共和国循环经济促进法</w:t>
            </w:r>
          </w:p>
        </w:tc>
        <w:tc>
          <w:tcPr>
            <w:tcW w:w="1387" w:type="pct"/>
            <w:tcBorders>
              <w:tl2br w:val="nil"/>
              <w:tr2bl w:val="nil"/>
            </w:tcBorders>
            <w:vAlign w:val="center"/>
          </w:tcPr>
          <w:p w14:paraId="10F0BC54">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13届人大第6次会议</w:t>
            </w:r>
          </w:p>
        </w:tc>
        <w:tc>
          <w:tcPr>
            <w:tcW w:w="705" w:type="pct"/>
            <w:tcBorders>
              <w:tl2br w:val="nil"/>
              <w:tr2bl w:val="nil"/>
            </w:tcBorders>
            <w:vAlign w:val="center"/>
          </w:tcPr>
          <w:p w14:paraId="54CCC609">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2018-10-26</w:t>
            </w:r>
          </w:p>
        </w:tc>
      </w:tr>
      <w:tr w14:paraId="1593B6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569F05C9">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27</w:t>
            </w:r>
          </w:p>
        </w:tc>
        <w:tc>
          <w:tcPr>
            <w:tcW w:w="2651" w:type="pct"/>
            <w:tcBorders>
              <w:tl2br w:val="nil"/>
              <w:tr2bl w:val="nil"/>
            </w:tcBorders>
            <w:vAlign w:val="center"/>
          </w:tcPr>
          <w:p w14:paraId="50E2D4C9">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中华人民共和国节约能源法</w:t>
            </w:r>
          </w:p>
        </w:tc>
        <w:tc>
          <w:tcPr>
            <w:tcW w:w="1387" w:type="pct"/>
            <w:tcBorders>
              <w:tl2br w:val="nil"/>
              <w:tr2bl w:val="nil"/>
            </w:tcBorders>
            <w:vAlign w:val="center"/>
          </w:tcPr>
          <w:p w14:paraId="1ED2585A">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13届人大第6次会议</w:t>
            </w:r>
          </w:p>
        </w:tc>
        <w:tc>
          <w:tcPr>
            <w:tcW w:w="705" w:type="pct"/>
            <w:tcBorders>
              <w:tl2br w:val="nil"/>
              <w:tr2bl w:val="nil"/>
            </w:tcBorders>
            <w:vAlign w:val="center"/>
          </w:tcPr>
          <w:p w14:paraId="2DF3DDE4">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2018-10-26</w:t>
            </w:r>
          </w:p>
        </w:tc>
      </w:tr>
      <w:tr w14:paraId="68CB04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18F79C17">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28</w:t>
            </w:r>
          </w:p>
        </w:tc>
        <w:tc>
          <w:tcPr>
            <w:tcW w:w="2651" w:type="pct"/>
            <w:tcBorders>
              <w:tl2br w:val="nil"/>
              <w:tr2bl w:val="nil"/>
            </w:tcBorders>
            <w:vAlign w:val="center"/>
          </w:tcPr>
          <w:p w14:paraId="570FCDB4">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中华人民共和国环境保护税法</w:t>
            </w:r>
          </w:p>
        </w:tc>
        <w:tc>
          <w:tcPr>
            <w:tcW w:w="1387" w:type="pct"/>
            <w:tcBorders>
              <w:tl2br w:val="nil"/>
              <w:tr2bl w:val="nil"/>
            </w:tcBorders>
            <w:vAlign w:val="center"/>
          </w:tcPr>
          <w:p w14:paraId="4DDD2EDF">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13届人大第6次会议</w:t>
            </w:r>
          </w:p>
        </w:tc>
        <w:tc>
          <w:tcPr>
            <w:tcW w:w="705" w:type="pct"/>
            <w:tcBorders>
              <w:tl2br w:val="nil"/>
              <w:tr2bl w:val="nil"/>
            </w:tcBorders>
            <w:vAlign w:val="center"/>
          </w:tcPr>
          <w:p w14:paraId="550398E4">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2018-10-26</w:t>
            </w:r>
          </w:p>
        </w:tc>
      </w:tr>
      <w:tr w14:paraId="5005EB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3E148511">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29</w:t>
            </w:r>
          </w:p>
        </w:tc>
        <w:tc>
          <w:tcPr>
            <w:tcW w:w="2651" w:type="pct"/>
            <w:tcBorders>
              <w:tl2br w:val="nil"/>
              <w:tr2bl w:val="nil"/>
            </w:tcBorders>
            <w:vAlign w:val="center"/>
          </w:tcPr>
          <w:p w14:paraId="24C1FA80">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中华人民共和国防沙治沙法</w:t>
            </w:r>
          </w:p>
        </w:tc>
        <w:tc>
          <w:tcPr>
            <w:tcW w:w="1387" w:type="pct"/>
            <w:tcBorders>
              <w:tl2br w:val="nil"/>
              <w:tr2bl w:val="nil"/>
            </w:tcBorders>
            <w:vAlign w:val="center"/>
          </w:tcPr>
          <w:p w14:paraId="4369569A">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13届人大第6次会议</w:t>
            </w:r>
          </w:p>
        </w:tc>
        <w:tc>
          <w:tcPr>
            <w:tcW w:w="705" w:type="pct"/>
            <w:tcBorders>
              <w:tl2br w:val="nil"/>
              <w:tr2bl w:val="nil"/>
            </w:tcBorders>
            <w:vAlign w:val="center"/>
          </w:tcPr>
          <w:p w14:paraId="1FDB4FED">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2018-10-26</w:t>
            </w:r>
          </w:p>
        </w:tc>
      </w:tr>
      <w:tr w14:paraId="19F7B9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4793BACC">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30</w:t>
            </w:r>
          </w:p>
        </w:tc>
        <w:tc>
          <w:tcPr>
            <w:tcW w:w="2651" w:type="pct"/>
            <w:tcBorders>
              <w:tl2br w:val="nil"/>
              <w:tr2bl w:val="nil"/>
            </w:tcBorders>
            <w:vAlign w:val="center"/>
          </w:tcPr>
          <w:p w14:paraId="151620EB">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中华人民共和国大气污染防治法</w:t>
            </w:r>
          </w:p>
        </w:tc>
        <w:tc>
          <w:tcPr>
            <w:tcW w:w="1387" w:type="pct"/>
            <w:tcBorders>
              <w:tl2br w:val="nil"/>
              <w:tr2bl w:val="nil"/>
            </w:tcBorders>
            <w:vAlign w:val="center"/>
          </w:tcPr>
          <w:p w14:paraId="65BCE242">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13届人大第6次会议</w:t>
            </w:r>
          </w:p>
        </w:tc>
        <w:tc>
          <w:tcPr>
            <w:tcW w:w="705" w:type="pct"/>
            <w:tcBorders>
              <w:tl2br w:val="nil"/>
              <w:tr2bl w:val="nil"/>
            </w:tcBorders>
            <w:vAlign w:val="center"/>
          </w:tcPr>
          <w:p w14:paraId="4CFD276D">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2018-10-26</w:t>
            </w:r>
          </w:p>
        </w:tc>
      </w:tr>
      <w:tr w14:paraId="55E992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52DC9049">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31</w:t>
            </w:r>
          </w:p>
        </w:tc>
        <w:tc>
          <w:tcPr>
            <w:tcW w:w="2651" w:type="pct"/>
            <w:tcBorders>
              <w:tl2br w:val="nil"/>
              <w:tr2bl w:val="nil"/>
            </w:tcBorders>
            <w:vAlign w:val="center"/>
          </w:tcPr>
          <w:p w14:paraId="7CC1B0D7">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中华人民共和国环境影响评价法</w:t>
            </w:r>
          </w:p>
        </w:tc>
        <w:tc>
          <w:tcPr>
            <w:tcW w:w="1387" w:type="pct"/>
            <w:tcBorders>
              <w:tl2br w:val="nil"/>
              <w:tr2bl w:val="nil"/>
            </w:tcBorders>
            <w:vAlign w:val="center"/>
          </w:tcPr>
          <w:p w14:paraId="11E41215">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13届人大第7次会议</w:t>
            </w:r>
          </w:p>
        </w:tc>
        <w:tc>
          <w:tcPr>
            <w:tcW w:w="705" w:type="pct"/>
            <w:tcBorders>
              <w:tl2br w:val="nil"/>
              <w:tr2bl w:val="nil"/>
            </w:tcBorders>
            <w:vAlign w:val="center"/>
          </w:tcPr>
          <w:p w14:paraId="626DB307">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2018-12-29</w:t>
            </w:r>
          </w:p>
        </w:tc>
      </w:tr>
      <w:tr w14:paraId="2AAEC3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51C22024">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32</w:t>
            </w:r>
          </w:p>
        </w:tc>
        <w:tc>
          <w:tcPr>
            <w:tcW w:w="2651" w:type="pct"/>
            <w:tcBorders>
              <w:tl2br w:val="nil"/>
              <w:tr2bl w:val="nil"/>
            </w:tcBorders>
            <w:vAlign w:val="center"/>
          </w:tcPr>
          <w:p w14:paraId="0EBFD1C9">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中华人民共和国土壤污染防治法</w:t>
            </w:r>
          </w:p>
        </w:tc>
        <w:tc>
          <w:tcPr>
            <w:tcW w:w="1387" w:type="pct"/>
            <w:tcBorders>
              <w:tl2br w:val="nil"/>
              <w:tr2bl w:val="nil"/>
            </w:tcBorders>
            <w:vAlign w:val="center"/>
          </w:tcPr>
          <w:p w14:paraId="6AED7379">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13届人大第5次会议</w:t>
            </w:r>
          </w:p>
        </w:tc>
        <w:tc>
          <w:tcPr>
            <w:tcW w:w="705" w:type="pct"/>
            <w:tcBorders>
              <w:tl2br w:val="nil"/>
              <w:tr2bl w:val="nil"/>
            </w:tcBorders>
            <w:vAlign w:val="center"/>
          </w:tcPr>
          <w:p w14:paraId="4D4B413C">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2019-01-01</w:t>
            </w:r>
          </w:p>
        </w:tc>
      </w:tr>
      <w:tr w14:paraId="7F0050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3E30E487">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33</w:t>
            </w:r>
          </w:p>
        </w:tc>
        <w:tc>
          <w:tcPr>
            <w:tcW w:w="2651" w:type="pct"/>
            <w:tcBorders>
              <w:tl2br w:val="nil"/>
              <w:tr2bl w:val="nil"/>
            </w:tcBorders>
            <w:vAlign w:val="center"/>
          </w:tcPr>
          <w:p w14:paraId="4F15A90A">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中华人民共和国森林法</w:t>
            </w:r>
          </w:p>
        </w:tc>
        <w:tc>
          <w:tcPr>
            <w:tcW w:w="1387" w:type="pct"/>
            <w:tcBorders>
              <w:tl2br w:val="nil"/>
              <w:tr2bl w:val="nil"/>
            </w:tcBorders>
            <w:vAlign w:val="center"/>
          </w:tcPr>
          <w:p w14:paraId="3AE20630">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13届人大第15次会议</w:t>
            </w:r>
          </w:p>
        </w:tc>
        <w:tc>
          <w:tcPr>
            <w:tcW w:w="705" w:type="pct"/>
            <w:tcBorders>
              <w:tl2br w:val="nil"/>
              <w:tr2bl w:val="nil"/>
            </w:tcBorders>
            <w:vAlign w:val="center"/>
          </w:tcPr>
          <w:p w14:paraId="3ACF5715">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2019-12-28</w:t>
            </w:r>
          </w:p>
        </w:tc>
      </w:tr>
      <w:tr w14:paraId="14D604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24E36EDE">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34</w:t>
            </w:r>
          </w:p>
        </w:tc>
        <w:tc>
          <w:tcPr>
            <w:tcW w:w="2651" w:type="pct"/>
            <w:tcBorders>
              <w:tl2br w:val="nil"/>
              <w:tr2bl w:val="nil"/>
            </w:tcBorders>
            <w:vAlign w:val="center"/>
          </w:tcPr>
          <w:p w14:paraId="61BC4B9F">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中华人民共和国土地管理法</w:t>
            </w:r>
          </w:p>
        </w:tc>
        <w:tc>
          <w:tcPr>
            <w:tcW w:w="1387" w:type="pct"/>
            <w:tcBorders>
              <w:tl2br w:val="nil"/>
              <w:tr2bl w:val="nil"/>
            </w:tcBorders>
            <w:vAlign w:val="center"/>
          </w:tcPr>
          <w:p w14:paraId="225820D5">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13届人大第12次会议</w:t>
            </w:r>
          </w:p>
        </w:tc>
        <w:tc>
          <w:tcPr>
            <w:tcW w:w="705" w:type="pct"/>
            <w:tcBorders>
              <w:tl2br w:val="nil"/>
              <w:tr2bl w:val="nil"/>
            </w:tcBorders>
            <w:vAlign w:val="center"/>
          </w:tcPr>
          <w:p w14:paraId="641C17D8">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2020-01-01</w:t>
            </w:r>
          </w:p>
        </w:tc>
      </w:tr>
      <w:tr w14:paraId="0AE39A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4DF6B912">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35</w:t>
            </w:r>
          </w:p>
        </w:tc>
        <w:tc>
          <w:tcPr>
            <w:tcW w:w="2651" w:type="pct"/>
            <w:tcBorders>
              <w:tl2br w:val="nil"/>
              <w:tr2bl w:val="nil"/>
            </w:tcBorders>
            <w:vAlign w:val="center"/>
          </w:tcPr>
          <w:p w14:paraId="38D60BF4">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中华人民共和国固体废物污染环境防治法</w:t>
            </w:r>
          </w:p>
        </w:tc>
        <w:tc>
          <w:tcPr>
            <w:tcW w:w="1387" w:type="pct"/>
            <w:tcBorders>
              <w:tl2br w:val="nil"/>
              <w:tr2bl w:val="nil"/>
            </w:tcBorders>
            <w:vAlign w:val="center"/>
          </w:tcPr>
          <w:p w14:paraId="490986E4">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13届人大第17次会议</w:t>
            </w:r>
          </w:p>
        </w:tc>
        <w:tc>
          <w:tcPr>
            <w:tcW w:w="705" w:type="pct"/>
            <w:tcBorders>
              <w:tl2br w:val="nil"/>
              <w:tr2bl w:val="nil"/>
            </w:tcBorders>
            <w:vAlign w:val="center"/>
          </w:tcPr>
          <w:p w14:paraId="5DAA6E3F">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2020-09-01</w:t>
            </w:r>
          </w:p>
        </w:tc>
      </w:tr>
      <w:tr w14:paraId="74E6BB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214DBA97">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36</w:t>
            </w:r>
          </w:p>
        </w:tc>
        <w:tc>
          <w:tcPr>
            <w:tcW w:w="2651" w:type="pct"/>
            <w:tcBorders>
              <w:tl2br w:val="nil"/>
              <w:tr2bl w:val="nil"/>
            </w:tcBorders>
            <w:vAlign w:val="center"/>
          </w:tcPr>
          <w:p w14:paraId="776B90C9">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排污许可管理条例</w:t>
            </w:r>
          </w:p>
        </w:tc>
        <w:tc>
          <w:tcPr>
            <w:tcW w:w="1387" w:type="pct"/>
            <w:tcBorders>
              <w:tl2br w:val="nil"/>
              <w:tr2bl w:val="nil"/>
            </w:tcBorders>
            <w:vAlign w:val="center"/>
          </w:tcPr>
          <w:p w14:paraId="6D7F1A6F">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国务院令第736号</w:t>
            </w:r>
          </w:p>
        </w:tc>
        <w:tc>
          <w:tcPr>
            <w:tcW w:w="705" w:type="pct"/>
            <w:tcBorders>
              <w:tl2br w:val="nil"/>
              <w:tr2bl w:val="nil"/>
            </w:tcBorders>
            <w:vAlign w:val="center"/>
          </w:tcPr>
          <w:p w14:paraId="2E4FFD22">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2021-03-01</w:t>
            </w:r>
          </w:p>
        </w:tc>
      </w:tr>
      <w:tr w14:paraId="3061C9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0681A11A">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37</w:t>
            </w:r>
          </w:p>
        </w:tc>
        <w:tc>
          <w:tcPr>
            <w:tcW w:w="2651" w:type="pct"/>
            <w:tcBorders>
              <w:tl2br w:val="nil"/>
              <w:tr2bl w:val="nil"/>
            </w:tcBorders>
            <w:vAlign w:val="center"/>
          </w:tcPr>
          <w:p w14:paraId="4A2A5142">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中华人民共和国土地管理法实施条例</w:t>
            </w:r>
          </w:p>
        </w:tc>
        <w:tc>
          <w:tcPr>
            <w:tcW w:w="1387" w:type="pct"/>
            <w:tcBorders>
              <w:tl2br w:val="nil"/>
              <w:tr2bl w:val="nil"/>
            </w:tcBorders>
            <w:vAlign w:val="center"/>
          </w:tcPr>
          <w:p w14:paraId="31C8262D">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国务院令第743号</w:t>
            </w:r>
          </w:p>
        </w:tc>
        <w:tc>
          <w:tcPr>
            <w:tcW w:w="705" w:type="pct"/>
            <w:tcBorders>
              <w:tl2br w:val="nil"/>
              <w:tr2bl w:val="nil"/>
            </w:tcBorders>
            <w:vAlign w:val="center"/>
          </w:tcPr>
          <w:p w14:paraId="4D9ACC88">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2021-09-01</w:t>
            </w:r>
          </w:p>
        </w:tc>
      </w:tr>
      <w:tr w14:paraId="0A8924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53EBAB5E">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38</w:t>
            </w:r>
          </w:p>
        </w:tc>
        <w:tc>
          <w:tcPr>
            <w:tcW w:w="2651" w:type="pct"/>
            <w:tcBorders>
              <w:tl2br w:val="nil"/>
              <w:tr2bl w:val="nil"/>
            </w:tcBorders>
            <w:vAlign w:val="center"/>
          </w:tcPr>
          <w:p w14:paraId="1B57AB97">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中华人民共和国安全生产法</w:t>
            </w:r>
          </w:p>
        </w:tc>
        <w:tc>
          <w:tcPr>
            <w:tcW w:w="1387" w:type="pct"/>
            <w:tcBorders>
              <w:tl2br w:val="nil"/>
              <w:tr2bl w:val="nil"/>
            </w:tcBorders>
            <w:vAlign w:val="center"/>
          </w:tcPr>
          <w:p w14:paraId="4962CDAE">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13届人大第29次会议</w:t>
            </w:r>
          </w:p>
        </w:tc>
        <w:tc>
          <w:tcPr>
            <w:tcW w:w="705" w:type="pct"/>
            <w:tcBorders>
              <w:tl2br w:val="nil"/>
              <w:tr2bl w:val="nil"/>
            </w:tcBorders>
            <w:vAlign w:val="center"/>
          </w:tcPr>
          <w:p w14:paraId="4A54552F">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2021-09-01</w:t>
            </w:r>
          </w:p>
        </w:tc>
      </w:tr>
      <w:tr w14:paraId="744768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53C9B19F">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39</w:t>
            </w:r>
          </w:p>
        </w:tc>
        <w:tc>
          <w:tcPr>
            <w:tcW w:w="2651" w:type="pct"/>
            <w:tcBorders>
              <w:tl2br w:val="nil"/>
              <w:tr2bl w:val="nil"/>
            </w:tcBorders>
            <w:vAlign w:val="center"/>
          </w:tcPr>
          <w:p w14:paraId="52656F08">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中共中央国务院关于完整准确全面贯彻新发展理念做好碳达峰碳中和工作的意见</w:t>
            </w:r>
          </w:p>
        </w:tc>
        <w:tc>
          <w:tcPr>
            <w:tcW w:w="1387" w:type="pct"/>
            <w:tcBorders>
              <w:tl2br w:val="nil"/>
              <w:tr2bl w:val="nil"/>
            </w:tcBorders>
            <w:vAlign w:val="center"/>
          </w:tcPr>
          <w:p w14:paraId="0B488AEF">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中发〔2021〕36号</w:t>
            </w:r>
          </w:p>
        </w:tc>
        <w:tc>
          <w:tcPr>
            <w:tcW w:w="705" w:type="pct"/>
            <w:tcBorders>
              <w:tl2br w:val="nil"/>
              <w:tr2bl w:val="nil"/>
            </w:tcBorders>
            <w:vAlign w:val="center"/>
          </w:tcPr>
          <w:p w14:paraId="2E161AFE">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2021-09-22</w:t>
            </w:r>
          </w:p>
        </w:tc>
      </w:tr>
      <w:tr w14:paraId="4DECCE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7385BC12">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40</w:t>
            </w:r>
          </w:p>
        </w:tc>
        <w:tc>
          <w:tcPr>
            <w:tcW w:w="2651" w:type="pct"/>
            <w:tcBorders>
              <w:tl2br w:val="nil"/>
              <w:tr2bl w:val="nil"/>
            </w:tcBorders>
            <w:vAlign w:val="center"/>
          </w:tcPr>
          <w:p w14:paraId="688E7C83">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地下水管理条例</w:t>
            </w:r>
          </w:p>
        </w:tc>
        <w:tc>
          <w:tcPr>
            <w:tcW w:w="1387" w:type="pct"/>
            <w:tcBorders>
              <w:tl2br w:val="nil"/>
              <w:tr2bl w:val="nil"/>
            </w:tcBorders>
            <w:vAlign w:val="center"/>
          </w:tcPr>
          <w:p w14:paraId="77187B59">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国务院令第748号</w:t>
            </w:r>
          </w:p>
        </w:tc>
        <w:tc>
          <w:tcPr>
            <w:tcW w:w="705" w:type="pct"/>
            <w:tcBorders>
              <w:tl2br w:val="nil"/>
              <w:tr2bl w:val="nil"/>
            </w:tcBorders>
            <w:vAlign w:val="center"/>
          </w:tcPr>
          <w:p w14:paraId="71DD05AD">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2021-12-01</w:t>
            </w:r>
          </w:p>
        </w:tc>
      </w:tr>
      <w:tr w14:paraId="3FE10A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1E88F6AD">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41</w:t>
            </w:r>
          </w:p>
        </w:tc>
        <w:tc>
          <w:tcPr>
            <w:tcW w:w="2651" w:type="pct"/>
            <w:tcBorders>
              <w:tl2br w:val="nil"/>
              <w:tr2bl w:val="nil"/>
            </w:tcBorders>
            <w:vAlign w:val="center"/>
          </w:tcPr>
          <w:p w14:paraId="1677F2F3">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中华人民共和国噪声污染防治法</w:t>
            </w:r>
          </w:p>
        </w:tc>
        <w:tc>
          <w:tcPr>
            <w:tcW w:w="1387" w:type="pct"/>
            <w:tcBorders>
              <w:tl2br w:val="nil"/>
              <w:tr2bl w:val="nil"/>
            </w:tcBorders>
            <w:vAlign w:val="center"/>
          </w:tcPr>
          <w:p w14:paraId="54D90452">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13届人大第32次会议</w:t>
            </w:r>
          </w:p>
        </w:tc>
        <w:tc>
          <w:tcPr>
            <w:tcW w:w="705" w:type="pct"/>
            <w:tcBorders>
              <w:tl2br w:val="nil"/>
              <w:tr2bl w:val="nil"/>
            </w:tcBorders>
            <w:vAlign w:val="center"/>
          </w:tcPr>
          <w:p w14:paraId="34048027">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2022-06-05</w:t>
            </w:r>
          </w:p>
        </w:tc>
      </w:tr>
      <w:tr w14:paraId="1E9F5D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65B289B4">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42</w:t>
            </w:r>
          </w:p>
        </w:tc>
        <w:tc>
          <w:tcPr>
            <w:tcW w:w="2651" w:type="pct"/>
            <w:tcBorders>
              <w:tl2br w:val="nil"/>
              <w:tr2bl w:val="nil"/>
            </w:tcBorders>
            <w:vAlign w:val="center"/>
          </w:tcPr>
          <w:p w14:paraId="49916AD3">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地下水保护利用管理办法</w:t>
            </w:r>
          </w:p>
        </w:tc>
        <w:tc>
          <w:tcPr>
            <w:tcW w:w="1387" w:type="pct"/>
            <w:tcBorders>
              <w:tl2br w:val="nil"/>
              <w:tr2bl w:val="nil"/>
            </w:tcBorders>
            <w:vAlign w:val="center"/>
          </w:tcPr>
          <w:p w14:paraId="7AED88C6">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水资管〔2023〕214号</w:t>
            </w:r>
          </w:p>
        </w:tc>
        <w:tc>
          <w:tcPr>
            <w:tcW w:w="705" w:type="pct"/>
            <w:tcBorders>
              <w:tl2br w:val="nil"/>
              <w:tr2bl w:val="nil"/>
            </w:tcBorders>
            <w:vAlign w:val="center"/>
          </w:tcPr>
          <w:p w14:paraId="47B1D42E">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2023-06-28</w:t>
            </w:r>
          </w:p>
        </w:tc>
      </w:tr>
      <w:tr w14:paraId="578FA7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572B6C39">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43</w:t>
            </w:r>
          </w:p>
        </w:tc>
        <w:tc>
          <w:tcPr>
            <w:tcW w:w="2651" w:type="pct"/>
            <w:tcBorders>
              <w:tl2br w:val="nil"/>
              <w:tr2bl w:val="nil"/>
            </w:tcBorders>
            <w:vAlign w:val="center"/>
          </w:tcPr>
          <w:p w14:paraId="2F7324FE">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关于进一步加强矿山安全生产工作的意见</w:t>
            </w:r>
          </w:p>
        </w:tc>
        <w:tc>
          <w:tcPr>
            <w:tcW w:w="1387" w:type="pct"/>
            <w:tcBorders>
              <w:tl2br w:val="nil"/>
              <w:tr2bl w:val="nil"/>
            </w:tcBorders>
            <w:vAlign w:val="center"/>
          </w:tcPr>
          <w:p w14:paraId="12EABCB9">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05" w:type="pct"/>
            <w:tcBorders>
              <w:tl2br w:val="nil"/>
              <w:tr2bl w:val="nil"/>
            </w:tcBorders>
            <w:vAlign w:val="center"/>
          </w:tcPr>
          <w:p w14:paraId="5D9071F1">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2023-09-06</w:t>
            </w:r>
          </w:p>
        </w:tc>
      </w:tr>
      <w:tr w14:paraId="386217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224C8C3F">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44</w:t>
            </w:r>
          </w:p>
        </w:tc>
        <w:tc>
          <w:tcPr>
            <w:tcW w:w="2651" w:type="pct"/>
            <w:tcBorders>
              <w:tl2br w:val="nil"/>
              <w:tr2bl w:val="nil"/>
            </w:tcBorders>
            <w:vAlign w:val="center"/>
          </w:tcPr>
          <w:p w14:paraId="3A5DEB05">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空气质量持续改善行动计划</w:t>
            </w:r>
          </w:p>
        </w:tc>
        <w:tc>
          <w:tcPr>
            <w:tcW w:w="1387" w:type="pct"/>
            <w:tcBorders>
              <w:tl2br w:val="nil"/>
              <w:tr2bl w:val="nil"/>
            </w:tcBorders>
            <w:vAlign w:val="center"/>
          </w:tcPr>
          <w:p w14:paraId="53C266E8">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国发〔2023〕24号</w:t>
            </w:r>
          </w:p>
        </w:tc>
        <w:tc>
          <w:tcPr>
            <w:tcW w:w="705" w:type="pct"/>
            <w:tcBorders>
              <w:tl2br w:val="nil"/>
              <w:tr2bl w:val="nil"/>
            </w:tcBorders>
            <w:vAlign w:val="center"/>
          </w:tcPr>
          <w:p w14:paraId="24629FA2">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等线" w:cs="Times New Roman"/>
                <w:color w:val="auto"/>
                <w:sz w:val="21"/>
                <w:szCs w:val="21"/>
                <w:highlight w:val="none"/>
              </w:rPr>
              <w:t>2023-11-30</w:t>
            </w:r>
          </w:p>
        </w:tc>
      </w:tr>
      <w:tr w14:paraId="3FF179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296A536F">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45</w:t>
            </w:r>
          </w:p>
        </w:tc>
        <w:tc>
          <w:tcPr>
            <w:tcW w:w="2651" w:type="pct"/>
            <w:tcBorders>
              <w:tl2br w:val="nil"/>
              <w:tr2bl w:val="nil"/>
            </w:tcBorders>
            <w:vAlign w:val="center"/>
          </w:tcPr>
          <w:p w14:paraId="6167AF7F">
            <w:pPr>
              <w:pStyle w:val="47"/>
              <w:spacing w:before="0" w:beforeAutospacing="0" w:line="360" w:lineRule="exact"/>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固体废物综合治理行动计划</w:t>
            </w:r>
          </w:p>
        </w:tc>
        <w:tc>
          <w:tcPr>
            <w:tcW w:w="1387" w:type="pct"/>
            <w:tcBorders>
              <w:tl2br w:val="nil"/>
              <w:tr2bl w:val="nil"/>
            </w:tcBorders>
            <w:vAlign w:val="center"/>
          </w:tcPr>
          <w:p w14:paraId="468FE5AC">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woUserID w:val="1"/>
              </w:rPr>
              <w:t>国发〔2025〕14号</w:t>
            </w:r>
          </w:p>
        </w:tc>
        <w:tc>
          <w:tcPr>
            <w:tcW w:w="705" w:type="pct"/>
            <w:tcBorders>
              <w:tl2br w:val="nil"/>
              <w:tr2bl w:val="nil"/>
            </w:tcBorders>
            <w:vAlign w:val="center"/>
          </w:tcPr>
          <w:p w14:paraId="1D7DFA29">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等线" w:cs="Times New Roman"/>
                <w:color w:val="auto"/>
                <w:sz w:val="21"/>
                <w:szCs w:val="21"/>
                <w:highlight w:val="none"/>
              </w:rPr>
              <w:t>202</w:t>
            </w:r>
            <w:r>
              <w:rPr>
                <w:rFonts w:hint="default" w:ascii="Times New Roman" w:hAnsi="Times New Roman" w:eastAsia="等线" w:cs="Times New Roman"/>
                <w:color w:val="auto"/>
                <w:sz w:val="21"/>
                <w:szCs w:val="21"/>
                <w:highlight w:val="none"/>
                <w:woUserID w:val="1"/>
              </w:rPr>
              <w:t>5</w:t>
            </w:r>
            <w:r>
              <w:rPr>
                <w:rFonts w:hint="default" w:ascii="Times New Roman" w:hAnsi="Times New Roman" w:eastAsia="等线" w:cs="Times New Roman"/>
                <w:color w:val="auto"/>
                <w:sz w:val="21"/>
                <w:szCs w:val="21"/>
                <w:highlight w:val="none"/>
              </w:rPr>
              <w:t>-1</w:t>
            </w:r>
            <w:r>
              <w:rPr>
                <w:rFonts w:hint="default" w:ascii="Times New Roman" w:hAnsi="Times New Roman" w:eastAsia="等线" w:cs="Times New Roman"/>
                <w:color w:val="auto"/>
                <w:sz w:val="21"/>
                <w:szCs w:val="21"/>
                <w:highlight w:val="none"/>
                <w:woUserID w:val="1"/>
              </w:rPr>
              <w:t>2</w:t>
            </w:r>
            <w:r>
              <w:rPr>
                <w:rFonts w:hint="default" w:ascii="Times New Roman" w:hAnsi="Times New Roman" w:eastAsia="等线" w:cs="Times New Roman"/>
                <w:color w:val="auto"/>
                <w:sz w:val="21"/>
                <w:szCs w:val="21"/>
                <w:highlight w:val="none"/>
              </w:rPr>
              <w:t>-</w:t>
            </w:r>
            <w:r>
              <w:rPr>
                <w:rFonts w:hint="default" w:ascii="Times New Roman" w:hAnsi="Times New Roman" w:eastAsia="等线" w:cs="Times New Roman"/>
                <w:color w:val="auto"/>
                <w:sz w:val="21"/>
                <w:szCs w:val="21"/>
                <w:highlight w:val="none"/>
                <w:woUserID w:val="1"/>
              </w:rPr>
              <w:t>27</w:t>
            </w:r>
          </w:p>
        </w:tc>
      </w:tr>
      <w:tr w14:paraId="7270CC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01E8C730">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w w:val="99"/>
                <w:sz w:val="21"/>
                <w:szCs w:val="21"/>
                <w:highlight w:val="none"/>
              </w:rPr>
              <w:t>二</w:t>
            </w:r>
          </w:p>
        </w:tc>
        <w:tc>
          <w:tcPr>
            <w:tcW w:w="4744" w:type="pct"/>
            <w:gridSpan w:val="3"/>
            <w:tcBorders>
              <w:tl2br w:val="nil"/>
              <w:tr2bl w:val="nil"/>
            </w:tcBorders>
            <w:vAlign w:val="center"/>
          </w:tcPr>
          <w:p w14:paraId="0CE321C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部门规章与部门发布的规范性文件</w:t>
            </w:r>
          </w:p>
        </w:tc>
      </w:tr>
      <w:tr w14:paraId="2A4FD0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7E2BE782">
            <w:pPr>
              <w:pStyle w:val="47"/>
              <w:spacing w:before="0" w:beforeAutospacing="0" w:line="360" w:lineRule="exact"/>
              <w:ind w:firstLine="0" w:firstLineChars="0"/>
              <w:jc w:val="center"/>
              <w:rPr>
                <w:rFonts w:hint="default" w:ascii="Times New Roman" w:hAnsi="Times New Roman" w:cs="Times New Roman"/>
                <w:color w:val="auto"/>
                <w:w w:val="99"/>
                <w:sz w:val="21"/>
                <w:szCs w:val="21"/>
                <w:highlight w:val="none"/>
              </w:rPr>
            </w:pPr>
            <w:r>
              <w:rPr>
                <w:rFonts w:hint="default" w:ascii="Times New Roman" w:hAnsi="Times New Roman" w:eastAsia="等线" w:cs="Times New Roman"/>
                <w:color w:val="auto"/>
                <w:sz w:val="21"/>
                <w:szCs w:val="21"/>
                <w:highlight w:val="none"/>
              </w:rPr>
              <w:t>1</w:t>
            </w:r>
          </w:p>
        </w:tc>
        <w:tc>
          <w:tcPr>
            <w:tcW w:w="2651" w:type="pct"/>
            <w:tcBorders>
              <w:tl2br w:val="nil"/>
              <w:tr2bl w:val="nil"/>
            </w:tcBorders>
            <w:vAlign w:val="center"/>
          </w:tcPr>
          <w:p w14:paraId="21A5D8BB">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全国生态环境保护纲要</w:t>
            </w:r>
          </w:p>
        </w:tc>
        <w:tc>
          <w:tcPr>
            <w:tcW w:w="1387" w:type="pct"/>
            <w:tcBorders>
              <w:tl2br w:val="nil"/>
              <w:tr2bl w:val="nil"/>
            </w:tcBorders>
            <w:vAlign w:val="center"/>
          </w:tcPr>
          <w:p w14:paraId="3408D0D5">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环发〔2000〕235号</w:t>
            </w:r>
          </w:p>
        </w:tc>
        <w:tc>
          <w:tcPr>
            <w:tcW w:w="705" w:type="pct"/>
            <w:tcBorders>
              <w:tl2br w:val="nil"/>
              <w:tr2bl w:val="nil"/>
            </w:tcBorders>
            <w:vAlign w:val="center"/>
          </w:tcPr>
          <w:p w14:paraId="2F1800FC">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2000-11-26</w:t>
            </w:r>
          </w:p>
        </w:tc>
      </w:tr>
      <w:tr w14:paraId="5C104D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289F29D5">
            <w:pPr>
              <w:pStyle w:val="47"/>
              <w:spacing w:before="0" w:beforeAutospacing="0" w:line="360" w:lineRule="exact"/>
              <w:ind w:firstLine="0" w:firstLineChars="0"/>
              <w:jc w:val="center"/>
              <w:rPr>
                <w:rFonts w:hint="default" w:ascii="Times New Roman" w:hAnsi="Times New Roman" w:cs="Times New Roman"/>
                <w:color w:val="auto"/>
                <w:w w:val="99"/>
                <w:sz w:val="21"/>
                <w:szCs w:val="21"/>
                <w:highlight w:val="none"/>
              </w:rPr>
            </w:pPr>
            <w:r>
              <w:rPr>
                <w:rFonts w:hint="default" w:ascii="Times New Roman" w:hAnsi="Times New Roman" w:eastAsia="等线" w:cs="Times New Roman"/>
                <w:color w:val="auto"/>
                <w:sz w:val="21"/>
                <w:szCs w:val="21"/>
                <w:highlight w:val="none"/>
              </w:rPr>
              <w:t>2</w:t>
            </w:r>
          </w:p>
        </w:tc>
        <w:tc>
          <w:tcPr>
            <w:tcW w:w="2651" w:type="pct"/>
            <w:tcBorders>
              <w:tl2br w:val="nil"/>
              <w:tr2bl w:val="nil"/>
            </w:tcBorders>
            <w:vAlign w:val="center"/>
          </w:tcPr>
          <w:p w14:paraId="4DCC2968">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危险废物污染防治技术政策</w:t>
            </w:r>
          </w:p>
        </w:tc>
        <w:tc>
          <w:tcPr>
            <w:tcW w:w="1387" w:type="pct"/>
            <w:tcBorders>
              <w:tl2br w:val="nil"/>
              <w:tr2bl w:val="nil"/>
            </w:tcBorders>
            <w:vAlign w:val="center"/>
          </w:tcPr>
          <w:p w14:paraId="0C97150C">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环发〔2001〕199号</w:t>
            </w:r>
          </w:p>
        </w:tc>
        <w:tc>
          <w:tcPr>
            <w:tcW w:w="705" w:type="pct"/>
            <w:tcBorders>
              <w:tl2br w:val="nil"/>
              <w:tr2bl w:val="nil"/>
            </w:tcBorders>
            <w:vAlign w:val="center"/>
          </w:tcPr>
          <w:p w14:paraId="7190617E">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2001-12-17</w:t>
            </w:r>
          </w:p>
        </w:tc>
      </w:tr>
      <w:tr w14:paraId="517AF3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57405A3D">
            <w:pPr>
              <w:pStyle w:val="47"/>
              <w:spacing w:before="0" w:beforeAutospacing="0" w:line="360" w:lineRule="exact"/>
              <w:ind w:firstLine="0" w:firstLineChars="0"/>
              <w:jc w:val="center"/>
              <w:rPr>
                <w:rFonts w:hint="default" w:ascii="Times New Roman" w:hAnsi="Times New Roman" w:cs="Times New Roman"/>
                <w:color w:val="auto"/>
                <w:w w:val="99"/>
                <w:sz w:val="21"/>
                <w:szCs w:val="21"/>
                <w:highlight w:val="none"/>
              </w:rPr>
            </w:pPr>
            <w:r>
              <w:rPr>
                <w:rFonts w:hint="default" w:ascii="Times New Roman" w:hAnsi="Times New Roman" w:eastAsia="等线" w:cs="Times New Roman"/>
                <w:color w:val="auto"/>
                <w:sz w:val="21"/>
                <w:szCs w:val="21"/>
                <w:highlight w:val="none"/>
              </w:rPr>
              <w:t>3</w:t>
            </w:r>
          </w:p>
        </w:tc>
        <w:tc>
          <w:tcPr>
            <w:tcW w:w="2651" w:type="pct"/>
            <w:tcBorders>
              <w:tl2br w:val="nil"/>
              <w:tr2bl w:val="nil"/>
            </w:tcBorders>
            <w:vAlign w:val="center"/>
          </w:tcPr>
          <w:p w14:paraId="36AD674C">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全国生态脆弱区保护规划纲要</w:t>
            </w:r>
          </w:p>
        </w:tc>
        <w:tc>
          <w:tcPr>
            <w:tcW w:w="1387" w:type="pct"/>
            <w:tcBorders>
              <w:tl2br w:val="nil"/>
              <w:tr2bl w:val="nil"/>
            </w:tcBorders>
            <w:vAlign w:val="center"/>
          </w:tcPr>
          <w:p w14:paraId="44AEF388">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环发〔2008〕92号</w:t>
            </w:r>
          </w:p>
        </w:tc>
        <w:tc>
          <w:tcPr>
            <w:tcW w:w="705" w:type="pct"/>
            <w:tcBorders>
              <w:tl2br w:val="nil"/>
              <w:tr2bl w:val="nil"/>
            </w:tcBorders>
            <w:vAlign w:val="center"/>
          </w:tcPr>
          <w:p w14:paraId="7CD8803A">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2008-09-27</w:t>
            </w:r>
          </w:p>
        </w:tc>
      </w:tr>
      <w:tr w14:paraId="09DEEC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337F5920">
            <w:pPr>
              <w:pStyle w:val="47"/>
              <w:spacing w:before="0" w:beforeAutospacing="0" w:line="360" w:lineRule="exact"/>
              <w:ind w:firstLine="0" w:firstLineChars="0"/>
              <w:jc w:val="center"/>
              <w:rPr>
                <w:rFonts w:hint="default" w:ascii="Times New Roman" w:hAnsi="Times New Roman" w:cs="Times New Roman"/>
                <w:color w:val="auto"/>
                <w:w w:val="99"/>
                <w:sz w:val="21"/>
                <w:szCs w:val="21"/>
                <w:highlight w:val="none"/>
              </w:rPr>
            </w:pPr>
            <w:r>
              <w:rPr>
                <w:rFonts w:hint="default" w:ascii="Times New Roman" w:hAnsi="Times New Roman" w:eastAsia="等线" w:cs="Times New Roman"/>
                <w:color w:val="auto"/>
                <w:sz w:val="21"/>
                <w:szCs w:val="21"/>
                <w:highlight w:val="none"/>
              </w:rPr>
              <w:t>4</w:t>
            </w:r>
          </w:p>
        </w:tc>
        <w:tc>
          <w:tcPr>
            <w:tcW w:w="2651" w:type="pct"/>
            <w:tcBorders>
              <w:tl2br w:val="nil"/>
              <w:tr2bl w:val="nil"/>
            </w:tcBorders>
            <w:vAlign w:val="center"/>
          </w:tcPr>
          <w:p w14:paraId="68CCD3D0">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突发环境事件信息报告办法</w:t>
            </w:r>
          </w:p>
        </w:tc>
        <w:tc>
          <w:tcPr>
            <w:tcW w:w="1387" w:type="pct"/>
            <w:tcBorders>
              <w:tl2br w:val="nil"/>
              <w:tr2bl w:val="nil"/>
            </w:tcBorders>
            <w:vAlign w:val="center"/>
          </w:tcPr>
          <w:p w14:paraId="2AFD4E42">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部令第17号</w:t>
            </w:r>
          </w:p>
        </w:tc>
        <w:tc>
          <w:tcPr>
            <w:tcW w:w="705" w:type="pct"/>
            <w:tcBorders>
              <w:tl2br w:val="nil"/>
              <w:tr2bl w:val="nil"/>
            </w:tcBorders>
            <w:vAlign w:val="center"/>
          </w:tcPr>
          <w:p w14:paraId="2CCF4BEE">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2011-05-01</w:t>
            </w:r>
          </w:p>
        </w:tc>
      </w:tr>
      <w:tr w14:paraId="25649A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0470EF09">
            <w:pPr>
              <w:pStyle w:val="47"/>
              <w:spacing w:before="0" w:beforeAutospacing="0" w:line="360" w:lineRule="exact"/>
              <w:ind w:firstLine="0" w:firstLineChars="0"/>
              <w:jc w:val="center"/>
              <w:rPr>
                <w:rFonts w:hint="default" w:ascii="Times New Roman" w:hAnsi="Times New Roman" w:cs="Times New Roman"/>
                <w:color w:val="auto"/>
                <w:w w:val="99"/>
                <w:sz w:val="21"/>
                <w:szCs w:val="21"/>
                <w:highlight w:val="none"/>
              </w:rPr>
            </w:pPr>
            <w:r>
              <w:rPr>
                <w:rFonts w:hint="default" w:ascii="Times New Roman" w:hAnsi="Times New Roman" w:eastAsia="等线" w:cs="Times New Roman"/>
                <w:color w:val="auto"/>
                <w:sz w:val="21"/>
                <w:szCs w:val="21"/>
                <w:highlight w:val="none"/>
              </w:rPr>
              <w:t>5</w:t>
            </w:r>
          </w:p>
        </w:tc>
        <w:tc>
          <w:tcPr>
            <w:tcW w:w="2651" w:type="pct"/>
            <w:tcBorders>
              <w:tl2br w:val="nil"/>
              <w:tr2bl w:val="nil"/>
            </w:tcBorders>
            <w:vAlign w:val="center"/>
          </w:tcPr>
          <w:p w14:paraId="36990C7A">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集中式饮用水水源环境保护指南（试行）</w:t>
            </w:r>
          </w:p>
        </w:tc>
        <w:tc>
          <w:tcPr>
            <w:tcW w:w="1387" w:type="pct"/>
            <w:tcBorders>
              <w:tl2br w:val="nil"/>
              <w:tr2bl w:val="nil"/>
            </w:tcBorders>
            <w:vAlign w:val="center"/>
          </w:tcPr>
          <w:p w14:paraId="313E3B28">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环办〔2012〕50号</w:t>
            </w:r>
          </w:p>
        </w:tc>
        <w:tc>
          <w:tcPr>
            <w:tcW w:w="705" w:type="pct"/>
            <w:tcBorders>
              <w:tl2br w:val="nil"/>
              <w:tr2bl w:val="nil"/>
            </w:tcBorders>
            <w:vAlign w:val="center"/>
          </w:tcPr>
          <w:p w14:paraId="5F97AF25">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2012-03-31</w:t>
            </w:r>
          </w:p>
        </w:tc>
      </w:tr>
      <w:tr w14:paraId="277728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4A3D581E">
            <w:pPr>
              <w:pStyle w:val="47"/>
              <w:spacing w:before="0" w:beforeAutospacing="0" w:line="360" w:lineRule="exact"/>
              <w:ind w:firstLine="0" w:firstLineChars="0"/>
              <w:jc w:val="center"/>
              <w:rPr>
                <w:rFonts w:hint="default" w:ascii="Times New Roman" w:hAnsi="Times New Roman" w:cs="Times New Roman"/>
                <w:color w:val="auto"/>
                <w:w w:val="99"/>
                <w:sz w:val="21"/>
                <w:szCs w:val="21"/>
                <w:highlight w:val="none"/>
              </w:rPr>
            </w:pPr>
            <w:r>
              <w:rPr>
                <w:rFonts w:hint="default" w:ascii="Times New Roman" w:hAnsi="Times New Roman" w:eastAsia="等线" w:cs="Times New Roman"/>
                <w:color w:val="auto"/>
                <w:sz w:val="21"/>
                <w:szCs w:val="21"/>
                <w:highlight w:val="none"/>
              </w:rPr>
              <w:t>6</w:t>
            </w:r>
          </w:p>
        </w:tc>
        <w:tc>
          <w:tcPr>
            <w:tcW w:w="2651" w:type="pct"/>
            <w:tcBorders>
              <w:tl2br w:val="nil"/>
              <w:tr2bl w:val="nil"/>
            </w:tcBorders>
            <w:vAlign w:val="center"/>
          </w:tcPr>
          <w:p w14:paraId="13DC2CCA">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关于进一步加强环境影响评价管理防范环境风险的通知</w:t>
            </w:r>
          </w:p>
        </w:tc>
        <w:tc>
          <w:tcPr>
            <w:tcW w:w="1387" w:type="pct"/>
            <w:tcBorders>
              <w:tl2br w:val="nil"/>
              <w:tr2bl w:val="nil"/>
            </w:tcBorders>
            <w:vAlign w:val="center"/>
          </w:tcPr>
          <w:p w14:paraId="46132A14">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环发〔2012〕77号</w:t>
            </w:r>
          </w:p>
        </w:tc>
        <w:tc>
          <w:tcPr>
            <w:tcW w:w="705" w:type="pct"/>
            <w:tcBorders>
              <w:tl2br w:val="nil"/>
              <w:tr2bl w:val="nil"/>
            </w:tcBorders>
            <w:vAlign w:val="center"/>
          </w:tcPr>
          <w:p w14:paraId="6420FD42">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2012-07-03</w:t>
            </w:r>
          </w:p>
        </w:tc>
      </w:tr>
      <w:tr w14:paraId="347CF3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4FEE93AB">
            <w:pPr>
              <w:pStyle w:val="47"/>
              <w:spacing w:before="0" w:beforeAutospacing="0" w:line="360" w:lineRule="exact"/>
              <w:ind w:firstLine="0" w:firstLineChars="0"/>
              <w:jc w:val="center"/>
              <w:rPr>
                <w:rFonts w:hint="default" w:ascii="Times New Roman" w:hAnsi="Times New Roman" w:cs="Times New Roman"/>
                <w:color w:val="auto"/>
                <w:w w:val="99"/>
                <w:sz w:val="21"/>
                <w:szCs w:val="21"/>
                <w:highlight w:val="none"/>
              </w:rPr>
            </w:pPr>
            <w:r>
              <w:rPr>
                <w:rFonts w:hint="default" w:ascii="Times New Roman" w:hAnsi="Times New Roman" w:eastAsia="等线" w:cs="Times New Roman"/>
                <w:color w:val="auto"/>
                <w:sz w:val="21"/>
                <w:szCs w:val="21"/>
                <w:highlight w:val="none"/>
              </w:rPr>
              <w:t>7</w:t>
            </w:r>
          </w:p>
        </w:tc>
        <w:tc>
          <w:tcPr>
            <w:tcW w:w="2651" w:type="pct"/>
            <w:tcBorders>
              <w:tl2br w:val="nil"/>
              <w:tr2bl w:val="nil"/>
            </w:tcBorders>
            <w:vAlign w:val="center"/>
          </w:tcPr>
          <w:p w14:paraId="06F8D2F0">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关于加强国家重点生态功能区环境保护和管理的意见</w:t>
            </w:r>
          </w:p>
        </w:tc>
        <w:tc>
          <w:tcPr>
            <w:tcW w:w="1387" w:type="pct"/>
            <w:tcBorders>
              <w:tl2br w:val="nil"/>
              <w:tr2bl w:val="nil"/>
            </w:tcBorders>
            <w:vAlign w:val="center"/>
          </w:tcPr>
          <w:p w14:paraId="28F8B56B">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环发〔2013〕16号</w:t>
            </w:r>
          </w:p>
        </w:tc>
        <w:tc>
          <w:tcPr>
            <w:tcW w:w="705" w:type="pct"/>
            <w:tcBorders>
              <w:tl2br w:val="nil"/>
              <w:tr2bl w:val="nil"/>
            </w:tcBorders>
            <w:vAlign w:val="center"/>
          </w:tcPr>
          <w:p w14:paraId="3BC45FDF">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2013-01-22</w:t>
            </w:r>
          </w:p>
        </w:tc>
      </w:tr>
      <w:tr w14:paraId="7B7F39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1F97A00E">
            <w:pPr>
              <w:pStyle w:val="47"/>
              <w:spacing w:before="0" w:beforeAutospacing="0" w:line="360" w:lineRule="exact"/>
              <w:ind w:firstLine="0" w:firstLineChars="0"/>
              <w:jc w:val="center"/>
              <w:rPr>
                <w:rFonts w:hint="default" w:ascii="Times New Roman" w:hAnsi="Times New Roman" w:cs="Times New Roman"/>
                <w:color w:val="auto"/>
                <w:w w:val="99"/>
                <w:sz w:val="21"/>
                <w:szCs w:val="21"/>
                <w:highlight w:val="none"/>
              </w:rPr>
            </w:pPr>
            <w:r>
              <w:rPr>
                <w:rFonts w:hint="default" w:ascii="Times New Roman" w:hAnsi="Times New Roman" w:eastAsia="等线" w:cs="Times New Roman"/>
                <w:color w:val="auto"/>
                <w:sz w:val="21"/>
                <w:szCs w:val="21"/>
                <w:highlight w:val="none"/>
              </w:rPr>
              <w:t>8</w:t>
            </w:r>
          </w:p>
        </w:tc>
        <w:tc>
          <w:tcPr>
            <w:tcW w:w="2651" w:type="pct"/>
            <w:tcBorders>
              <w:tl2br w:val="nil"/>
              <w:tr2bl w:val="nil"/>
            </w:tcBorders>
            <w:vAlign w:val="center"/>
          </w:tcPr>
          <w:p w14:paraId="058143B5">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土地复垦条例实施办法</w:t>
            </w:r>
          </w:p>
        </w:tc>
        <w:tc>
          <w:tcPr>
            <w:tcW w:w="1387" w:type="pct"/>
            <w:tcBorders>
              <w:tl2br w:val="nil"/>
              <w:tr2bl w:val="nil"/>
            </w:tcBorders>
            <w:vAlign w:val="center"/>
          </w:tcPr>
          <w:p w14:paraId="400E2FBE">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国土资源部第56号令</w:t>
            </w:r>
          </w:p>
        </w:tc>
        <w:tc>
          <w:tcPr>
            <w:tcW w:w="705" w:type="pct"/>
            <w:tcBorders>
              <w:tl2br w:val="nil"/>
              <w:tr2bl w:val="nil"/>
            </w:tcBorders>
            <w:vAlign w:val="center"/>
          </w:tcPr>
          <w:p w14:paraId="4B123094">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2013-03-01</w:t>
            </w:r>
          </w:p>
        </w:tc>
      </w:tr>
      <w:tr w14:paraId="254FFD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51830015">
            <w:pPr>
              <w:pStyle w:val="47"/>
              <w:spacing w:before="0" w:beforeAutospacing="0" w:line="360" w:lineRule="exact"/>
              <w:ind w:firstLine="0" w:firstLineChars="0"/>
              <w:jc w:val="center"/>
              <w:rPr>
                <w:rFonts w:hint="default" w:ascii="Times New Roman" w:hAnsi="Times New Roman" w:cs="Times New Roman"/>
                <w:color w:val="auto"/>
                <w:w w:val="99"/>
                <w:sz w:val="21"/>
                <w:szCs w:val="21"/>
                <w:highlight w:val="none"/>
              </w:rPr>
            </w:pPr>
            <w:r>
              <w:rPr>
                <w:rFonts w:hint="default" w:ascii="Times New Roman" w:hAnsi="Times New Roman" w:eastAsia="等线" w:cs="Times New Roman"/>
                <w:color w:val="auto"/>
                <w:sz w:val="21"/>
                <w:szCs w:val="21"/>
                <w:highlight w:val="none"/>
              </w:rPr>
              <w:t>9</w:t>
            </w:r>
          </w:p>
        </w:tc>
        <w:tc>
          <w:tcPr>
            <w:tcW w:w="2651" w:type="pct"/>
            <w:tcBorders>
              <w:tl2br w:val="nil"/>
              <w:tr2bl w:val="nil"/>
            </w:tcBorders>
            <w:vAlign w:val="center"/>
          </w:tcPr>
          <w:p w14:paraId="29B8EBA9">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关于切实加强环境影响评价监督管理工作的通知</w:t>
            </w:r>
          </w:p>
        </w:tc>
        <w:tc>
          <w:tcPr>
            <w:tcW w:w="1387" w:type="pct"/>
            <w:tcBorders>
              <w:tl2br w:val="nil"/>
              <w:tr2bl w:val="nil"/>
            </w:tcBorders>
            <w:vAlign w:val="center"/>
          </w:tcPr>
          <w:p w14:paraId="40FABE2E">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环办〔2013〕104号</w:t>
            </w:r>
          </w:p>
        </w:tc>
        <w:tc>
          <w:tcPr>
            <w:tcW w:w="705" w:type="pct"/>
            <w:tcBorders>
              <w:tl2br w:val="nil"/>
              <w:tr2bl w:val="nil"/>
            </w:tcBorders>
            <w:vAlign w:val="center"/>
          </w:tcPr>
          <w:p w14:paraId="527C559D">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2013-11-15</w:t>
            </w:r>
          </w:p>
        </w:tc>
      </w:tr>
      <w:tr w14:paraId="04C49E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45CA7457">
            <w:pPr>
              <w:pStyle w:val="47"/>
              <w:spacing w:before="0" w:beforeAutospacing="0" w:line="360" w:lineRule="exact"/>
              <w:ind w:firstLine="0" w:firstLineChars="0"/>
              <w:jc w:val="center"/>
              <w:rPr>
                <w:rFonts w:hint="default" w:ascii="Times New Roman" w:hAnsi="Times New Roman" w:cs="Times New Roman"/>
                <w:color w:val="auto"/>
                <w:w w:val="99"/>
                <w:sz w:val="21"/>
                <w:szCs w:val="21"/>
                <w:highlight w:val="none"/>
              </w:rPr>
            </w:pPr>
            <w:r>
              <w:rPr>
                <w:rFonts w:hint="default" w:ascii="Times New Roman" w:hAnsi="Times New Roman" w:eastAsia="等线" w:cs="Times New Roman"/>
                <w:color w:val="auto"/>
                <w:sz w:val="21"/>
                <w:szCs w:val="21"/>
                <w:highlight w:val="none"/>
              </w:rPr>
              <w:t>10</w:t>
            </w:r>
          </w:p>
        </w:tc>
        <w:tc>
          <w:tcPr>
            <w:tcW w:w="2651" w:type="pct"/>
            <w:tcBorders>
              <w:tl2br w:val="nil"/>
              <w:tr2bl w:val="nil"/>
            </w:tcBorders>
            <w:vAlign w:val="center"/>
          </w:tcPr>
          <w:p w14:paraId="0B95355A">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建设项目环境影响评价政府信息公开指南（试行）</w:t>
            </w:r>
          </w:p>
        </w:tc>
        <w:tc>
          <w:tcPr>
            <w:tcW w:w="1387" w:type="pct"/>
            <w:tcBorders>
              <w:tl2br w:val="nil"/>
              <w:tr2bl w:val="nil"/>
            </w:tcBorders>
            <w:vAlign w:val="center"/>
          </w:tcPr>
          <w:p w14:paraId="37344834">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环办〔2013〕103号</w:t>
            </w:r>
          </w:p>
        </w:tc>
        <w:tc>
          <w:tcPr>
            <w:tcW w:w="705" w:type="pct"/>
            <w:tcBorders>
              <w:tl2br w:val="nil"/>
              <w:tr2bl w:val="nil"/>
            </w:tcBorders>
            <w:vAlign w:val="center"/>
          </w:tcPr>
          <w:p w14:paraId="3F717662">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2014-01-01</w:t>
            </w:r>
          </w:p>
        </w:tc>
      </w:tr>
      <w:tr w14:paraId="331B6C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71CC047A">
            <w:pPr>
              <w:pStyle w:val="47"/>
              <w:spacing w:before="0" w:beforeAutospacing="0" w:line="360" w:lineRule="exact"/>
              <w:ind w:firstLine="0" w:firstLineChars="0"/>
              <w:jc w:val="center"/>
              <w:rPr>
                <w:rFonts w:hint="default" w:ascii="Times New Roman" w:hAnsi="Times New Roman" w:cs="Times New Roman"/>
                <w:color w:val="auto"/>
                <w:w w:val="99"/>
                <w:sz w:val="21"/>
                <w:szCs w:val="21"/>
                <w:highlight w:val="none"/>
              </w:rPr>
            </w:pPr>
            <w:r>
              <w:rPr>
                <w:rFonts w:hint="default" w:ascii="Times New Roman" w:hAnsi="Times New Roman" w:eastAsia="等线" w:cs="Times New Roman"/>
                <w:color w:val="auto"/>
                <w:sz w:val="21"/>
                <w:szCs w:val="21"/>
                <w:highlight w:val="none"/>
              </w:rPr>
              <w:t>11</w:t>
            </w:r>
          </w:p>
        </w:tc>
        <w:tc>
          <w:tcPr>
            <w:tcW w:w="2651" w:type="pct"/>
            <w:tcBorders>
              <w:tl2br w:val="nil"/>
              <w:tr2bl w:val="nil"/>
            </w:tcBorders>
            <w:vAlign w:val="center"/>
          </w:tcPr>
          <w:p w14:paraId="0A1B4FC8">
            <w:pPr>
              <w:pStyle w:val="47"/>
              <w:spacing w:before="0" w:beforeAutospacing="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关于落实大气污染防治行动计划严格环境影响评价准入的通知</w:t>
            </w:r>
          </w:p>
        </w:tc>
        <w:tc>
          <w:tcPr>
            <w:tcW w:w="1387" w:type="pct"/>
            <w:tcBorders>
              <w:tl2br w:val="nil"/>
              <w:tr2bl w:val="nil"/>
            </w:tcBorders>
            <w:vAlign w:val="center"/>
          </w:tcPr>
          <w:p w14:paraId="5AA611BF">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环办〔2014〕30号</w:t>
            </w:r>
          </w:p>
        </w:tc>
        <w:tc>
          <w:tcPr>
            <w:tcW w:w="705" w:type="pct"/>
            <w:tcBorders>
              <w:tl2br w:val="nil"/>
              <w:tr2bl w:val="nil"/>
            </w:tcBorders>
            <w:vAlign w:val="center"/>
          </w:tcPr>
          <w:p w14:paraId="41C9790E">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2014-03-25</w:t>
            </w:r>
          </w:p>
        </w:tc>
      </w:tr>
      <w:tr w14:paraId="1E7A17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19119900">
            <w:pPr>
              <w:pStyle w:val="47"/>
              <w:spacing w:before="0" w:beforeAutospacing="0" w:line="360" w:lineRule="exact"/>
              <w:ind w:firstLine="0" w:firstLineChars="0"/>
              <w:jc w:val="center"/>
              <w:rPr>
                <w:rFonts w:hint="default" w:ascii="Times New Roman" w:hAnsi="Times New Roman" w:cs="Times New Roman"/>
                <w:color w:val="auto"/>
                <w:w w:val="99"/>
                <w:sz w:val="21"/>
                <w:szCs w:val="21"/>
                <w:highlight w:val="none"/>
              </w:rPr>
            </w:pPr>
            <w:r>
              <w:rPr>
                <w:rFonts w:hint="default" w:ascii="Times New Roman" w:hAnsi="Times New Roman" w:eastAsia="等线" w:cs="Times New Roman"/>
                <w:color w:val="auto"/>
                <w:sz w:val="21"/>
                <w:szCs w:val="21"/>
                <w:highlight w:val="none"/>
              </w:rPr>
              <w:t>12</w:t>
            </w:r>
          </w:p>
        </w:tc>
        <w:tc>
          <w:tcPr>
            <w:tcW w:w="2651" w:type="pct"/>
            <w:tcBorders>
              <w:tl2br w:val="nil"/>
              <w:tr2bl w:val="nil"/>
            </w:tcBorders>
            <w:vAlign w:val="center"/>
          </w:tcPr>
          <w:p w14:paraId="5F270351">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关于印发企业事业单位突发环境事件应急预案备案管理办法（试行）的通知</w:t>
            </w:r>
          </w:p>
        </w:tc>
        <w:tc>
          <w:tcPr>
            <w:tcW w:w="1387" w:type="pct"/>
            <w:tcBorders>
              <w:tl2br w:val="nil"/>
              <w:tr2bl w:val="nil"/>
            </w:tcBorders>
            <w:vAlign w:val="center"/>
          </w:tcPr>
          <w:p w14:paraId="1F8D0CD4">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环发〔2015〕4号</w:t>
            </w:r>
          </w:p>
        </w:tc>
        <w:tc>
          <w:tcPr>
            <w:tcW w:w="705" w:type="pct"/>
            <w:tcBorders>
              <w:tl2br w:val="nil"/>
              <w:tr2bl w:val="nil"/>
            </w:tcBorders>
            <w:vAlign w:val="center"/>
          </w:tcPr>
          <w:p w14:paraId="0941012E">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2015-01-08</w:t>
            </w:r>
          </w:p>
        </w:tc>
      </w:tr>
      <w:tr w14:paraId="63A4F8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47E45B1D">
            <w:pPr>
              <w:pStyle w:val="47"/>
              <w:spacing w:before="0" w:beforeAutospacing="0" w:line="360" w:lineRule="exact"/>
              <w:ind w:firstLine="0" w:firstLineChars="0"/>
              <w:jc w:val="center"/>
              <w:rPr>
                <w:rFonts w:hint="default" w:ascii="Times New Roman" w:hAnsi="Times New Roman" w:cs="Times New Roman"/>
                <w:color w:val="auto"/>
                <w:w w:val="99"/>
                <w:sz w:val="21"/>
                <w:szCs w:val="21"/>
                <w:highlight w:val="none"/>
              </w:rPr>
            </w:pPr>
            <w:r>
              <w:rPr>
                <w:rFonts w:hint="default" w:ascii="Times New Roman" w:hAnsi="Times New Roman" w:eastAsia="等线" w:cs="Times New Roman"/>
                <w:color w:val="auto"/>
                <w:sz w:val="21"/>
                <w:szCs w:val="21"/>
                <w:highlight w:val="none"/>
              </w:rPr>
              <w:t>13</w:t>
            </w:r>
          </w:p>
        </w:tc>
        <w:tc>
          <w:tcPr>
            <w:tcW w:w="2651" w:type="pct"/>
            <w:tcBorders>
              <w:tl2br w:val="nil"/>
              <w:tr2bl w:val="nil"/>
            </w:tcBorders>
            <w:vAlign w:val="center"/>
          </w:tcPr>
          <w:p w14:paraId="5DD27BBF">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突发环境事件应急管理办法</w:t>
            </w:r>
          </w:p>
        </w:tc>
        <w:tc>
          <w:tcPr>
            <w:tcW w:w="1387" w:type="pct"/>
            <w:tcBorders>
              <w:tl2br w:val="nil"/>
              <w:tr2bl w:val="nil"/>
            </w:tcBorders>
            <w:vAlign w:val="center"/>
          </w:tcPr>
          <w:p w14:paraId="42B31911">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环境保护部令第34号</w:t>
            </w:r>
          </w:p>
        </w:tc>
        <w:tc>
          <w:tcPr>
            <w:tcW w:w="705" w:type="pct"/>
            <w:tcBorders>
              <w:tl2br w:val="nil"/>
              <w:tr2bl w:val="nil"/>
            </w:tcBorders>
            <w:vAlign w:val="center"/>
          </w:tcPr>
          <w:p w14:paraId="64B504C2">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2015-06-05</w:t>
            </w:r>
          </w:p>
        </w:tc>
      </w:tr>
      <w:tr w14:paraId="088BD6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20" w:hRule="atLeast"/>
          <w:jc w:val="center"/>
        </w:trPr>
        <w:tc>
          <w:tcPr>
            <w:tcW w:w="255" w:type="pct"/>
            <w:tcBorders>
              <w:tl2br w:val="nil"/>
              <w:tr2bl w:val="nil"/>
            </w:tcBorders>
            <w:vAlign w:val="center"/>
          </w:tcPr>
          <w:p w14:paraId="6E3666BD">
            <w:pPr>
              <w:pStyle w:val="47"/>
              <w:spacing w:before="0" w:beforeAutospacing="0" w:line="360" w:lineRule="exact"/>
              <w:ind w:firstLine="0" w:firstLineChars="0"/>
              <w:jc w:val="center"/>
              <w:rPr>
                <w:rFonts w:hint="default" w:ascii="Times New Roman" w:hAnsi="Times New Roman" w:cs="Times New Roman"/>
                <w:color w:val="auto"/>
                <w:w w:val="99"/>
                <w:sz w:val="21"/>
                <w:szCs w:val="21"/>
                <w:highlight w:val="none"/>
              </w:rPr>
            </w:pPr>
            <w:r>
              <w:rPr>
                <w:rFonts w:hint="default" w:ascii="Times New Roman" w:hAnsi="Times New Roman" w:eastAsia="等线" w:cs="Times New Roman"/>
                <w:color w:val="auto"/>
                <w:sz w:val="21"/>
                <w:szCs w:val="21"/>
                <w:highlight w:val="none"/>
              </w:rPr>
              <w:t>14</w:t>
            </w:r>
          </w:p>
        </w:tc>
        <w:tc>
          <w:tcPr>
            <w:tcW w:w="2651" w:type="pct"/>
            <w:tcBorders>
              <w:tl2br w:val="nil"/>
              <w:tr2bl w:val="nil"/>
            </w:tcBorders>
            <w:vAlign w:val="center"/>
          </w:tcPr>
          <w:p w14:paraId="083FD30A">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全国生态功能区划（修编版）</w:t>
            </w:r>
          </w:p>
        </w:tc>
        <w:tc>
          <w:tcPr>
            <w:tcW w:w="1387" w:type="pct"/>
            <w:tcBorders>
              <w:tl2br w:val="nil"/>
              <w:tr2bl w:val="nil"/>
            </w:tcBorders>
            <w:vAlign w:val="center"/>
          </w:tcPr>
          <w:p w14:paraId="76758371">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环保部公告2015年第61号</w:t>
            </w:r>
          </w:p>
        </w:tc>
        <w:tc>
          <w:tcPr>
            <w:tcW w:w="705" w:type="pct"/>
            <w:tcBorders>
              <w:tl2br w:val="nil"/>
              <w:tr2bl w:val="nil"/>
            </w:tcBorders>
            <w:vAlign w:val="center"/>
          </w:tcPr>
          <w:p w14:paraId="7391EDA2">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2015-11-13</w:t>
            </w:r>
          </w:p>
        </w:tc>
      </w:tr>
      <w:tr w14:paraId="0A262A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50DB205B">
            <w:pPr>
              <w:pStyle w:val="47"/>
              <w:spacing w:before="0" w:beforeAutospacing="0" w:line="360" w:lineRule="exact"/>
              <w:ind w:firstLine="0" w:firstLineChars="0"/>
              <w:jc w:val="center"/>
              <w:rPr>
                <w:rFonts w:hint="default" w:ascii="Times New Roman" w:hAnsi="Times New Roman" w:cs="Times New Roman"/>
                <w:color w:val="auto"/>
                <w:w w:val="99"/>
                <w:sz w:val="21"/>
                <w:szCs w:val="21"/>
                <w:highlight w:val="none"/>
              </w:rPr>
            </w:pPr>
            <w:r>
              <w:rPr>
                <w:rFonts w:hint="default" w:ascii="Times New Roman" w:hAnsi="Times New Roman" w:eastAsia="等线" w:cs="Times New Roman"/>
                <w:color w:val="auto"/>
                <w:sz w:val="21"/>
                <w:szCs w:val="21"/>
                <w:highlight w:val="none"/>
              </w:rPr>
              <w:t>15</w:t>
            </w:r>
          </w:p>
        </w:tc>
        <w:tc>
          <w:tcPr>
            <w:tcW w:w="2651" w:type="pct"/>
            <w:tcBorders>
              <w:tl2br w:val="nil"/>
              <w:tr2bl w:val="nil"/>
            </w:tcBorders>
            <w:vAlign w:val="center"/>
          </w:tcPr>
          <w:p w14:paraId="5749DBBC">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关于印发</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建设项目环境保护事中事后监督管理办法（试行）</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的通知</w:t>
            </w:r>
          </w:p>
        </w:tc>
        <w:tc>
          <w:tcPr>
            <w:tcW w:w="1387" w:type="pct"/>
            <w:tcBorders>
              <w:tl2br w:val="nil"/>
              <w:tr2bl w:val="nil"/>
            </w:tcBorders>
            <w:vAlign w:val="center"/>
          </w:tcPr>
          <w:p w14:paraId="4159270B">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环发〔2015〕163号</w:t>
            </w:r>
          </w:p>
        </w:tc>
        <w:tc>
          <w:tcPr>
            <w:tcW w:w="705" w:type="pct"/>
            <w:tcBorders>
              <w:tl2br w:val="nil"/>
              <w:tr2bl w:val="nil"/>
            </w:tcBorders>
            <w:vAlign w:val="center"/>
          </w:tcPr>
          <w:p w14:paraId="69A6592D">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2015-12-10</w:t>
            </w:r>
          </w:p>
        </w:tc>
      </w:tr>
      <w:tr w14:paraId="249F50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5E6BD76C">
            <w:pPr>
              <w:pStyle w:val="47"/>
              <w:spacing w:before="0" w:beforeAutospacing="0" w:line="360" w:lineRule="exact"/>
              <w:ind w:firstLine="0" w:firstLineChars="0"/>
              <w:jc w:val="center"/>
              <w:rPr>
                <w:rFonts w:hint="default" w:ascii="Times New Roman" w:hAnsi="Times New Roman" w:cs="Times New Roman"/>
                <w:color w:val="auto"/>
                <w:w w:val="99"/>
                <w:sz w:val="21"/>
                <w:szCs w:val="21"/>
                <w:highlight w:val="none"/>
              </w:rPr>
            </w:pPr>
            <w:r>
              <w:rPr>
                <w:rFonts w:hint="default" w:ascii="Times New Roman" w:hAnsi="Times New Roman" w:eastAsia="等线" w:cs="Times New Roman"/>
                <w:color w:val="auto"/>
                <w:sz w:val="21"/>
                <w:szCs w:val="21"/>
                <w:highlight w:val="none"/>
              </w:rPr>
              <w:t>16</w:t>
            </w:r>
          </w:p>
        </w:tc>
        <w:tc>
          <w:tcPr>
            <w:tcW w:w="2651" w:type="pct"/>
            <w:tcBorders>
              <w:tl2br w:val="nil"/>
              <w:tr2bl w:val="nil"/>
            </w:tcBorders>
            <w:vAlign w:val="center"/>
          </w:tcPr>
          <w:p w14:paraId="5E3AC4DE">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关于印发建设项目竣工环境保护验收现场检查及审查要点的通知</w:t>
            </w:r>
          </w:p>
        </w:tc>
        <w:tc>
          <w:tcPr>
            <w:tcW w:w="1387" w:type="pct"/>
            <w:tcBorders>
              <w:tl2br w:val="nil"/>
              <w:tr2bl w:val="nil"/>
            </w:tcBorders>
            <w:vAlign w:val="center"/>
          </w:tcPr>
          <w:p w14:paraId="2512B926">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环办〔2015〕113号</w:t>
            </w:r>
          </w:p>
        </w:tc>
        <w:tc>
          <w:tcPr>
            <w:tcW w:w="705" w:type="pct"/>
            <w:tcBorders>
              <w:tl2br w:val="nil"/>
              <w:tr2bl w:val="nil"/>
            </w:tcBorders>
            <w:vAlign w:val="center"/>
          </w:tcPr>
          <w:p w14:paraId="095AF4EB">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2015-12-30</w:t>
            </w:r>
          </w:p>
        </w:tc>
      </w:tr>
      <w:tr w14:paraId="0FA989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6CF67CB2">
            <w:pPr>
              <w:pStyle w:val="47"/>
              <w:spacing w:before="0" w:beforeAutospacing="0" w:line="360" w:lineRule="exact"/>
              <w:ind w:firstLine="0" w:firstLineChars="0"/>
              <w:jc w:val="center"/>
              <w:rPr>
                <w:rFonts w:hint="default" w:ascii="Times New Roman" w:hAnsi="Times New Roman" w:cs="Times New Roman"/>
                <w:color w:val="auto"/>
                <w:w w:val="99"/>
                <w:sz w:val="21"/>
                <w:szCs w:val="21"/>
                <w:highlight w:val="none"/>
              </w:rPr>
            </w:pPr>
            <w:r>
              <w:rPr>
                <w:rFonts w:hint="default" w:ascii="Times New Roman" w:hAnsi="Times New Roman" w:eastAsia="等线" w:cs="Times New Roman"/>
                <w:color w:val="auto"/>
                <w:sz w:val="21"/>
                <w:szCs w:val="21"/>
                <w:highlight w:val="none"/>
              </w:rPr>
              <w:t>17</w:t>
            </w:r>
          </w:p>
        </w:tc>
        <w:tc>
          <w:tcPr>
            <w:tcW w:w="2651" w:type="pct"/>
            <w:tcBorders>
              <w:tl2br w:val="nil"/>
              <w:tr2bl w:val="nil"/>
            </w:tcBorders>
            <w:vAlign w:val="center"/>
          </w:tcPr>
          <w:p w14:paraId="1A580A3B">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关于以改善环境质量为核心加强环境影响评价管理的通知</w:t>
            </w:r>
          </w:p>
        </w:tc>
        <w:tc>
          <w:tcPr>
            <w:tcW w:w="1387" w:type="pct"/>
            <w:tcBorders>
              <w:tl2br w:val="nil"/>
              <w:tr2bl w:val="nil"/>
            </w:tcBorders>
            <w:vAlign w:val="center"/>
          </w:tcPr>
          <w:p w14:paraId="12D1CD69">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环环评〔2016〕150号</w:t>
            </w:r>
          </w:p>
        </w:tc>
        <w:tc>
          <w:tcPr>
            <w:tcW w:w="705" w:type="pct"/>
            <w:tcBorders>
              <w:tl2br w:val="nil"/>
              <w:tr2bl w:val="nil"/>
            </w:tcBorders>
            <w:vAlign w:val="center"/>
          </w:tcPr>
          <w:p w14:paraId="16609B27">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2016-10-26</w:t>
            </w:r>
          </w:p>
        </w:tc>
      </w:tr>
      <w:tr w14:paraId="472E5D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2391801B">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18</w:t>
            </w:r>
          </w:p>
        </w:tc>
        <w:tc>
          <w:tcPr>
            <w:tcW w:w="2651" w:type="pct"/>
            <w:tcBorders>
              <w:tl2br w:val="nil"/>
              <w:tr2bl w:val="nil"/>
            </w:tcBorders>
            <w:vAlign w:val="center"/>
          </w:tcPr>
          <w:p w14:paraId="50AAA94C">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污染地块土壤环境管理办法（试行）</w:t>
            </w:r>
          </w:p>
        </w:tc>
        <w:tc>
          <w:tcPr>
            <w:tcW w:w="1387" w:type="pct"/>
            <w:tcBorders>
              <w:tl2br w:val="nil"/>
              <w:tr2bl w:val="nil"/>
            </w:tcBorders>
            <w:vAlign w:val="center"/>
          </w:tcPr>
          <w:p w14:paraId="49C8F0F8">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环境保护部令第42号</w:t>
            </w:r>
          </w:p>
        </w:tc>
        <w:tc>
          <w:tcPr>
            <w:tcW w:w="705" w:type="pct"/>
            <w:tcBorders>
              <w:tl2br w:val="nil"/>
              <w:tr2bl w:val="nil"/>
            </w:tcBorders>
            <w:vAlign w:val="center"/>
          </w:tcPr>
          <w:p w14:paraId="1621430E">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2017-07-01</w:t>
            </w:r>
          </w:p>
        </w:tc>
      </w:tr>
      <w:tr w14:paraId="0D4AE1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1BF5462F">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19</w:t>
            </w:r>
          </w:p>
        </w:tc>
        <w:tc>
          <w:tcPr>
            <w:tcW w:w="2651" w:type="pct"/>
            <w:tcBorders>
              <w:tl2br w:val="nil"/>
              <w:tr2bl w:val="nil"/>
            </w:tcBorders>
            <w:vAlign w:val="center"/>
          </w:tcPr>
          <w:p w14:paraId="20C8B0D3">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建设项目危险废物环境影响评价指南</w:t>
            </w:r>
          </w:p>
        </w:tc>
        <w:tc>
          <w:tcPr>
            <w:tcW w:w="1387" w:type="pct"/>
            <w:tcBorders>
              <w:tl2br w:val="nil"/>
              <w:tr2bl w:val="nil"/>
            </w:tcBorders>
            <w:vAlign w:val="center"/>
          </w:tcPr>
          <w:p w14:paraId="493480A8">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环保部公告2017年第43号</w:t>
            </w:r>
          </w:p>
        </w:tc>
        <w:tc>
          <w:tcPr>
            <w:tcW w:w="705" w:type="pct"/>
            <w:tcBorders>
              <w:tl2br w:val="nil"/>
              <w:tr2bl w:val="nil"/>
            </w:tcBorders>
            <w:vAlign w:val="center"/>
          </w:tcPr>
          <w:p w14:paraId="166CBE1D">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2017-10-01</w:t>
            </w:r>
          </w:p>
        </w:tc>
      </w:tr>
      <w:tr w14:paraId="2F2DA5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0A0A382D">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w:t>
            </w:r>
          </w:p>
        </w:tc>
        <w:tc>
          <w:tcPr>
            <w:tcW w:w="2651" w:type="pct"/>
            <w:tcBorders>
              <w:tl2br w:val="nil"/>
              <w:tr2bl w:val="nil"/>
            </w:tcBorders>
            <w:vAlign w:val="center"/>
          </w:tcPr>
          <w:p w14:paraId="7B574DF3">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关于做好环境影响评价制度与排污许可</w:t>
            </w:r>
            <w:r>
              <w:rPr>
                <w:rFonts w:hint="eastAsia" w:cs="Times New Roman"/>
                <w:color w:val="auto"/>
                <w:sz w:val="21"/>
                <w:szCs w:val="21"/>
                <w:highlight w:val="none"/>
                <w:lang w:eastAsia="zh-CN"/>
              </w:rPr>
              <w:t>制度</w:t>
            </w:r>
            <w:r>
              <w:rPr>
                <w:rFonts w:hint="default" w:ascii="Times New Roman" w:hAnsi="Times New Roman" w:cs="Times New Roman"/>
                <w:color w:val="auto"/>
                <w:sz w:val="21"/>
                <w:szCs w:val="21"/>
                <w:highlight w:val="none"/>
              </w:rPr>
              <w:t>衔接相关工作的通知</w:t>
            </w:r>
          </w:p>
        </w:tc>
        <w:tc>
          <w:tcPr>
            <w:tcW w:w="1387" w:type="pct"/>
            <w:tcBorders>
              <w:tl2br w:val="nil"/>
              <w:tr2bl w:val="nil"/>
            </w:tcBorders>
            <w:vAlign w:val="center"/>
          </w:tcPr>
          <w:p w14:paraId="40329428">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环办环评〔2017〕84号</w:t>
            </w:r>
          </w:p>
        </w:tc>
        <w:tc>
          <w:tcPr>
            <w:tcW w:w="705" w:type="pct"/>
            <w:tcBorders>
              <w:tl2br w:val="nil"/>
              <w:tr2bl w:val="nil"/>
            </w:tcBorders>
            <w:vAlign w:val="center"/>
          </w:tcPr>
          <w:p w14:paraId="7FEED0F2">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2017-11-14</w:t>
            </w:r>
          </w:p>
        </w:tc>
      </w:tr>
      <w:tr w14:paraId="54B90D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096028EF">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21</w:t>
            </w:r>
          </w:p>
        </w:tc>
        <w:tc>
          <w:tcPr>
            <w:tcW w:w="2651" w:type="pct"/>
            <w:tcBorders>
              <w:tl2br w:val="nil"/>
              <w:tr2bl w:val="nil"/>
            </w:tcBorders>
            <w:vAlign w:val="center"/>
          </w:tcPr>
          <w:p w14:paraId="65C8CA5D">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关于发布</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建设项目竣工环境保护验收暂行办法</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的公告</w:t>
            </w:r>
          </w:p>
        </w:tc>
        <w:tc>
          <w:tcPr>
            <w:tcW w:w="1387" w:type="pct"/>
            <w:tcBorders>
              <w:tl2br w:val="nil"/>
              <w:tr2bl w:val="nil"/>
            </w:tcBorders>
            <w:vAlign w:val="center"/>
          </w:tcPr>
          <w:p w14:paraId="7C74F4A1">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国环规环评〔2017〕4号</w:t>
            </w:r>
          </w:p>
        </w:tc>
        <w:tc>
          <w:tcPr>
            <w:tcW w:w="705" w:type="pct"/>
            <w:tcBorders>
              <w:tl2br w:val="nil"/>
              <w:tr2bl w:val="nil"/>
            </w:tcBorders>
            <w:vAlign w:val="center"/>
          </w:tcPr>
          <w:p w14:paraId="4F22EA87">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2017-11-20</w:t>
            </w:r>
          </w:p>
        </w:tc>
      </w:tr>
      <w:tr w14:paraId="0DAC1E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5889BEDD">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22</w:t>
            </w:r>
          </w:p>
        </w:tc>
        <w:tc>
          <w:tcPr>
            <w:tcW w:w="2651" w:type="pct"/>
            <w:tcBorders>
              <w:tl2br w:val="nil"/>
              <w:tr2bl w:val="nil"/>
            </w:tcBorders>
            <w:vAlign w:val="center"/>
          </w:tcPr>
          <w:p w14:paraId="6AFF440C">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eastAsia" w:eastAsia="等线" w:cs="Times New Roman"/>
                <w:color w:val="auto"/>
                <w:sz w:val="21"/>
                <w:szCs w:val="21"/>
                <w:highlight w:val="none"/>
                <w:lang w:eastAsia="zh-CN"/>
              </w:rPr>
              <w:t>“</w:t>
            </w:r>
            <w:r>
              <w:rPr>
                <w:rFonts w:hint="default" w:ascii="Times New Roman" w:hAnsi="Times New Roman" w:cs="Times New Roman"/>
                <w:color w:val="auto"/>
                <w:sz w:val="21"/>
                <w:szCs w:val="21"/>
                <w:highlight w:val="none"/>
              </w:rPr>
              <w:t>生态保护红线、环境质量底线、资源利用上线和环境准入负面清单</w:t>
            </w:r>
            <w:r>
              <w:rPr>
                <w:rFonts w:hint="eastAsia" w:eastAsia="等线" w:cs="Times New Roman"/>
                <w:color w:val="auto"/>
                <w:sz w:val="21"/>
                <w:szCs w:val="21"/>
                <w:highlight w:val="none"/>
                <w:lang w:eastAsia="zh-CN"/>
              </w:rPr>
              <w:t>”</w:t>
            </w:r>
            <w:r>
              <w:rPr>
                <w:rFonts w:hint="default" w:ascii="Times New Roman" w:hAnsi="Times New Roman" w:cs="Times New Roman"/>
                <w:color w:val="auto"/>
                <w:sz w:val="21"/>
                <w:szCs w:val="21"/>
                <w:highlight w:val="none"/>
              </w:rPr>
              <w:t>编制技术指南</w:t>
            </w:r>
          </w:p>
        </w:tc>
        <w:tc>
          <w:tcPr>
            <w:tcW w:w="1387" w:type="pct"/>
            <w:tcBorders>
              <w:tl2br w:val="nil"/>
              <w:tr2bl w:val="nil"/>
            </w:tcBorders>
            <w:vAlign w:val="center"/>
          </w:tcPr>
          <w:p w14:paraId="2566FF47">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环办环评〔2017〕99号</w:t>
            </w:r>
          </w:p>
        </w:tc>
        <w:tc>
          <w:tcPr>
            <w:tcW w:w="705" w:type="pct"/>
            <w:tcBorders>
              <w:tl2br w:val="nil"/>
              <w:tr2bl w:val="nil"/>
            </w:tcBorders>
            <w:vAlign w:val="center"/>
          </w:tcPr>
          <w:p w14:paraId="42494997">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2017-12-01</w:t>
            </w:r>
          </w:p>
        </w:tc>
      </w:tr>
      <w:tr w14:paraId="7C7D0F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42B8C88D">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23</w:t>
            </w:r>
          </w:p>
        </w:tc>
        <w:tc>
          <w:tcPr>
            <w:tcW w:w="2651" w:type="pct"/>
            <w:tcBorders>
              <w:tl2br w:val="nil"/>
              <w:tr2bl w:val="nil"/>
            </w:tcBorders>
            <w:vAlign w:val="center"/>
          </w:tcPr>
          <w:p w14:paraId="7A00D957">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关于强化建设项目环境影响评价事中事后监管的实施意见</w:t>
            </w:r>
          </w:p>
        </w:tc>
        <w:tc>
          <w:tcPr>
            <w:tcW w:w="1387" w:type="pct"/>
            <w:tcBorders>
              <w:tl2br w:val="nil"/>
              <w:tr2bl w:val="nil"/>
            </w:tcBorders>
            <w:vAlign w:val="center"/>
          </w:tcPr>
          <w:p w14:paraId="54A80C8F">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环环评〔2018〕11号</w:t>
            </w:r>
          </w:p>
        </w:tc>
        <w:tc>
          <w:tcPr>
            <w:tcW w:w="705" w:type="pct"/>
            <w:tcBorders>
              <w:tl2br w:val="nil"/>
              <w:tr2bl w:val="nil"/>
            </w:tcBorders>
            <w:vAlign w:val="center"/>
          </w:tcPr>
          <w:p w14:paraId="430A1DD1">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2018-01-25</w:t>
            </w:r>
          </w:p>
        </w:tc>
      </w:tr>
      <w:tr w14:paraId="0BD06E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727EA33E">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24</w:t>
            </w:r>
          </w:p>
        </w:tc>
        <w:tc>
          <w:tcPr>
            <w:tcW w:w="2651" w:type="pct"/>
            <w:tcBorders>
              <w:tl2br w:val="nil"/>
              <w:tr2bl w:val="nil"/>
            </w:tcBorders>
            <w:vAlign w:val="center"/>
          </w:tcPr>
          <w:p w14:paraId="7CCC2E0E">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工矿用地土壤环境管理办法（试行）</w:t>
            </w:r>
          </w:p>
        </w:tc>
        <w:tc>
          <w:tcPr>
            <w:tcW w:w="1387" w:type="pct"/>
            <w:tcBorders>
              <w:tl2br w:val="nil"/>
              <w:tr2bl w:val="nil"/>
            </w:tcBorders>
            <w:vAlign w:val="center"/>
          </w:tcPr>
          <w:p w14:paraId="53AA3EBE">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生态环境部令第3号</w:t>
            </w:r>
          </w:p>
        </w:tc>
        <w:tc>
          <w:tcPr>
            <w:tcW w:w="705" w:type="pct"/>
            <w:tcBorders>
              <w:tl2br w:val="nil"/>
              <w:tr2bl w:val="nil"/>
            </w:tcBorders>
            <w:vAlign w:val="center"/>
          </w:tcPr>
          <w:p w14:paraId="6BB902B5">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2018-08-01</w:t>
            </w:r>
          </w:p>
        </w:tc>
      </w:tr>
      <w:tr w14:paraId="25A07B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61E42D28">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25</w:t>
            </w:r>
          </w:p>
        </w:tc>
        <w:tc>
          <w:tcPr>
            <w:tcW w:w="2651" w:type="pct"/>
            <w:tcBorders>
              <w:tl2br w:val="nil"/>
              <w:tr2bl w:val="nil"/>
            </w:tcBorders>
            <w:vAlign w:val="center"/>
          </w:tcPr>
          <w:p w14:paraId="5293AAA9">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环境影响评价公众参与办法</w:t>
            </w:r>
          </w:p>
        </w:tc>
        <w:tc>
          <w:tcPr>
            <w:tcW w:w="1387" w:type="pct"/>
            <w:tcBorders>
              <w:tl2br w:val="nil"/>
              <w:tr2bl w:val="nil"/>
            </w:tcBorders>
            <w:vAlign w:val="center"/>
          </w:tcPr>
          <w:p w14:paraId="44CA03FD">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生态环境部令第4号</w:t>
            </w:r>
          </w:p>
        </w:tc>
        <w:tc>
          <w:tcPr>
            <w:tcW w:w="705" w:type="pct"/>
            <w:tcBorders>
              <w:tl2br w:val="nil"/>
              <w:tr2bl w:val="nil"/>
            </w:tcBorders>
            <w:vAlign w:val="center"/>
          </w:tcPr>
          <w:p w14:paraId="081B9985">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2019-01-01</w:t>
            </w:r>
          </w:p>
        </w:tc>
      </w:tr>
      <w:tr w14:paraId="5D6952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2DC686CB">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26</w:t>
            </w:r>
          </w:p>
        </w:tc>
        <w:tc>
          <w:tcPr>
            <w:tcW w:w="2651" w:type="pct"/>
            <w:tcBorders>
              <w:tl2br w:val="nil"/>
              <w:tr2bl w:val="nil"/>
            </w:tcBorders>
            <w:vAlign w:val="center"/>
          </w:tcPr>
          <w:p w14:paraId="65436108">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关于印发地下水污染防治实施方案的通知</w:t>
            </w:r>
          </w:p>
        </w:tc>
        <w:tc>
          <w:tcPr>
            <w:tcW w:w="1387" w:type="pct"/>
            <w:tcBorders>
              <w:tl2br w:val="nil"/>
              <w:tr2bl w:val="nil"/>
            </w:tcBorders>
            <w:vAlign w:val="center"/>
          </w:tcPr>
          <w:p w14:paraId="5DA6229A">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环土壤〔2019〕25号</w:t>
            </w:r>
          </w:p>
        </w:tc>
        <w:tc>
          <w:tcPr>
            <w:tcW w:w="705" w:type="pct"/>
            <w:tcBorders>
              <w:tl2br w:val="nil"/>
              <w:tr2bl w:val="nil"/>
            </w:tcBorders>
            <w:vAlign w:val="center"/>
          </w:tcPr>
          <w:p w14:paraId="5ED2D8DA">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2019-03-28</w:t>
            </w:r>
          </w:p>
        </w:tc>
      </w:tr>
      <w:tr w14:paraId="4CB67E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0CFBCEE1">
            <w:pPr>
              <w:pStyle w:val="47"/>
              <w:spacing w:before="0" w:beforeAutospacing="0" w:line="360" w:lineRule="exact"/>
              <w:ind w:firstLine="0" w:firstLineChars="0"/>
              <w:jc w:val="center"/>
              <w:rPr>
                <w:rFonts w:hint="eastAsia" w:ascii="Times New Roman" w:hAnsi="Times New Roman" w:eastAsia="等线" w:cs="Times New Roman"/>
                <w:color w:val="auto"/>
                <w:sz w:val="21"/>
                <w:szCs w:val="21"/>
                <w:highlight w:val="none"/>
                <w:lang w:eastAsia="zh-CN"/>
              </w:rPr>
            </w:pPr>
            <w:r>
              <w:rPr>
                <w:rFonts w:hint="default" w:ascii="Times New Roman" w:hAnsi="Times New Roman" w:eastAsia="等线" w:cs="Times New Roman"/>
                <w:color w:val="auto"/>
                <w:sz w:val="21"/>
                <w:szCs w:val="21"/>
                <w:highlight w:val="none"/>
              </w:rPr>
              <w:t>2</w:t>
            </w:r>
            <w:r>
              <w:rPr>
                <w:rFonts w:hint="eastAsia" w:eastAsia="等线" w:cs="Times New Roman"/>
                <w:color w:val="auto"/>
                <w:sz w:val="21"/>
                <w:szCs w:val="21"/>
                <w:highlight w:val="none"/>
                <w:lang w:val="en-US" w:eastAsia="zh-CN"/>
              </w:rPr>
              <w:t>7</w:t>
            </w:r>
          </w:p>
        </w:tc>
        <w:tc>
          <w:tcPr>
            <w:tcW w:w="2651" w:type="pct"/>
            <w:tcBorders>
              <w:tl2br w:val="nil"/>
              <w:tr2bl w:val="nil"/>
            </w:tcBorders>
            <w:vAlign w:val="center"/>
          </w:tcPr>
          <w:p w14:paraId="184267D1">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关于印发</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重点行业挥发性有机物综合治理方案</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的通知</w:t>
            </w:r>
          </w:p>
        </w:tc>
        <w:tc>
          <w:tcPr>
            <w:tcW w:w="1387" w:type="pct"/>
            <w:tcBorders>
              <w:tl2br w:val="nil"/>
              <w:tr2bl w:val="nil"/>
            </w:tcBorders>
            <w:vAlign w:val="center"/>
          </w:tcPr>
          <w:p w14:paraId="37C9BA87">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环大气〔2019〕53号</w:t>
            </w:r>
          </w:p>
        </w:tc>
        <w:tc>
          <w:tcPr>
            <w:tcW w:w="705" w:type="pct"/>
            <w:tcBorders>
              <w:tl2br w:val="nil"/>
              <w:tr2bl w:val="nil"/>
            </w:tcBorders>
            <w:vAlign w:val="center"/>
          </w:tcPr>
          <w:p w14:paraId="114BA85E">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2019-06-26</w:t>
            </w:r>
          </w:p>
        </w:tc>
      </w:tr>
      <w:tr w14:paraId="44DD8E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5DEC87E0">
            <w:pPr>
              <w:pStyle w:val="47"/>
              <w:spacing w:before="0" w:beforeAutospacing="0" w:line="360" w:lineRule="exact"/>
              <w:ind w:firstLine="0" w:firstLineChars="0"/>
              <w:jc w:val="center"/>
              <w:rPr>
                <w:rFonts w:hint="eastAsia" w:ascii="Times New Roman" w:hAnsi="Times New Roman" w:eastAsia="等线" w:cs="Times New Roman"/>
                <w:color w:val="auto"/>
                <w:sz w:val="21"/>
                <w:szCs w:val="21"/>
                <w:highlight w:val="none"/>
                <w:lang w:eastAsia="zh-CN"/>
              </w:rPr>
            </w:pPr>
            <w:r>
              <w:rPr>
                <w:rFonts w:hint="eastAsia" w:eastAsia="等线" w:cs="Times New Roman"/>
                <w:color w:val="auto"/>
                <w:sz w:val="21"/>
                <w:szCs w:val="21"/>
                <w:highlight w:val="none"/>
                <w:lang w:val="en-US" w:eastAsia="zh-CN"/>
              </w:rPr>
              <w:t>28</w:t>
            </w:r>
          </w:p>
        </w:tc>
        <w:tc>
          <w:tcPr>
            <w:tcW w:w="2651" w:type="pct"/>
            <w:tcBorders>
              <w:tl2br w:val="nil"/>
              <w:tr2bl w:val="nil"/>
            </w:tcBorders>
            <w:vAlign w:val="center"/>
          </w:tcPr>
          <w:p w14:paraId="1E939375">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关于提升危险废物环境监管能力、利用处置能力和环境风险防范能力的指导意见</w:t>
            </w:r>
          </w:p>
        </w:tc>
        <w:tc>
          <w:tcPr>
            <w:tcW w:w="1387" w:type="pct"/>
            <w:tcBorders>
              <w:tl2br w:val="nil"/>
              <w:tr2bl w:val="nil"/>
            </w:tcBorders>
            <w:vAlign w:val="center"/>
          </w:tcPr>
          <w:p w14:paraId="719AF2E1">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环固体〔2019〕92号</w:t>
            </w:r>
          </w:p>
        </w:tc>
        <w:tc>
          <w:tcPr>
            <w:tcW w:w="705" w:type="pct"/>
            <w:tcBorders>
              <w:tl2br w:val="nil"/>
              <w:tr2bl w:val="nil"/>
            </w:tcBorders>
            <w:vAlign w:val="center"/>
          </w:tcPr>
          <w:p w14:paraId="1F6CA265">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2019-10-15</w:t>
            </w:r>
          </w:p>
        </w:tc>
      </w:tr>
      <w:tr w14:paraId="77B331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53ECCCAA">
            <w:pPr>
              <w:pStyle w:val="47"/>
              <w:spacing w:before="0" w:beforeAutospacing="0" w:line="360" w:lineRule="exact"/>
              <w:ind w:firstLine="0" w:firstLineChars="0"/>
              <w:jc w:val="center"/>
              <w:rPr>
                <w:rFonts w:hint="default" w:ascii="Times New Roman" w:hAnsi="Times New Roman" w:eastAsia="等线" w:cs="Times New Roman"/>
                <w:color w:val="auto"/>
                <w:sz w:val="21"/>
                <w:szCs w:val="21"/>
                <w:highlight w:val="none"/>
                <w:lang w:val="en-US" w:eastAsia="zh-CN"/>
              </w:rPr>
            </w:pPr>
            <w:r>
              <w:rPr>
                <w:rFonts w:hint="eastAsia" w:eastAsia="等线" w:cs="Times New Roman"/>
                <w:color w:val="auto"/>
                <w:sz w:val="21"/>
                <w:szCs w:val="21"/>
                <w:highlight w:val="none"/>
                <w:lang w:val="en-US" w:eastAsia="zh-CN"/>
              </w:rPr>
              <w:t>29</w:t>
            </w:r>
          </w:p>
        </w:tc>
        <w:tc>
          <w:tcPr>
            <w:tcW w:w="2651" w:type="pct"/>
            <w:tcBorders>
              <w:tl2br w:val="nil"/>
              <w:tr2bl w:val="nil"/>
            </w:tcBorders>
            <w:vAlign w:val="center"/>
          </w:tcPr>
          <w:p w14:paraId="62470FA0">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关于深入推进重点行业清洁生产审核工作的通知</w:t>
            </w:r>
          </w:p>
        </w:tc>
        <w:tc>
          <w:tcPr>
            <w:tcW w:w="1387" w:type="pct"/>
            <w:tcBorders>
              <w:tl2br w:val="nil"/>
              <w:tr2bl w:val="nil"/>
            </w:tcBorders>
            <w:vAlign w:val="center"/>
          </w:tcPr>
          <w:p w14:paraId="71D2690B">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环办科财〔2020〕27号</w:t>
            </w:r>
          </w:p>
        </w:tc>
        <w:tc>
          <w:tcPr>
            <w:tcW w:w="705" w:type="pct"/>
            <w:tcBorders>
              <w:tl2br w:val="nil"/>
              <w:tr2bl w:val="nil"/>
            </w:tcBorders>
            <w:vAlign w:val="center"/>
          </w:tcPr>
          <w:p w14:paraId="2CE83FA2">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2020-10-15</w:t>
            </w:r>
          </w:p>
        </w:tc>
      </w:tr>
      <w:tr w14:paraId="78645E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3DC6CEE7">
            <w:pPr>
              <w:pStyle w:val="47"/>
              <w:spacing w:before="0" w:beforeAutospacing="0" w:line="360" w:lineRule="exact"/>
              <w:ind w:firstLine="0" w:firstLineChars="0"/>
              <w:jc w:val="center"/>
              <w:rPr>
                <w:rFonts w:hint="eastAsia" w:ascii="Times New Roman" w:hAnsi="Times New Roman" w:eastAsia="等线" w:cs="Times New Roman"/>
                <w:color w:val="auto"/>
                <w:sz w:val="21"/>
                <w:szCs w:val="21"/>
                <w:highlight w:val="none"/>
                <w:lang w:eastAsia="zh-CN"/>
              </w:rPr>
            </w:pPr>
            <w:r>
              <w:rPr>
                <w:rFonts w:hint="default" w:ascii="Times New Roman" w:hAnsi="Times New Roman" w:eastAsia="等线" w:cs="Times New Roman"/>
                <w:color w:val="auto"/>
                <w:sz w:val="21"/>
                <w:szCs w:val="21"/>
                <w:highlight w:val="none"/>
              </w:rPr>
              <w:t>3</w:t>
            </w:r>
            <w:r>
              <w:rPr>
                <w:rFonts w:hint="eastAsia" w:eastAsia="等线" w:cs="Times New Roman"/>
                <w:color w:val="auto"/>
                <w:sz w:val="21"/>
                <w:szCs w:val="21"/>
                <w:highlight w:val="none"/>
                <w:lang w:val="en-US" w:eastAsia="zh-CN"/>
              </w:rPr>
              <w:t>0</w:t>
            </w:r>
          </w:p>
        </w:tc>
        <w:tc>
          <w:tcPr>
            <w:tcW w:w="2651" w:type="pct"/>
            <w:tcBorders>
              <w:tl2br w:val="nil"/>
              <w:tr2bl w:val="nil"/>
            </w:tcBorders>
            <w:vAlign w:val="center"/>
          </w:tcPr>
          <w:p w14:paraId="12219F2C">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关于加强生态保护监管工作的意见</w:t>
            </w:r>
          </w:p>
        </w:tc>
        <w:tc>
          <w:tcPr>
            <w:tcW w:w="1387" w:type="pct"/>
            <w:tcBorders>
              <w:tl2br w:val="nil"/>
              <w:tr2bl w:val="nil"/>
            </w:tcBorders>
            <w:vAlign w:val="center"/>
          </w:tcPr>
          <w:p w14:paraId="7FDC61D9">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环生态〔2020〕73号</w:t>
            </w:r>
          </w:p>
        </w:tc>
        <w:tc>
          <w:tcPr>
            <w:tcW w:w="705" w:type="pct"/>
            <w:tcBorders>
              <w:tl2br w:val="nil"/>
              <w:tr2bl w:val="nil"/>
            </w:tcBorders>
            <w:vAlign w:val="center"/>
          </w:tcPr>
          <w:p w14:paraId="0D81855D">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2020-12-24</w:t>
            </w:r>
          </w:p>
        </w:tc>
      </w:tr>
      <w:tr w14:paraId="6A6426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53B2FE1F">
            <w:pPr>
              <w:pStyle w:val="47"/>
              <w:spacing w:before="0" w:beforeAutospacing="0" w:line="360" w:lineRule="exact"/>
              <w:ind w:firstLine="0" w:firstLineChars="0"/>
              <w:jc w:val="center"/>
              <w:rPr>
                <w:rFonts w:hint="eastAsia" w:ascii="Times New Roman" w:hAnsi="Times New Roman" w:eastAsia="等线" w:cs="Times New Roman"/>
                <w:color w:val="auto"/>
                <w:sz w:val="21"/>
                <w:szCs w:val="21"/>
                <w:highlight w:val="none"/>
                <w:lang w:eastAsia="zh-CN"/>
              </w:rPr>
            </w:pPr>
            <w:r>
              <w:rPr>
                <w:rFonts w:hint="default" w:ascii="Times New Roman" w:hAnsi="Times New Roman" w:eastAsia="等线" w:cs="Times New Roman"/>
                <w:color w:val="auto"/>
                <w:sz w:val="21"/>
                <w:szCs w:val="21"/>
                <w:highlight w:val="none"/>
              </w:rPr>
              <w:t>3</w:t>
            </w:r>
            <w:r>
              <w:rPr>
                <w:rFonts w:hint="eastAsia" w:eastAsia="等线" w:cs="Times New Roman"/>
                <w:color w:val="auto"/>
                <w:sz w:val="21"/>
                <w:szCs w:val="21"/>
                <w:highlight w:val="none"/>
                <w:lang w:val="en-US" w:eastAsia="zh-CN"/>
              </w:rPr>
              <w:t>1</w:t>
            </w:r>
          </w:p>
        </w:tc>
        <w:tc>
          <w:tcPr>
            <w:tcW w:w="2651" w:type="pct"/>
            <w:tcBorders>
              <w:tl2br w:val="nil"/>
              <w:tr2bl w:val="nil"/>
            </w:tcBorders>
            <w:vAlign w:val="center"/>
          </w:tcPr>
          <w:p w14:paraId="21DF6E81">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建设项目环境影响评价分类管理名录</w:t>
            </w:r>
          </w:p>
        </w:tc>
        <w:tc>
          <w:tcPr>
            <w:tcW w:w="1387" w:type="pct"/>
            <w:tcBorders>
              <w:tl2br w:val="nil"/>
              <w:tr2bl w:val="nil"/>
            </w:tcBorders>
            <w:vAlign w:val="center"/>
          </w:tcPr>
          <w:p w14:paraId="4532A84D">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生态环境部令第16号</w:t>
            </w:r>
          </w:p>
        </w:tc>
        <w:tc>
          <w:tcPr>
            <w:tcW w:w="705" w:type="pct"/>
            <w:tcBorders>
              <w:tl2br w:val="nil"/>
              <w:tr2bl w:val="nil"/>
            </w:tcBorders>
            <w:vAlign w:val="center"/>
          </w:tcPr>
          <w:p w14:paraId="1773B9B0">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2021-01-01</w:t>
            </w:r>
          </w:p>
        </w:tc>
      </w:tr>
      <w:tr w14:paraId="376ECA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67561439">
            <w:pPr>
              <w:pStyle w:val="47"/>
              <w:spacing w:before="0" w:beforeAutospacing="0" w:line="360" w:lineRule="exact"/>
              <w:ind w:firstLine="0" w:firstLineChars="0"/>
              <w:jc w:val="center"/>
              <w:rPr>
                <w:rFonts w:hint="default" w:ascii="Times New Roman" w:hAnsi="Times New Roman" w:eastAsia="等线" w:cs="Times New Roman"/>
                <w:color w:val="auto"/>
                <w:sz w:val="21"/>
                <w:szCs w:val="21"/>
                <w:highlight w:val="none"/>
              </w:rPr>
            </w:pPr>
            <w:r>
              <w:rPr>
                <w:rFonts w:hint="default" w:ascii="Times New Roman" w:hAnsi="Times New Roman" w:eastAsia="等线" w:cs="Times New Roman"/>
                <w:color w:val="auto"/>
                <w:sz w:val="21"/>
                <w:szCs w:val="21"/>
                <w:highlight w:val="none"/>
              </w:rPr>
              <w:t>3</w:t>
            </w:r>
            <w:r>
              <w:rPr>
                <w:rFonts w:hint="eastAsia" w:eastAsia="等线" w:cs="Times New Roman"/>
                <w:color w:val="auto"/>
                <w:sz w:val="21"/>
                <w:szCs w:val="21"/>
                <w:highlight w:val="none"/>
                <w:lang w:val="en-US" w:eastAsia="zh-CN"/>
              </w:rPr>
              <w:t>2</w:t>
            </w:r>
          </w:p>
        </w:tc>
        <w:tc>
          <w:tcPr>
            <w:tcW w:w="2651" w:type="pct"/>
            <w:tcBorders>
              <w:tl2br w:val="nil"/>
              <w:tr2bl w:val="nil"/>
            </w:tcBorders>
            <w:vAlign w:val="center"/>
          </w:tcPr>
          <w:p w14:paraId="51DA6EB7">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固定污染源排污许可分类管理名录</w:t>
            </w:r>
          </w:p>
        </w:tc>
        <w:tc>
          <w:tcPr>
            <w:tcW w:w="1387" w:type="pct"/>
            <w:tcBorders>
              <w:tl2br w:val="nil"/>
              <w:tr2bl w:val="nil"/>
            </w:tcBorders>
            <w:vAlign w:val="center"/>
          </w:tcPr>
          <w:p w14:paraId="343EFD4E">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生态环境部令第</w:t>
            </w:r>
            <w:r>
              <w:rPr>
                <w:rFonts w:hint="eastAsia" w:cs="Times New Roman"/>
                <w:color w:val="auto"/>
                <w:sz w:val="21"/>
                <w:szCs w:val="21"/>
                <w:highlight w:val="none"/>
                <w:lang w:val="en-US" w:eastAsia="zh-CN"/>
              </w:rPr>
              <w:t>11</w:t>
            </w:r>
            <w:r>
              <w:rPr>
                <w:rFonts w:hint="default" w:ascii="Times New Roman" w:hAnsi="Times New Roman" w:cs="Times New Roman"/>
                <w:color w:val="auto"/>
                <w:sz w:val="21"/>
                <w:szCs w:val="21"/>
                <w:highlight w:val="none"/>
              </w:rPr>
              <w:t>号</w:t>
            </w:r>
          </w:p>
        </w:tc>
        <w:tc>
          <w:tcPr>
            <w:tcW w:w="705" w:type="pct"/>
            <w:tcBorders>
              <w:tl2br w:val="nil"/>
              <w:tr2bl w:val="nil"/>
            </w:tcBorders>
            <w:vAlign w:val="center"/>
          </w:tcPr>
          <w:p w14:paraId="7C1F88EE">
            <w:pPr>
              <w:pStyle w:val="47"/>
              <w:spacing w:before="0" w:beforeAutospacing="0" w:line="360" w:lineRule="exact"/>
              <w:ind w:firstLine="0" w:firstLineChars="0"/>
              <w:jc w:val="center"/>
              <w:rPr>
                <w:rFonts w:hint="eastAsia" w:ascii="Times New Roman" w:hAnsi="Times New Roman" w:eastAsia="等线" w:cs="Times New Roman"/>
                <w:color w:val="auto"/>
                <w:sz w:val="21"/>
                <w:szCs w:val="21"/>
                <w:highlight w:val="none"/>
                <w:lang w:eastAsia="zh-CN"/>
              </w:rPr>
            </w:pPr>
            <w:r>
              <w:rPr>
                <w:rFonts w:hint="default" w:ascii="Times New Roman" w:hAnsi="Times New Roman" w:eastAsia="等线" w:cs="Times New Roman"/>
                <w:color w:val="auto"/>
                <w:sz w:val="21"/>
                <w:szCs w:val="21"/>
                <w:highlight w:val="none"/>
              </w:rPr>
              <w:t>2019</w:t>
            </w:r>
            <w:r>
              <w:rPr>
                <w:rFonts w:hint="eastAsia" w:eastAsia="等线" w:cs="Times New Roman"/>
                <w:color w:val="auto"/>
                <w:sz w:val="21"/>
                <w:szCs w:val="21"/>
                <w:highlight w:val="none"/>
                <w:lang w:val="en-US" w:eastAsia="zh-CN"/>
              </w:rPr>
              <w:t>-0</w:t>
            </w:r>
            <w:r>
              <w:rPr>
                <w:rFonts w:hint="default" w:ascii="Times New Roman" w:hAnsi="Times New Roman" w:eastAsia="等线" w:cs="Times New Roman"/>
                <w:color w:val="auto"/>
                <w:sz w:val="21"/>
                <w:szCs w:val="21"/>
                <w:highlight w:val="none"/>
              </w:rPr>
              <w:t>7</w:t>
            </w:r>
            <w:r>
              <w:rPr>
                <w:rFonts w:hint="eastAsia" w:eastAsia="等线" w:cs="Times New Roman"/>
                <w:color w:val="auto"/>
                <w:sz w:val="21"/>
                <w:szCs w:val="21"/>
                <w:highlight w:val="none"/>
                <w:lang w:val="en-US" w:eastAsia="zh-CN"/>
              </w:rPr>
              <w:t>-</w:t>
            </w:r>
            <w:r>
              <w:rPr>
                <w:rFonts w:hint="default" w:ascii="Times New Roman" w:hAnsi="Times New Roman" w:eastAsia="等线" w:cs="Times New Roman"/>
                <w:color w:val="auto"/>
                <w:sz w:val="21"/>
                <w:szCs w:val="21"/>
                <w:highlight w:val="none"/>
              </w:rPr>
              <w:t>11</w:t>
            </w:r>
          </w:p>
        </w:tc>
      </w:tr>
      <w:tr w14:paraId="4059D8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3DDA006B">
            <w:pPr>
              <w:pStyle w:val="47"/>
              <w:spacing w:before="0" w:beforeAutospacing="0" w:line="360" w:lineRule="exact"/>
              <w:ind w:firstLine="0" w:firstLineChars="0"/>
              <w:jc w:val="center"/>
              <w:rPr>
                <w:rFonts w:hint="default" w:ascii="Times New Roman" w:hAnsi="Times New Roman" w:eastAsia="等线" w:cs="Times New Roman"/>
                <w:color w:val="auto"/>
                <w:sz w:val="21"/>
                <w:szCs w:val="21"/>
                <w:highlight w:val="none"/>
              </w:rPr>
            </w:pPr>
            <w:r>
              <w:rPr>
                <w:rFonts w:hint="default" w:ascii="Times New Roman" w:hAnsi="Times New Roman" w:eastAsia="等线" w:cs="Times New Roman"/>
                <w:color w:val="auto"/>
                <w:sz w:val="21"/>
                <w:szCs w:val="21"/>
                <w:highlight w:val="none"/>
              </w:rPr>
              <w:t>3</w:t>
            </w:r>
            <w:r>
              <w:rPr>
                <w:rFonts w:hint="eastAsia" w:eastAsia="等线" w:cs="Times New Roman"/>
                <w:color w:val="auto"/>
                <w:sz w:val="21"/>
                <w:szCs w:val="21"/>
                <w:highlight w:val="none"/>
                <w:lang w:val="en-US" w:eastAsia="zh-CN"/>
              </w:rPr>
              <w:t>3</w:t>
            </w:r>
          </w:p>
        </w:tc>
        <w:tc>
          <w:tcPr>
            <w:tcW w:w="2651" w:type="pct"/>
            <w:tcBorders>
              <w:tl2br w:val="nil"/>
              <w:tr2bl w:val="nil"/>
            </w:tcBorders>
            <w:vAlign w:val="center"/>
          </w:tcPr>
          <w:p w14:paraId="47A52A02">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地下水保护利用管理办法</w:t>
            </w:r>
          </w:p>
        </w:tc>
        <w:tc>
          <w:tcPr>
            <w:tcW w:w="1387" w:type="pct"/>
            <w:tcBorders>
              <w:tl2br w:val="nil"/>
              <w:tr2bl w:val="nil"/>
            </w:tcBorders>
            <w:vAlign w:val="center"/>
          </w:tcPr>
          <w:p w14:paraId="0B802FEA">
            <w:pPr>
              <w:pStyle w:val="47"/>
              <w:spacing w:before="0" w:beforeAutospacing="0" w:line="360" w:lineRule="exact"/>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705" w:type="pct"/>
            <w:tcBorders>
              <w:tl2br w:val="nil"/>
              <w:tr2bl w:val="nil"/>
            </w:tcBorders>
            <w:vAlign w:val="center"/>
          </w:tcPr>
          <w:p w14:paraId="29012C8D">
            <w:pPr>
              <w:pStyle w:val="47"/>
              <w:spacing w:before="0" w:beforeAutospacing="0" w:line="360" w:lineRule="exact"/>
              <w:ind w:firstLine="0" w:firstLineChars="0"/>
              <w:jc w:val="center"/>
              <w:rPr>
                <w:rFonts w:hint="default" w:ascii="Times New Roman" w:hAnsi="Times New Roman" w:eastAsia="等线" w:cs="Times New Roman"/>
                <w:color w:val="auto"/>
                <w:sz w:val="21"/>
                <w:szCs w:val="21"/>
                <w:highlight w:val="none"/>
                <w:lang w:val="en-US" w:eastAsia="zh-CN"/>
              </w:rPr>
            </w:pPr>
            <w:r>
              <w:rPr>
                <w:rFonts w:hint="eastAsia" w:eastAsia="等线" w:cs="Times New Roman"/>
                <w:color w:val="auto"/>
                <w:sz w:val="21"/>
                <w:szCs w:val="21"/>
                <w:highlight w:val="none"/>
                <w:lang w:val="en-US" w:eastAsia="zh-CN"/>
              </w:rPr>
              <w:t>2023-06-28</w:t>
            </w:r>
          </w:p>
        </w:tc>
      </w:tr>
      <w:tr w14:paraId="1D1EC7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53AF1316">
            <w:pPr>
              <w:pStyle w:val="47"/>
              <w:spacing w:before="0" w:beforeAutospacing="0" w:line="360" w:lineRule="exact"/>
              <w:ind w:firstLine="0" w:firstLineChars="0"/>
              <w:jc w:val="center"/>
              <w:rPr>
                <w:rFonts w:hint="eastAsia" w:ascii="Times New Roman" w:hAnsi="Times New Roman" w:eastAsia="等线" w:cs="Times New Roman"/>
                <w:color w:val="auto"/>
                <w:sz w:val="21"/>
                <w:szCs w:val="21"/>
                <w:highlight w:val="none"/>
                <w:lang w:eastAsia="zh-CN"/>
              </w:rPr>
            </w:pPr>
            <w:r>
              <w:rPr>
                <w:rFonts w:hint="default" w:ascii="Times New Roman" w:hAnsi="Times New Roman" w:eastAsia="等线" w:cs="Times New Roman"/>
                <w:color w:val="auto"/>
                <w:sz w:val="21"/>
                <w:szCs w:val="21"/>
                <w:highlight w:val="none"/>
              </w:rPr>
              <w:t>3</w:t>
            </w:r>
            <w:r>
              <w:rPr>
                <w:rFonts w:hint="eastAsia" w:eastAsia="等线" w:cs="Times New Roman"/>
                <w:color w:val="auto"/>
                <w:sz w:val="21"/>
                <w:szCs w:val="21"/>
                <w:highlight w:val="none"/>
                <w:lang w:val="en-US" w:eastAsia="zh-CN"/>
              </w:rPr>
              <w:t>4</w:t>
            </w:r>
          </w:p>
        </w:tc>
        <w:tc>
          <w:tcPr>
            <w:tcW w:w="2651" w:type="pct"/>
            <w:tcBorders>
              <w:tl2br w:val="nil"/>
              <w:tr2bl w:val="nil"/>
            </w:tcBorders>
            <w:vAlign w:val="center"/>
          </w:tcPr>
          <w:p w14:paraId="0D290E67">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国家危险废物名录（202</w:t>
            </w:r>
            <w:r>
              <w:rPr>
                <w:rFonts w:hint="default" w:ascii="Times New Roman" w:hAnsi="Times New Roman" w:cs="Times New Roman"/>
                <w:color w:val="auto"/>
                <w:sz w:val="21"/>
                <w:szCs w:val="21"/>
                <w:highlight w:val="none"/>
                <w:woUserID w:val="1"/>
              </w:rPr>
              <w:t>5</w:t>
            </w:r>
            <w:r>
              <w:rPr>
                <w:rFonts w:hint="default" w:ascii="Times New Roman" w:hAnsi="Times New Roman" w:cs="Times New Roman"/>
                <w:color w:val="auto"/>
                <w:sz w:val="21"/>
                <w:szCs w:val="21"/>
                <w:highlight w:val="none"/>
              </w:rPr>
              <w:t>版）</w:t>
            </w:r>
          </w:p>
        </w:tc>
        <w:tc>
          <w:tcPr>
            <w:tcW w:w="1387" w:type="pct"/>
            <w:tcBorders>
              <w:tl2br w:val="nil"/>
              <w:tr2bl w:val="nil"/>
            </w:tcBorders>
            <w:vAlign w:val="center"/>
          </w:tcPr>
          <w:p w14:paraId="5476A5CD">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生态环境部、国家发展和改革委员会、公安部、交通运输部、国家卫生健康委员会</w:t>
            </w:r>
            <w:r>
              <w:rPr>
                <w:rFonts w:hint="default" w:ascii="Times New Roman" w:hAnsi="Times New Roman" w:cs="Times New Roman"/>
                <w:color w:val="auto"/>
                <w:sz w:val="21"/>
                <w:szCs w:val="21"/>
                <w:highlight w:val="none"/>
                <w:woUserID w:val="1"/>
              </w:rPr>
              <w:t xml:space="preserve"> 部令第36号</w:t>
            </w:r>
          </w:p>
        </w:tc>
        <w:tc>
          <w:tcPr>
            <w:tcW w:w="705" w:type="pct"/>
            <w:tcBorders>
              <w:tl2br w:val="nil"/>
              <w:tr2bl w:val="nil"/>
            </w:tcBorders>
            <w:vAlign w:val="center"/>
          </w:tcPr>
          <w:p w14:paraId="5B9A7C6F">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woUserID w:val="1"/>
              </w:rPr>
            </w:pPr>
            <w:r>
              <w:rPr>
                <w:rFonts w:hint="default" w:ascii="Times New Roman" w:hAnsi="Times New Roman" w:eastAsia="等线" w:cs="Times New Roman"/>
                <w:color w:val="auto"/>
                <w:sz w:val="21"/>
                <w:szCs w:val="21"/>
                <w:highlight w:val="none"/>
              </w:rPr>
              <w:t>202</w:t>
            </w:r>
            <w:r>
              <w:rPr>
                <w:rFonts w:hint="eastAsia" w:eastAsia="等线" w:cs="Times New Roman"/>
                <w:color w:val="auto"/>
                <w:sz w:val="21"/>
                <w:szCs w:val="21"/>
                <w:highlight w:val="none"/>
                <w:lang w:val="en-US" w:eastAsia="zh-CN"/>
                <w:woUserID w:val="1"/>
              </w:rPr>
              <w:t>5</w:t>
            </w:r>
            <w:r>
              <w:rPr>
                <w:rFonts w:hint="default" w:ascii="Times New Roman" w:hAnsi="Times New Roman" w:eastAsia="等线" w:cs="Times New Roman"/>
                <w:color w:val="auto"/>
                <w:sz w:val="21"/>
                <w:szCs w:val="21"/>
                <w:highlight w:val="none"/>
              </w:rPr>
              <w:t>-</w:t>
            </w:r>
            <w:r>
              <w:rPr>
                <w:rFonts w:hint="eastAsia" w:eastAsia="等线" w:cs="Times New Roman"/>
                <w:color w:val="auto"/>
                <w:sz w:val="21"/>
                <w:szCs w:val="21"/>
                <w:highlight w:val="none"/>
                <w:lang w:val="en-US" w:eastAsia="zh-CN"/>
              </w:rPr>
              <w:t>0</w:t>
            </w:r>
            <w:r>
              <w:rPr>
                <w:rFonts w:hint="default" w:ascii="Times New Roman" w:hAnsi="Times New Roman" w:eastAsia="等线" w:cs="Times New Roman"/>
                <w:color w:val="auto"/>
                <w:sz w:val="21"/>
                <w:szCs w:val="21"/>
                <w:highlight w:val="none"/>
              </w:rPr>
              <w:t>1-</w:t>
            </w:r>
            <w:r>
              <w:rPr>
                <w:rFonts w:hint="eastAsia" w:eastAsia="等线" w:cs="Times New Roman"/>
                <w:color w:val="auto"/>
                <w:sz w:val="21"/>
                <w:szCs w:val="21"/>
                <w:highlight w:val="none"/>
                <w:lang w:val="en-US" w:eastAsia="zh-CN"/>
              </w:rPr>
              <w:t>01</w:t>
            </w:r>
          </w:p>
        </w:tc>
      </w:tr>
      <w:tr w14:paraId="2F8135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0522112A">
            <w:pPr>
              <w:pStyle w:val="47"/>
              <w:spacing w:before="0" w:beforeAutospacing="0" w:line="360" w:lineRule="exact"/>
              <w:ind w:firstLine="0" w:firstLineChars="0"/>
              <w:jc w:val="center"/>
              <w:rPr>
                <w:rFonts w:hint="eastAsia" w:ascii="Times New Roman" w:hAnsi="Times New Roman" w:eastAsia="等线" w:cs="Times New Roman"/>
                <w:color w:val="auto"/>
                <w:sz w:val="21"/>
                <w:szCs w:val="21"/>
                <w:highlight w:val="none"/>
                <w:lang w:eastAsia="zh-CN"/>
              </w:rPr>
            </w:pPr>
            <w:r>
              <w:rPr>
                <w:rFonts w:hint="default" w:ascii="Times New Roman" w:hAnsi="Times New Roman" w:eastAsia="等线" w:cs="Times New Roman"/>
                <w:color w:val="auto"/>
                <w:sz w:val="21"/>
                <w:szCs w:val="21"/>
                <w:highlight w:val="none"/>
              </w:rPr>
              <w:t>3</w:t>
            </w:r>
            <w:r>
              <w:rPr>
                <w:rFonts w:hint="eastAsia" w:eastAsia="等线" w:cs="Times New Roman"/>
                <w:color w:val="auto"/>
                <w:sz w:val="21"/>
                <w:szCs w:val="21"/>
                <w:highlight w:val="none"/>
                <w:lang w:val="en-US" w:eastAsia="zh-CN"/>
              </w:rPr>
              <w:t>5</w:t>
            </w:r>
          </w:p>
        </w:tc>
        <w:tc>
          <w:tcPr>
            <w:tcW w:w="2651" w:type="pct"/>
            <w:tcBorders>
              <w:tl2br w:val="nil"/>
              <w:tr2bl w:val="nil"/>
            </w:tcBorders>
            <w:vAlign w:val="center"/>
          </w:tcPr>
          <w:p w14:paraId="781DE79A">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关于发布重点监管单位土壤污染隐患排查指南（试行）的公告</w:t>
            </w:r>
          </w:p>
        </w:tc>
        <w:tc>
          <w:tcPr>
            <w:tcW w:w="1387" w:type="pct"/>
            <w:tcBorders>
              <w:tl2br w:val="nil"/>
              <w:tr2bl w:val="nil"/>
            </w:tcBorders>
            <w:vAlign w:val="center"/>
          </w:tcPr>
          <w:p w14:paraId="637B895F">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生态环境部公告2021第1号</w:t>
            </w:r>
          </w:p>
        </w:tc>
        <w:tc>
          <w:tcPr>
            <w:tcW w:w="705" w:type="pct"/>
            <w:tcBorders>
              <w:tl2br w:val="nil"/>
              <w:tr2bl w:val="nil"/>
            </w:tcBorders>
            <w:vAlign w:val="center"/>
          </w:tcPr>
          <w:p w14:paraId="3DB3D076">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2021-01-04</w:t>
            </w:r>
          </w:p>
        </w:tc>
      </w:tr>
      <w:tr w14:paraId="4EE201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24F188BD">
            <w:pPr>
              <w:pStyle w:val="47"/>
              <w:spacing w:before="0" w:beforeAutospacing="0" w:line="360" w:lineRule="exact"/>
              <w:ind w:firstLine="0" w:firstLineChars="0"/>
              <w:jc w:val="center"/>
              <w:rPr>
                <w:rFonts w:hint="eastAsia" w:ascii="Times New Roman" w:hAnsi="Times New Roman" w:eastAsia="等线" w:cs="Times New Roman"/>
                <w:color w:val="auto"/>
                <w:sz w:val="21"/>
                <w:szCs w:val="21"/>
                <w:highlight w:val="none"/>
                <w:lang w:eastAsia="zh-CN"/>
              </w:rPr>
            </w:pPr>
            <w:r>
              <w:rPr>
                <w:rFonts w:hint="eastAsia" w:eastAsia="等线" w:cs="Times New Roman"/>
                <w:color w:val="auto"/>
                <w:sz w:val="21"/>
                <w:szCs w:val="21"/>
                <w:highlight w:val="none"/>
                <w:lang w:val="en-US" w:eastAsia="zh-CN"/>
              </w:rPr>
              <w:t>36</w:t>
            </w:r>
          </w:p>
        </w:tc>
        <w:tc>
          <w:tcPr>
            <w:tcW w:w="2651" w:type="pct"/>
            <w:tcBorders>
              <w:tl2br w:val="nil"/>
              <w:tr2bl w:val="nil"/>
            </w:tcBorders>
            <w:vAlign w:val="center"/>
          </w:tcPr>
          <w:p w14:paraId="3A8DFC92">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国家重点保护野生动物名录</w:t>
            </w:r>
          </w:p>
        </w:tc>
        <w:tc>
          <w:tcPr>
            <w:tcW w:w="1387" w:type="pct"/>
            <w:tcBorders>
              <w:tl2br w:val="nil"/>
              <w:tr2bl w:val="nil"/>
            </w:tcBorders>
            <w:vAlign w:val="center"/>
          </w:tcPr>
          <w:p w14:paraId="65F3E25A">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国家林业和草原局 农业农村部公告（2021年第3号）</w:t>
            </w:r>
          </w:p>
        </w:tc>
        <w:tc>
          <w:tcPr>
            <w:tcW w:w="705" w:type="pct"/>
            <w:tcBorders>
              <w:tl2br w:val="nil"/>
              <w:tr2bl w:val="nil"/>
            </w:tcBorders>
            <w:vAlign w:val="center"/>
          </w:tcPr>
          <w:p w14:paraId="4FD3122A">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2021-02-01</w:t>
            </w:r>
          </w:p>
        </w:tc>
      </w:tr>
      <w:tr w14:paraId="7EE3F7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50F450EF">
            <w:pPr>
              <w:pStyle w:val="47"/>
              <w:spacing w:before="0" w:beforeAutospacing="0" w:line="360" w:lineRule="exact"/>
              <w:ind w:firstLine="0" w:firstLineChars="0"/>
              <w:jc w:val="center"/>
              <w:rPr>
                <w:rFonts w:hint="eastAsia" w:ascii="Times New Roman" w:hAnsi="Times New Roman" w:eastAsia="等线" w:cs="Times New Roman"/>
                <w:color w:val="auto"/>
                <w:sz w:val="21"/>
                <w:szCs w:val="21"/>
                <w:highlight w:val="none"/>
                <w:lang w:eastAsia="zh-CN"/>
              </w:rPr>
            </w:pPr>
            <w:r>
              <w:rPr>
                <w:rFonts w:hint="eastAsia" w:eastAsia="等线" w:cs="Times New Roman"/>
                <w:color w:val="auto"/>
                <w:sz w:val="21"/>
                <w:szCs w:val="21"/>
                <w:highlight w:val="none"/>
                <w:lang w:val="en-US" w:eastAsia="zh-CN"/>
              </w:rPr>
              <w:t>37</w:t>
            </w:r>
          </w:p>
        </w:tc>
        <w:tc>
          <w:tcPr>
            <w:tcW w:w="2651" w:type="pct"/>
            <w:tcBorders>
              <w:tl2br w:val="nil"/>
              <w:tr2bl w:val="nil"/>
            </w:tcBorders>
            <w:vAlign w:val="center"/>
          </w:tcPr>
          <w:p w14:paraId="695DA191">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关于</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大宗固体废弃物综合利用的指导意见</w:t>
            </w:r>
          </w:p>
        </w:tc>
        <w:tc>
          <w:tcPr>
            <w:tcW w:w="1387" w:type="pct"/>
            <w:tcBorders>
              <w:tl2br w:val="nil"/>
              <w:tr2bl w:val="nil"/>
            </w:tcBorders>
            <w:vAlign w:val="center"/>
          </w:tcPr>
          <w:p w14:paraId="15636556">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发改环资〔2021〕381号</w:t>
            </w:r>
          </w:p>
        </w:tc>
        <w:tc>
          <w:tcPr>
            <w:tcW w:w="705" w:type="pct"/>
            <w:tcBorders>
              <w:tl2br w:val="nil"/>
              <w:tr2bl w:val="nil"/>
            </w:tcBorders>
            <w:vAlign w:val="center"/>
          </w:tcPr>
          <w:p w14:paraId="4E48BBAC">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2021-03-18</w:t>
            </w:r>
          </w:p>
        </w:tc>
      </w:tr>
      <w:tr w14:paraId="05EDD0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5E2317B8">
            <w:pPr>
              <w:pStyle w:val="47"/>
              <w:spacing w:before="0" w:beforeAutospacing="0" w:line="360" w:lineRule="exact"/>
              <w:ind w:firstLine="0" w:firstLineChars="0"/>
              <w:jc w:val="center"/>
              <w:rPr>
                <w:rFonts w:hint="default" w:ascii="Times New Roman" w:hAnsi="Times New Roman" w:eastAsia="等线" w:cs="Times New Roman"/>
                <w:color w:val="auto"/>
                <w:sz w:val="21"/>
                <w:szCs w:val="21"/>
                <w:highlight w:val="none"/>
                <w:lang w:val="en-US" w:eastAsia="zh-CN"/>
              </w:rPr>
            </w:pPr>
            <w:r>
              <w:rPr>
                <w:rFonts w:hint="eastAsia" w:eastAsia="等线" w:cs="Times New Roman"/>
                <w:color w:val="auto"/>
                <w:sz w:val="21"/>
                <w:szCs w:val="21"/>
                <w:highlight w:val="none"/>
                <w:lang w:val="en-US" w:eastAsia="zh-CN"/>
              </w:rPr>
              <w:t>38</w:t>
            </w:r>
          </w:p>
        </w:tc>
        <w:tc>
          <w:tcPr>
            <w:tcW w:w="2651" w:type="pct"/>
            <w:tcBorders>
              <w:tl2br w:val="nil"/>
              <w:tr2bl w:val="nil"/>
            </w:tcBorders>
            <w:vAlign w:val="center"/>
          </w:tcPr>
          <w:p w14:paraId="70A66AE6">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关于印发</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全国危险废物规范化环境管理评估工作方案</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的通知</w:t>
            </w:r>
          </w:p>
        </w:tc>
        <w:tc>
          <w:tcPr>
            <w:tcW w:w="1387" w:type="pct"/>
            <w:tcBorders>
              <w:tl2br w:val="nil"/>
              <w:tr2bl w:val="nil"/>
            </w:tcBorders>
            <w:vAlign w:val="center"/>
          </w:tcPr>
          <w:p w14:paraId="549F1A41">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环办固体〔2021〕20号</w:t>
            </w:r>
          </w:p>
        </w:tc>
        <w:tc>
          <w:tcPr>
            <w:tcW w:w="705" w:type="pct"/>
            <w:tcBorders>
              <w:tl2br w:val="nil"/>
              <w:tr2bl w:val="nil"/>
            </w:tcBorders>
            <w:vAlign w:val="center"/>
          </w:tcPr>
          <w:p w14:paraId="47FE921B">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2021-09-01</w:t>
            </w:r>
          </w:p>
        </w:tc>
      </w:tr>
      <w:tr w14:paraId="4CA06C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7A5D7677">
            <w:pPr>
              <w:pStyle w:val="47"/>
              <w:spacing w:before="0" w:beforeAutospacing="0" w:line="360" w:lineRule="exact"/>
              <w:ind w:firstLine="0" w:firstLineChars="0"/>
              <w:jc w:val="center"/>
              <w:rPr>
                <w:rFonts w:hint="default" w:ascii="Times New Roman" w:hAnsi="Times New Roman" w:eastAsia="等线" w:cs="Times New Roman"/>
                <w:color w:val="auto"/>
                <w:sz w:val="21"/>
                <w:szCs w:val="21"/>
                <w:highlight w:val="none"/>
                <w:lang w:val="en-US" w:eastAsia="zh-CN"/>
              </w:rPr>
            </w:pPr>
            <w:r>
              <w:rPr>
                <w:rFonts w:hint="eastAsia" w:eastAsia="等线" w:cs="Times New Roman"/>
                <w:color w:val="auto"/>
                <w:sz w:val="21"/>
                <w:szCs w:val="21"/>
                <w:highlight w:val="none"/>
                <w:lang w:val="en-US" w:eastAsia="zh-CN"/>
              </w:rPr>
              <w:t>39</w:t>
            </w:r>
          </w:p>
        </w:tc>
        <w:tc>
          <w:tcPr>
            <w:tcW w:w="2651" w:type="pct"/>
            <w:tcBorders>
              <w:tl2br w:val="nil"/>
              <w:tr2bl w:val="nil"/>
            </w:tcBorders>
            <w:vAlign w:val="center"/>
          </w:tcPr>
          <w:p w14:paraId="3B8EB54F">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国家重点保护野生植物名录</w:t>
            </w:r>
          </w:p>
        </w:tc>
        <w:tc>
          <w:tcPr>
            <w:tcW w:w="1387" w:type="pct"/>
            <w:tcBorders>
              <w:tl2br w:val="nil"/>
              <w:tr2bl w:val="nil"/>
            </w:tcBorders>
            <w:vAlign w:val="center"/>
          </w:tcPr>
          <w:p w14:paraId="2F4E5ABF">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国家林业和草原局 农业农村部公告（2021年第15号）</w:t>
            </w:r>
          </w:p>
        </w:tc>
        <w:tc>
          <w:tcPr>
            <w:tcW w:w="705" w:type="pct"/>
            <w:tcBorders>
              <w:tl2br w:val="nil"/>
              <w:tr2bl w:val="nil"/>
            </w:tcBorders>
            <w:vAlign w:val="center"/>
          </w:tcPr>
          <w:p w14:paraId="4DCADBD6">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2021-09-07</w:t>
            </w:r>
          </w:p>
        </w:tc>
      </w:tr>
      <w:tr w14:paraId="55B877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20164014">
            <w:pPr>
              <w:pStyle w:val="47"/>
              <w:spacing w:before="0" w:beforeAutospacing="0" w:line="360" w:lineRule="exact"/>
              <w:ind w:firstLine="0" w:firstLineChars="0"/>
              <w:jc w:val="center"/>
              <w:rPr>
                <w:rFonts w:hint="default" w:ascii="Times New Roman" w:hAnsi="Times New Roman" w:eastAsia="等线" w:cs="Times New Roman"/>
                <w:color w:val="auto"/>
                <w:sz w:val="21"/>
                <w:szCs w:val="21"/>
                <w:highlight w:val="none"/>
                <w:lang w:val="en-US" w:eastAsia="zh-CN"/>
              </w:rPr>
            </w:pPr>
            <w:r>
              <w:rPr>
                <w:rFonts w:hint="eastAsia" w:eastAsia="等线" w:cs="Times New Roman"/>
                <w:color w:val="auto"/>
                <w:sz w:val="21"/>
                <w:szCs w:val="21"/>
                <w:highlight w:val="none"/>
                <w:lang w:val="en-US" w:eastAsia="zh-CN"/>
              </w:rPr>
              <w:t>40</w:t>
            </w:r>
          </w:p>
        </w:tc>
        <w:tc>
          <w:tcPr>
            <w:tcW w:w="2651" w:type="pct"/>
            <w:tcBorders>
              <w:tl2br w:val="nil"/>
              <w:tr2bl w:val="nil"/>
            </w:tcBorders>
            <w:vAlign w:val="center"/>
          </w:tcPr>
          <w:p w14:paraId="5EFA138F">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关于规范临时用地管理的通知</w:t>
            </w:r>
          </w:p>
        </w:tc>
        <w:tc>
          <w:tcPr>
            <w:tcW w:w="1387" w:type="pct"/>
            <w:tcBorders>
              <w:tl2br w:val="nil"/>
              <w:tr2bl w:val="nil"/>
            </w:tcBorders>
            <w:vAlign w:val="center"/>
          </w:tcPr>
          <w:p w14:paraId="4730FB89">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自然资规〔2021〕2号</w:t>
            </w:r>
          </w:p>
        </w:tc>
        <w:tc>
          <w:tcPr>
            <w:tcW w:w="705" w:type="pct"/>
            <w:tcBorders>
              <w:tl2br w:val="nil"/>
              <w:tr2bl w:val="nil"/>
            </w:tcBorders>
            <w:vAlign w:val="center"/>
          </w:tcPr>
          <w:p w14:paraId="552F3018">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2021-11-04</w:t>
            </w:r>
          </w:p>
        </w:tc>
      </w:tr>
      <w:tr w14:paraId="5BA4C2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6B6991BC">
            <w:pPr>
              <w:pStyle w:val="47"/>
              <w:spacing w:before="0" w:beforeAutospacing="0" w:line="360" w:lineRule="exact"/>
              <w:ind w:firstLine="0" w:firstLineChars="0"/>
              <w:jc w:val="center"/>
              <w:rPr>
                <w:rFonts w:hint="default" w:ascii="Times New Roman" w:hAnsi="Times New Roman" w:eastAsia="等线" w:cs="Times New Roman"/>
                <w:color w:val="auto"/>
                <w:sz w:val="21"/>
                <w:szCs w:val="21"/>
                <w:highlight w:val="none"/>
                <w:lang w:val="en-US" w:eastAsia="zh-CN"/>
              </w:rPr>
            </w:pPr>
            <w:r>
              <w:rPr>
                <w:rFonts w:hint="default" w:ascii="Times New Roman" w:hAnsi="Times New Roman" w:eastAsia="等线" w:cs="Times New Roman"/>
                <w:color w:val="auto"/>
                <w:sz w:val="21"/>
                <w:szCs w:val="21"/>
                <w:highlight w:val="none"/>
              </w:rPr>
              <w:t>4</w:t>
            </w:r>
            <w:r>
              <w:rPr>
                <w:rFonts w:hint="eastAsia" w:eastAsia="等线" w:cs="Times New Roman"/>
                <w:color w:val="auto"/>
                <w:sz w:val="21"/>
                <w:szCs w:val="21"/>
                <w:highlight w:val="none"/>
                <w:lang w:val="en-US" w:eastAsia="zh-CN"/>
              </w:rPr>
              <w:t>1</w:t>
            </w:r>
          </w:p>
        </w:tc>
        <w:tc>
          <w:tcPr>
            <w:tcW w:w="2651" w:type="pct"/>
            <w:tcBorders>
              <w:tl2br w:val="nil"/>
              <w:tr2bl w:val="nil"/>
            </w:tcBorders>
            <w:vAlign w:val="center"/>
          </w:tcPr>
          <w:p w14:paraId="0B973593">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工业和信息化部</w:t>
            </w:r>
            <w:r>
              <w:rPr>
                <w:rFonts w:hint="eastAsia"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国家发展改革委</w:t>
            </w:r>
            <w:r>
              <w:rPr>
                <w:rFonts w:hint="eastAsia"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科技部</w:t>
            </w:r>
            <w:r>
              <w:rPr>
                <w:rFonts w:hint="eastAsia"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生态环境部</w:t>
            </w:r>
            <w:r>
              <w:rPr>
                <w:rFonts w:hint="eastAsia"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住房城乡建设部</w:t>
            </w:r>
            <w:r>
              <w:rPr>
                <w:rFonts w:hint="eastAsia"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水利部关于印发工业废水循环利用实施方案的通知</w:t>
            </w:r>
          </w:p>
        </w:tc>
        <w:tc>
          <w:tcPr>
            <w:tcW w:w="1387" w:type="pct"/>
            <w:tcBorders>
              <w:tl2br w:val="nil"/>
              <w:tr2bl w:val="nil"/>
            </w:tcBorders>
            <w:vAlign w:val="center"/>
          </w:tcPr>
          <w:p w14:paraId="22C03E5E">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工信部联节〔2021〕213号</w:t>
            </w:r>
          </w:p>
        </w:tc>
        <w:tc>
          <w:tcPr>
            <w:tcW w:w="705" w:type="pct"/>
            <w:tcBorders>
              <w:tl2br w:val="nil"/>
              <w:tr2bl w:val="nil"/>
            </w:tcBorders>
            <w:vAlign w:val="center"/>
          </w:tcPr>
          <w:p w14:paraId="5DF56171">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2021-12-24</w:t>
            </w:r>
          </w:p>
        </w:tc>
      </w:tr>
      <w:tr w14:paraId="594F4A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5EF8F977">
            <w:pPr>
              <w:pStyle w:val="47"/>
              <w:spacing w:before="0" w:beforeAutospacing="0" w:line="360" w:lineRule="exact"/>
              <w:ind w:firstLine="0" w:firstLineChars="0"/>
              <w:jc w:val="center"/>
              <w:rPr>
                <w:rFonts w:hint="default" w:ascii="Times New Roman" w:hAnsi="Times New Roman" w:eastAsia="等线" w:cs="Times New Roman"/>
                <w:color w:val="auto"/>
                <w:sz w:val="21"/>
                <w:szCs w:val="21"/>
                <w:highlight w:val="none"/>
                <w:lang w:val="en-US" w:eastAsia="zh-CN"/>
              </w:rPr>
            </w:pPr>
            <w:r>
              <w:rPr>
                <w:rFonts w:hint="default" w:ascii="Times New Roman" w:hAnsi="Times New Roman" w:eastAsia="等线" w:cs="Times New Roman"/>
                <w:color w:val="auto"/>
                <w:sz w:val="21"/>
                <w:szCs w:val="21"/>
                <w:highlight w:val="none"/>
              </w:rPr>
              <w:t>4</w:t>
            </w:r>
            <w:r>
              <w:rPr>
                <w:rFonts w:hint="eastAsia" w:eastAsia="等线" w:cs="Times New Roman"/>
                <w:color w:val="auto"/>
                <w:sz w:val="21"/>
                <w:szCs w:val="21"/>
                <w:highlight w:val="none"/>
                <w:lang w:val="en-US" w:eastAsia="zh-CN"/>
              </w:rPr>
              <w:t>2</w:t>
            </w:r>
          </w:p>
        </w:tc>
        <w:tc>
          <w:tcPr>
            <w:tcW w:w="2651" w:type="pct"/>
            <w:tcBorders>
              <w:tl2br w:val="nil"/>
              <w:tr2bl w:val="nil"/>
            </w:tcBorders>
            <w:vAlign w:val="center"/>
          </w:tcPr>
          <w:p w14:paraId="7DD5E541">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产业结构调整指导目录（2024本）</w:t>
            </w:r>
          </w:p>
        </w:tc>
        <w:tc>
          <w:tcPr>
            <w:tcW w:w="1387" w:type="pct"/>
            <w:tcBorders>
              <w:tl2br w:val="nil"/>
              <w:tr2bl w:val="nil"/>
            </w:tcBorders>
            <w:vAlign w:val="center"/>
          </w:tcPr>
          <w:p w14:paraId="703C9EC3">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国家发展和改革委员会令</w:t>
            </w:r>
            <w:r>
              <w:rPr>
                <w:rFonts w:hint="eastAsia" w:cs="Times New Roman"/>
                <w:color w:val="auto"/>
                <w:sz w:val="21"/>
                <w:szCs w:val="21"/>
                <w:highlight w:val="none"/>
                <w:lang w:eastAsia="zh-CN"/>
              </w:rPr>
              <w:t>〔2023〕7号</w:t>
            </w:r>
            <w:r>
              <w:rPr>
                <w:rFonts w:hint="default" w:ascii="Times New Roman" w:hAnsi="Times New Roman" w:cs="Times New Roman"/>
                <w:color w:val="auto"/>
                <w:sz w:val="21"/>
                <w:szCs w:val="21"/>
                <w:highlight w:val="none"/>
              </w:rPr>
              <w:t>令</w:t>
            </w:r>
          </w:p>
        </w:tc>
        <w:tc>
          <w:tcPr>
            <w:tcW w:w="705" w:type="pct"/>
            <w:tcBorders>
              <w:tl2br w:val="nil"/>
              <w:tr2bl w:val="nil"/>
            </w:tcBorders>
            <w:vAlign w:val="center"/>
          </w:tcPr>
          <w:p w14:paraId="0CEE5EB3">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2024-02-01</w:t>
            </w:r>
          </w:p>
        </w:tc>
      </w:tr>
      <w:tr w14:paraId="0F7445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4EACB54E">
            <w:pPr>
              <w:pStyle w:val="47"/>
              <w:spacing w:before="0" w:beforeAutospacing="0" w:line="360" w:lineRule="exact"/>
              <w:ind w:firstLine="0" w:firstLineChars="0"/>
              <w:jc w:val="center"/>
              <w:rPr>
                <w:rFonts w:hint="eastAsia" w:ascii="Times New Roman" w:hAnsi="Times New Roman" w:eastAsia="等线" w:cs="Times New Roman"/>
                <w:color w:val="auto"/>
                <w:sz w:val="21"/>
                <w:szCs w:val="21"/>
                <w:highlight w:val="none"/>
                <w:lang w:eastAsia="zh-CN"/>
              </w:rPr>
            </w:pPr>
            <w:r>
              <w:rPr>
                <w:rFonts w:hint="default" w:ascii="Times New Roman" w:hAnsi="Times New Roman" w:eastAsia="等线" w:cs="Times New Roman"/>
                <w:color w:val="auto"/>
                <w:sz w:val="21"/>
                <w:szCs w:val="21"/>
                <w:highlight w:val="none"/>
              </w:rPr>
              <w:t>4</w:t>
            </w:r>
            <w:r>
              <w:rPr>
                <w:rFonts w:hint="eastAsia" w:eastAsia="等线" w:cs="Times New Roman"/>
                <w:color w:val="auto"/>
                <w:sz w:val="21"/>
                <w:szCs w:val="21"/>
                <w:highlight w:val="none"/>
                <w:lang w:val="en-US" w:eastAsia="zh-CN"/>
              </w:rPr>
              <w:t>3</w:t>
            </w:r>
          </w:p>
        </w:tc>
        <w:tc>
          <w:tcPr>
            <w:tcW w:w="2651" w:type="pct"/>
            <w:tcBorders>
              <w:tl2br w:val="nil"/>
              <w:tr2bl w:val="nil"/>
            </w:tcBorders>
            <w:vAlign w:val="center"/>
          </w:tcPr>
          <w:p w14:paraId="40E18F84">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关于印发</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土壤、地下水和农村生态环境保护规划的通知</w:t>
            </w:r>
          </w:p>
        </w:tc>
        <w:tc>
          <w:tcPr>
            <w:tcW w:w="1387" w:type="pct"/>
            <w:tcBorders>
              <w:tl2br w:val="nil"/>
              <w:tr2bl w:val="nil"/>
            </w:tcBorders>
            <w:vAlign w:val="center"/>
          </w:tcPr>
          <w:p w14:paraId="53B4A2BC">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环土壤〔2021〕120号</w:t>
            </w:r>
          </w:p>
        </w:tc>
        <w:tc>
          <w:tcPr>
            <w:tcW w:w="705" w:type="pct"/>
            <w:tcBorders>
              <w:tl2br w:val="nil"/>
              <w:tr2bl w:val="nil"/>
            </w:tcBorders>
            <w:vAlign w:val="center"/>
          </w:tcPr>
          <w:p w14:paraId="0DFB2502">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2021-12-31</w:t>
            </w:r>
          </w:p>
        </w:tc>
      </w:tr>
      <w:tr w14:paraId="0FAFB4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70948549">
            <w:pPr>
              <w:pStyle w:val="47"/>
              <w:spacing w:before="0" w:beforeAutospacing="0" w:line="360" w:lineRule="exact"/>
              <w:ind w:firstLine="0" w:firstLineChars="0"/>
              <w:jc w:val="center"/>
              <w:rPr>
                <w:rFonts w:hint="eastAsia" w:ascii="Times New Roman" w:hAnsi="Times New Roman" w:eastAsia="等线" w:cs="Times New Roman"/>
                <w:color w:val="auto"/>
                <w:sz w:val="21"/>
                <w:szCs w:val="21"/>
                <w:highlight w:val="none"/>
                <w:lang w:eastAsia="zh-CN"/>
              </w:rPr>
            </w:pPr>
            <w:r>
              <w:rPr>
                <w:rFonts w:hint="default" w:ascii="Times New Roman" w:hAnsi="Times New Roman" w:eastAsia="等线" w:cs="Times New Roman"/>
                <w:color w:val="auto"/>
                <w:sz w:val="21"/>
                <w:szCs w:val="21"/>
                <w:highlight w:val="none"/>
              </w:rPr>
              <w:t>4</w:t>
            </w:r>
            <w:r>
              <w:rPr>
                <w:rFonts w:hint="eastAsia" w:eastAsia="等线" w:cs="Times New Roman"/>
                <w:color w:val="auto"/>
                <w:sz w:val="21"/>
                <w:szCs w:val="21"/>
                <w:highlight w:val="none"/>
                <w:lang w:val="en-US" w:eastAsia="zh-CN"/>
              </w:rPr>
              <w:t>4</w:t>
            </w:r>
          </w:p>
        </w:tc>
        <w:tc>
          <w:tcPr>
            <w:tcW w:w="2651" w:type="pct"/>
            <w:tcBorders>
              <w:tl2br w:val="nil"/>
              <w:tr2bl w:val="nil"/>
            </w:tcBorders>
            <w:vAlign w:val="center"/>
          </w:tcPr>
          <w:p w14:paraId="3CB3ACF3">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危险废物转移管理办法</w:t>
            </w:r>
          </w:p>
        </w:tc>
        <w:tc>
          <w:tcPr>
            <w:tcW w:w="1387" w:type="pct"/>
            <w:tcBorders>
              <w:tl2br w:val="nil"/>
              <w:tr2bl w:val="nil"/>
            </w:tcBorders>
            <w:vAlign w:val="center"/>
          </w:tcPr>
          <w:p w14:paraId="5A206F16">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部令第23号</w:t>
            </w:r>
          </w:p>
        </w:tc>
        <w:tc>
          <w:tcPr>
            <w:tcW w:w="705" w:type="pct"/>
            <w:tcBorders>
              <w:tl2br w:val="nil"/>
              <w:tr2bl w:val="nil"/>
            </w:tcBorders>
            <w:vAlign w:val="center"/>
          </w:tcPr>
          <w:p w14:paraId="428983B3">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2022-01-01</w:t>
            </w:r>
          </w:p>
        </w:tc>
      </w:tr>
      <w:tr w14:paraId="428CBA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6F176E6B">
            <w:pPr>
              <w:pStyle w:val="47"/>
              <w:spacing w:before="0" w:beforeAutospacing="0" w:line="360" w:lineRule="exact"/>
              <w:ind w:firstLine="0" w:firstLineChars="0"/>
              <w:jc w:val="center"/>
              <w:rPr>
                <w:rFonts w:hint="eastAsia" w:ascii="Times New Roman" w:hAnsi="Times New Roman" w:eastAsia="等线" w:cs="Times New Roman"/>
                <w:color w:val="auto"/>
                <w:sz w:val="21"/>
                <w:szCs w:val="21"/>
                <w:highlight w:val="none"/>
                <w:lang w:eastAsia="zh-CN"/>
              </w:rPr>
            </w:pPr>
            <w:r>
              <w:rPr>
                <w:rFonts w:hint="eastAsia" w:eastAsia="等线" w:cs="Times New Roman"/>
                <w:color w:val="auto"/>
                <w:sz w:val="21"/>
                <w:szCs w:val="21"/>
                <w:highlight w:val="none"/>
                <w:lang w:val="en-US" w:eastAsia="zh-CN"/>
              </w:rPr>
              <w:t>45</w:t>
            </w:r>
          </w:p>
        </w:tc>
        <w:tc>
          <w:tcPr>
            <w:tcW w:w="2651" w:type="pct"/>
            <w:tcBorders>
              <w:tl2br w:val="nil"/>
              <w:tr2bl w:val="nil"/>
            </w:tcBorders>
            <w:vAlign w:val="center"/>
          </w:tcPr>
          <w:p w14:paraId="1DB1EF4F">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八部门关于印发加快推动工业资源综合利用实施方案的通知</w:t>
            </w:r>
          </w:p>
        </w:tc>
        <w:tc>
          <w:tcPr>
            <w:tcW w:w="1387" w:type="pct"/>
            <w:tcBorders>
              <w:tl2br w:val="nil"/>
              <w:tr2bl w:val="nil"/>
            </w:tcBorders>
            <w:vAlign w:val="center"/>
          </w:tcPr>
          <w:p w14:paraId="41B5904A">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工信部联节〔2022〕9号</w:t>
            </w:r>
          </w:p>
        </w:tc>
        <w:tc>
          <w:tcPr>
            <w:tcW w:w="705" w:type="pct"/>
            <w:tcBorders>
              <w:tl2br w:val="nil"/>
              <w:tr2bl w:val="nil"/>
            </w:tcBorders>
            <w:vAlign w:val="center"/>
          </w:tcPr>
          <w:p w14:paraId="5525CB9C">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2022-01-27</w:t>
            </w:r>
          </w:p>
        </w:tc>
      </w:tr>
      <w:tr w14:paraId="1657DE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2DC41EE0">
            <w:pPr>
              <w:pStyle w:val="47"/>
              <w:spacing w:before="0" w:beforeAutospacing="0" w:line="360" w:lineRule="exact"/>
              <w:ind w:firstLine="0" w:firstLineChars="0"/>
              <w:jc w:val="center"/>
              <w:rPr>
                <w:rFonts w:hint="eastAsia" w:ascii="Times New Roman" w:hAnsi="Times New Roman" w:eastAsia="等线" w:cs="Times New Roman"/>
                <w:color w:val="auto"/>
                <w:sz w:val="21"/>
                <w:szCs w:val="21"/>
                <w:highlight w:val="none"/>
                <w:lang w:eastAsia="zh-CN"/>
              </w:rPr>
            </w:pPr>
            <w:r>
              <w:rPr>
                <w:rFonts w:hint="eastAsia" w:eastAsia="等线" w:cs="Times New Roman"/>
                <w:color w:val="auto"/>
                <w:sz w:val="21"/>
                <w:szCs w:val="21"/>
                <w:highlight w:val="none"/>
                <w:lang w:val="en-US" w:eastAsia="zh-CN"/>
              </w:rPr>
              <w:t>46</w:t>
            </w:r>
          </w:p>
        </w:tc>
        <w:tc>
          <w:tcPr>
            <w:tcW w:w="2651" w:type="pct"/>
            <w:tcBorders>
              <w:tl2br w:val="nil"/>
              <w:tr2bl w:val="nil"/>
            </w:tcBorders>
            <w:vAlign w:val="center"/>
          </w:tcPr>
          <w:p w14:paraId="3935DB8C">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企业环境信息依法披露管理办法</w:t>
            </w:r>
          </w:p>
        </w:tc>
        <w:tc>
          <w:tcPr>
            <w:tcW w:w="1387" w:type="pct"/>
            <w:tcBorders>
              <w:tl2br w:val="nil"/>
              <w:tr2bl w:val="nil"/>
            </w:tcBorders>
            <w:vAlign w:val="center"/>
          </w:tcPr>
          <w:p w14:paraId="2DAD4317">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部令第24号</w:t>
            </w:r>
          </w:p>
        </w:tc>
        <w:tc>
          <w:tcPr>
            <w:tcW w:w="705" w:type="pct"/>
            <w:tcBorders>
              <w:tl2br w:val="nil"/>
              <w:tr2bl w:val="nil"/>
            </w:tcBorders>
            <w:vAlign w:val="center"/>
          </w:tcPr>
          <w:p w14:paraId="581CAF95">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2022-02-08</w:t>
            </w:r>
          </w:p>
        </w:tc>
      </w:tr>
      <w:tr w14:paraId="189DA9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7E23430F">
            <w:pPr>
              <w:pStyle w:val="47"/>
              <w:spacing w:before="0" w:beforeAutospacing="0" w:line="360" w:lineRule="exact"/>
              <w:ind w:firstLine="0" w:firstLineChars="0"/>
              <w:jc w:val="center"/>
              <w:rPr>
                <w:rFonts w:hint="default" w:ascii="Times New Roman" w:hAnsi="Times New Roman" w:eastAsia="等线" w:cs="Times New Roman"/>
                <w:color w:val="auto"/>
                <w:sz w:val="21"/>
                <w:szCs w:val="21"/>
                <w:highlight w:val="none"/>
                <w:lang w:val="en-US" w:eastAsia="zh-CN"/>
              </w:rPr>
            </w:pPr>
            <w:r>
              <w:rPr>
                <w:rFonts w:hint="eastAsia" w:eastAsia="等线" w:cs="Times New Roman"/>
                <w:color w:val="auto"/>
                <w:sz w:val="21"/>
                <w:szCs w:val="21"/>
                <w:highlight w:val="none"/>
                <w:lang w:val="en-US" w:eastAsia="zh-CN"/>
              </w:rPr>
              <w:t>47</w:t>
            </w:r>
          </w:p>
        </w:tc>
        <w:tc>
          <w:tcPr>
            <w:tcW w:w="2651" w:type="pct"/>
            <w:tcBorders>
              <w:tl2br w:val="nil"/>
              <w:tr2bl w:val="nil"/>
            </w:tcBorders>
            <w:vAlign w:val="center"/>
          </w:tcPr>
          <w:p w14:paraId="090B2ACE">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市场准入负面清单（202</w:t>
            </w:r>
            <w:r>
              <w:rPr>
                <w:rFonts w:hint="default" w:ascii="Times New Roman" w:hAnsi="Times New Roman" w:cs="Times New Roman"/>
                <w:color w:val="auto"/>
                <w:sz w:val="21"/>
                <w:szCs w:val="21"/>
                <w:highlight w:val="none"/>
                <w:woUserID w:val="1"/>
              </w:rPr>
              <w:t>5</w:t>
            </w:r>
            <w:r>
              <w:rPr>
                <w:rFonts w:hint="default" w:ascii="Times New Roman" w:hAnsi="Times New Roman" w:cs="Times New Roman"/>
                <w:color w:val="auto"/>
                <w:sz w:val="21"/>
                <w:szCs w:val="21"/>
                <w:highlight w:val="none"/>
              </w:rPr>
              <w:t>年版）</w:t>
            </w:r>
          </w:p>
        </w:tc>
        <w:tc>
          <w:tcPr>
            <w:tcW w:w="1387" w:type="pct"/>
            <w:tcBorders>
              <w:tl2br w:val="nil"/>
              <w:tr2bl w:val="nil"/>
            </w:tcBorders>
            <w:vAlign w:val="center"/>
          </w:tcPr>
          <w:p w14:paraId="6201D6A1">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发改体改规〔202</w:t>
            </w:r>
            <w:r>
              <w:rPr>
                <w:rFonts w:hint="default" w:ascii="Times New Roman" w:hAnsi="Times New Roman" w:cs="Times New Roman"/>
                <w:color w:val="auto"/>
                <w:sz w:val="21"/>
                <w:szCs w:val="21"/>
                <w:highlight w:val="none"/>
                <w:woUserID w:val="1"/>
              </w:rPr>
              <w:t>5</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woUserID w:val="1"/>
              </w:rPr>
              <w:t>466</w:t>
            </w:r>
            <w:r>
              <w:rPr>
                <w:rFonts w:hint="default" w:ascii="Times New Roman" w:hAnsi="Times New Roman" w:cs="Times New Roman"/>
                <w:color w:val="auto"/>
                <w:sz w:val="21"/>
                <w:szCs w:val="21"/>
                <w:highlight w:val="none"/>
              </w:rPr>
              <w:t>号</w:t>
            </w:r>
          </w:p>
        </w:tc>
        <w:tc>
          <w:tcPr>
            <w:tcW w:w="705" w:type="pct"/>
            <w:tcBorders>
              <w:tl2br w:val="nil"/>
              <w:tr2bl w:val="nil"/>
            </w:tcBorders>
            <w:vAlign w:val="center"/>
          </w:tcPr>
          <w:p w14:paraId="18F48D22">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woUserID w:val="1"/>
              </w:rPr>
            </w:pPr>
            <w:r>
              <w:rPr>
                <w:rFonts w:hint="default" w:ascii="Times New Roman" w:hAnsi="Times New Roman" w:eastAsia="等线" w:cs="Times New Roman"/>
                <w:color w:val="auto"/>
                <w:sz w:val="21"/>
                <w:szCs w:val="21"/>
                <w:highlight w:val="none"/>
              </w:rPr>
              <w:t>202</w:t>
            </w:r>
            <w:r>
              <w:rPr>
                <w:rFonts w:hint="default" w:ascii="Times New Roman" w:hAnsi="Times New Roman" w:eastAsia="等线" w:cs="Times New Roman"/>
                <w:color w:val="auto"/>
                <w:sz w:val="21"/>
                <w:szCs w:val="21"/>
                <w:highlight w:val="none"/>
                <w:woUserID w:val="1"/>
              </w:rPr>
              <w:t>5-</w:t>
            </w:r>
            <w:r>
              <w:rPr>
                <w:rFonts w:hint="default" w:ascii="Times New Roman" w:hAnsi="Times New Roman" w:eastAsia="等线" w:cs="Times New Roman"/>
                <w:color w:val="auto"/>
                <w:sz w:val="21"/>
                <w:szCs w:val="21"/>
                <w:highlight w:val="none"/>
              </w:rPr>
              <w:t>0</w:t>
            </w:r>
            <w:r>
              <w:rPr>
                <w:rFonts w:hint="default" w:ascii="Times New Roman" w:hAnsi="Times New Roman" w:eastAsia="等线" w:cs="Times New Roman"/>
                <w:color w:val="auto"/>
                <w:sz w:val="21"/>
                <w:szCs w:val="21"/>
                <w:highlight w:val="none"/>
                <w:woUserID w:val="1"/>
              </w:rPr>
              <w:t>4</w:t>
            </w:r>
            <w:r>
              <w:rPr>
                <w:rFonts w:hint="default" w:ascii="Times New Roman" w:hAnsi="Times New Roman" w:eastAsia="等线" w:cs="Times New Roman"/>
                <w:color w:val="auto"/>
                <w:sz w:val="21"/>
                <w:szCs w:val="21"/>
                <w:highlight w:val="none"/>
              </w:rPr>
              <w:t>-1</w:t>
            </w:r>
            <w:r>
              <w:rPr>
                <w:rFonts w:hint="default" w:ascii="Times New Roman" w:hAnsi="Times New Roman" w:eastAsia="等线" w:cs="Times New Roman"/>
                <w:color w:val="auto"/>
                <w:sz w:val="21"/>
                <w:szCs w:val="21"/>
                <w:highlight w:val="none"/>
                <w:woUserID w:val="1"/>
              </w:rPr>
              <w:t>6</w:t>
            </w:r>
          </w:p>
        </w:tc>
      </w:tr>
      <w:tr w14:paraId="6321E1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5C780D79">
            <w:pPr>
              <w:pStyle w:val="47"/>
              <w:spacing w:before="0" w:beforeAutospacing="0" w:line="360" w:lineRule="exact"/>
              <w:ind w:firstLine="0" w:firstLineChars="0"/>
              <w:jc w:val="center"/>
              <w:rPr>
                <w:rFonts w:hint="default" w:ascii="Times New Roman" w:hAnsi="Times New Roman" w:eastAsia="等线" w:cs="Times New Roman"/>
                <w:color w:val="auto"/>
                <w:sz w:val="21"/>
                <w:szCs w:val="21"/>
                <w:highlight w:val="none"/>
                <w:lang w:val="en-US" w:eastAsia="zh-CN"/>
              </w:rPr>
            </w:pPr>
            <w:r>
              <w:rPr>
                <w:rFonts w:hint="eastAsia" w:eastAsia="等线" w:cs="Times New Roman"/>
                <w:color w:val="auto"/>
                <w:sz w:val="21"/>
                <w:szCs w:val="21"/>
                <w:highlight w:val="none"/>
                <w:lang w:val="en-US" w:eastAsia="zh-CN"/>
              </w:rPr>
              <w:t>48</w:t>
            </w:r>
          </w:p>
        </w:tc>
        <w:tc>
          <w:tcPr>
            <w:tcW w:w="2651" w:type="pct"/>
            <w:tcBorders>
              <w:tl2br w:val="nil"/>
              <w:tr2bl w:val="nil"/>
            </w:tcBorders>
            <w:vAlign w:val="center"/>
          </w:tcPr>
          <w:p w14:paraId="5B43A7BA">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尾矿污染环境防治管理办法</w:t>
            </w:r>
          </w:p>
        </w:tc>
        <w:tc>
          <w:tcPr>
            <w:tcW w:w="1387" w:type="pct"/>
            <w:tcBorders>
              <w:tl2br w:val="nil"/>
              <w:tr2bl w:val="nil"/>
            </w:tcBorders>
            <w:vAlign w:val="center"/>
          </w:tcPr>
          <w:p w14:paraId="3575208C">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部令第26号</w:t>
            </w:r>
          </w:p>
        </w:tc>
        <w:tc>
          <w:tcPr>
            <w:tcW w:w="705" w:type="pct"/>
            <w:tcBorders>
              <w:tl2br w:val="nil"/>
              <w:tr2bl w:val="nil"/>
            </w:tcBorders>
            <w:vAlign w:val="center"/>
          </w:tcPr>
          <w:p w14:paraId="38ACC2EF">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2022-07-01</w:t>
            </w:r>
          </w:p>
        </w:tc>
      </w:tr>
      <w:tr w14:paraId="200530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0C1FB66F">
            <w:pPr>
              <w:pStyle w:val="47"/>
              <w:spacing w:before="0" w:beforeAutospacing="0" w:line="360" w:lineRule="exact"/>
              <w:ind w:left="0" w:leftChars="0" w:firstLine="0" w:firstLineChars="0"/>
              <w:jc w:val="center"/>
              <w:rPr>
                <w:rFonts w:hint="default" w:ascii="Times New Roman" w:hAnsi="Times New Roman" w:eastAsia="等线" w:cs="Times New Roman"/>
                <w:color w:val="auto"/>
                <w:sz w:val="21"/>
                <w:szCs w:val="21"/>
                <w:highlight w:val="none"/>
                <w:lang w:val="en-US" w:eastAsia="zh-CN"/>
              </w:rPr>
            </w:pPr>
            <w:r>
              <w:rPr>
                <w:rFonts w:hint="eastAsia" w:eastAsia="等线" w:cs="Times New Roman"/>
                <w:color w:val="auto"/>
                <w:sz w:val="21"/>
                <w:szCs w:val="21"/>
                <w:highlight w:val="none"/>
                <w:lang w:val="en-US" w:eastAsia="zh-CN"/>
                <w:woUserID w:val="1"/>
              </w:rPr>
              <w:t>49</w:t>
            </w:r>
          </w:p>
        </w:tc>
        <w:tc>
          <w:tcPr>
            <w:tcW w:w="2651" w:type="pct"/>
            <w:tcBorders>
              <w:tl2br w:val="nil"/>
              <w:tr2bl w:val="nil"/>
            </w:tcBorders>
            <w:vAlign w:val="center"/>
          </w:tcPr>
          <w:p w14:paraId="306ED9FA">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关于印发</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噪声污染防治行动计划的通知</w:t>
            </w:r>
          </w:p>
        </w:tc>
        <w:tc>
          <w:tcPr>
            <w:tcW w:w="1387" w:type="pct"/>
            <w:tcBorders>
              <w:tl2br w:val="nil"/>
              <w:tr2bl w:val="nil"/>
            </w:tcBorders>
            <w:vAlign w:val="center"/>
          </w:tcPr>
          <w:p w14:paraId="6EE7B7F1">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环大气〔2023〕1号</w:t>
            </w:r>
          </w:p>
        </w:tc>
        <w:tc>
          <w:tcPr>
            <w:tcW w:w="705" w:type="pct"/>
            <w:tcBorders>
              <w:tl2br w:val="nil"/>
              <w:tr2bl w:val="nil"/>
            </w:tcBorders>
            <w:vAlign w:val="center"/>
          </w:tcPr>
          <w:p w14:paraId="5CCE6BCE">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2023-01-05</w:t>
            </w:r>
          </w:p>
        </w:tc>
      </w:tr>
      <w:tr w14:paraId="233853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06E45606">
            <w:pPr>
              <w:pStyle w:val="47"/>
              <w:spacing w:before="0" w:beforeAutospacing="0" w:line="360" w:lineRule="exact"/>
              <w:ind w:left="0" w:leftChars="0" w:firstLine="0" w:firstLineChars="0"/>
              <w:jc w:val="center"/>
              <w:rPr>
                <w:rFonts w:hint="default" w:ascii="Times New Roman" w:hAnsi="Times New Roman" w:eastAsia="等线" w:cs="Times New Roman"/>
                <w:color w:val="auto"/>
                <w:sz w:val="21"/>
                <w:szCs w:val="21"/>
                <w:highlight w:val="none"/>
                <w:lang w:val="en-US" w:eastAsia="zh-CN"/>
              </w:rPr>
            </w:pPr>
            <w:r>
              <w:rPr>
                <w:rFonts w:hint="default" w:ascii="Times New Roman" w:hAnsi="Times New Roman" w:eastAsia="等线" w:cs="Times New Roman"/>
                <w:color w:val="auto"/>
                <w:sz w:val="21"/>
                <w:szCs w:val="21"/>
                <w:highlight w:val="none"/>
                <w:lang w:val="en-US" w:eastAsia="zh-CN"/>
                <w:woUserID w:val="1"/>
              </w:rPr>
              <w:t>5</w:t>
            </w:r>
            <w:r>
              <w:rPr>
                <w:rFonts w:hint="eastAsia" w:eastAsia="等线" w:cs="Times New Roman"/>
                <w:color w:val="auto"/>
                <w:sz w:val="21"/>
                <w:szCs w:val="21"/>
                <w:highlight w:val="none"/>
                <w:lang w:val="en-US" w:eastAsia="zh-CN"/>
                <w:woUserID w:val="1"/>
              </w:rPr>
              <w:t>0</w:t>
            </w:r>
          </w:p>
        </w:tc>
        <w:tc>
          <w:tcPr>
            <w:tcW w:w="2651" w:type="pct"/>
            <w:tcBorders>
              <w:tl2br w:val="nil"/>
              <w:tr2bl w:val="nil"/>
            </w:tcBorders>
            <w:vAlign w:val="center"/>
          </w:tcPr>
          <w:p w14:paraId="506E9F47">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固体废物分类与代码目录</w:t>
            </w:r>
          </w:p>
        </w:tc>
        <w:tc>
          <w:tcPr>
            <w:tcW w:w="1387" w:type="pct"/>
            <w:tcBorders>
              <w:tl2br w:val="nil"/>
              <w:tr2bl w:val="nil"/>
            </w:tcBorders>
            <w:vAlign w:val="center"/>
          </w:tcPr>
          <w:p w14:paraId="1AF91745">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w:t>
            </w:r>
          </w:p>
        </w:tc>
        <w:tc>
          <w:tcPr>
            <w:tcW w:w="705" w:type="pct"/>
            <w:tcBorders>
              <w:tl2br w:val="nil"/>
              <w:tr2bl w:val="nil"/>
            </w:tcBorders>
            <w:vAlign w:val="center"/>
          </w:tcPr>
          <w:p w14:paraId="5CDA22A0">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2024-01-19</w:t>
            </w:r>
          </w:p>
        </w:tc>
      </w:tr>
      <w:tr w14:paraId="662E0B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57F47943">
            <w:pPr>
              <w:pStyle w:val="47"/>
              <w:spacing w:before="0" w:beforeAutospacing="0" w:line="360" w:lineRule="exact"/>
              <w:ind w:left="0" w:leftChars="0" w:firstLine="0" w:firstLineChars="0"/>
              <w:jc w:val="center"/>
              <w:rPr>
                <w:rFonts w:hint="default" w:ascii="Times New Roman" w:hAnsi="Times New Roman" w:eastAsia="等线" w:cs="Times New Roman"/>
                <w:color w:val="auto"/>
                <w:sz w:val="21"/>
                <w:szCs w:val="21"/>
                <w:highlight w:val="none"/>
                <w:lang w:val="en-US" w:eastAsia="zh-CN"/>
                <w:woUserID w:val="1"/>
              </w:rPr>
            </w:pPr>
            <w:r>
              <w:rPr>
                <w:rFonts w:hint="eastAsia" w:eastAsia="等线" w:cs="Times New Roman"/>
                <w:color w:val="auto"/>
                <w:sz w:val="21"/>
                <w:szCs w:val="21"/>
                <w:highlight w:val="none"/>
                <w:lang w:val="en-US" w:eastAsia="zh-CN"/>
                <w:woUserID w:val="1"/>
              </w:rPr>
              <w:t>51</w:t>
            </w:r>
          </w:p>
        </w:tc>
        <w:tc>
          <w:tcPr>
            <w:tcW w:w="2651" w:type="pct"/>
            <w:tcBorders>
              <w:tl2br w:val="nil"/>
              <w:tr2bl w:val="nil"/>
            </w:tcBorders>
            <w:vAlign w:val="center"/>
          </w:tcPr>
          <w:p w14:paraId="03F85BA6">
            <w:pPr>
              <w:pStyle w:val="47"/>
              <w:spacing w:before="0" w:beforeAutospacing="0" w:line="360" w:lineRule="exact"/>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土壤污染源头防控行动计划</w:t>
            </w:r>
          </w:p>
        </w:tc>
        <w:tc>
          <w:tcPr>
            <w:tcW w:w="1387" w:type="pct"/>
            <w:tcBorders>
              <w:tl2br w:val="nil"/>
              <w:tr2bl w:val="nil"/>
            </w:tcBorders>
            <w:vAlign w:val="center"/>
          </w:tcPr>
          <w:p w14:paraId="61F301E0">
            <w:pPr>
              <w:pStyle w:val="47"/>
              <w:spacing w:before="0" w:beforeAutospacing="0" w:line="360" w:lineRule="exact"/>
              <w:ind w:left="0" w:leftChars="0" w:firstLine="0" w:firstLineChars="0"/>
              <w:jc w:val="center"/>
              <w:rPr>
                <w:rFonts w:hint="default" w:ascii="Times New Roman" w:hAnsi="Times New Roman" w:eastAsia="等线" w:cs="Times New Roman"/>
                <w:color w:val="auto"/>
                <w:sz w:val="21"/>
                <w:szCs w:val="21"/>
                <w:highlight w:val="none"/>
                <w:woUserID w:val="1"/>
              </w:rPr>
            </w:pPr>
            <w:r>
              <w:rPr>
                <w:rFonts w:hint="default" w:ascii="Times New Roman" w:hAnsi="Times New Roman" w:cs="Times New Roman"/>
                <w:color w:val="auto"/>
                <w:sz w:val="21"/>
                <w:szCs w:val="21"/>
                <w:highlight w:val="none"/>
              </w:rPr>
              <w:t>环土壤</w:t>
            </w:r>
            <w:r>
              <w:rPr>
                <w:rFonts w:hint="default" w:ascii="Times New Roman" w:hAnsi="Times New Roman" w:cs="Times New Roman"/>
                <w:color w:val="auto"/>
                <w:sz w:val="21"/>
                <w:szCs w:val="21"/>
                <w:highlight w:val="none"/>
                <w:woUserID w:val="1"/>
              </w:rPr>
              <w:t>〔2024〕80号</w:t>
            </w:r>
          </w:p>
        </w:tc>
        <w:tc>
          <w:tcPr>
            <w:tcW w:w="705" w:type="pct"/>
            <w:tcBorders>
              <w:tl2br w:val="nil"/>
              <w:tr2bl w:val="nil"/>
            </w:tcBorders>
            <w:vAlign w:val="center"/>
          </w:tcPr>
          <w:p w14:paraId="210722E7">
            <w:pPr>
              <w:pStyle w:val="47"/>
              <w:spacing w:before="0" w:beforeAutospacing="0" w:line="360" w:lineRule="exact"/>
              <w:ind w:left="0" w:leftChars="0" w:firstLine="0" w:firstLineChars="0"/>
              <w:jc w:val="center"/>
              <w:rPr>
                <w:rFonts w:hint="default" w:ascii="Times New Roman" w:hAnsi="Times New Roman" w:eastAsia="等线" w:cs="Times New Roman"/>
                <w:color w:val="auto"/>
                <w:sz w:val="21"/>
                <w:szCs w:val="21"/>
                <w:highlight w:val="none"/>
                <w:woUserID w:val="1"/>
              </w:rPr>
            </w:pPr>
            <w:r>
              <w:rPr>
                <w:rFonts w:hint="default" w:ascii="Times New Roman" w:hAnsi="Times New Roman" w:eastAsia="等线" w:cs="Times New Roman"/>
                <w:color w:val="auto"/>
                <w:sz w:val="21"/>
                <w:szCs w:val="21"/>
                <w:highlight w:val="none"/>
                <w:woUserID w:val="1"/>
              </w:rPr>
              <w:t>2024-11-07</w:t>
            </w:r>
          </w:p>
        </w:tc>
      </w:tr>
      <w:tr w14:paraId="4D5BAE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57120268">
            <w:pPr>
              <w:pStyle w:val="47"/>
              <w:spacing w:before="0" w:beforeAutospacing="0" w:line="360" w:lineRule="exact"/>
              <w:ind w:left="0" w:leftChars="0" w:firstLine="0" w:firstLineChars="0"/>
              <w:jc w:val="center"/>
              <w:rPr>
                <w:rFonts w:hint="default" w:ascii="Times New Roman" w:hAnsi="Times New Roman" w:eastAsia="等线" w:cs="Times New Roman"/>
                <w:color w:val="auto"/>
                <w:sz w:val="21"/>
                <w:szCs w:val="21"/>
                <w:highlight w:val="none"/>
                <w:lang w:val="en-US" w:eastAsia="zh-CN"/>
                <w:woUserID w:val="1"/>
              </w:rPr>
            </w:pPr>
            <w:r>
              <w:rPr>
                <w:rFonts w:hint="eastAsia" w:eastAsia="等线" w:cs="Times New Roman"/>
                <w:color w:val="auto"/>
                <w:sz w:val="21"/>
                <w:szCs w:val="21"/>
                <w:highlight w:val="none"/>
                <w:lang w:val="en-US" w:eastAsia="zh-CN"/>
                <w:woUserID w:val="1"/>
              </w:rPr>
              <w:t>52</w:t>
            </w:r>
          </w:p>
        </w:tc>
        <w:tc>
          <w:tcPr>
            <w:tcW w:w="2651" w:type="pct"/>
            <w:tcBorders>
              <w:tl2br w:val="nil"/>
              <w:tr2bl w:val="nil"/>
            </w:tcBorders>
            <w:vAlign w:val="center"/>
          </w:tcPr>
          <w:p w14:paraId="6E7DABA4">
            <w:pPr>
              <w:pStyle w:val="47"/>
              <w:spacing w:before="0" w:beforeAutospacing="0" w:line="360" w:lineRule="exact"/>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萤石行业准入标准</w:t>
            </w:r>
          </w:p>
        </w:tc>
        <w:tc>
          <w:tcPr>
            <w:tcW w:w="1387" w:type="pct"/>
            <w:tcBorders>
              <w:tl2br w:val="nil"/>
              <w:tr2bl w:val="nil"/>
            </w:tcBorders>
            <w:vAlign w:val="center"/>
          </w:tcPr>
          <w:p w14:paraId="2A7F0B78">
            <w:pPr>
              <w:pStyle w:val="47"/>
              <w:spacing w:before="0" w:beforeAutospacing="0" w:line="360" w:lineRule="exact"/>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工业和信息化部公告2010年第87号</w:t>
            </w:r>
          </w:p>
        </w:tc>
        <w:tc>
          <w:tcPr>
            <w:tcW w:w="705" w:type="pct"/>
            <w:tcBorders>
              <w:tl2br w:val="nil"/>
              <w:tr2bl w:val="nil"/>
            </w:tcBorders>
            <w:vAlign w:val="center"/>
          </w:tcPr>
          <w:p w14:paraId="449AFA53">
            <w:pPr>
              <w:pStyle w:val="47"/>
              <w:spacing w:before="0" w:beforeAutospacing="0" w:line="360" w:lineRule="exact"/>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2010-02-24</w:t>
            </w:r>
          </w:p>
        </w:tc>
      </w:tr>
      <w:tr w14:paraId="690330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1986A1FB">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w w:val="99"/>
                <w:sz w:val="21"/>
                <w:szCs w:val="21"/>
                <w:highlight w:val="none"/>
              </w:rPr>
              <w:t>三</w:t>
            </w:r>
          </w:p>
        </w:tc>
        <w:tc>
          <w:tcPr>
            <w:tcW w:w="4744" w:type="pct"/>
            <w:gridSpan w:val="3"/>
            <w:tcBorders>
              <w:tl2br w:val="nil"/>
              <w:tr2bl w:val="nil"/>
            </w:tcBorders>
            <w:vAlign w:val="center"/>
          </w:tcPr>
          <w:p w14:paraId="79FF8B3E">
            <w:pPr>
              <w:spacing w:line="360" w:lineRule="exact"/>
              <w:ind w:firstLine="0" w:firstLineChars="0"/>
              <w:jc w:val="center"/>
              <w:rPr>
                <w:rFonts w:hint="default" w:ascii="Times New Roman" w:hAnsi="Times New Roman" w:cs="Times New Roman"/>
                <w:color w:val="auto"/>
                <w:sz w:val="21"/>
                <w:szCs w:val="21"/>
                <w:highlight w:val="none"/>
              </w:rPr>
            </w:pPr>
            <w:r>
              <w:rPr>
                <w:rFonts w:hint="eastAsia" w:cs="Times New Roman"/>
                <w:b/>
                <w:bCs/>
                <w:color w:val="auto"/>
                <w:sz w:val="21"/>
                <w:szCs w:val="21"/>
                <w:highlight w:val="none"/>
                <w:lang w:eastAsia="zh-CN"/>
              </w:rPr>
              <w:t>地方性法规</w:t>
            </w:r>
            <w:r>
              <w:rPr>
                <w:rFonts w:hint="default" w:ascii="Times New Roman" w:hAnsi="Times New Roman" w:cs="Times New Roman"/>
                <w:b/>
                <w:bCs/>
                <w:color w:val="auto"/>
                <w:sz w:val="21"/>
                <w:szCs w:val="21"/>
                <w:highlight w:val="none"/>
              </w:rPr>
              <w:t>及通知</w:t>
            </w:r>
          </w:p>
        </w:tc>
      </w:tr>
      <w:tr w14:paraId="0D9554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6AD5294D">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1</w:t>
            </w:r>
          </w:p>
        </w:tc>
        <w:tc>
          <w:tcPr>
            <w:tcW w:w="2651" w:type="pct"/>
            <w:tcBorders>
              <w:tl2br w:val="nil"/>
              <w:tr2bl w:val="nil"/>
            </w:tcBorders>
            <w:vAlign w:val="center"/>
          </w:tcPr>
          <w:p w14:paraId="4DFD0CA3">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新疆维吾尔自治区环境保护条例</w:t>
            </w:r>
          </w:p>
        </w:tc>
        <w:tc>
          <w:tcPr>
            <w:tcW w:w="1387" w:type="pct"/>
            <w:tcBorders>
              <w:tl2br w:val="nil"/>
              <w:tr2bl w:val="nil"/>
            </w:tcBorders>
            <w:vAlign w:val="center"/>
          </w:tcPr>
          <w:p w14:paraId="11ECEA45">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13</w:t>
            </w:r>
            <w:r>
              <w:rPr>
                <w:rFonts w:hint="default" w:ascii="Times New Roman" w:hAnsi="Times New Roman" w:cs="Times New Roman"/>
                <w:color w:val="auto"/>
                <w:sz w:val="21"/>
                <w:szCs w:val="21"/>
                <w:highlight w:val="none"/>
              </w:rPr>
              <w:t>届人大第</w:t>
            </w:r>
            <w:r>
              <w:rPr>
                <w:rFonts w:hint="default" w:ascii="Times New Roman" w:hAnsi="Times New Roman" w:eastAsia="等线" w:cs="Times New Roman"/>
                <w:color w:val="auto"/>
                <w:sz w:val="21"/>
                <w:szCs w:val="21"/>
                <w:highlight w:val="none"/>
              </w:rPr>
              <w:t>6</w:t>
            </w:r>
            <w:r>
              <w:rPr>
                <w:rFonts w:hint="default" w:ascii="Times New Roman" w:hAnsi="Times New Roman" w:cs="Times New Roman"/>
                <w:color w:val="auto"/>
                <w:sz w:val="21"/>
                <w:szCs w:val="21"/>
                <w:highlight w:val="none"/>
              </w:rPr>
              <w:t>次会议</w:t>
            </w:r>
          </w:p>
        </w:tc>
        <w:tc>
          <w:tcPr>
            <w:tcW w:w="705" w:type="pct"/>
            <w:tcBorders>
              <w:tl2br w:val="nil"/>
              <w:tr2bl w:val="nil"/>
            </w:tcBorders>
            <w:vAlign w:val="center"/>
          </w:tcPr>
          <w:p w14:paraId="70239EE0">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2018-09-21</w:t>
            </w:r>
          </w:p>
        </w:tc>
      </w:tr>
      <w:tr w14:paraId="0956C6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2B37A621">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w:t>
            </w:r>
          </w:p>
        </w:tc>
        <w:tc>
          <w:tcPr>
            <w:tcW w:w="2651" w:type="pct"/>
            <w:tcBorders>
              <w:tl2br w:val="nil"/>
              <w:tr2bl w:val="nil"/>
            </w:tcBorders>
            <w:vAlign w:val="center"/>
          </w:tcPr>
          <w:p w14:paraId="2AD05321">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新疆维吾尔自治区野生植物保护条例</w:t>
            </w:r>
          </w:p>
        </w:tc>
        <w:tc>
          <w:tcPr>
            <w:tcW w:w="1387" w:type="pct"/>
            <w:tcBorders>
              <w:tl2br w:val="nil"/>
              <w:tr2bl w:val="nil"/>
            </w:tcBorders>
            <w:vAlign w:val="center"/>
          </w:tcPr>
          <w:p w14:paraId="599BDA80">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13</w:t>
            </w:r>
            <w:r>
              <w:rPr>
                <w:rFonts w:hint="default" w:ascii="Times New Roman" w:hAnsi="Times New Roman" w:cs="Times New Roman"/>
                <w:color w:val="auto"/>
                <w:sz w:val="21"/>
                <w:szCs w:val="21"/>
                <w:highlight w:val="none"/>
              </w:rPr>
              <w:t>届人大第</w:t>
            </w:r>
            <w:r>
              <w:rPr>
                <w:rFonts w:hint="default" w:ascii="Times New Roman" w:hAnsi="Times New Roman" w:eastAsia="等线" w:cs="Times New Roman"/>
                <w:color w:val="auto"/>
                <w:sz w:val="21"/>
                <w:szCs w:val="21"/>
                <w:highlight w:val="none"/>
              </w:rPr>
              <w:t>6</w:t>
            </w:r>
            <w:r>
              <w:rPr>
                <w:rFonts w:hint="default" w:ascii="Times New Roman" w:hAnsi="Times New Roman" w:cs="Times New Roman"/>
                <w:color w:val="auto"/>
                <w:sz w:val="21"/>
                <w:szCs w:val="21"/>
                <w:highlight w:val="none"/>
              </w:rPr>
              <w:t>次会议</w:t>
            </w:r>
          </w:p>
        </w:tc>
        <w:tc>
          <w:tcPr>
            <w:tcW w:w="705" w:type="pct"/>
            <w:tcBorders>
              <w:tl2br w:val="nil"/>
              <w:tr2bl w:val="nil"/>
            </w:tcBorders>
            <w:vAlign w:val="center"/>
          </w:tcPr>
          <w:p w14:paraId="1D413DA8">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2018-09-21</w:t>
            </w:r>
          </w:p>
        </w:tc>
      </w:tr>
      <w:tr w14:paraId="5A5214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53ED5D94">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3</w:t>
            </w:r>
          </w:p>
        </w:tc>
        <w:tc>
          <w:tcPr>
            <w:tcW w:w="2651" w:type="pct"/>
            <w:tcBorders>
              <w:tl2br w:val="nil"/>
              <w:tr2bl w:val="nil"/>
            </w:tcBorders>
            <w:vAlign w:val="center"/>
          </w:tcPr>
          <w:p w14:paraId="29B87DF8">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新疆维吾尔自治区水环境功能区划</w:t>
            </w:r>
          </w:p>
        </w:tc>
        <w:tc>
          <w:tcPr>
            <w:tcW w:w="1387" w:type="pct"/>
            <w:tcBorders>
              <w:tl2br w:val="nil"/>
              <w:tr2bl w:val="nil"/>
            </w:tcBorders>
            <w:vAlign w:val="center"/>
          </w:tcPr>
          <w:p w14:paraId="2B78AB83">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新政函〔2002〕194号</w:t>
            </w:r>
          </w:p>
        </w:tc>
        <w:tc>
          <w:tcPr>
            <w:tcW w:w="705" w:type="pct"/>
            <w:tcBorders>
              <w:tl2br w:val="nil"/>
              <w:tr2bl w:val="nil"/>
            </w:tcBorders>
            <w:vAlign w:val="center"/>
          </w:tcPr>
          <w:p w14:paraId="1E95D3CF">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2002-12-01</w:t>
            </w:r>
          </w:p>
        </w:tc>
      </w:tr>
      <w:tr w14:paraId="313BB0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2ED76689">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4</w:t>
            </w:r>
          </w:p>
        </w:tc>
        <w:tc>
          <w:tcPr>
            <w:tcW w:w="2651" w:type="pct"/>
            <w:tcBorders>
              <w:tl2br w:val="nil"/>
              <w:tr2bl w:val="nil"/>
            </w:tcBorders>
            <w:vAlign w:val="center"/>
          </w:tcPr>
          <w:p w14:paraId="5525DF51">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新疆生态功能区划</w:t>
            </w:r>
          </w:p>
        </w:tc>
        <w:tc>
          <w:tcPr>
            <w:tcW w:w="1387" w:type="pct"/>
            <w:tcBorders>
              <w:tl2br w:val="nil"/>
              <w:tr2bl w:val="nil"/>
            </w:tcBorders>
            <w:vAlign w:val="center"/>
          </w:tcPr>
          <w:p w14:paraId="7493B1ED">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新政函〔2005〕96号</w:t>
            </w:r>
          </w:p>
        </w:tc>
        <w:tc>
          <w:tcPr>
            <w:tcW w:w="705" w:type="pct"/>
            <w:tcBorders>
              <w:tl2br w:val="nil"/>
              <w:tr2bl w:val="nil"/>
            </w:tcBorders>
            <w:vAlign w:val="center"/>
          </w:tcPr>
          <w:p w14:paraId="3E9909CA">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2005-07-14</w:t>
            </w:r>
          </w:p>
        </w:tc>
      </w:tr>
      <w:tr w14:paraId="4093CC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73567FF1">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5</w:t>
            </w:r>
          </w:p>
        </w:tc>
        <w:tc>
          <w:tcPr>
            <w:tcW w:w="2651" w:type="pct"/>
            <w:tcBorders>
              <w:tl2br w:val="nil"/>
              <w:tr2bl w:val="nil"/>
            </w:tcBorders>
            <w:vAlign w:val="center"/>
          </w:tcPr>
          <w:p w14:paraId="5322ECC4">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eastAsia"/>
                <w:color w:val="auto"/>
                <w:highlight w:val="none"/>
              </w:rPr>
              <w:t>新疆维吾尔自治区重点保护野生植物名录</w:t>
            </w:r>
          </w:p>
        </w:tc>
        <w:tc>
          <w:tcPr>
            <w:tcW w:w="1387" w:type="pct"/>
            <w:tcBorders>
              <w:tl2br w:val="nil"/>
              <w:tr2bl w:val="nil"/>
            </w:tcBorders>
            <w:vAlign w:val="center"/>
          </w:tcPr>
          <w:p w14:paraId="0A4BEE6E">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新政发〔20</w:t>
            </w:r>
            <w:r>
              <w:rPr>
                <w:rFonts w:hint="eastAsia" w:cs="Times New Roman"/>
                <w:color w:val="auto"/>
                <w:sz w:val="21"/>
                <w:szCs w:val="21"/>
                <w:highlight w:val="none"/>
                <w:lang w:val="en-US" w:eastAsia="zh-CN"/>
              </w:rPr>
              <w:t>23</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63</w:t>
            </w:r>
            <w:r>
              <w:rPr>
                <w:rFonts w:hint="default" w:ascii="Times New Roman" w:hAnsi="Times New Roman" w:cs="Times New Roman"/>
                <w:color w:val="auto"/>
                <w:sz w:val="21"/>
                <w:szCs w:val="21"/>
                <w:highlight w:val="none"/>
              </w:rPr>
              <w:t>号</w:t>
            </w:r>
          </w:p>
        </w:tc>
        <w:tc>
          <w:tcPr>
            <w:tcW w:w="705" w:type="pct"/>
            <w:tcBorders>
              <w:tl2br w:val="nil"/>
              <w:tr2bl w:val="nil"/>
            </w:tcBorders>
            <w:vAlign w:val="center"/>
          </w:tcPr>
          <w:p w14:paraId="19988967">
            <w:pPr>
              <w:pStyle w:val="47"/>
              <w:spacing w:before="0" w:beforeAutospacing="0" w:line="360" w:lineRule="exact"/>
              <w:ind w:firstLine="0" w:firstLineChars="0"/>
              <w:jc w:val="center"/>
              <w:rPr>
                <w:rFonts w:hint="default" w:ascii="Times New Roman" w:hAnsi="Times New Roman" w:eastAsia="等线" w:cs="Times New Roman"/>
                <w:color w:val="auto"/>
                <w:sz w:val="21"/>
                <w:szCs w:val="21"/>
                <w:highlight w:val="none"/>
                <w:lang w:val="en-US" w:eastAsia="zh-CN"/>
              </w:rPr>
            </w:pPr>
            <w:r>
              <w:rPr>
                <w:rFonts w:hint="default" w:ascii="Times New Roman" w:hAnsi="Times New Roman" w:eastAsia="等线" w:cs="Times New Roman"/>
                <w:color w:val="auto"/>
                <w:sz w:val="21"/>
                <w:szCs w:val="21"/>
                <w:highlight w:val="none"/>
              </w:rPr>
              <w:t>20</w:t>
            </w:r>
            <w:r>
              <w:rPr>
                <w:rFonts w:hint="eastAsia" w:eastAsia="等线" w:cs="Times New Roman"/>
                <w:color w:val="auto"/>
                <w:sz w:val="21"/>
                <w:szCs w:val="21"/>
                <w:highlight w:val="none"/>
                <w:lang w:val="en-US" w:eastAsia="zh-CN"/>
              </w:rPr>
              <w:t>23</w:t>
            </w:r>
            <w:r>
              <w:rPr>
                <w:rFonts w:hint="default" w:ascii="Times New Roman" w:hAnsi="Times New Roman" w:eastAsia="等线" w:cs="Times New Roman"/>
                <w:color w:val="auto"/>
                <w:sz w:val="21"/>
                <w:szCs w:val="21"/>
                <w:highlight w:val="none"/>
              </w:rPr>
              <w:t>-</w:t>
            </w:r>
            <w:r>
              <w:rPr>
                <w:rFonts w:hint="eastAsia" w:eastAsia="等线" w:cs="Times New Roman"/>
                <w:color w:val="auto"/>
                <w:sz w:val="21"/>
                <w:szCs w:val="21"/>
                <w:highlight w:val="none"/>
                <w:lang w:val="en-US" w:eastAsia="zh-CN"/>
              </w:rPr>
              <w:t>12</w:t>
            </w:r>
            <w:r>
              <w:rPr>
                <w:rFonts w:hint="default" w:ascii="Times New Roman" w:hAnsi="Times New Roman" w:eastAsia="等线" w:cs="Times New Roman"/>
                <w:color w:val="auto"/>
                <w:sz w:val="21"/>
                <w:szCs w:val="21"/>
                <w:highlight w:val="none"/>
              </w:rPr>
              <w:t>-</w:t>
            </w:r>
            <w:r>
              <w:rPr>
                <w:rFonts w:hint="eastAsia" w:eastAsia="等线" w:cs="Times New Roman"/>
                <w:color w:val="auto"/>
                <w:sz w:val="21"/>
                <w:szCs w:val="21"/>
                <w:highlight w:val="none"/>
                <w:lang w:val="en-US" w:eastAsia="zh-CN"/>
              </w:rPr>
              <w:t>29</w:t>
            </w:r>
          </w:p>
        </w:tc>
      </w:tr>
      <w:tr w14:paraId="720509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666E90F4">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6</w:t>
            </w:r>
          </w:p>
        </w:tc>
        <w:tc>
          <w:tcPr>
            <w:tcW w:w="2651" w:type="pct"/>
            <w:tcBorders>
              <w:tl2br w:val="nil"/>
              <w:tr2bl w:val="nil"/>
            </w:tcBorders>
            <w:vAlign w:val="center"/>
          </w:tcPr>
          <w:p w14:paraId="1F144AB9">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新疆维吾尔自治区危险废物污染环境防治办法</w:t>
            </w:r>
          </w:p>
        </w:tc>
        <w:tc>
          <w:tcPr>
            <w:tcW w:w="1387" w:type="pct"/>
            <w:tcBorders>
              <w:tl2br w:val="nil"/>
              <w:tr2bl w:val="nil"/>
            </w:tcBorders>
            <w:vAlign w:val="center"/>
          </w:tcPr>
          <w:p w14:paraId="7E04DB6A">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新疆人民政府令第163号</w:t>
            </w:r>
          </w:p>
        </w:tc>
        <w:tc>
          <w:tcPr>
            <w:tcW w:w="705" w:type="pct"/>
            <w:tcBorders>
              <w:tl2br w:val="nil"/>
              <w:tr2bl w:val="nil"/>
            </w:tcBorders>
            <w:vAlign w:val="center"/>
          </w:tcPr>
          <w:p w14:paraId="0B155DFF">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2010-05-01</w:t>
            </w:r>
          </w:p>
        </w:tc>
      </w:tr>
      <w:tr w14:paraId="440379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0633492F">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7</w:t>
            </w:r>
          </w:p>
        </w:tc>
        <w:tc>
          <w:tcPr>
            <w:tcW w:w="2651" w:type="pct"/>
            <w:tcBorders>
              <w:tl2br w:val="nil"/>
              <w:tr2bl w:val="nil"/>
            </w:tcBorders>
            <w:vAlign w:val="center"/>
          </w:tcPr>
          <w:p w14:paraId="786587F3">
            <w:pPr>
              <w:pStyle w:val="47"/>
              <w:spacing w:before="0" w:beforeAutospacing="0" w:line="360" w:lineRule="exact"/>
              <w:ind w:firstLine="0" w:firstLineChars="0"/>
              <w:jc w:val="center"/>
              <w:rPr>
                <w:rFonts w:hint="default" w:ascii="Times New Roman" w:hAnsi="Times New Roman" w:cs="Times New Roman"/>
                <w:color w:val="auto"/>
                <w:spacing w:val="-12"/>
                <w:sz w:val="21"/>
                <w:szCs w:val="21"/>
                <w:highlight w:val="none"/>
              </w:rPr>
            </w:pPr>
            <w:r>
              <w:rPr>
                <w:rFonts w:hint="default" w:ascii="Times New Roman" w:hAnsi="Times New Roman" w:cs="Times New Roman"/>
                <w:color w:val="auto"/>
                <w:sz w:val="21"/>
                <w:szCs w:val="21"/>
                <w:highlight w:val="none"/>
              </w:rPr>
              <w:t>新疆维吾尔自治区主体功能区规划</w:t>
            </w:r>
          </w:p>
        </w:tc>
        <w:tc>
          <w:tcPr>
            <w:tcW w:w="1387" w:type="pct"/>
            <w:tcBorders>
              <w:tl2br w:val="nil"/>
              <w:tr2bl w:val="nil"/>
            </w:tcBorders>
            <w:vAlign w:val="center"/>
          </w:tcPr>
          <w:p w14:paraId="073E47BB">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自治区发展和改革委员会</w:t>
            </w:r>
          </w:p>
        </w:tc>
        <w:tc>
          <w:tcPr>
            <w:tcW w:w="705" w:type="pct"/>
            <w:tcBorders>
              <w:tl2br w:val="nil"/>
              <w:tr2bl w:val="nil"/>
            </w:tcBorders>
            <w:vAlign w:val="center"/>
          </w:tcPr>
          <w:p w14:paraId="1A7B78FF">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2012-10-01</w:t>
            </w:r>
          </w:p>
        </w:tc>
      </w:tr>
      <w:tr w14:paraId="369088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10CC6A42">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8</w:t>
            </w:r>
          </w:p>
        </w:tc>
        <w:tc>
          <w:tcPr>
            <w:tcW w:w="2651" w:type="pct"/>
            <w:tcBorders>
              <w:tl2br w:val="nil"/>
              <w:tr2bl w:val="nil"/>
            </w:tcBorders>
            <w:vAlign w:val="center"/>
          </w:tcPr>
          <w:p w14:paraId="2AAC949F">
            <w:pPr>
              <w:pStyle w:val="47"/>
              <w:spacing w:before="0" w:beforeAutospacing="0" w:line="360" w:lineRule="exact"/>
              <w:ind w:firstLine="0" w:firstLineChars="0"/>
              <w:jc w:val="center"/>
              <w:rPr>
                <w:rFonts w:hint="default" w:ascii="Times New Roman" w:hAnsi="Times New Roman" w:cs="Times New Roman"/>
                <w:color w:val="auto"/>
                <w:spacing w:val="-12"/>
                <w:sz w:val="21"/>
                <w:szCs w:val="21"/>
                <w:highlight w:val="none"/>
              </w:rPr>
            </w:pPr>
            <w:r>
              <w:rPr>
                <w:rFonts w:hint="default" w:ascii="Times New Roman" w:hAnsi="Times New Roman" w:cs="Times New Roman"/>
                <w:color w:val="auto"/>
                <w:sz w:val="21"/>
                <w:szCs w:val="21"/>
                <w:highlight w:val="none"/>
              </w:rPr>
              <w:t>关于印发新疆维吾尔自治区大气污染防治行动计划实施方案的通知</w:t>
            </w:r>
          </w:p>
        </w:tc>
        <w:tc>
          <w:tcPr>
            <w:tcW w:w="1387" w:type="pct"/>
            <w:tcBorders>
              <w:tl2br w:val="nil"/>
              <w:tr2bl w:val="nil"/>
            </w:tcBorders>
            <w:vAlign w:val="center"/>
          </w:tcPr>
          <w:p w14:paraId="29FFCE66">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新政发〔2014〕35号</w:t>
            </w:r>
          </w:p>
        </w:tc>
        <w:tc>
          <w:tcPr>
            <w:tcW w:w="705" w:type="pct"/>
            <w:tcBorders>
              <w:tl2br w:val="nil"/>
              <w:tr2bl w:val="nil"/>
            </w:tcBorders>
            <w:vAlign w:val="center"/>
          </w:tcPr>
          <w:p w14:paraId="762BB095">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2014-04-17</w:t>
            </w:r>
          </w:p>
        </w:tc>
      </w:tr>
      <w:tr w14:paraId="574C3A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4135CE1B">
            <w:pPr>
              <w:pStyle w:val="47"/>
              <w:spacing w:before="0" w:beforeAutospacing="0" w:line="360" w:lineRule="exact"/>
              <w:ind w:firstLine="0" w:firstLineChars="0"/>
              <w:jc w:val="center"/>
              <w:rPr>
                <w:rFonts w:hint="default" w:ascii="Times New Roman" w:hAnsi="Times New Roman" w:eastAsia="等线" w:cs="Times New Roman"/>
                <w:color w:val="auto"/>
                <w:sz w:val="21"/>
                <w:szCs w:val="21"/>
                <w:highlight w:val="none"/>
                <w:lang w:val="en-US" w:eastAsia="zh-CN"/>
              </w:rPr>
            </w:pPr>
            <w:r>
              <w:rPr>
                <w:rFonts w:hint="default" w:ascii="Times New Roman" w:hAnsi="Times New Roman" w:eastAsia="等线" w:cs="Times New Roman"/>
                <w:color w:val="auto"/>
                <w:sz w:val="21"/>
                <w:szCs w:val="21"/>
                <w:highlight w:val="none"/>
                <w:lang w:val="en-US" w:eastAsia="zh-CN"/>
              </w:rPr>
              <w:t>9</w:t>
            </w:r>
          </w:p>
        </w:tc>
        <w:tc>
          <w:tcPr>
            <w:tcW w:w="2651" w:type="pct"/>
            <w:tcBorders>
              <w:tl2br w:val="nil"/>
              <w:tr2bl w:val="nil"/>
            </w:tcBorders>
            <w:vAlign w:val="center"/>
          </w:tcPr>
          <w:p w14:paraId="1BA41016">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转发关于强化建设项目环境影响评价事中事后监管的实施意见</w:t>
            </w:r>
          </w:p>
        </w:tc>
        <w:tc>
          <w:tcPr>
            <w:tcW w:w="1387" w:type="pct"/>
            <w:tcBorders>
              <w:tl2br w:val="nil"/>
              <w:tr2bl w:val="nil"/>
            </w:tcBorders>
            <w:vAlign w:val="center"/>
          </w:tcPr>
          <w:p w14:paraId="6AD4457A">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新环办发〔2018〕80号</w:t>
            </w:r>
          </w:p>
        </w:tc>
        <w:tc>
          <w:tcPr>
            <w:tcW w:w="705" w:type="pct"/>
            <w:tcBorders>
              <w:tl2br w:val="nil"/>
              <w:tr2bl w:val="nil"/>
            </w:tcBorders>
            <w:vAlign w:val="center"/>
          </w:tcPr>
          <w:p w14:paraId="42E70ABC">
            <w:pPr>
              <w:pStyle w:val="47"/>
              <w:spacing w:before="0" w:beforeAutospacing="0" w:line="360" w:lineRule="exact"/>
              <w:ind w:firstLine="0" w:firstLineChars="0"/>
              <w:jc w:val="center"/>
              <w:rPr>
                <w:rFonts w:hint="default" w:ascii="Times New Roman" w:hAnsi="Times New Roman" w:eastAsia="等线" w:cs="Times New Roman"/>
                <w:color w:val="auto"/>
                <w:sz w:val="21"/>
                <w:szCs w:val="21"/>
                <w:highlight w:val="none"/>
              </w:rPr>
            </w:pPr>
            <w:r>
              <w:rPr>
                <w:rFonts w:hint="default" w:ascii="Times New Roman" w:hAnsi="Times New Roman" w:eastAsia="等线" w:cs="Times New Roman"/>
                <w:color w:val="auto"/>
                <w:sz w:val="21"/>
                <w:szCs w:val="21"/>
                <w:highlight w:val="none"/>
              </w:rPr>
              <w:t>2018-03-27</w:t>
            </w:r>
          </w:p>
        </w:tc>
      </w:tr>
      <w:tr w14:paraId="699992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6ECCA144">
            <w:pPr>
              <w:pStyle w:val="47"/>
              <w:spacing w:before="0" w:beforeAutospacing="0" w:line="360" w:lineRule="exact"/>
              <w:ind w:firstLine="0" w:firstLineChars="0"/>
              <w:jc w:val="center"/>
              <w:rPr>
                <w:rFonts w:hint="default" w:ascii="Times New Roman" w:hAnsi="Times New Roman" w:eastAsia="等线" w:cs="Times New Roman"/>
                <w:color w:val="auto"/>
                <w:sz w:val="21"/>
                <w:szCs w:val="21"/>
                <w:highlight w:val="none"/>
                <w:lang w:val="en-US" w:eastAsia="zh-CN"/>
              </w:rPr>
            </w:pPr>
            <w:r>
              <w:rPr>
                <w:rFonts w:hint="default" w:ascii="Times New Roman" w:hAnsi="Times New Roman" w:eastAsia="等线" w:cs="Times New Roman"/>
                <w:color w:val="auto"/>
                <w:sz w:val="21"/>
                <w:szCs w:val="21"/>
                <w:highlight w:val="none"/>
                <w:lang w:val="en-US" w:eastAsia="zh-CN"/>
              </w:rPr>
              <w:t>10</w:t>
            </w:r>
          </w:p>
        </w:tc>
        <w:tc>
          <w:tcPr>
            <w:tcW w:w="2651" w:type="pct"/>
            <w:tcBorders>
              <w:tl2br w:val="nil"/>
              <w:tr2bl w:val="nil"/>
            </w:tcBorders>
            <w:vAlign w:val="center"/>
          </w:tcPr>
          <w:p w14:paraId="55064472">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自治区党委、自治区人民政府印发关于全面加强生态环境保护坚决打好污染防治攻坚战实施方案的通知</w:t>
            </w:r>
          </w:p>
        </w:tc>
        <w:tc>
          <w:tcPr>
            <w:tcW w:w="1387" w:type="pct"/>
            <w:tcBorders>
              <w:tl2br w:val="nil"/>
              <w:tr2bl w:val="nil"/>
            </w:tcBorders>
            <w:vAlign w:val="center"/>
          </w:tcPr>
          <w:p w14:paraId="2C8E09DE">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新党发〔2018〕23号</w:t>
            </w:r>
          </w:p>
        </w:tc>
        <w:tc>
          <w:tcPr>
            <w:tcW w:w="705" w:type="pct"/>
            <w:tcBorders>
              <w:tl2br w:val="nil"/>
              <w:tr2bl w:val="nil"/>
            </w:tcBorders>
            <w:vAlign w:val="center"/>
          </w:tcPr>
          <w:p w14:paraId="30C8827B">
            <w:pPr>
              <w:pStyle w:val="47"/>
              <w:spacing w:before="0" w:beforeAutospacing="0" w:line="360" w:lineRule="exact"/>
              <w:ind w:firstLine="0" w:firstLineChars="0"/>
              <w:jc w:val="center"/>
              <w:rPr>
                <w:rFonts w:hint="default" w:ascii="Times New Roman" w:hAnsi="Times New Roman" w:eastAsia="等线" w:cs="Times New Roman"/>
                <w:color w:val="auto"/>
                <w:sz w:val="21"/>
                <w:szCs w:val="21"/>
                <w:highlight w:val="none"/>
              </w:rPr>
            </w:pPr>
            <w:r>
              <w:rPr>
                <w:rFonts w:hint="default" w:ascii="Times New Roman" w:hAnsi="Times New Roman" w:eastAsia="等线" w:cs="Times New Roman"/>
                <w:color w:val="auto"/>
                <w:sz w:val="21"/>
                <w:szCs w:val="21"/>
                <w:highlight w:val="none"/>
              </w:rPr>
              <w:t>2018-09-04</w:t>
            </w:r>
          </w:p>
        </w:tc>
      </w:tr>
      <w:tr w14:paraId="43D8F8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381CC23F">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11</w:t>
            </w:r>
          </w:p>
        </w:tc>
        <w:tc>
          <w:tcPr>
            <w:tcW w:w="2651" w:type="pct"/>
            <w:tcBorders>
              <w:tl2br w:val="nil"/>
              <w:tr2bl w:val="nil"/>
            </w:tcBorders>
            <w:vAlign w:val="center"/>
          </w:tcPr>
          <w:p w14:paraId="39BEE34B">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woUserID w:val="1"/>
              </w:rPr>
              <w:t>新疆维吾尔自治区重点行业生态环境准入条件（2024年）</w:t>
            </w:r>
          </w:p>
        </w:tc>
        <w:tc>
          <w:tcPr>
            <w:tcW w:w="1387" w:type="pct"/>
            <w:tcBorders>
              <w:tl2br w:val="nil"/>
              <w:tr2bl w:val="nil"/>
            </w:tcBorders>
            <w:vAlign w:val="center"/>
          </w:tcPr>
          <w:p w14:paraId="0C181B5A">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新环环评发〔2024〕93号</w:t>
            </w:r>
          </w:p>
        </w:tc>
        <w:tc>
          <w:tcPr>
            <w:tcW w:w="705" w:type="pct"/>
            <w:tcBorders>
              <w:tl2br w:val="nil"/>
              <w:tr2bl w:val="nil"/>
            </w:tcBorders>
            <w:vAlign w:val="center"/>
          </w:tcPr>
          <w:p w14:paraId="736769A8">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woUserID w:val="1"/>
              </w:rPr>
            </w:pPr>
            <w:r>
              <w:rPr>
                <w:rFonts w:hint="default" w:ascii="Times New Roman" w:hAnsi="Times New Roman" w:eastAsia="等线" w:cs="Times New Roman"/>
                <w:color w:val="auto"/>
                <w:sz w:val="21"/>
                <w:szCs w:val="21"/>
                <w:highlight w:val="none"/>
              </w:rPr>
              <w:t>20</w:t>
            </w:r>
            <w:r>
              <w:rPr>
                <w:rFonts w:hint="default" w:ascii="Times New Roman" w:hAnsi="Times New Roman" w:eastAsia="等线" w:cs="Times New Roman"/>
                <w:color w:val="auto"/>
                <w:sz w:val="21"/>
                <w:szCs w:val="21"/>
                <w:highlight w:val="none"/>
                <w:woUserID w:val="1"/>
              </w:rPr>
              <w:t>24</w:t>
            </w:r>
            <w:r>
              <w:rPr>
                <w:rFonts w:hint="default" w:ascii="Times New Roman" w:hAnsi="Times New Roman" w:eastAsia="等线" w:cs="Times New Roman"/>
                <w:color w:val="auto"/>
                <w:sz w:val="21"/>
                <w:szCs w:val="21"/>
                <w:highlight w:val="none"/>
              </w:rPr>
              <w:t>-0</w:t>
            </w:r>
            <w:r>
              <w:rPr>
                <w:rFonts w:hint="default" w:ascii="Times New Roman" w:hAnsi="Times New Roman" w:eastAsia="等线" w:cs="Times New Roman"/>
                <w:color w:val="auto"/>
                <w:sz w:val="21"/>
                <w:szCs w:val="21"/>
                <w:highlight w:val="none"/>
                <w:woUserID w:val="1"/>
              </w:rPr>
              <w:t>6</w:t>
            </w:r>
            <w:r>
              <w:rPr>
                <w:rFonts w:hint="default" w:ascii="Times New Roman" w:hAnsi="Times New Roman" w:eastAsia="等线" w:cs="Times New Roman"/>
                <w:color w:val="auto"/>
                <w:sz w:val="21"/>
                <w:szCs w:val="21"/>
                <w:highlight w:val="none"/>
              </w:rPr>
              <w:t>-0</w:t>
            </w:r>
            <w:r>
              <w:rPr>
                <w:rFonts w:hint="default" w:ascii="Times New Roman" w:hAnsi="Times New Roman" w:eastAsia="等线" w:cs="Times New Roman"/>
                <w:color w:val="auto"/>
                <w:sz w:val="21"/>
                <w:szCs w:val="21"/>
                <w:highlight w:val="none"/>
                <w:woUserID w:val="1"/>
              </w:rPr>
              <w:t>9</w:t>
            </w:r>
          </w:p>
        </w:tc>
      </w:tr>
      <w:tr w14:paraId="5183E0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4FBABEF8">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12</w:t>
            </w:r>
          </w:p>
        </w:tc>
        <w:tc>
          <w:tcPr>
            <w:tcW w:w="2651" w:type="pct"/>
            <w:tcBorders>
              <w:tl2br w:val="nil"/>
              <w:tr2bl w:val="nil"/>
            </w:tcBorders>
            <w:vAlign w:val="center"/>
          </w:tcPr>
          <w:p w14:paraId="51FD27E5">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关于印发新疆维吾尔自治区土壤污染防治工作方案的通知</w:t>
            </w:r>
          </w:p>
        </w:tc>
        <w:tc>
          <w:tcPr>
            <w:tcW w:w="1387" w:type="pct"/>
            <w:tcBorders>
              <w:tl2br w:val="nil"/>
              <w:tr2bl w:val="nil"/>
            </w:tcBorders>
            <w:vAlign w:val="center"/>
          </w:tcPr>
          <w:p w14:paraId="52C96D02">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新政发〔2017〕25号</w:t>
            </w:r>
          </w:p>
        </w:tc>
        <w:tc>
          <w:tcPr>
            <w:tcW w:w="705" w:type="pct"/>
            <w:tcBorders>
              <w:tl2br w:val="nil"/>
              <w:tr2bl w:val="nil"/>
            </w:tcBorders>
            <w:vAlign w:val="center"/>
          </w:tcPr>
          <w:p w14:paraId="69FE8F73">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2017-03-01</w:t>
            </w:r>
          </w:p>
        </w:tc>
      </w:tr>
      <w:tr w14:paraId="3344FF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36372C1F">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13</w:t>
            </w:r>
          </w:p>
        </w:tc>
        <w:tc>
          <w:tcPr>
            <w:tcW w:w="2651" w:type="pct"/>
            <w:tcBorders>
              <w:tl2br w:val="nil"/>
              <w:tr2bl w:val="nil"/>
            </w:tcBorders>
            <w:vAlign w:val="center"/>
          </w:tcPr>
          <w:p w14:paraId="4C5C7D59">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关于加强沙区建设项目环境影响评价工作的通知</w:t>
            </w:r>
          </w:p>
        </w:tc>
        <w:tc>
          <w:tcPr>
            <w:tcW w:w="1387" w:type="pct"/>
            <w:tcBorders>
              <w:tl2br w:val="nil"/>
              <w:tr2bl w:val="nil"/>
            </w:tcBorders>
            <w:vAlign w:val="center"/>
          </w:tcPr>
          <w:p w14:paraId="0D233B92">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新环环评发〔2020〕138号</w:t>
            </w:r>
          </w:p>
        </w:tc>
        <w:tc>
          <w:tcPr>
            <w:tcW w:w="705" w:type="pct"/>
            <w:tcBorders>
              <w:tl2br w:val="nil"/>
              <w:tr2bl w:val="nil"/>
            </w:tcBorders>
            <w:vAlign w:val="center"/>
          </w:tcPr>
          <w:p w14:paraId="53B62F80">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2020-09-04</w:t>
            </w:r>
          </w:p>
        </w:tc>
      </w:tr>
      <w:tr w14:paraId="0A3FBB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3EFCBA68">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14</w:t>
            </w:r>
          </w:p>
        </w:tc>
        <w:tc>
          <w:tcPr>
            <w:tcW w:w="2651" w:type="pct"/>
            <w:tcBorders>
              <w:tl2br w:val="nil"/>
              <w:tr2bl w:val="nil"/>
            </w:tcBorders>
            <w:vAlign w:val="center"/>
          </w:tcPr>
          <w:p w14:paraId="4B98D543">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新疆维吾尔自治区突发环境事件应急预案</w:t>
            </w:r>
          </w:p>
        </w:tc>
        <w:tc>
          <w:tcPr>
            <w:tcW w:w="1387" w:type="pct"/>
            <w:tcBorders>
              <w:tl2br w:val="nil"/>
              <w:tr2bl w:val="nil"/>
            </w:tcBorders>
            <w:vAlign w:val="center"/>
          </w:tcPr>
          <w:p w14:paraId="1BB10EC1">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w:t>
            </w:r>
          </w:p>
        </w:tc>
        <w:tc>
          <w:tcPr>
            <w:tcW w:w="705" w:type="pct"/>
            <w:tcBorders>
              <w:tl2br w:val="nil"/>
              <w:tr2bl w:val="nil"/>
            </w:tcBorders>
            <w:vAlign w:val="center"/>
          </w:tcPr>
          <w:p w14:paraId="0C27A1E1">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2022-03-28</w:t>
            </w:r>
          </w:p>
        </w:tc>
      </w:tr>
      <w:tr w14:paraId="4D1333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2A1E64A3">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15</w:t>
            </w:r>
          </w:p>
        </w:tc>
        <w:tc>
          <w:tcPr>
            <w:tcW w:w="2651" w:type="pct"/>
            <w:tcBorders>
              <w:tl2br w:val="nil"/>
              <w:tr2bl w:val="nil"/>
            </w:tcBorders>
            <w:vAlign w:val="center"/>
          </w:tcPr>
          <w:p w14:paraId="5C80373C">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新疆维吾尔自治区大气污染防治条例</w:t>
            </w:r>
          </w:p>
        </w:tc>
        <w:tc>
          <w:tcPr>
            <w:tcW w:w="1387" w:type="pct"/>
            <w:tcBorders>
              <w:tl2br w:val="nil"/>
              <w:tr2bl w:val="nil"/>
            </w:tcBorders>
            <w:vAlign w:val="center"/>
          </w:tcPr>
          <w:p w14:paraId="6C3D7803">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新疆维吾尔自治区第十三届人民代表大会常务委员会第七次会议</w:t>
            </w:r>
          </w:p>
        </w:tc>
        <w:tc>
          <w:tcPr>
            <w:tcW w:w="705" w:type="pct"/>
            <w:tcBorders>
              <w:tl2br w:val="nil"/>
              <w:tr2bl w:val="nil"/>
            </w:tcBorders>
            <w:vAlign w:val="center"/>
          </w:tcPr>
          <w:p w14:paraId="1C8F6C99">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2019-01-01</w:t>
            </w:r>
          </w:p>
        </w:tc>
      </w:tr>
      <w:tr w14:paraId="0CFEF7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44C417FC">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16</w:t>
            </w:r>
          </w:p>
        </w:tc>
        <w:tc>
          <w:tcPr>
            <w:tcW w:w="2651" w:type="pct"/>
            <w:tcBorders>
              <w:tl2br w:val="nil"/>
              <w:tr2bl w:val="nil"/>
            </w:tcBorders>
            <w:vAlign w:val="center"/>
          </w:tcPr>
          <w:p w14:paraId="00DFB361">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关于印发</w:t>
            </w:r>
            <w:r>
              <w:rPr>
                <w:rFonts w:hint="eastAsia" w:cs="Times New Roman"/>
                <w:color w:val="auto"/>
                <w:sz w:val="21"/>
                <w:szCs w:val="21"/>
                <w:highlight w:val="none"/>
                <w:lang w:eastAsia="zh-CN"/>
              </w:rPr>
              <w:t>新疆维吾尔自治区</w:t>
            </w:r>
            <w:r>
              <w:rPr>
                <w:rFonts w:hint="default" w:ascii="Times New Roman" w:hAnsi="Times New Roman" w:cs="Times New Roman"/>
                <w:color w:val="auto"/>
                <w:sz w:val="21"/>
                <w:szCs w:val="21"/>
                <w:highlight w:val="none"/>
              </w:rPr>
              <w:t>级水土流失重点预防区和重点治理区复核划分成果的通知</w:t>
            </w:r>
          </w:p>
        </w:tc>
        <w:tc>
          <w:tcPr>
            <w:tcW w:w="1387" w:type="pct"/>
            <w:tcBorders>
              <w:tl2br w:val="nil"/>
              <w:tr2bl w:val="nil"/>
            </w:tcBorders>
            <w:vAlign w:val="center"/>
          </w:tcPr>
          <w:p w14:paraId="63A86546">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新水水保〔2019〕4号</w:t>
            </w:r>
          </w:p>
        </w:tc>
        <w:tc>
          <w:tcPr>
            <w:tcW w:w="705" w:type="pct"/>
            <w:tcBorders>
              <w:tl2br w:val="nil"/>
              <w:tr2bl w:val="nil"/>
            </w:tcBorders>
            <w:vAlign w:val="center"/>
          </w:tcPr>
          <w:p w14:paraId="13DF0FE5">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2019-01-21</w:t>
            </w:r>
          </w:p>
        </w:tc>
      </w:tr>
      <w:tr w14:paraId="193DE6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71C17C6D">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17</w:t>
            </w:r>
          </w:p>
        </w:tc>
        <w:tc>
          <w:tcPr>
            <w:tcW w:w="2651" w:type="pct"/>
            <w:tcBorders>
              <w:tl2br w:val="nil"/>
              <w:tr2bl w:val="nil"/>
            </w:tcBorders>
            <w:vAlign w:val="center"/>
          </w:tcPr>
          <w:p w14:paraId="07E75283">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关于加强建设项目环境影响后评价管理的通知</w:t>
            </w:r>
          </w:p>
        </w:tc>
        <w:tc>
          <w:tcPr>
            <w:tcW w:w="1387" w:type="pct"/>
            <w:tcBorders>
              <w:tl2br w:val="nil"/>
              <w:tr2bl w:val="nil"/>
            </w:tcBorders>
            <w:vAlign w:val="center"/>
          </w:tcPr>
          <w:p w14:paraId="4E00836D">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新环环评发〔2020〕162号</w:t>
            </w:r>
          </w:p>
        </w:tc>
        <w:tc>
          <w:tcPr>
            <w:tcW w:w="705" w:type="pct"/>
            <w:tcBorders>
              <w:tl2br w:val="nil"/>
              <w:tr2bl w:val="nil"/>
            </w:tcBorders>
            <w:vAlign w:val="center"/>
          </w:tcPr>
          <w:p w14:paraId="2ADBF80E">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2020-09-11</w:t>
            </w:r>
          </w:p>
        </w:tc>
      </w:tr>
      <w:tr w14:paraId="40C08C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515D8026">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18</w:t>
            </w:r>
          </w:p>
        </w:tc>
        <w:tc>
          <w:tcPr>
            <w:tcW w:w="2651" w:type="pct"/>
            <w:tcBorders>
              <w:tl2br w:val="nil"/>
              <w:tr2bl w:val="nil"/>
            </w:tcBorders>
            <w:vAlign w:val="center"/>
          </w:tcPr>
          <w:p w14:paraId="7F5E7B4E">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新疆国家重点保护野生动物名录</w:t>
            </w:r>
          </w:p>
        </w:tc>
        <w:tc>
          <w:tcPr>
            <w:tcW w:w="1387" w:type="pct"/>
            <w:tcBorders>
              <w:tl2br w:val="nil"/>
              <w:tr2bl w:val="nil"/>
            </w:tcBorders>
            <w:vAlign w:val="center"/>
          </w:tcPr>
          <w:p w14:paraId="4518AD2A">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w:t>
            </w:r>
          </w:p>
        </w:tc>
        <w:tc>
          <w:tcPr>
            <w:tcW w:w="705" w:type="pct"/>
            <w:tcBorders>
              <w:tl2br w:val="nil"/>
              <w:tr2bl w:val="nil"/>
            </w:tcBorders>
            <w:vAlign w:val="center"/>
          </w:tcPr>
          <w:p w14:paraId="09044A1F">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2021-07-28</w:t>
            </w:r>
          </w:p>
        </w:tc>
      </w:tr>
      <w:tr w14:paraId="58AD12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04FD412C">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19</w:t>
            </w:r>
          </w:p>
        </w:tc>
        <w:tc>
          <w:tcPr>
            <w:tcW w:w="2651" w:type="pct"/>
            <w:tcBorders>
              <w:tl2br w:val="nil"/>
              <w:tr2bl w:val="nil"/>
            </w:tcBorders>
            <w:vAlign w:val="center"/>
          </w:tcPr>
          <w:p w14:paraId="38A09C1A">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新疆生态环境保护</w:t>
            </w:r>
            <w:r>
              <w:rPr>
                <w:rFonts w:hint="eastAsia" w:cs="Times New Roman"/>
                <w:color w:val="auto"/>
                <w:sz w:val="21"/>
                <w:szCs w:val="21"/>
                <w:highlight w:val="none"/>
                <w:lang w:eastAsia="zh-CN"/>
              </w:rPr>
              <w:t>“十四五”规划</w:t>
            </w:r>
          </w:p>
        </w:tc>
        <w:tc>
          <w:tcPr>
            <w:tcW w:w="1387" w:type="pct"/>
            <w:tcBorders>
              <w:tl2br w:val="nil"/>
              <w:tr2bl w:val="nil"/>
            </w:tcBorders>
            <w:vAlign w:val="center"/>
          </w:tcPr>
          <w:p w14:paraId="5998CD5C">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自治区党委、自治区人民政府</w:t>
            </w:r>
          </w:p>
        </w:tc>
        <w:tc>
          <w:tcPr>
            <w:tcW w:w="705" w:type="pct"/>
            <w:tcBorders>
              <w:tl2br w:val="nil"/>
              <w:tr2bl w:val="nil"/>
            </w:tcBorders>
            <w:vAlign w:val="center"/>
          </w:tcPr>
          <w:p w14:paraId="73CDAE54">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2021-12-24</w:t>
            </w:r>
          </w:p>
        </w:tc>
      </w:tr>
      <w:tr w14:paraId="074240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3943B4A0">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eastAsia" w:ascii="Times New Roman" w:hAnsi="Times New Roman" w:cs="Times New Roman"/>
                <w:color w:val="auto"/>
                <w:spacing w:val="0"/>
                <w:w w:val="100"/>
                <w:position w:val="0"/>
                <w:sz w:val="21"/>
                <w:szCs w:val="21"/>
                <w:highlight w:val="none"/>
                <w:lang w:val="en-US" w:eastAsia="zh-CN"/>
              </w:rPr>
              <w:t>20</w:t>
            </w:r>
          </w:p>
        </w:tc>
        <w:tc>
          <w:tcPr>
            <w:tcW w:w="2651" w:type="pct"/>
            <w:tcBorders>
              <w:tl2br w:val="nil"/>
              <w:tr2bl w:val="nil"/>
            </w:tcBorders>
            <w:vAlign w:val="center"/>
          </w:tcPr>
          <w:p w14:paraId="50588AD7">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2"/>
                <w:sz w:val="21"/>
                <w:szCs w:val="21"/>
                <w:highlight w:val="none"/>
              </w:rPr>
              <w:t>关于印发《新疆维吾尔自治区生态环境分区管控动态更新成果》的通知</w:t>
            </w:r>
          </w:p>
        </w:tc>
        <w:tc>
          <w:tcPr>
            <w:tcW w:w="1387" w:type="pct"/>
            <w:tcBorders>
              <w:tl2br w:val="nil"/>
              <w:tr2bl w:val="nil"/>
            </w:tcBorders>
            <w:vAlign w:val="center"/>
          </w:tcPr>
          <w:p w14:paraId="513A1511">
            <w:pPr>
              <w:pStyle w:val="13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新环环评发〔2024〕157号</w:t>
            </w:r>
          </w:p>
        </w:tc>
        <w:tc>
          <w:tcPr>
            <w:tcW w:w="705" w:type="pct"/>
            <w:tcBorders>
              <w:tl2br w:val="nil"/>
              <w:tr2bl w:val="nil"/>
            </w:tcBorders>
            <w:vAlign w:val="center"/>
          </w:tcPr>
          <w:p w14:paraId="57CE3E7C">
            <w:pPr>
              <w:pStyle w:val="13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2024-11-15</w:t>
            </w:r>
          </w:p>
        </w:tc>
      </w:tr>
      <w:tr w14:paraId="6FE62B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20C5FCCC">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21</w:t>
            </w:r>
          </w:p>
        </w:tc>
        <w:tc>
          <w:tcPr>
            <w:tcW w:w="2651" w:type="pct"/>
            <w:tcBorders>
              <w:tl2br w:val="nil"/>
              <w:tr2bl w:val="nil"/>
            </w:tcBorders>
            <w:vAlign w:val="center"/>
          </w:tcPr>
          <w:p w14:paraId="43274E2A">
            <w:pPr>
              <w:pStyle w:val="47"/>
              <w:spacing w:before="0" w:beforeAutospacing="0" w:line="360" w:lineRule="exact"/>
              <w:ind w:firstLine="0" w:firstLineChars="0"/>
              <w:jc w:val="center"/>
              <w:rPr>
                <w:rFonts w:hint="default" w:ascii="Times New Roman" w:hAnsi="Times New Roman" w:cs="Times New Roman"/>
                <w:color w:val="auto"/>
                <w:spacing w:val="-12"/>
                <w:sz w:val="21"/>
                <w:szCs w:val="21"/>
                <w:highlight w:val="none"/>
              </w:rPr>
            </w:pPr>
            <w:r>
              <w:rPr>
                <w:rFonts w:hint="default" w:ascii="Times New Roman" w:hAnsi="Times New Roman" w:cs="Times New Roman"/>
                <w:color w:val="auto"/>
                <w:sz w:val="21"/>
                <w:szCs w:val="21"/>
                <w:highlight w:val="none"/>
              </w:rPr>
              <w:t>新疆国家重点保护野生植物名录</w:t>
            </w:r>
          </w:p>
        </w:tc>
        <w:tc>
          <w:tcPr>
            <w:tcW w:w="1387" w:type="pct"/>
            <w:tcBorders>
              <w:tl2br w:val="nil"/>
              <w:tr2bl w:val="nil"/>
            </w:tcBorders>
            <w:vAlign w:val="center"/>
          </w:tcPr>
          <w:p w14:paraId="6E8C7CF5">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新林护字〔2022〕8号</w:t>
            </w:r>
          </w:p>
        </w:tc>
        <w:tc>
          <w:tcPr>
            <w:tcW w:w="705" w:type="pct"/>
            <w:tcBorders>
              <w:tl2br w:val="nil"/>
              <w:tr2bl w:val="nil"/>
            </w:tcBorders>
            <w:vAlign w:val="center"/>
          </w:tcPr>
          <w:p w14:paraId="504368AD">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2022-03-09</w:t>
            </w:r>
          </w:p>
        </w:tc>
      </w:tr>
      <w:tr w14:paraId="1B86C0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10363970">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22</w:t>
            </w:r>
          </w:p>
        </w:tc>
        <w:tc>
          <w:tcPr>
            <w:tcW w:w="2651" w:type="pct"/>
            <w:tcBorders>
              <w:tl2br w:val="nil"/>
              <w:tr2bl w:val="nil"/>
            </w:tcBorders>
            <w:vAlign w:val="center"/>
          </w:tcPr>
          <w:p w14:paraId="49DA8BA0">
            <w:pPr>
              <w:pStyle w:val="47"/>
              <w:spacing w:before="0" w:beforeAutospacing="0" w:line="360" w:lineRule="exact"/>
              <w:ind w:firstLine="0" w:firstLineChars="0"/>
              <w:jc w:val="center"/>
              <w:rPr>
                <w:rFonts w:hint="default" w:ascii="Times New Roman" w:hAnsi="Times New Roman" w:cs="Times New Roman"/>
                <w:color w:val="auto"/>
                <w:spacing w:val="-12"/>
                <w:sz w:val="21"/>
                <w:szCs w:val="21"/>
                <w:highlight w:val="none"/>
              </w:rPr>
            </w:pPr>
            <w:r>
              <w:rPr>
                <w:rFonts w:hint="default" w:ascii="Times New Roman" w:hAnsi="Times New Roman" w:cs="Times New Roman"/>
                <w:color w:val="auto"/>
                <w:sz w:val="21"/>
                <w:szCs w:val="21"/>
                <w:highlight w:val="none"/>
              </w:rPr>
              <w:t>新疆维吾尔自治区重点保护野生动物名录（修订）</w:t>
            </w:r>
          </w:p>
        </w:tc>
        <w:tc>
          <w:tcPr>
            <w:tcW w:w="1387" w:type="pct"/>
            <w:tcBorders>
              <w:tl2br w:val="nil"/>
              <w:tr2bl w:val="nil"/>
            </w:tcBorders>
            <w:vAlign w:val="center"/>
          </w:tcPr>
          <w:p w14:paraId="47179BDC">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新政发〔2022〕75号</w:t>
            </w:r>
          </w:p>
        </w:tc>
        <w:tc>
          <w:tcPr>
            <w:tcW w:w="705" w:type="pct"/>
            <w:tcBorders>
              <w:tl2br w:val="nil"/>
              <w:tr2bl w:val="nil"/>
            </w:tcBorders>
            <w:vAlign w:val="center"/>
          </w:tcPr>
          <w:p w14:paraId="19198583">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2022-09-18</w:t>
            </w:r>
          </w:p>
        </w:tc>
      </w:tr>
      <w:tr w14:paraId="35EBE3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255" w:type="pct"/>
            <w:tcBorders>
              <w:tl2br w:val="nil"/>
              <w:tr2bl w:val="nil"/>
            </w:tcBorders>
            <w:vAlign w:val="center"/>
          </w:tcPr>
          <w:p w14:paraId="3D2FCD81">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等线" w:cs="Times New Roman"/>
                <w:color w:val="auto"/>
                <w:sz w:val="21"/>
                <w:szCs w:val="21"/>
                <w:highlight w:val="none"/>
              </w:rPr>
              <w:t>23</w:t>
            </w:r>
          </w:p>
        </w:tc>
        <w:tc>
          <w:tcPr>
            <w:tcW w:w="2651" w:type="pct"/>
            <w:tcBorders>
              <w:tl2br w:val="nil"/>
              <w:tr2bl w:val="nil"/>
            </w:tcBorders>
            <w:vAlign w:val="center"/>
          </w:tcPr>
          <w:p w14:paraId="48498E3E">
            <w:pPr>
              <w:pStyle w:val="13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textAlignment w:val="center"/>
              <w:rPr>
                <w:rFonts w:hint="default" w:ascii="Times New Roman" w:hAnsi="Times New Roman" w:cs="Times New Roman"/>
                <w:color w:val="auto"/>
                <w:spacing w:val="-12"/>
                <w:sz w:val="21"/>
                <w:szCs w:val="21"/>
                <w:highlight w:val="none"/>
              </w:rPr>
            </w:pPr>
            <w:r>
              <w:rPr>
                <w:rFonts w:hint="default" w:ascii="Times New Roman" w:hAnsi="Times New Roman" w:eastAsia="宋体" w:cs="Times New Roman"/>
                <w:color w:val="auto"/>
                <w:sz w:val="21"/>
                <w:szCs w:val="21"/>
                <w:highlight w:val="none"/>
                <w:lang w:eastAsia="zh-CN"/>
              </w:rPr>
              <w:t>《新疆维吾尔自治区2025年空气质量持续改善行动实施方案》</w:t>
            </w:r>
          </w:p>
        </w:tc>
        <w:tc>
          <w:tcPr>
            <w:tcW w:w="1387" w:type="pct"/>
            <w:tcBorders>
              <w:tl2br w:val="nil"/>
              <w:tr2bl w:val="nil"/>
            </w:tcBorders>
            <w:vAlign w:val="center"/>
          </w:tcPr>
          <w:p w14:paraId="55A4E010">
            <w:pPr>
              <w:pStyle w:val="13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新政办发〔2024〕58号</w:t>
            </w:r>
          </w:p>
        </w:tc>
        <w:tc>
          <w:tcPr>
            <w:tcW w:w="705" w:type="pct"/>
            <w:tcBorders>
              <w:tl2br w:val="nil"/>
              <w:tr2bl w:val="nil"/>
            </w:tcBorders>
            <w:vAlign w:val="center"/>
          </w:tcPr>
          <w:p w14:paraId="0DBBEFC4">
            <w:pPr>
              <w:pStyle w:val="135"/>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2024-12-10</w:t>
            </w:r>
          </w:p>
        </w:tc>
      </w:tr>
      <w:tr w14:paraId="35018C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255" w:type="pct"/>
            <w:tcBorders>
              <w:tl2br w:val="nil"/>
              <w:tr2bl w:val="nil"/>
            </w:tcBorders>
            <w:shd w:val="clear" w:color="auto" w:fill="auto"/>
            <w:vAlign w:val="center"/>
          </w:tcPr>
          <w:p w14:paraId="40A5332C">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pacing w:val="0"/>
                <w:w w:val="100"/>
                <w:position w:val="0"/>
                <w:sz w:val="21"/>
                <w:szCs w:val="21"/>
                <w:highlight w:val="none"/>
                <w:lang w:val="en-US" w:eastAsia="zh-CN"/>
              </w:rPr>
            </w:pPr>
            <w:r>
              <w:rPr>
                <w:rFonts w:hint="eastAsia" w:ascii="Times New Roman" w:hAnsi="Times New Roman" w:cs="Times New Roman"/>
                <w:color w:val="auto"/>
                <w:spacing w:val="0"/>
                <w:w w:val="100"/>
                <w:position w:val="0"/>
                <w:sz w:val="21"/>
                <w:szCs w:val="21"/>
                <w:highlight w:val="none"/>
                <w:lang w:val="en-US" w:eastAsia="zh-CN"/>
              </w:rPr>
              <w:t>24</w:t>
            </w:r>
          </w:p>
        </w:tc>
        <w:tc>
          <w:tcPr>
            <w:tcW w:w="2651" w:type="pct"/>
            <w:tcBorders>
              <w:tl2br w:val="nil"/>
              <w:tr2bl w:val="nil"/>
            </w:tcBorders>
            <w:shd w:val="clear" w:color="auto" w:fill="auto"/>
            <w:vAlign w:val="center"/>
          </w:tcPr>
          <w:p w14:paraId="503ED516">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pacing w:val="0"/>
                <w:w w:val="100"/>
                <w:position w:val="0"/>
                <w:sz w:val="21"/>
                <w:szCs w:val="21"/>
                <w:highlight w:val="none"/>
                <w:lang w:val="zh-CN" w:eastAsia="zh-CN"/>
              </w:rPr>
              <w:t>《</w:t>
            </w:r>
            <w:r>
              <w:rPr>
                <w:rFonts w:hint="default" w:ascii="Times New Roman" w:hAnsi="Times New Roman" w:cs="Times New Roman"/>
                <w:color w:val="auto"/>
                <w:spacing w:val="0"/>
                <w:w w:val="100"/>
                <w:position w:val="0"/>
                <w:sz w:val="21"/>
                <w:szCs w:val="21"/>
                <w:highlight w:val="none"/>
                <w:lang w:val="en-US" w:eastAsia="zh-CN"/>
              </w:rPr>
              <w:t>哈密市</w:t>
            </w:r>
            <w:r>
              <w:rPr>
                <w:rFonts w:hint="default" w:ascii="Times New Roman" w:hAnsi="Times New Roman" w:eastAsia="宋体" w:cs="Times New Roman"/>
                <w:color w:val="auto"/>
                <w:spacing w:val="0"/>
                <w:w w:val="100"/>
                <w:position w:val="0"/>
                <w:sz w:val="21"/>
                <w:szCs w:val="21"/>
                <w:highlight w:val="none"/>
                <w:lang w:val="en-US" w:eastAsia="zh-CN"/>
              </w:rPr>
              <w:t>国民经济和社会发展第十四个五年规划和2035年远景目标纲要》</w:t>
            </w:r>
          </w:p>
        </w:tc>
        <w:tc>
          <w:tcPr>
            <w:tcW w:w="1387" w:type="pct"/>
            <w:tcBorders>
              <w:tl2br w:val="nil"/>
              <w:tr2bl w:val="nil"/>
            </w:tcBorders>
            <w:shd w:val="clear" w:color="auto" w:fill="auto"/>
            <w:vAlign w:val="center"/>
          </w:tcPr>
          <w:p w14:paraId="21CDE247">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zh-CN" w:eastAsia="zh-CN" w:bidi="ar-SA"/>
              </w:rPr>
            </w:pPr>
            <w:r>
              <w:rPr>
                <w:rFonts w:hint="default" w:ascii="Times New Roman" w:hAnsi="Times New Roman" w:eastAsia="宋体" w:cs="Times New Roman"/>
                <w:color w:val="auto"/>
                <w:spacing w:val="0"/>
                <w:w w:val="100"/>
                <w:kern w:val="0"/>
                <w:position w:val="0"/>
                <w:sz w:val="21"/>
                <w:szCs w:val="21"/>
                <w:highlight w:val="none"/>
                <w:lang w:val="en-US" w:eastAsia="zh-CN" w:bidi="ar-SA"/>
              </w:rPr>
              <w:t>哈密市第一届人民代表大会第六次会议通过</w:t>
            </w:r>
          </w:p>
        </w:tc>
        <w:tc>
          <w:tcPr>
            <w:tcW w:w="705" w:type="pct"/>
            <w:tcBorders>
              <w:tl2br w:val="nil"/>
              <w:tr2bl w:val="nil"/>
            </w:tcBorders>
            <w:shd w:val="clear" w:color="auto" w:fill="auto"/>
            <w:vAlign w:val="center"/>
          </w:tcPr>
          <w:p w14:paraId="2B23DA30">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pacing w:val="0"/>
                <w:w w:val="100"/>
                <w:kern w:val="0"/>
                <w:position w:val="0"/>
                <w:sz w:val="21"/>
                <w:szCs w:val="21"/>
                <w:highlight w:val="none"/>
                <w:lang w:val="en-US" w:eastAsia="zh-CN" w:bidi="ar-SA"/>
              </w:rPr>
              <w:t>2021-07-12</w:t>
            </w:r>
          </w:p>
        </w:tc>
      </w:tr>
      <w:tr w14:paraId="72CBF6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255" w:type="pct"/>
            <w:tcBorders>
              <w:tl2br w:val="nil"/>
              <w:tr2bl w:val="nil"/>
            </w:tcBorders>
            <w:shd w:val="clear" w:color="auto" w:fill="auto"/>
            <w:vAlign w:val="center"/>
          </w:tcPr>
          <w:p w14:paraId="4862BF73">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eastAsia" w:ascii="Times New Roman" w:hAnsi="Times New Roman" w:cs="Times New Roman"/>
                <w:color w:val="auto"/>
                <w:spacing w:val="0"/>
                <w:w w:val="100"/>
                <w:position w:val="0"/>
                <w:sz w:val="21"/>
                <w:szCs w:val="21"/>
                <w:highlight w:val="none"/>
                <w:lang w:val="en-US" w:eastAsia="zh-CN"/>
              </w:rPr>
              <w:t>25</w:t>
            </w:r>
          </w:p>
        </w:tc>
        <w:tc>
          <w:tcPr>
            <w:tcW w:w="2651" w:type="pct"/>
            <w:tcBorders>
              <w:tl2br w:val="nil"/>
              <w:tr2bl w:val="nil"/>
            </w:tcBorders>
            <w:vAlign w:val="center"/>
          </w:tcPr>
          <w:p w14:paraId="596A9836">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color w:val="auto"/>
                <w:spacing w:val="0"/>
                <w:w w:val="100"/>
                <w:position w:val="0"/>
                <w:sz w:val="21"/>
                <w:szCs w:val="21"/>
                <w:highlight w:val="none"/>
                <w:lang w:val="zh-CN" w:eastAsia="zh-CN"/>
              </w:rPr>
              <w:t>关于印发《</w:t>
            </w:r>
            <w:r>
              <w:rPr>
                <w:rFonts w:hint="default" w:ascii="Times New Roman" w:hAnsi="Times New Roman" w:cs="Times New Roman"/>
                <w:color w:val="auto"/>
                <w:spacing w:val="0"/>
                <w:w w:val="100"/>
                <w:position w:val="0"/>
                <w:sz w:val="21"/>
                <w:szCs w:val="21"/>
                <w:highlight w:val="none"/>
                <w:lang w:val="zh-CN" w:eastAsia="zh-CN"/>
              </w:rPr>
              <w:t>哈密市</w:t>
            </w:r>
            <w:r>
              <w:rPr>
                <w:rFonts w:hint="eastAsia" w:cs="Times New Roman"/>
                <w:color w:val="auto"/>
                <w:spacing w:val="0"/>
                <w:w w:val="100"/>
                <w:position w:val="0"/>
                <w:sz w:val="21"/>
                <w:szCs w:val="21"/>
                <w:highlight w:val="none"/>
                <w:lang w:val="zh-CN" w:eastAsia="zh-CN"/>
              </w:rPr>
              <w:t>“</w:t>
            </w:r>
            <w:r>
              <w:rPr>
                <w:rFonts w:hint="default" w:ascii="Times New Roman" w:hAnsi="Times New Roman" w:eastAsia="宋体" w:cs="Times New Roman"/>
                <w:color w:val="auto"/>
                <w:spacing w:val="0"/>
                <w:w w:val="100"/>
                <w:position w:val="0"/>
                <w:sz w:val="21"/>
                <w:szCs w:val="21"/>
                <w:highlight w:val="none"/>
                <w:lang w:val="zh-CN" w:eastAsia="zh-CN"/>
              </w:rPr>
              <w:t>三线一单</w:t>
            </w:r>
            <w:r>
              <w:rPr>
                <w:rFonts w:hint="eastAsia" w:cs="Times New Roman"/>
                <w:color w:val="auto"/>
                <w:spacing w:val="0"/>
                <w:w w:val="100"/>
                <w:position w:val="0"/>
                <w:sz w:val="21"/>
                <w:szCs w:val="21"/>
                <w:highlight w:val="none"/>
                <w:lang w:val="zh-CN" w:eastAsia="zh-CN"/>
              </w:rPr>
              <w:t>”</w:t>
            </w:r>
            <w:r>
              <w:rPr>
                <w:rFonts w:hint="default" w:ascii="Times New Roman" w:hAnsi="Times New Roman" w:eastAsia="宋体" w:cs="Times New Roman"/>
                <w:color w:val="auto"/>
                <w:spacing w:val="0"/>
                <w:w w:val="100"/>
                <w:position w:val="0"/>
                <w:sz w:val="21"/>
                <w:szCs w:val="21"/>
                <w:highlight w:val="none"/>
                <w:lang w:val="zh-CN" w:eastAsia="zh-CN"/>
              </w:rPr>
              <w:t>生态环境分区管控方案》的通知</w:t>
            </w:r>
          </w:p>
        </w:tc>
        <w:tc>
          <w:tcPr>
            <w:tcW w:w="1387" w:type="pct"/>
            <w:tcBorders>
              <w:tl2br w:val="nil"/>
              <w:tr2bl w:val="nil"/>
            </w:tcBorders>
            <w:vAlign w:val="center"/>
          </w:tcPr>
          <w:p w14:paraId="1FD967EE">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color w:val="auto"/>
                <w:spacing w:val="0"/>
                <w:w w:val="100"/>
                <w:kern w:val="0"/>
                <w:position w:val="0"/>
                <w:sz w:val="21"/>
                <w:szCs w:val="21"/>
                <w:highlight w:val="none"/>
                <w:lang w:val="zh-CN" w:eastAsia="zh-CN" w:bidi="ar-SA"/>
              </w:rPr>
              <w:t>哈政办发〔2021〕37号</w:t>
            </w:r>
          </w:p>
        </w:tc>
        <w:tc>
          <w:tcPr>
            <w:tcW w:w="705" w:type="pct"/>
            <w:tcBorders>
              <w:tl2br w:val="nil"/>
              <w:tr2bl w:val="nil"/>
            </w:tcBorders>
            <w:vAlign w:val="center"/>
          </w:tcPr>
          <w:p w14:paraId="50CD7122">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w w:val="100"/>
                <w:kern w:val="0"/>
                <w:position w:val="0"/>
                <w:sz w:val="21"/>
                <w:szCs w:val="21"/>
                <w:highlight w:val="none"/>
                <w:lang w:val="en-US" w:eastAsia="zh-CN" w:bidi="ar-SA"/>
              </w:rPr>
            </w:pPr>
            <w:r>
              <w:rPr>
                <w:rFonts w:hint="default" w:ascii="Times New Roman" w:hAnsi="Times New Roman" w:eastAsia="宋体" w:cs="Times New Roman"/>
                <w:color w:val="auto"/>
                <w:spacing w:val="0"/>
                <w:w w:val="100"/>
                <w:kern w:val="0"/>
                <w:position w:val="0"/>
                <w:sz w:val="21"/>
                <w:szCs w:val="21"/>
                <w:highlight w:val="none"/>
                <w:lang w:val="zh-CN" w:eastAsia="zh-CN" w:bidi="ar-SA"/>
              </w:rPr>
              <w:t>2021-06-30</w:t>
            </w:r>
          </w:p>
        </w:tc>
      </w:tr>
      <w:tr w14:paraId="011C3B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255" w:type="pct"/>
            <w:shd w:val="clear" w:color="auto" w:fill="auto"/>
            <w:vAlign w:val="center"/>
          </w:tcPr>
          <w:p w14:paraId="246B9461">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w w:val="100"/>
                <w:kern w:val="0"/>
                <w:position w:val="0"/>
                <w:sz w:val="21"/>
                <w:szCs w:val="21"/>
                <w:highlight w:val="none"/>
                <w:lang w:val="zh-CN" w:eastAsia="zh-CN" w:bidi="ar-SA"/>
              </w:rPr>
            </w:pPr>
            <w:r>
              <w:rPr>
                <w:rFonts w:hint="default" w:ascii="Times New Roman" w:hAnsi="Times New Roman" w:cs="Times New Roman"/>
                <w:color w:val="auto"/>
                <w:spacing w:val="0"/>
                <w:w w:val="100"/>
                <w:kern w:val="0"/>
                <w:position w:val="0"/>
                <w:sz w:val="21"/>
                <w:szCs w:val="21"/>
                <w:highlight w:val="none"/>
                <w:lang w:val="zh-CN" w:eastAsia="zh-CN" w:bidi="ar-SA"/>
              </w:rPr>
              <w:t>26</w:t>
            </w:r>
          </w:p>
        </w:tc>
        <w:tc>
          <w:tcPr>
            <w:tcW w:w="2651" w:type="pct"/>
            <w:vAlign w:val="center"/>
          </w:tcPr>
          <w:p w14:paraId="02EB00AB">
            <w:pPr>
              <w:pStyle w:val="47"/>
              <w:keepNext w:val="0"/>
              <w:keepLines w:val="0"/>
              <w:suppressLineNumbers w:val="0"/>
              <w:spacing w:before="0" w:beforeAutospacing="0" w:after="0" w:afterAutospacing="0" w:line="360" w:lineRule="exact"/>
              <w:ind w:left="0" w:leftChars="0" w:right="0" w:rightChars="0" w:firstLine="0" w:firstLineChars="0"/>
              <w:jc w:val="center"/>
              <w:outlineLvl w:val="9"/>
              <w:rPr>
                <w:rFonts w:hint="default" w:ascii="Times New Roman" w:hAnsi="Times New Roman" w:eastAsia="宋体" w:cs="Times New Roman"/>
                <w:color w:val="auto"/>
                <w:spacing w:val="0"/>
                <w:w w:val="100"/>
                <w:position w:val="0"/>
                <w:sz w:val="21"/>
                <w:szCs w:val="21"/>
                <w:highlight w:val="none"/>
                <w:lang w:val="zh-CN" w:eastAsia="zh-CN"/>
              </w:rPr>
            </w:pPr>
            <w:r>
              <w:rPr>
                <w:rFonts w:hint="default" w:ascii="Times New Roman" w:hAnsi="Times New Roman" w:cs="Times New Roman"/>
                <w:color w:val="auto"/>
                <w:sz w:val="21"/>
                <w:szCs w:val="21"/>
                <w:highlight w:val="none"/>
                <w:lang w:val="zh-CN"/>
              </w:rPr>
              <w:t>《哈密市戈壁生态环境保护办法（暂行）》</w:t>
            </w:r>
          </w:p>
        </w:tc>
        <w:tc>
          <w:tcPr>
            <w:tcW w:w="1387" w:type="pct"/>
            <w:vAlign w:val="center"/>
          </w:tcPr>
          <w:p w14:paraId="30C560C9">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w w:val="100"/>
                <w:kern w:val="0"/>
                <w:position w:val="0"/>
                <w:sz w:val="21"/>
                <w:szCs w:val="21"/>
                <w:highlight w:val="none"/>
                <w:lang w:val="zh-CN" w:eastAsia="zh-CN" w:bidi="ar-SA"/>
              </w:rPr>
            </w:pPr>
            <w:r>
              <w:rPr>
                <w:rFonts w:hint="default" w:ascii="Times New Roman" w:hAnsi="Times New Roman" w:eastAsia="宋体" w:cs="Times New Roman"/>
                <w:color w:val="auto"/>
                <w:spacing w:val="0"/>
                <w:w w:val="100"/>
                <w:kern w:val="0"/>
                <w:position w:val="0"/>
                <w:sz w:val="21"/>
                <w:szCs w:val="21"/>
                <w:highlight w:val="none"/>
                <w:lang w:val="zh-CN" w:eastAsia="zh-CN" w:bidi="ar-SA"/>
              </w:rPr>
              <w:t>哈政办规〔2024〕1号</w:t>
            </w:r>
          </w:p>
        </w:tc>
        <w:tc>
          <w:tcPr>
            <w:tcW w:w="705" w:type="pct"/>
            <w:vAlign w:val="center"/>
          </w:tcPr>
          <w:p w14:paraId="31F31DB3">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w w:val="100"/>
                <w:kern w:val="0"/>
                <w:position w:val="0"/>
                <w:sz w:val="21"/>
                <w:szCs w:val="21"/>
                <w:highlight w:val="none"/>
                <w:lang w:val="zh-CN" w:eastAsia="zh-CN" w:bidi="ar-SA"/>
              </w:rPr>
            </w:pPr>
            <w:r>
              <w:rPr>
                <w:rFonts w:hint="default" w:ascii="Times New Roman" w:hAnsi="Times New Roman" w:cs="Times New Roman"/>
                <w:color w:val="auto"/>
                <w:spacing w:val="0"/>
                <w:w w:val="100"/>
                <w:kern w:val="0"/>
                <w:position w:val="0"/>
                <w:sz w:val="21"/>
                <w:szCs w:val="21"/>
                <w:highlight w:val="none"/>
                <w:lang w:val="zh-CN" w:eastAsia="zh-CN" w:bidi="ar-SA"/>
              </w:rPr>
              <w:t>2024-03-24</w:t>
            </w:r>
          </w:p>
        </w:tc>
      </w:tr>
    </w:tbl>
    <w:p w14:paraId="17E20EEB">
      <w:pPr>
        <w:pStyle w:val="4"/>
        <w:rPr>
          <w:rFonts w:hint="default" w:ascii="Times New Roman" w:hAnsi="Times New Roman" w:cs="Times New Roman"/>
          <w:color w:val="auto"/>
          <w:highlight w:val="none"/>
        </w:rPr>
      </w:pPr>
      <w:r>
        <w:rPr>
          <w:rFonts w:hint="default" w:ascii="Times New Roman" w:hAnsi="Times New Roman" w:cs="Times New Roman"/>
          <w:color w:val="auto"/>
          <w:highlight w:val="none"/>
        </w:rPr>
        <w:t>2.2.2技术导则、规范及标准</w:t>
      </w:r>
      <w:bookmarkEnd w:id="118"/>
      <w:bookmarkEnd w:id="119"/>
      <w:bookmarkEnd w:id="120"/>
    </w:p>
    <w:tbl>
      <w:tblPr>
        <w:tblStyle w:val="33"/>
        <w:tblW w:w="836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29"/>
        <w:gridCol w:w="5697"/>
        <w:gridCol w:w="2137"/>
      </w:tblGrid>
      <w:tr w14:paraId="65C528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529" w:type="dxa"/>
            <w:tcBorders>
              <w:tl2br w:val="nil"/>
              <w:tr2bl w:val="nil"/>
            </w:tcBorders>
            <w:noWrap w:val="0"/>
            <w:vAlign w:val="center"/>
          </w:tcPr>
          <w:p w14:paraId="32425D95">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序号</w:t>
            </w:r>
          </w:p>
        </w:tc>
        <w:tc>
          <w:tcPr>
            <w:tcW w:w="5697" w:type="dxa"/>
            <w:tcBorders>
              <w:tl2br w:val="nil"/>
              <w:tr2bl w:val="nil"/>
            </w:tcBorders>
            <w:noWrap w:val="0"/>
            <w:vAlign w:val="center"/>
          </w:tcPr>
          <w:p w14:paraId="52116C7C">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依据名称</w:t>
            </w:r>
          </w:p>
        </w:tc>
        <w:tc>
          <w:tcPr>
            <w:tcW w:w="2137" w:type="dxa"/>
            <w:tcBorders>
              <w:tl2br w:val="nil"/>
              <w:tr2bl w:val="nil"/>
            </w:tcBorders>
            <w:noWrap w:val="0"/>
            <w:vAlign w:val="center"/>
          </w:tcPr>
          <w:p w14:paraId="4CC9533A">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标准号</w:t>
            </w:r>
          </w:p>
        </w:tc>
      </w:tr>
      <w:tr w14:paraId="0C1B72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29" w:type="dxa"/>
            <w:tcBorders>
              <w:tl2br w:val="nil"/>
              <w:tr2bl w:val="nil"/>
            </w:tcBorders>
            <w:noWrap w:val="0"/>
            <w:vAlign w:val="center"/>
          </w:tcPr>
          <w:p w14:paraId="4FE56B79">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w:t>
            </w:r>
          </w:p>
        </w:tc>
        <w:tc>
          <w:tcPr>
            <w:tcW w:w="5697" w:type="dxa"/>
            <w:tcBorders>
              <w:tl2br w:val="nil"/>
              <w:tr2bl w:val="nil"/>
            </w:tcBorders>
            <w:noWrap w:val="0"/>
            <w:vAlign w:val="center"/>
          </w:tcPr>
          <w:p w14:paraId="4CB7698C">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《建设项目环境影响评价技术导则 总纲》</w:t>
            </w:r>
          </w:p>
        </w:tc>
        <w:tc>
          <w:tcPr>
            <w:tcW w:w="2137" w:type="dxa"/>
            <w:tcBorders>
              <w:tl2br w:val="nil"/>
              <w:tr2bl w:val="nil"/>
            </w:tcBorders>
            <w:noWrap w:val="0"/>
            <w:vAlign w:val="center"/>
          </w:tcPr>
          <w:p w14:paraId="3D37A27C">
            <w:pPr>
              <w:keepNext w:val="0"/>
              <w:keepLines w:val="0"/>
              <w:pageBreakBefore w:val="0"/>
              <w:kinsoku/>
              <w:wordWrap/>
              <w:overflowPunct w:val="0"/>
              <w:topLinePunct/>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HJ2.1-2016</w:t>
            </w:r>
          </w:p>
        </w:tc>
      </w:tr>
      <w:tr w14:paraId="02C41E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38" w:hRule="atLeast"/>
          <w:jc w:val="center"/>
        </w:trPr>
        <w:tc>
          <w:tcPr>
            <w:tcW w:w="529" w:type="dxa"/>
            <w:tcBorders>
              <w:tl2br w:val="nil"/>
              <w:tr2bl w:val="nil"/>
            </w:tcBorders>
            <w:noWrap w:val="0"/>
            <w:vAlign w:val="center"/>
          </w:tcPr>
          <w:p w14:paraId="185F9E37">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w:t>
            </w:r>
          </w:p>
        </w:tc>
        <w:tc>
          <w:tcPr>
            <w:tcW w:w="5697" w:type="dxa"/>
            <w:tcBorders>
              <w:tl2br w:val="nil"/>
              <w:tr2bl w:val="nil"/>
            </w:tcBorders>
            <w:noWrap w:val="0"/>
            <w:vAlign w:val="center"/>
          </w:tcPr>
          <w:p w14:paraId="4F1D8BB5">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《环境影响评价技术导则 大气环境》</w:t>
            </w:r>
          </w:p>
        </w:tc>
        <w:tc>
          <w:tcPr>
            <w:tcW w:w="2137" w:type="dxa"/>
            <w:tcBorders>
              <w:tl2br w:val="nil"/>
              <w:tr2bl w:val="nil"/>
            </w:tcBorders>
            <w:noWrap w:val="0"/>
            <w:vAlign w:val="center"/>
          </w:tcPr>
          <w:p w14:paraId="21D80D19">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HJ2.2-2018</w:t>
            </w:r>
          </w:p>
        </w:tc>
      </w:tr>
      <w:tr w14:paraId="07529F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29" w:type="dxa"/>
            <w:tcBorders>
              <w:tl2br w:val="nil"/>
              <w:tr2bl w:val="nil"/>
            </w:tcBorders>
            <w:noWrap w:val="0"/>
            <w:vAlign w:val="center"/>
          </w:tcPr>
          <w:p w14:paraId="46035014">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w:t>
            </w:r>
          </w:p>
        </w:tc>
        <w:tc>
          <w:tcPr>
            <w:tcW w:w="5697" w:type="dxa"/>
            <w:tcBorders>
              <w:tl2br w:val="nil"/>
              <w:tr2bl w:val="nil"/>
            </w:tcBorders>
            <w:noWrap w:val="0"/>
            <w:vAlign w:val="center"/>
          </w:tcPr>
          <w:p w14:paraId="57B23880">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《环境影响评价技术导则 地表水》</w:t>
            </w:r>
          </w:p>
        </w:tc>
        <w:tc>
          <w:tcPr>
            <w:tcW w:w="2137" w:type="dxa"/>
            <w:tcBorders>
              <w:tl2br w:val="nil"/>
              <w:tr2bl w:val="nil"/>
            </w:tcBorders>
            <w:noWrap w:val="0"/>
            <w:vAlign w:val="center"/>
          </w:tcPr>
          <w:p w14:paraId="71AD2B92">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HJ2.3-2018</w:t>
            </w:r>
          </w:p>
        </w:tc>
      </w:tr>
      <w:tr w14:paraId="18F6B5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29" w:type="dxa"/>
            <w:tcBorders>
              <w:tl2br w:val="nil"/>
              <w:tr2bl w:val="nil"/>
            </w:tcBorders>
            <w:noWrap w:val="0"/>
            <w:vAlign w:val="center"/>
          </w:tcPr>
          <w:p w14:paraId="5946EA44">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w:t>
            </w:r>
          </w:p>
        </w:tc>
        <w:tc>
          <w:tcPr>
            <w:tcW w:w="5697" w:type="dxa"/>
            <w:tcBorders>
              <w:tl2br w:val="nil"/>
              <w:tr2bl w:val="nil"/>
            </w:tcBorders>
            <w:noWrap w:val="0"/>
            <w:vAlign w:val="center"/>
          </w:tcPr>
          <w:p w14:paraId="780F5020">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《环境影响评价技术导则 声环境》</w:t>
            </w:r>
          </w:p>
        </w:tc>
        <w:tc>
          <w:tcPr>
            <w:tcW w:w="2137" w:type="dxa"/>
            <w:tcBorders>
              <w:tl2br w:val="nil"/>
              <w:tr2bl w:val="nil"/>
            </w:tcBorders>
            <w:noWrap w:val="0"/>
            <w:vAlign w:val="center"/>
          </w:tcPr>
          <w:p w14:paraId="2DD00A82">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HJ2.4-2021</w:t>
            </w:r>
          </w:p>
        </w:tc>
      </w:tr>
      <w:tr w14:paraId="0F5FDB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29" w:type="dxa"/>
            <w:tcBorders>
              <w:tl2br w:val="nil"/>
              <w:tr2bl w:val="nil"/>
            </w:tcBorders>
            <w:noWrap w:val="0"/>
            <w:vAlign w:val="center"/>
          </w:tcPr>
          <w:p w14:paraId="0369EE17">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w:t>
            </w:r>
          </w:p>
        </w:tc>
        <w:tc>
          <w:tcPr>
            <w:tcW w:w="5697" w:type="dxa"/>
            <w:tcBorders>
              <w:tl2br w:val="nil"/>
              <w:tr2bl w:val="nil"/>
            </w:tcBorders>
            <w:noWrap w:val="0"/>
            <w:vAlign w:val="center"/>
          </w:tcPr>
          <w:p w14:paraId="048A6D2F">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《环境影响评价技术导则 地下水环境》</w:t>
            </w:r>
          </w:p>
        </w:tc>
        <w:tc>
          <w:tcPr>
            <w:tcW w:w="2137" w:type="dxa"/>
            <w:tcBorders>
              <w:tl2br w:val="nil"/>
              <w:tr2bl w:val="nil"/>
            </w:tcBorders>
            <w:noWrap w:val="0"/>
            <w:vAlign w:val="center"/>
          </w:tcPr>
          <w:p w14:paraId="68A085B4">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HJ610-2016</w:t>
            </w:r>
          </w:p>
        </w:tc>
      </w:tr>
      <w:tr w14:paraId="4B7AD8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29" w:type="dxa"/>
            <w:tcBorders>
              <w:tl2br w:val="nil"/>
              <w:tr2bl w:val="nil"/>
            </w:tcBorders>
            <w:noWrap w:val="0"/>
            <w:vAlign w:val="center"/>
          </w:tcPr>
          <w:p w14:paraId="41F2CD6B">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w:t>
            </w:r>
          </w:p>
        </w:tc>
        <w:tc>
          <w:tcPr>
            <w:tcW w:w="5697" w:type="dxa"/>
            <w:tcBorders>
              <w:tl2br w:val="nil"/>
              <w:tr2bl w:val="nil"/>
            </w:tcBorders>
            <w:noWrap w:val="0"/>
            <w:vAlign w:val="center"/>
          </w:tcPr>
          <w:p w14:paraId="167F4140">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《环境影响评价技术导则 生态影响》</w:t>
            </w:r>
          </w:p>
        </w:tc>
        <w:tc>
          <w:tcPr>
            <w:tcW w:w="2137" w:type="dxa"/>
            <w:tcBorders>
              <w:tl2br w:val="nil"/>
              <w:tr2bl w:val="nil"/>
            </w:tcBorders>
            <w:noWrap w:val="0"/>
            <w:vAlign w:val="center"/>
          </w:tcPr>
          <w:p w14:paraId="6909215F">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HJ19-2022</w:t>
            </w:r>
          </w:p>
        </w:tc>
      </w:tr>
      <w:tr w14:paraId="4F8328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29" w:type="dxa"/>
            <w:tcBorders>
              <w:tl2br w:val="nil"/>
              <w:tr2bl w:val="nil"/>
            </w:tcBorders>
            <w:noWrap w:val="0"/>
            <w:vAlign w:val="center"/>
          </w:tcPr>
          <w:p w14:paraId="03D3B387">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7</w:t>
            </w:r>
          </w:p>
        </w:tc>
        <w:tc>
          <w:tcPr>
            <w:tcW w:w="5697" w:type="dxa"/>
            <w:tcBorders>
              <w:tl2br w:val="nil"/>
              <w:tr2bl w:val="nil"/>
            </w:tcBorders>
            <w:noWrap w:val="0"/>
            <w:vAlign w:val="center"/>
          </w:tcPr>
          <w:p w14:paraId="6CC81FD9">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《环境影响评价技术导则 土壤环境（试行）》</w:t>
            </w:r>
          </w:p>
        </w:tc>
        <w:tc>
          <w:tcPr>
            <w:tcW w:w="2137" w:type="dxa"/>
            <w:tcBorders>
              <w:tl2br w:val="nil"/>
              <w:tr2bl w:val="nil"/>
            </w:tcBorders>
            <w:noWrap w:val="0"/>
            <w:vAlign w:val="center"/>
          </w:tcPr>
          <w:p w14:paraId="64C8E77A">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HJ964-2018</w:t>
            </w:r>
          </w:p>
        </w:tc>
      </w:tr>
      <w:tr w14:paraId="69ABB0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29" w:type="dxa"/>
            <w:tcBorders>
              <w:tl2br w:val="nil"/>
              <w:tr2bl w:val="nil"/>
            </w:tcBorders>
            <w:noWrap w:val="0"/>
            <w:vAlign w:val="center"/>
          </w:tcPr>
          <w:p w14:paraId="34CD94F7">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8</w:t>
            </w:r>
          </w:p>
        </w:tc>
        <w:tc>
          <w:tcPr>
            <w:tcW w:w="5697" w:type="dxa"/>
            <w:tcBorders>
              <w:tl2br w:val="nil"/>
              <w:tr2bl w:val="nil"/>
            </w:tcBorders>
            <w:noWrap w:val="0"/>
            <w:vAlign w:val="center"/>
          </w:tcPr>
          <w:p w14:paraId="77EEBA68">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《建设项目环境风险评价技术导则》</w:t>
            </w:r>
          </w:p>
        </w:tc>
        <w:tc>
          <w:tcPr>
            <w:tcW w:w="2137" w:type="dxa"/>
            <w:tcBorders>
              <w:tl2br w:val="nil"/>
              <w:tr2bl w:val="nil"/>
            </w:tcBorders>
            <w:noWrap w:val="0"/>
            <w:vAlign w:val="center"/>
          </w:tcPr>
          <w:p w14:paraId="276AAA18">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HJ169-2018</w:t>
            </w:r>
          </w:p>
        </w:tc>
      </w:tr>
      <w:tr w14:paraId="35A558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29" w:type="dxa"/>
            <w:tcBorders>
              <w:tl2br w:val="nil"/>
              <w:tr2bl w:val="nil"/>
            </w:tcBorders>
            <w:noWrap w:val="0"/>
            <w:vAlign w:val="center"/>
          </w:tcPr>
          <w:p w14:paraId="3714B031">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9</w:t>
            </w:r>
          </w:p>
        </w:tc>
        <w:tc>
          <w:tcPr>
            <w:tcW w:w="5697" w:type="dxa"/>
            <w:tcBorders>
              <w:tl2br w:val="nil"/>
              <w:tr2bl w:val="nil"/>
            </w:tcBorders>
            <w:noWrap w:val="0"/>
            <w:vAlign w:val="center"/>
          </w:tcPr>
          <w:p w14:paraId="4FB6DCF9">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《环境空气质量标准》</w:t>
            </w:r>
          </w:p>
        </w:tc>
        <w:tc>
          <w:tcPr>
            <w:tcW w:w="2137" w:type="dxa"/>
            <w:tcBorders>
              <w:tl2br w:val="nil"/>
              <w:tr2bl w:val="nil"/>
            </w:tcBorders>
            <w:noWrap w:val="0"/>
            <w:vAlign w:val="center"/>
          </w:tcPr>
          <w:p w14:paraId="521A822B">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GB3095-20</w:t>
            </w:r>
            <w:r>
              <w:rPr>
                <w:rFonts w:hint="eastAsia" w:eastAsia="宋体" w:cs="Times New Roman"/>
                <w:color w:val="auto"/>
                <w:kern w:val="0"/>
                <w:sz w:val="21"/>
                <w:szCs w:val="21"/>
                <w:highlight w:val="none"/>
                <w:lang w:val="en-US" w:eastAsia="zh-CN" w:bidi="ar-SA"/>
              </w:rPr>
              <w:t>26</w:t>
            </w:r>
          </w:p>
        </w:tc>
      </w:tr>
      <w:tr w14:paraId="7986AB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29" w:type="dxa"/>
            <w:tcBorders>
              <w:tl2br w:val="nil"/>
              <w:tr2bl w:val="nil"/>
            </w:tcBorders>
            <w:noWrap w:val="0"/>
            <w:vAlign w:val="center"/>
          </w:tcPr>
          <w:p w14:paraId="0B1ED910">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10</w:t>
            </w:r>
          </w:p>
        </w:tc>
        <w:tc>
          <w:tcPr>
            <w:tcW w:w="5697" w:type="dxa"/>
            <w:tcBorders>
              <w:tl2br w:val="nil"/>
              <w:tr2bl w:val="nil"/>
            </w:tcBorders>
            <w:noWrap w:val="0"/>
            <w:vAlign w:val="center"/>
          </w:tcPr>
          <w:p w14:paraId="12C397F7">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《地表水环境质量标准》</w:t>
            </w:r>
          </w:p>
        </w:tc>
        <w:tc>
          <w:tcPr>
            <w:tcW w:w="2137" w:type="dxa"/>
            <w:tcBorders>
              <w:tl2br w:val="nil"/>
              <w:tr2bl w:val="nil"/>
            </w:tcBorders>
            <w:noWrap w:val="0"/>
            <w:vAlign w:val="center"/>
          </w:tcPr>
          <w:p w14:paraId="797643BC">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GB3838-2002</w:t>
            </w:r>
          </w:p>
        </w:tc>
      </w:tr>
      <w:tr w14:paraId="0C5BF0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29" w:type="dxa"/>
            <w:tcBorders>
              <w:tl2br w:val="nil"/>
              <w:tr2bl w:val="nil"/>
            </w:tcBorders>
            <w:noWrap w:val="0"/>
            <w:vAlign w:val="center"/>
          </w:tcPr>
          <w:p w14:paraId="36C3AACD">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11</w:t>
            </w:r>
          </w:p>
        </w:tc>
        <w:tc>
          <w:tcPr>
            <w:tcW w:w="5697" w:type="dxa"/>
            <w:tcBorders>
              <w:tl2br w:val="nil"/>
              <w:tr2bl w:val="nil"/>
            </w:tcBorders>
            <w:noWrap w:val="0"/>
            <w:vAlign w:val="center"/>
          </w:tcPr>
          <w:p w14:paraId="497B8915">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《地下水质量标准》</w:t>
            </w:r>
          </w:p>
        </w:tc>
        <w:tc>
          <w:tcPr>
            <w:tcW w:w="2137" w:type="dxa"/>
            <w:tcBorders>
              <w:tl2br w:val="nil"/>
              <w:tr2bl w:val="nil"/>
            </w:tcBorders>
            <w:noWrap w:val="0"/>
            <w:vAlign w:val="center"/>
          </w:tcPr>
          <w:p w14:paraId="7CC5FF44">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GB/T14848-2017</w:t>
            </w:r>
          </w:p>
        </w:tc>
      </w:tr>
      <w:tr w14:paraId="0B7EBD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29" w:type="dxa"/>
            <w:tcBorders>
              <w:tl2br w:val="nil"/>
              <w:tr2bl w:val="nil"/>
            </w:tcBorders>
            <w:noWrap w:val="0"/>
            <w:vAlign w:val="center"/>
          </w:tcPr>
          <w:p w14:paraId="7A1C7775">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12</w:t>
            </w:r>
          </w:p>
        </w:tc>
        <w:tc>
          <w:tcPr>
            <w:tcW w:w="5697" w:type="dxa"/>
            <w:tcBorders>
              <w:tl2br w:val="nil"/>
              <w:tr2bl w:val="nil"/>
            </w:tcBorders>
            <w:noWrap w:val="0"/>
            <w:vAlign w:val="center"/>
          </w:tcPr>
          <w:p w14:paraId="4C6C73DE">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《声环境质量标准》</w:t>
            </w:r>
          </w:p>
        </w:tc>
        <w:tc>
          <w:tcPr>
            <w:tcW w:w="2137" w:type="dxa"/>
            <w:tcBorders>
              <w:tl2br w:val="nil"/>
              <w:tr2bl w:val="nil"/>
            </w:tcBorders>
            <w:noWrap w:val="0"/>
            <w:vAlign w:val="center"/>
          </w:tcPr>
          <w:p w14:paraId="47D1D06E">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GB3096-2008</w:t>
            </w:r>
          </w:p>
        </w:tc>
      </w:tr>
      <w:tr w14:paraId="7FD6CC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29" w:type="dxa"/>
            <w:tcBorders>
              <w:tl2br w:val="nil"/>
              <w:tr2bl w:val="nil"/>
            </w:tcBorders>
            <w:noWrap w:val="0"/>
            <w:vAlign w:val="center"/>
          </w:tcPr>
          <w:p w14:paraId="0EB54F4B">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13</w:t>
            </w:r>
          </w:p>
        </w:tc>
        <w:tc>
          <w:tcPr>
            <w:tcW w:w="5697" w:type="dxa"/>
            <w:tcBorders>
              <w:tl2br w:val="nil"/>
              <w:tr2bl w:val="nil"/>
            </w:tcBorders>
            <w:noWrap w:val="0"/>
            <w:vAlign w:val="center"/>
          </w:tcPr>
          <w:p w14:paraId="2E30E58C">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《土壤环境质量 建设用地土壤污染风险管控标准（试行）》</w:t>
            </w:r>
          </w:p>
        </w:tc>
        <w:tc>
          <w:tcPr>
            <w:tcW w:w="2137" w:type="dxa"/>
            <w:tcBorders>
              <w:tl2br w:val="nil"/>
              <w:tr2bl w:val="nil"/>
            </w:tcBorders>
            <w:noWrap w:val="0"/>
            <w:vAlign w:val="center"/>
          </w:tcPr>
          <w:p w14:paraId="366F85CA">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GB36600-2018</w:t>
            </w:r>
          </w:p>
        </w:tc>
      </w:tr>
      <w:tr w14:paraId="69002A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29" w:type="dxa"/>
            <w:tcBorders>
              <w:tl2br w:val="nil"/>
              <w:tr2bl w:val="nil"/>
            </w:tcBorders>
            <w:noWrap w:val="0"/>
            <w:vAlign w:val="center"/>
          </w:tcPr>
          <w:p w14:paraId="457CB8B6">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14</w:t>
            </w:r>
          </w:p>
        </w:tc>
        <w:tc>
          <w:tcPr>
            <w:tcW w:w="5697" w:type="dxa"/>
            <w:tcBorders>
              <w:tl2br w:val="nil"/>
              <w:tr2bl w:val="nil"/>
            </w:tcBorders>
            <w:noWrap w:val="0"/>
            <w:vAlign w:val="center"/>
          </w:tcPr>
          <w:p w14:paraId="27EF590F">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《固体废物鉴别标准 通则》</w:t>
            </w:r>
          </w:p>
        </w:tc>
        <w:tc>
          <w:tcPr>
            <w:tcW w:w="2137" w:type="dxa"/>
            <w:tcBorders>
              <w:tl2br w:val="nil"/>
              <w:tr2bl w:val="nil"/>
            </w:tcBorders>
            <w:noWrap w:val="0"/>
            <w:vAlign w:val="center"/>
          </w:tcPr>
          <w:p w14:paraId="0A99BFC6">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GB34330</w:t>
            </w:r>
            <w:r>
              <w:rPr>
                <w:rFonts w:hint="eastAsia"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2025</w:t>
            </w:r>
          </w:p>
        </w:tc>
      </w:tr>
      <w:tr w14:paraId="5F88B8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29" w:type="dxa"/>
            <w:tcBorders>
              <w:tl2br w:val="nil"/>
              <w:tr2bl w:val="nil"/>
            </w:tcBorders>
            <w:noWrap w:val="0"/>
            <w:vAlign w:val="center"/>
          </w:tcPr>
          <w:p w14:paraId="5DCA6F61">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15</w:t>
            </w:r>
          </w:p>
        </w:tc>
        <w:tc>
          <w:tcPr>
            <w:tcW w:w="5697" w:type="dxa"/>
            <w:tcBorders>
              <w:tl2br w:val="nil"/>
              <w:tr2bl w:val="nil"/>
            </w:tcBorders>
            <w:noWrap w:val="0"/>
            <w:vAlign w:val="center"/>
          </w:tcPr>
          <w:p w14:paraId="40FB25B1">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《大气污染物综合排放标准》</w:t>
            </w:r>
          </w:p>
        </w:tc>
        <w:tc>
          <w:tcPr>
            <w:tcW w:w="2137" w:type="dxa"/>
            <w:tcBorders>
              <w:tl2br w:val="nil"/>
              <w:tr2bl w:val="nil"/>
            </w:tcBorders>
            <w:noWrap w:val="0"/>
            <w:vAlign w:val="center"/>
          </w:tcPr>
          <w:p w14:paraId="6758E18F">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GB16297-1996</w:t>
            </w:r>
          </w:p>
        </w:tc>
      </w:tr>
      <w:tr w14:paraId="09FA98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29" w:type="dxa"/>
            <w:tcBorders>
              <w:tl2br w:val="nil"/>
              <w:tr2bl w:val="nil"/>
            </w:tcBorders>
            <w:noWrap w:val="0"/>
            <w:vAlign w:val="center"/>
          </w:tcPr>
          <w:p w14:paraId="2BB6E661">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16</w:t>
            </w:r>
          </w:p>
        </w:tc>
        <w:tc>
          <w:tcPr>
            <w:tcW w:w="5697" w:type="dxa"/>
            <w:tcBorders>
              <w:tl2br w:val="nil"/>
              <w:tr2bl w:val="nil"/>
            </w:tcBorders>
            <w:noWrap w:val="0"/>
            <w:vAlign w:val="center"/>
          </w:tcPr>
          <w:p w14:paraId="160F8EBA">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《污水综合排放标准》</w:t>
            </w:r>
          </w:p>
        </w:tc>
        <w:tc>
          <w:tcPr>
            <w:tcW w:w="2137" w:type="dxa"/>
            <w:tcBorders>
              <w:tl2br w:val="nil"/>
              <w:tr2bl w:val="nil"/>
            </w:tcBorders>
            <w:noWrap w:val="0"/>
            <w:vAlign w:val="center"/>
          </w:tcPr>
          <w:p w14:paraId="43FFA7E2">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GB8978-1996</w:t>
            </w:r>
          </w:p>
        </w:tc>
      </w:tr>
      <w:tr w14:paraId="4AF35F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29" w:type="dxa"/>
            <w:tcBorders>
              <w:tl2br w:val="nil"/>
              <w:tr2bl w:val="nil"/>
            </w:tcBorders>
            <w:noWrap w:val="0"/>
            <w:vAlign w:val="center"/>
          </w:tcPr>
          <w:p w14:paraId="59BD1644">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17</w:t>
            </w:r>
          </w:p>
        </w:tc>
        <w:tc>
          <w:tcPr>
            <w:tcW w:w="5697" w:type="dxa"/>
            <w:tcBorders>
              <w:tl2br w:val="nil"/>
              <w:tr2bl w:val="nil"/>
            </w:tcBorders>
            <w:noWrap w:val="0"/>
            <w:vAlign w:val="center"/>
          </w:tcPr>
          <w:p w14:paraId="64613131">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《农村生活污水处理排放标准》</w:t>
            </w:r>
          </w:p>
        </w:tc>
        <w:tc>
          <w:tcPr>
            <w:tcW w:w="2137" w:type="dxa"/>
            <w:tcBorders>
              <w:tl2br w:val="nil"/>
              <w:tr2bl w:val="nil"/>
            </w:tcBorders>
            <w:noWrap w:val="0"/>
            <w:vAlign w:val="center"/>
          </w:tcPr>
          <w:p w14:paraId="56328909">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DB654275-2019</w:t>
            </w:r>
          </w:p>
        </w:tc>
      </w:tr>
      <w:tr w14:paraId="7B7B3F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29" w:type="dxa"/>
            <w:tcBorders>
              <w:tl2br w:val="nil"/>
              <w:tr2bl w:val="nil"/>
            </w:tcBorders>
            <w:noWrap w:val="0"/>
            <w:vAlign w:val="center"/>
          </w:tcPr>
          <w:p w14:paraId="716775EC">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18</w:t>
            </w:r>
          </w:p>
        </w:tc>
        <w:tc>
          <w:tcPr>
            <w:tcW w:w="5697" w:type="dxa"/>
            <w:tcBorders>
              <w:tl2br w:val="nil"/>
              <w:tr2bl w:val="nil"/>
            </w:tcBorders>
            <w:noWrap w:val="0"/>
            <w:vAlign w:val="center"/>
          </w:tcPr>
          <w:p w14:paraId="0697622D">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《城市污水再生利用 城市杂用水水质》</w:t>
            </w:r>
          </w:p>
        </w:tc>
        <w:tc>
          <w:tcPr>
            <w:tcW w:w="2137" w:type="dxa"/>
            <w:tcBorders>
              <w:tl2br w:val="nil"/>
              <w:tr2bl w:val="nil"/>
            </w:tcBorders>
            <w:noWrap w:val="0"/>
            <w:vAlign w:val="center"/>
          </w:tcPr>
          <w:p w14:paraId="7CB5F90C">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2"/>
                <w:szCs w:val="22"/>
                <w:highlight w:val="none"/>
                <w:lang w:val="en-US" w:eastAsia="zh-CN" w:bidi="ar-SA"/>
              </w:rPr>
              <w:t>GB/T18920-2020</w:t>
            </w:r>
          </w:p>
        </w:tc>
      </w:tr>
      <w:tr w14:paraId="2483E1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29" w:type="dxa"/>
            <w:tcBorders>
              <w:tl2br w:val="nil"/>
              <w:tr2bl w:val="nil"/>
            </w:tcBorders>
            <w:noWrap w:val="0"/>
            <w:vAlign w:val="center"/>
          </w:tcPr>
          <w:p w14:paraId="2BE56010">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19</w:t>
            </w:r>
          </w:p>
        </w:tc>
        <w:tc>
          <w:tcPr>
            <w:tcW w:w="5697" w:type="dxa"/>
            <w:tcBorders>
              <w:tl2br w:val="nil"/>
              <w:tr2bl w:val="nil"/>
            </w:tcBorders>
            <w:noWrap w:val="0"/>
            <w:vAlign w:val="center"/>
          </w:tcPr>
          <w:p w14:paraId="3A640709">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《建筑施工噪声排放标准》</w:t>
            </w:r>
          </w:p>
        </w:tc>
        <w:tc>
          <w:tcPr>
            <w:tcW w:w="2137" w:type="dxa"/>
            <w:tcBorders>
              <w:tl2br w:val="nil"/>
              <w:tr2bl w:val="nil"/>
            </w:tcBorders>
            <w:noWrap w:val="0"/>
            <w:vAlign w:val="center"/>
          </w:tcPr>
          <w:p w14:paraId="63457B00">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GB12523-20</w:t>
            </w:r>
            <w:r>
              <w:rPr>
                <w:rFonts w:hint="eastAsia" w:eastAsia="宋体" w:cs="Times New Roman"/>
                <w:color w:val="auto"/>
                <w:kern w:val="0"/>
                <w:sz w:val="21"/>
                <w:szCs w:val="21"/>
                <w:highlight w:val="none"/>
                <w:lang w:val="en-US" w:eastAsia="zh-CN" w:bidi="ar-SA"/>
              </w:rPr>
              <w:t>25</w:t>
            </w:r>
          </w:p>
        </w:tc>
      </w:tr>
      <w:tr w14:paraId="2CC266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29" w:type="dxa"/>
            <w:tcBorders>
              <w:tl2br w:val="nil"/>
              <w:tr2bl w:val="nil"/>
            </w:tcBorders>
            <w:noWrap w:val="0"/>
            <w:vAlign w:val="center"/>
          </w:tcPr>
          <w:p w14:paraId="6D1D5CA8">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20</w:t>
            </w:r>
          </w:p>
        </w:tc>
        <w:tc>
          <w:tcPr>
            <w:tcW w:w="5697" w:type="dxa"/>
            <w:tcBorders>
              <w:tl2br w:val="nil"/>
              <w:tr2bl w:val="nil"/>
            </w:tcBorders>
            <w:noWrap w:val="0"/>
            <w:vAlign w:val="center"/>
          </w:tcPr>
          <w:p w14:paraId="53B19F83">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《生态环境状况评价技术规范》</w:t>
            </w:r>
          </w:p>
        </w:tc>
        <w:tc>
          <w:tcPr>
            <w:tcW w:w="2137" w:type="dxa"/>
            <w:tcBorders>
              <w:tl2br w:val="nil"/>
              <w:tr2bl w:val="nil"/>
            </w:tcBorders>
            <w:noWrap w:val="0"/>
            <w:vAlign w:val="center"/>
          </w:tcPr>
          <w:p w14:paraId="2674E044">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HJ192-2015</w:t>
            </w:r>
          </w:p>
        </w:tc>
      </w:tr>
      <w:tr w14:paraId="1AFC39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29" w:type="dxa"/>
            <w:tcBorders>
              <w:tl2br w:val="nil"/>
              <w:tr2bl w:val="nil"/>
            </w:tcBorders>
            <w:noWrap w:val="0"/>
            <w:vAlign w:val="center"/>
          </w:tcPr>
          <w:p w14:paraId="22528B04">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21</w:t>
            </w:r>
          </w:p>
        </w:tc>
        <w:tc>
          <w:tcPr>
            <w:tcW w:w="5697" w:type="dxa"/>
            <w:tcBorders>
              <w:tl2br w:val="nil"/>
              <w:tr2bl w:val="nil"/>
            </w:tcBorders>
            <w:noWrap w:val="0"/>
            <w:vAlign w:val="center"/>
          </w:tcPr>
          <w:p w14:paraId="0573328F">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《矿山生态环境保护与恢复治理技术规范（试行）》</w:t>
            </w:r>
          </w:p>
        </w:tc>
        <w:tc>
          <w:tcPr>
            <w:tcW w:w="2137" w:type="dxa"/>
            <w:tcBorders>
              <w:tl2br w:val="nil"/>
              <w:tr2bl w:val="nil"/>
            </w:tcBorders>
            <w:noWrap w:val="0"/>
            <w:vAlign w:val="center"/>
          </w:tcPr>
          <w:p w14:paraId="32B8A4F4">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HJ651-2013</w:t>
            </w:r>
          </w:p>
        </w:tc>
      </w:tr>
      <w:tr w14:paraId="034DBB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61" w:hRule="atLeast"/>
          <w:jc w:val="center"/>
        </w:trPr>
        <w:tc>
          <w:tcPr>
            <w:tcW w:w="529" w:type="dxa"/>
            <w:tcBorders>
              <w:tl2br w:val="nil"/>
              <w:tr2bl w:val="nil"/>
            </w:tcBorders>
            <w:noWrap w:val="0"/>
            <w:vAlign w:val="center"/>
          </w:tcPr>
          <w:p w14:paraId="54E0B88F">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22</w:t>
            </w:r>
          </w:p>
        </w:tc>
        <w:tc>
          <w:tcPr>
            <w:tcW w:w="5697" w:type="dxa"/>
            <w:tcBorders>
              <w:tl2br w:val="nil"/>
              <w:tr2bl w:val="nil"/>
            </w:tcBorders>
            <w:noWrap w:val="0"/>
            <w:vAlign w:val="center"/>
          </w:tcPr>
          <w:p w14:paraId="2414781E">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《生产建设项目水土保持技术标准》</w:t>
            </w:r>
          </w:p>
        </w:tc>
        <w:tc>
          <w:tcPr>
            <w:tcW w:w="2137" w:type="dxa"/>
            <w:tcBorders>
              <w:tl2br w:val="nil"/>
              <w:tr2bl w:val="nil"/>
            </w:tcBorders>
            <w:noWrap w:val="0"/>
            <w:vAlign w:val="center"/>
          </w:tcPr>
          <w:p w14:paraId="57EB7BB8">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GB50433-2018</w:t>
            </w:r>
          </w:p>
        </w:tc>
      </w:tr>
      <w:tr w14:paraId="6E7DB2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29" w:type="dxa"/>
            <w:tcBorders>
              <w:tl2br w:val="nil"/>
              <w:tr2bl w:val="nil"/>
            </w:tcBorders>
            <w:noWrap w:val="0"/>
            <w:vAlign w:val="center"/>
          </w:tcPr>
          <w:p w14:paraId="122F05A6">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23</w:t>
            </w:r>
          </w:p>
        </w:tc>
        <w:tc>
          <w:tcPr>
            <w:tcW w:w="5697" w:type="dxa"/>
            <w:tcBorders>
              <w:tl2br w:val="nil"/>
              <w:tr2bl w:val="nil"/>
            </w:tcBorders>
            <w:noWrap w:val="0"/>
            <w:vAlign w:val="center"/>
          </w:tcPr>
          <w:p w14:paraId="10EF033F">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《生产建设项目水土流失防治标准》</w:t>
            </w:r>
          </w:p>
        </w:tc>
        <w:tc>
          <w:tcPr>
            <w:tcW w:w="2137" w:type="dxa"/>
            <w:tcBorders>
              <w:tl2br w:val="nil"/>
              <w:tr2bl w:val="nil"/>
            </w:tcBorders>
            <w:noWrap w:val="0"/>
            <w:vAlign w:val="center"/>
          </w:tcPr>
          <w:p w14:paraId="3F4E4496">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GB50434-2018</w:t>
            </w:r>
          </w:p>
        </w:tc>
      </w:tr>
      <w:tr w14:paraId="09FED9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29" w:type="dxa"/>
            <w:tcBorders>
              <w:tl2br w:val="nil"/>
              <w:tr2bl w:val="nil"/>
            </w:tcBorders>
            <w:noWrap w:val="0"/>
            <w:vAlign w:val="center"/>
          </w:tcPr>
          <w:p w14:paraId="554390DB">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24</w:t>
            </w:r>
          </w:p>
        </w:tc>
        <w:tc>
          <w:tcPr>
            <w:tcW w:w="5697" w:type="dxa"/>
            <w:tcBorders>
              <w:tl2br w:val="nil"/>
              <w:tr2bl w:val="nil"/>
            </w:tcBorders>
            <w:noWrap w:val="0"/>
            <w:vAlign w:val="center"/>
          </w:tcPr>
          <w:p w14:paraId="7017E68C">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《水土保持综合治理技术规范》</w:t>
            </w:r>
          </w:p>
        </w:tc>
        <w:tc>
          <w:tcPr>
            <w:tcW w:w="2137" w:type="dxa"/>
            <w:tcBorders>
              <w:tl2br w:val="nil"/>
              <w:tr2bl w:val="nil"/>
            </w:tcBorders>
            <w:noWrap w:val="0"/>
            <w:vAlign w:val="center"/>
          </w:tcPr>
          <w:p w14:paraId="59BFC10F">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GB16453.1~16453.6-2011</w:t>
            </w:r>
          </w:p>
        </w:tc>
      </w:tr>
      <w:tr w14:paraId="1972B6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29" w:type="dxa"/>
            <w:tcBorders>
              <w:tl2br w:val="nil"/>
              <w:tr2bl w:val="nil"/>
            </w:tcBorders>
            <w:noWrap w:val="0"/>
            <w:vAlign w:val="center"/>
          </w:tcPr>
          <w:p w14:paraId="3BB21305">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25</w:t>
            </w:r>
          </w:p>
        </w:tc>
        <w:tc>
          <w:tcPr>
            <w:tcW w:w="5697" w:type="dxa"/>
            <w:tcBorders>
              <w:tl2br w:val="nil"/>
              <w:tr2bl w:val="nil"/>
            </w:tcBorders>
            <w:noWrap w:val="0"/>
            <w:vAlign w:val="center"/>
          </w:tcPr>
          <w:p w14:paraId="1B1D77F6">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《工业企业土壤和地下水自行监测技术指南（试行）》</w:t>
            </w:r>
          </w:p>
        </w:tc>
        <w:tc>
          <w:tcPr>
            <w:tcW w:w="2137" w:type="dxa"/>
            <w:tcBorders>
              <w:tl2br w:val="nil"/>
              <w:tr2bl w:val="nil"/>
            </w:tcBorders>
            <w:noWrap w:val="0"/>
            <w:vAlign w:val="center"/>
          </w:tcPr>
          <w:p w14:paraId="531617C9">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HJ1209-2021</w:t>
            </w:r>
          </w:p>
        </w:tc>
      </w:tr>
      <w:tr w14:paraId="402D6F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29" w:type="dxa"/>
            <w:tcBorders>
              <w:tl2br w:val="nil"/>
              <w:tr2bl w:val="nil"/>
            </w:tcBorders>
            <w:noWrap w:val="0"/>
            <w:vAlign w:val="center"/>
          </w:tcPr>
          <w:p w14:paraId="4751B27B">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26</w:t>
            </w:r>
          </w:p>
        </w:tc>
        <w:tc>
          <w:tcPr>
            <w:tcW w:w="5697" w:type="dxa"/>
            <w:tcBorders>
              <w:tl2br w:val="nil"/>
              <w:tr2bl w:val="nil"/>
            </w:tcBorders>
            <w:noWrap w:val="0"/>
            <w:vAlign w:val="center"/>
          </w:tcPr>
          <w:p w14:paraId="4843AD1A">
            <w:pPr>
              <w:keepNext w:val="0"/>
              <w:keepLines w:val="0"/>
              <w:pageBreakBefore w:val="0"/>
              <w:widowControl/>
              <w:kinsoku/>
              <w:wordWrap/>
              <w:overflowPunct w:val="0"/>
              <w:topLinePunct/>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《排污许可证申请与核发技术规范 总则》</w:t>
            </w:r>
          </w:p>
        </w:tc>
        <w:tc>
          <w:tcPr>
            <w:tcW w:w="2137" w:type="dxa"/>
            <w:tcBorders>
              <w:tl2br w:val="nil"/>
              <w:tr2bl w:val="nil"/>
            </w:tcBorders>
            <w:noWrap w:val="0"/>
            <w:vAlign w:val="center"/>
          </w:tcPr>
          <w:p w14:paraId="35A906F8">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HJ942-2018</w:t>
            </w:r>
          </w:p>
        </w:tc>
      </w:tr>
      <w:tr w14:paraId="0B39CB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29" w:type="dxa"/>
            <w:tcBorders>
              <w:tl2br w:val="nil"/>
              <w:tr2bl w:val="nil"/>
            </w:tcBorders>
            <w:noWrap w:val="0"/>
            <w:vAlign w:val="center"/>
          </w:tcPr>
          <w:p w14:paraId="45EB41E8">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27</w:t>
            </w:r>
          </w:p>
        </w:tc>
        <w:tc>
          <w:tcPr>
            <w:tcW w:w="5697" w:type="dxa"/>
            <w:tcBorders>
              <w:tl2br w:val="nil"/>
              <w:tr2bl w:val="nil"/>
            </w:tcBorders>
            <w:noWrap w:val="0"/>
            <w:vAlign w:val="center"/>
          </w:tcPr>
          <w:p w14:paraId="475E5EF8">
            <w:pPr>
              <w:keepNext w:val="0"/>
              <w:keepLines w:val="0"/>
              <w:pageBreakBefore w:val="0"/>
              <w:widowControl/>
              <w:kinsoku/>
              <w:wordWrap/>
              <w:overflowPunct w:val="0"/>
              <w:topLinePunct/>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排污许可证申请与核发技术规范 锅炉</w:t>
            </w:r>
            <w:r>
              <w:rPr>
                <w:rFonts w:hint="eastAsia" w:cs="Times New Roman"/>
                <w:color w:val="auto"/>
                <w:kern w:val="0"/>
                <w:sz w:val="21"/>
                <w:szCs w:val="21"/>
                <w:highlight w:val="none"/>
                <w:lang w:val="en-US" w:eastAsia="zh-CN" w:bidi="ar-SA"/>
              </w:rPr>
              <w:t>》</w:t>
            </w:r>
          </w:p>
        </w:tc>
        <w:tc>
          <w:tcPr>
            <w:tcW w:w="2137" w:type="dxa"/>
            <w:tcBorders>
              <w:tl2br w:val="nil"/>
              <w:tr2bl w:val="nil"/>
            </w:tcBorders>
            <w:noWrap w:val="0"/>
            <w:vAlign w:val="center"/>
          </w:tcPr>
          <w:p w14:paraId="2766060B">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HJ953</w:t>
            </w:r>
            <w:r>
              <w:rPr>
                <w:rFonts w:hint="eastAsia"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2018</w:t>
            </w:r>
          </w:p>
        </w:tc>
      </w:tr>
      <w:tr w14:paraId="4855A2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29" w:type="dxa"/>
            <w:tcBorders>
              <w:tl2br w:val="nil"/>
              <w:tr2bl w:val="nil"/>
            </w:tcBorders>
            <w:noWrap w:val="0"/>
            <w:vAlign w:val="center"/>
          </w:tcPr>
          <w:p w14:paraId="11341BA9">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28</w:t>
            </w:r>
          </w:p>
        </w:tc>
        <w:tc>
          <w:tcPr>
            <w:tcW w:w="5697" w:type="dxa"/>
            <w:tcBorders>
              <w:tl2br w:val="nil"/>
              <w:tr2bl w:val="nil"/>
            </w:tcBorders>
            <w:noWrap w:val="0"/>
            <w:vAlign w:val="center"/>
          </w:tcPr>
          <w:p w14:paraId="750BFCA0">
            <w:pPr>
              <w:keepNext w:val="0"/>
              <w:keepLines w:val="0"/>
              <w:pageBreakBefore w:val="0"/>
              <w:widowControl/>
              <w:kinsoku/>
              <w:wordWrap/>
              <w:overflowPunct w:val="0"/>
              <w:topLinePunct/>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《排污许可证申请与核发技术规范</w:t>
            </w:r>
            <w:r>
              <w:rPr>
                <w:rFonts w:hint="eastAsia" w:cs="Times New Roman"/>
                <w:color w:val="auto"/>
                <w:kern w:val="0"/>
                <w:sz w:val="21"/>
                <w:szCs w:val="21"/>
                <w:highlight w:val="none"/>
                <w:lang w:val="en-US" w:eastAsia="zh-CN"/>
              </w:rPr>
              <w:t xml:space="preserve"> </w:t>
            </w:r>
            <w:r>
              <w:rPr>
                <w:rFonts w:hint="default" w:ascii="Times New Roman" w:hAnsi="Times New Roman" w:eastAsia="宋体" w:cs="Times New Roman"/>
                <w:color w:val="auto"/>
                <w:kern w:val="0"/>
                <w:sz w:val="21"/>
                <w:szCs w:val="21"/>
                <w:highlight w:val="none"/>
              </w:rPr>
              <w:t>水处理通用工序》</w:t>
            </w:r>
          </w:p>
        </w:tc>
        <w:tc>
          <w:tcPr>
            <w:tcW w:w="2137" w:type="dxa"/>
            <w:tcBorders>
              <w:tl2br w:val="nil"/>
              <w:tr2bl w:val="nil"/>
            </w:tcBorders>
            <w:noWrap w:val="0"/>
            <w:vAlign w:val="center"/>
          </w:tcPr>
          <w:p w14:paraId="611DC840">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HJ1120-2020</w:t>
            </w:r>
          </w:p>
        </w:tc>
      </w:tr>
      <w:tr w14:paraId="319D7B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29" w:type="dxa"/>
            <w:tcBorders>
              <w:tl2br w:val="nil"/>
              <w:tr2bl w:val="nil"/>
            </w:tcBorders>
            <w:noWrap w:val="0"/>
            <w:vAlign w:val="center"/>
          </w:tcPr>
          <w:p w14:paraId="4CC4CB5F">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29</w:t>
            </w:r>
          </w:p>
        </w:tc>
        <w:tc>
          <w:tcPr>
            <w:tcW w:w="5697" w:type="dxa"/>
            <w:tcBorders>
              <w:tl2br w:val="nil"/>
              <w:tr2bl w:val="nil"/>
            </w:tcBorders>
            <w:noWrap w:val="0"/>
            <w:vAlign w:val="center"/>
          </w:tcPr>
          <w:p w14:paraId="067C3FDC">
            <w:pPr>
              <w:keepNext w:val="0"/>
              <w:keepLines w:val="0"/>
              <w:pageBreakBefore w:val="0"/>
              <w:widowControl/>
              <w:kinsoku/>
              <w:wordWrap/>
              <w:overflowPunct w:val="0"/>
              <w:topLinePunct/>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"http://www.mee.gov.cn/ywgz/fgbz/bz/bzwb/jcffbz/202012/W020201203608473632069.pdf"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kern w:val="0"/>
                <w:sz w:val="21"/>
                <w:szCs w:val="21"/>
                <w:highlight w:val="none"/>
              </w:rPr>
              <w:t>地下水环境监测技术规范</w:t>
            </w:r>
            <w:r>
              <w:rPr>
                <w:rFonts w:hint="default" w:ascii="Times New Roman" w:hAnsi="Times New Roman" w:eastAsia="宋体" w:cs="Times New Roman"/>
                <w:color w:val="auto"/>
                <w:kern w:val="0"/>
                <w:sz w:val="21"/>
                <w:szCs w:val="21"/>
                <w:highlight w:val="none"/>
              </w:rPr>
              <w:fldChar w:fldCharType="end"/>
            </w:r>
            <w:r>
              <w:rPr>
                <w:rFonts w:hint="default" w:ascii="Times New Roman" w:hAnsi="Times New Roman" w:eastAsia="宋体" w:cs="Times New Roman"/>
                <w:color w:val="auto"/>
                <w:kern w:val="0"/>
                <w:sz w:val="21"/>
                <w:szCs w:val="21"/>
                <w:highlight w:val="none"/>
              </w:rPr>
              <w:t>》</w:t>
            </w:r>
          </w:p>
        </w:tc>
        <w:tc>
          <w:tcPr>
            <w:tcW w:w="2137" w:type="dxa"/>
            <w:tcBorders>
              <w:tl2br w:val="nil"/>
              <w:tr2bl w:val="nil"/>
            </w:tcBorders>
            <w:noWrap w:val="0"/>
            <w:vAlign w:val="center"/>
          </w:tcPr>
          <w:p w14:paraId="2DAFC62C">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HJ164-2020</w:t>
            </w:r>
          </w:p>
        </w:tc>
      </w:tr>
      <w:tr w14:paraId="738574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29" w:type="dxa"/>
            <w:tcBorders>
              <w:tl2br w:val="nil"/>
              <w:tr2bl w:val="nil"/>
            </w:tcBorders>
            <w:noWrap w:val="0"/>
            <w:vAlign w:val="center"/>
          </w:tcPr>
          <w:p w14:paraId="41235E8B">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30</w:t>
            </w:r>
          </w:p>
        </w:tc>
        <w:tc>
          <w:tcPr>
            <w:tcW w:w="5697" w:type="dxa"/>
            <w:tcBorders>
              <w:tl2br w:val="nil"/>
              <w:tr2bl w:val="nil"/>
            </w:tcBorders>
            <w:noWrap w:val="0"/>
            <w:vAlign w:val="center"/>
          </w:tcPr>
          <w:p w14:paraId="353D25FC">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《一般工业固体废物贮存和填埋污染控制标准》</w:t>
            </w:r>
          </w:p>
        </w:tc>
        <w:tc>
          <w:tcPr>
            <w:tcW w:w="2137" w:type="dxa"/>
            <w:tcBorders>
              <w:tl2br w:val="nil"/>
              <w:tr2bl w:val="nil"/>
            </w:tcBorders>
            <w:noWrap w:val="0"/>
            <w:vAlign w:val="center"/>
          </w:tcPr>
          <w:p w14:paraId="13FC7CD3">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GB18599-2020</w:t>
            </w:r>
          </w:p>
        </w:tc>
      </w:tr>
      <w:tr w14:paraId="0B9751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29" w:type="dxa"/>
            <w:tcBorders>
              <w:tl2br w:val="nil"/>
              <w:tr2bl w:val="nil"/>
            </w:tcBorders>
            <w:noWrap w:val="0"/>
            <w:vAlign w:val="center"/>
          </w:tcPr>
          <w:p w14:paraId="588B474F">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31</w:t>
            </w:r>
          </w:p>
        </w:tc>
        <w:tc>
          <w:tcPr>
            <w:tcW w:w="5697" w:type="dxa"/>
            <w:tcBorders>
              <w:tl2br w:val="nil"/>
              <w:tr2bl w:val="nil"/>
            </w:tcBorders>
            <w:noWrap w:val="0"/>
            <w:vAlign w:val="center"/>
          </w:tcPr>
          <w:p w14:paraId="3BBDEA0F">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《排污单位自行监测技术指南 总则》</w:t>
            </w:r>
          </w:p>
        </w:tc>
        <w:tc>
          <w:tcPr>
            <w:tcW w:w="2137" w:type="dxa"/>
            <w:tcBorders>
              <w:tl2br w:val="nil"/>
              <w:tr2bl w:val="nil"/>
            </w:tcBorders>
            <w:noWrap w:val="0"/>
            <w:vAlign w:val="center"/>
          </w:tcPr>
          <w:p w14:paraId="0EFEE98A">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HJ819-2017</w:t>
            </w:r>
          </w:p>
        </w:tc>
      </w:tr>
      <w:tr w14:paraId="04C920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29" w:type="dxa"/>
            <w:tcBorders>
              <w:tl2br w:val="nil"/>
              <w:tr2bl w:val="nil"/>
            </w:tcBorders>
            <w:noWrap w:val="0"/>
            <w:vAlign w:val="center"/>
          </w:tcPr>
          <w:p w14:paraId="318A597D">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32</w:t>
            </w:r>
          </w:p>
        </w:tc>
        <w:tc>
          <w:tcPr>
            <w:tcW w:w="5697" w:type="dxa"/>
            <w:tcBorders>
              <w:tl2br w:val="nil"/>
              <w:tr2bl w:val="nil"/>
            </w:tcBorders>
            <w:noWrap w:val="0"/>
            <w:vAlign w:val="center"/>
          </w:tcPr>
          <w:p w14:paraId="12A582B5">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《污染源源强核算技术指南 准则》</w:t>
            </w:r>
          </w:p>
        </w:tc>
        <w:tc>
          <w:tcPr>
            <w:tcW w:w="2137" w:type="dxa"/>
            <w:tcBorders>
              <w:tl2br w:val="nil"/>
              <w:tr2bl w:val="nil"/>
            </w:tcBorders>
            <w:noWrap w:val="0"/>
            <w:vAlign w:val="center"/>
          </w:tcPr>
          <w:p w14:paraId="5F621B5C">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HJ884-2018</w:t>
            </w:r>
          </w:p>
        </w:tc>
      </w:tr>
      <w:tr w14:paraId="576690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29" w:type="dxa"/>
            <w:tcBorders>
              <w:tl2br w:val="nil"/>
              <w:tr2bl w:val="nil"/>
            </w:tcBorders>
            <w:noWrap w:val="0"/>
            <w:vAlign w:val="center"/>
          </w:tcPr>
          <w:p w14:paraId="72111AD7">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33</w:t>
            </w:r>
          </w:p>
        </w:tc>
        <w:tc>
          <w:tcPr>
            <w:tcW w:w="5697" w:type="dxa"/>
            <w:tcBorders>
              <w:tl2br w:val="nil"/>
              <w:tr2bl w:val="nil"/>
            </w:tcBorders>
            <w:noWrap w:val="0"/>
            <w:vAlign w:val="center"/>
          </w:tcPr>
          <w:p w14:paraId="2F3BB08B">
            <w:pPr>
              <w:keepNext w:val="0"/>
              <w:keepLines w:val="0"/>
              <w:pageBreakBefore w:val="0"/>
              <w:widowControl/>
              <w:kinsoku/>
              <w:wordWrap/>
              <w:overflowPunct w:val="0"/>
              <w:topLinePunct/>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大气污染治理工程技术导则</w:t>
            </w:r>
            <w:r>
              <w:rPr>
                <w:rFonts w:hint="default" w:ascii="Times New Roman" w:hAnsi="Times New Roman" w:eastAsia="宋体" w:cs="Times New Roman"/>
                <w:color w:val="auto"/>
                <w:kern w:val="0"/>
                <w:sz w:val="21"/>
                <w:szCs w:val="21"/>
                <w:highlight w:val="none"/>
                <w:lang w:eastAsia="zh-CN"/>
              </w:rPr>
              <w:t>》</w:t>
            </w:r>
          </w:p>
        </w:tc>
        <w:tc>
          <w:tcPr>
            <w:tcW w:w="2137" w:type="dxa"/>
            <w:tcBorders>
              <w:tl2br w:val="nil"/>
              <w:tr2bl w:val="nil"/>
            </w:tcBorders>
            <w:noWrap w:val="0"/>
            <w:vAlign w:val="center"/>
          </w:tcPr>
          <w:p w14:paraId="2D471327">
            <w:pPr>
              <w:keepNext w:val="0"/>
              <w:keepLines w:val="0"/>
              <w:pageBreakBefore w:val="0"/>
              <w:widowControl/>
              <w:kinsoku/>
              <w:wordWrap/>
              <w:overflowPunct w:val="0"/>
              <w:topLinePunct/>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HJ2000-2010</w:t>
            </w:r>
          </w:p>
        </w:tc>
      </w:tr>
      <w:tr w14:paraId="428EAE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29" w:type="dxa"/>
            <w:tcBorders>
              <w:tl2br w:val="nil"/>
              <w:tr2bl w:val="nil"/>
            </w:tcBorders>
            <w:noWrap w:val="0"/>
            <w:vAlign w:val="center"/>
          </w:tcPr>
          <w:p w14:paraId="076E5055">
            <w:pPr>
              <w:keepNext w:val="0"/>
              <w:keepLines w:val="0"/>
              <w:pageBreakBefore w:val="0"/>
              <w:widowControl w:val="0"/>
              <w:kinsoku/>
              <w:wordWrap/>
              <w:overflowPunct w:val="0"/>
              <w:topLinePunct/>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34</w:t>
            </w:r>
          </w:p>
        </w:tc>
        <w:tc>
          <w:tcPr>
            <w:tcW w:w="5697" w:type="dxa"/>
            <w:tcBorders>
              <w:tl2br w:val="nil"/>
              <w:tr2bl w:val="nil"/>
            </w:tcBorders>
            <w:noWrap w:val="0"/>
            <w:vAlign w:val="center"/>
          </w:tcPr>
          <w:p w14:paraId="5B005A14">
            <w:pPr>
              <w:keepNext w:val="0"/>
              <w:keepLines w:val="0"/>
              <w:pageBreakBefore w:val="0"/>
              <w:widowControl/>
              <w:kinsoku/>
              <w:wordWrap/>
              <w:overflowPunct w:val="0"/>
              <w:topLinePunct/>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水污染治理工程技术导则</w:t>
            </w:r>
            <w:r>
              <w:rPr>
                <w:rFonts w:hint="default" w:ascii="Times New Roman" w:hAnsi="Times New Roman" w:eastAsia="宋体" w:cs="Times New Roman"/>
                <w:color w:val="auto"/>
                <w:kern w:val="0"/>
                <w:sz w:val="21"/>
                <w:szCs w:val="21"/>
                <w:highlight w:val="none"/>
                <w:lang w:eastAsia="zh-CN"/>
              </w:rPr>
              <w:t>》</w:t>
            </w:r>
          </w:p>
        </w:tc>
        <w:tc>
          <w:tcPr>
            <w:tcW w:w="2137" w:type="dxa"/>
            <w:tcBorders>
              <w:tl2br w:val="nil"/>
              <w:tr2bl w:val="nil"/>
            </w:tcBorders>
            <w:noWrap w:val="0"/>
            <w:vAlign w:val="center"/>
          </w:tcPr>
          <w:p w14:paraId="6BE8635D">
            <w:pPr>
              <w:keepNext w:val="0"/>
              <w:keepLines w:val="0"/>
              <w:pageBreakBefore w:val="0"/>
              <w:widowControl/>
              <w:kinsoku/>
              <w:wordWrap/>
              <w:overflowPunct w:val="0"/>
              <w:topLinePunct/>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HJ2015-2012</w:t>
            </w:r>
          </w:p>
        </w:tc>
      </w:tr>
      <w:tr w14:paraId="31DABA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29" w:type="dxa"/>
            <w:tcBorders>
              <w:tl2br w:val="nil"/>
              <w:tr2bl w:val="nil"/>
            </w:tcBorders>
            <w:noWrap w:val="0"/>
            <w:vAlign w:val="center"/>
          </w:tcPr>
          <w:p w14:paraId="55EAC135">
            <w:pPr>
              <w:keepNext w:val="0"/>
              <w:keepLines w:val="0"/>
              <w:pageBreakBefore w:val="0"/>
              <w:widowControl/>
              <w:kinsoku/>
              <w:wordWrap/>
              <w:overflowPunct w:val="0"/>
              <w:topLinePunct/>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3</w:t>
            </w:r>
            <w:r>
              <w:rPr>
                <w:rFonts w:hint="eastAsia" w:cs="Times New Roman"/>
                <w:color w:val="auto"/>
                <w:kern w:val="0"/>
                <w:sz w:val="21"/>
                <w:szCs w:val="21"/>
                <w:highlight w:val="none"/>
                <w:lang w:val="en-US" w:eastAsia="zh-CN"/>
              </w:rPr>
              <w:t>5</w:t>
            </w:r>
          </w:p>
        </w:tc>
        <w:tc>
          <w:tcPr>
            <w:tcW w:w="5697" w:type="dxa"/>
            <w:tcBorders>
              <w:tl2br w:val="nil"/>
              <w:tr2bl w:val="nil"/>
            </w:tcBorders>
            <w:noWrap w:val="0"/>
            <w:vAlign w:val="center"/>
          </w:tcPr>
          <w:p w14:paraId="7A63CD38">
            <w:pPr>
              <w:keepNext w:val="0"/>
              <w:keepLines w:val="0"/>
              <w:pageBreakBefore w:val="0"/>
              <w:widowControl/>
              <w:kinsoku/>
              <w:wordWrap/>
              <w:overflowPunct w:val="0"/>
              <w:topLinePunct/>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color w:val="auto"/>
                <w:kern w:val="1"/>
                <w:sz w:val="21"/>
                <w:szCs w:val="22"/>
                <w:highlight w:val="none"/>
                <w:lang w:val="en-US" w:eastAsia="zh-CN" w:bidi="ar-SA"/>
              </w:rPr>
            </w:pP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固体废物处理处置工程技术导则</w:t>
            </w:r>
            <w:r>
              <w:rPr>
                <w:rFonts w:hint="default" w:ascii="Times New Roman" w:hAnsi="Times New Roman" w:eastAsia="宋体" w:cs="Times New Roman"/>
                <w:color w:val="auto"/>
                <w:kern w:val="0"/>
                <w:sz w:val="21"/>
                <w:szCs w:val="21"/>
                <w:highlight w:val="none"/>
                <w:lang w:eastAsia="zh-CN"/>
              </w:rPr>
              <w:t>》</w:t>
            </w:r>
          </w:p>
        </w:tc>
        <w:tc>
          <w:tcPr>
            <w:tcW w:w="2137" w:type="dxa"/>
            <w:tcBorders>
              <w:tl2br w:val="nil"/>
              <w:tr2bl w:val="nil"/>
            </w:tcBorders>
            <w:noWrap w:val="0"/>
            <w:vAlign w:val="center"/>
          </w:tcPr>
          <w:p w14:paraId="6495223A">
            <w:pPr>
              <w:keepNext w:val="0"/>
              <w:keepLines w:val="0"/>
              <w:pageBreakBefore w:val="0"/>
              <w:widowControl/>
              <w:kinsoku/>
              <w:wordWrap/>
              <w:overflowPunct w:val="0"/>
              <w:topLinePunct/>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color w:val="auto"/>
                <w:kern w:val="1"/>
                <w:sz w:val="21"/>
                <w:szCs w:val="22"/>
                <w:highlight w:val="none"/>
                <w:lang w:val="en-US" w:eastAsia="zh-CN" w:bidi="ar-SA"/>
              </w:rPr>
            </w:pPr>
            <w:r>
              <w:rPr>
                <w:rFonts w:hint="default" w:ascii="Times New Roman" w:hAnsi="Times New Roman" w:eastAsia="宋体" w:cs="Times New Roman"/>
                <w:color w:val="auto"/>
                <w:kern w:val="0"/>
                <w:sz w:val="21"/>
                <w:szCs w:val="21"/>
                <w:highlight w:val="none"/>
              </w:rPr>
              <w:t>HJ2035-2013</w:t>
            </w:r>
          </w:p>
        </w:tc>
      </w:tr>
      <w:tr w14:paraId="581FC4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29" w:type="dxa"/>
            <w:tcBorders>
              <w:tl2br w:val="nil"/>
              <w:tr2bl w:val="nil"/>
            </w:tcBorders>
            <w:noWrap w:val="0"/>
            <w:vAlign w:val="center"/>
          </w:tcPr>
          <w:p w14:paraId="6A8552FC">
            <w:pPr>
              <w:keepNext w:val="0"/>
              <w:keepLines w:val="0"/>
              <w:pageBreakBefore w:val="0"/>
              <w:widowControl/>
              <w:kinsoku/>
              <w:wordWrap/>
              <w:overflowPunct w:val="0"/>
              <w:topLinePunct/>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3</w:t>
            </w:r>
            <w:r>
              <w:rPr>
                <w:rFonts w:hint="eastAsia" w:cs="Times New Roman"/>
                <w:color w:val="auto"/>
                <w:kern w:val="0"/>
                <w:sz w:val="21"/>
                <w:szCs w:val="21"/>
                <w:highlight w:val="none"/>
                <w:lang w:val="en-US" w:eastAsia="zh-CN"/>
              </w:rPr>
              <w:t>6</w:t>
            </w:r>
          </w:p>
        </w:tc>
        <w:tc>
          <w:tcPr>
            <w:tcW w:w="5697" w:type="dxa"/>
            <w:tcBorders>
              <w:tl2br w:val="nil"/>
              <w:tr2bl w:val="nil"/>
            </w:tcBorders>
            <w:noWrap w:val="0"/>
            <w:vAlign w:val="center"/>
          </w:tcPr>
          <w:p w14:paraId="3EB80781">
            <w:pPr>
              <w:pStyle w:val="51"/>
              <w:suppressAutoHyphens/>
              <w:overflowPunct/>
              <w:autoSpaceDE w:val="0"/>
              <w:autoSpaceDN w:val="0"/>
              <w:snapToGrid w:val="0"/>
              <w:spacing w:before="0" w:after="0" w:line="360" w:lineRule="exact"/>
              <w:ind w:firstLine="0" w:firstLineChars="0"/>
              <w:jc w:val="center"/>
              <w:textAlignment w:val="auto"/>
              <w:rPr>
                <w:rFonts w:hint="default" w:ascii="Times New Roman" w:hAnsi="Times New Roman" w:eastAsia="宋体" w:cs="Times New Roman"/>
                <w:b w:val="0"/>
                <w:bCs/>
                <w:color w:val="auto"/>
                <w:kern w:val="1"/>
                <w:sz w:val="21"/>
                <w:szCs w:val="22"/>
                <w:highlight w:val="none"/>
                <w:lang w:val="en-US" w:eastAsia="zh-CN" w:bidi="ar-SA"/>
              </w:rPr>
            </w:pPr>
            <w:r>
              <w:rPr>
                <w:rFonts w:hint="default" w:ascii="Times New Roman" w:hAnsi="Times New Roman" w:eastAsia="宋体" w:cs="Times New Roman"/>
                <w:b w:val="0"/>
                <w:bCs/>
                <w:color w:val="auto"/>
                <w:kern w:val="1"/>
                <w:sz w:val="21"/>
                <w:highlight w:val="none"/>
              </w:rPr>
              <w:t>《危险废物管理计划和管理台账制定技术导则》</w:t>
            </w:r>
          </w:p>
        </w:tc>
        <w:tc>
          <w:tcPr>
            <w:tcW w:w="2137" w:type="dxa"/>
            <w:tcBorders>
              <w:tl2br w:val="nil"/>
              <w:tr2bl w:val="nil"/>
            </w:tcBorders>
            <w:noWrap w:val="0"/>
            <w:vAlign w:val="center"/>
          </w:tcPr>
          <w:p w14:paraId="48F9D708">
            <w:pPr>
              <w:pStyle w:val="51"/>
              <w:suppressAutoHyphens/>
              <w:overflowPunct/>
              <w:autoSpaceDE w:val="0"/>
              <w:autoSpaceDN w:val="0"/>
              <w:snapToGrid w:val="0"/>
              <w:spacing w:before="0" w:after="0" w:line="360" w:lineRule="exact"/>
              <w:ind w:firstLine="0" w:firstLineChars="0"/>
              <w:jc w:val="center"/>
              <w:textAlignment w:val="auto"/>
              <w:rPr>
                <w:rFonts w:hint="default" w:ascii="Times New Roman" w:hAnsi="Times New Roman" w:eastAsia="宋体" w:cs="Times New Roman"/>
                <w:b w:val="0"/>
                <w:bCs/>
                <w:color w:val="auto"/>
                <w:kern w:val="1"/>
                <w:sz w:val="21"/>
                <w:szCs w:val="22"/>
                <w:highlight w:val="none"/>
                <w:lang w:val="en-US" w:eastAsia="zh-CN" w:bidi="ar-SA"/>
              </w:rPr>
            </w:pPr>
            <w:r>
              <w:rPr>
                <w:rFonts w:hint="default" w:ascii="Times New Roman" w:hAnsi="Times New Roman" w:eastAsia="宋体" w:cs="Times New Roman"/>
                <w:b w:val="0"/>
                <w:bCs/>
                <w:color w:val="auto"/>
                <w:kern w:val="1"/>
                <w:sz w:val="21"/>
                <w:highlight w:val="none"/>
              </w:rPr>
              <w:t>HJ1259-2022</w:t>
            </w:r>
          </w:p>
        </w:tc>
      </w:tr>
      <w:tr w14:paraId="6B37D1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29" w:type="dxa"/>
            <w:tcBorders>
              <w:tl2br w:val="nil"/>
              <w:tr2bl w:val="nil"/>
            </w:tcBorders>
            <w:noWrap w:val="0"/>
            <w:vAlign w:val="center"/>
          </w:tcPr>
          <w:p w14:paraId="496EC1A6">
            <w:pPr>
              <w:keepNext w:val="0"/>
              <w:keepLines w:val="0"/>
              <w:pageBreakBefore w:val="0"/>
              <w:widowControl/>
              <w:kinsoku/>
              <w:wordWrap/>
              <w:overflowPunct w:val="0"/>
              <w:topLinePunct/>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w:t>
            </w:r>
            <w:r>
              <w:rPr>
                <w:rFonts w:hint="eastAsia" w:cs="Times New Roman"/>
                <w:color w:val="auto"/>
                <w:kern w:val="0"/>
                <w:sz w:val="21"/>
                <w:szCs w:val="21"/>
                <w:highlight w:val="none"/>
                <w:lang w:val="en-US" w:eastAsia="zh-CN"/>
              </w:rPr>
              <w:t>7</w:t>
            </w:r>
          </w:p>
        </w:tc>
        <w:tc>
          <w:tcPr>
            <w:tcW w:w="5697" w:type="dxa"/>
            <w:tcBorders>
              <w:tl2br w:val="nil"/>
              <w:tr2bl w:val="nil"/>
            </w:tcBorders>
            <w:noWrap w:val="0"/>
            <w:vAlign w:val="center"/>
          </w:tcPr>
          <w:p w14:paraId="50F6ADAC">
            <w:pPr>
              <w:pStyle w:val="51"/>
              <w:suppressAutoHyphens/>
              <w:overflowPunct/>
              <w:autoSpaceDE w:val="0"/>
              <w:autoSpaceDN w:val="0"/>
              <w:snapToGrid w:val="0"/>
              <w:spacing w:before="0" w:after="0" w:line="360" w:lineRule="exact"/>
              <w:ind w:firstLine="0" w:firstLineChars="0"/>
              <w:jc w:val="center"/>
              <w:textAlignment w:val="auto"/>
              <w:rPr>
                <w:rFonts w:hint="default" w:ascii="Times New Roman" w:hAnsi="Times New Roman" w:eastAsia="宋体" w:cs="Times New Roman"/>
                <w:b w:val="0"/>
                <w:bCs/>
                <w:color w:val="auto"/>
                <w:kern w:val="1"/>
                <w:sz w:val="21"/>
                <w:szCs w:val="22"/>
                <w:highlight w:val="none"/>
                <w:lang w:val="en-US" w:eastAsia="zh-CN" w:bidi="ar-SA"/>
              </w:rPr>
            </w:pPr>
            <w:r>
              <w:rPr>
                <w:rFonts w:hint="default" w:ascii="Times New Roman" w:hAnsi="Times New Roman" w:eastAsia="宋体" w:cs="Times New Roman"/>
                <w:b w:val="0"/>
                <w:bCs/>
                <w:color w:val="auto"/>
                <w:kern w:val="1"/>
                <w:sz w:val="21"/>
                <w:highlight w:val="none"/>
              </w:rPr>
              <w:t>《排放源统计调查产排污核算方法和系数手册》</w:t>
            </w:r>
          </w:p>
        </w:tc>
        <w:tc>
          <w:tcPr>
            <w:tcW w:w="2137" w:type="dxa"/>
            <w:tcBorders>
              <w:tl2br w:val="nil"/>
              <w:tr2bl w:val="nil"/>
            </w:tcBorders>
            <w:noWrap w:val="0"/>
            <w:vAlign w:val="center"/>
          </w:tcPr>
          <w:p w14:paraId="18942D81">
            <w:pPr>
              <w:pStyle w:val="51"/>
              <w:suppressAutoHyphens/>
              <w:overflowPunct/>
              <w:autoSpaceDE w:val="0"/>
              <w:autoSpaceDN w:val="0"/>
              <w:snapToGrid w:val="0"/>
              <w:spacing w:before="0" w:after="0" w:line="360" w:lineRule="exact"/>
              <w:ind w:firstLine="0" w:firstLineChars="0"/>
              <w:jc w:val="center"/>
              <w:textAlignment w:val="auto"/>
              <w:rPr>
                <w:rFonts w:hint="default" w:ascii="Times New Roman" w:hAnsi="Times New Roman" w:eastAsia="宋体" w:cs="Times New Roman"/>
                <w:b w:val="0"/>
                <w:bCs/>
                <w:color w:val="auto"/>
                <w:kern w:val="1"/>
                <w:sz w:val="21"/>
                <w:szCs w:val="22"/>
                <w:highlight w:val="none"/>
                <w:lang w:val="en-US" w:eastAsia="zh-CN" w:bidi="ar-SA"/>
              </w:rPr>
            </w:pPr>
            <w:r>
              <w:rPr>
                <w:rFonts w:hint="default" w:ascii="Times New Roman" w:hAnsi="Times New Roman" w:eastAsia="宋体" w:cs="Times New Roman"/>
                <w:b w:val="0"/>
                <w:bCs/>
                <w:color w:val="auto"/>
                <w:kern w:val="1"/>
                <w:sz w:val="21"/>
                <w:highlight w:val="none"/>
              </w:rPr>
              <w:t>公告2021年第24号</w:t>
            </w:r>
          </w:p>
        </w:tc>
      </w:tr>
      <w:tr w14:paraId="3E5AAF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29" w:type="dxa"/>
            <w:tcBorders>
              <w:tl2br w:val="nil"/>
              <w:tr2bl w:val="nil"/>
            </w:tcBorders>
            <w:noWrap w:val="0"/>
            <w:vAlign w:val="center"/>
          </w:tcPr>
          <w:p w14:paraId="19150864">
            <w:pPr>
              <w:keepNext w:val="0"/>
              <w:keepLines w:val="0"/>
              <w:pageBreakBefore w:val="0"/>
              <w:widowControl/>
              <w:kinsoku/>
              <w:wordWrap/>
              <w:overflowPunct w:val="0"/>
              <w:topLinePunct/>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bookmarkStart w:id="121" w:name="_Toc11471"/>
            <w:bookmarkStart w:id="122" w:name="_Toc28718"/>
            <w:bookmarkStart w:id="123" w:name="_Toc26242"/>
            <w:r>
              <w:rPr>
                <w:rFonts w:hint="eastAsia" w:cs="Times New Roman"/>
                <w:color w:val="auto"/>
                <w:kern w:val="0"/>
                <w:sz w:val="21"/>
                <w:szCs w:val="21"/>
                <w:highlight w:val="none"/>
                <w:lang w:val="en-US" w:eastAsia="zh-CN"/>
              </w:rPr>
              <w:t>38</w:t>
            </w:r>
          </w:p>
        </w:tc>
        <w:tc>
          <w:tcPr>
            <w:tcW w:w="5697" w:type="dxa"/>
            <w:tcBorders>
              <w:tl2br w:val="nil"/>
              <w:tr2bl w:val="nil"/>
            </w:tcBorders>
            <w:noWrap w:val="0"/>
            <w:vAlign w:val="center"/>
          </w:tcPr>
          <w:p w14:paraId="11C9CD88">
            <w:pPr>
              <w:pStyle w:val="51"/>
              <w:suppressAutoHyphens/>
              <w:overflowPunct/>
              <w:autoSpaceDE w:val="0"/>
              <w:autoSpaceDN w:val="0"/>
              <w:snapToGrid w:val="0"/>
              <w:spacing w:before="0" w:after="0" w:line="360" w:lineRule="exact"/>
              <w:ind w:firstLine="0" w:firstLineChars="0"/>
              <w:jc w:val="center"/>
              <w:textAlignment w:val="auto"/>
              <w:rPr>
                <w:rFonts w:hint="default" w:ascii="Times New Roman" w:hAnsi="Times New Roman" w:eastAsia="宋体" w:cs="Times New Roman"/>
                <w:b w:val="0"/>
                <w:bCs/>
                <w:color w:val="auto"/>
                <w:kern w:val="1"/>
                <w:sz w:val="21"/>
                <w:highlight w:val="none"/>
              </w:rPr>
            </w:pPr>
            <w:r>
              <w:rPr>
                <w:rFonts w:hint="default" w:ascii="Times New Roman" w:hAnsi="Times New Roman" w:eastAsia="宋体" w:cs="Times New Roman"/>
                <w:b w:val="0"/>
                <w:bCs/>
                <w:color w:val="auto"/>
                <w:kern w:val="1"/>
                <w:sz w:val="21"/>
                <w:highlight w:val="none"/>
              </w:rPr>
              <w:t>《建设项目危险废物环境影响评价技术指南》</w:t>
            </w:r>
          </w:p>
        </w:tc>
        <w:tc>
          <w:tcPr>
            <w:tcW w:w="2137" w:type="dxa"/>
            <w:tcBorders>
              <w:tl2br w:val="nil"/>
              <w:tr2bl w:val="nil"/>
            </w:tcBorders>
            <w:noWrap w:val="0"/>
            <w:vAlign w:val="center"/>
          </w:tcPr>
          <w:p w14:paraId="01B18AC2">
            <w:pPr>
              <w:pStyle w:val="51"/>
              <w:suppressAutoHyphens/>
              <w:overflowPunct/>
              <w:autoSpaceDE w:val="0"/>
              <w:autoSpaceDN w:val="0"/>
              <w:snapToGrid w:val="0"/>
              <w:spacing w:before="0" w:after="0" w:line="360" w:lineRule="exact"/>
              <w:ind w:firstLine="0" w:firstLineChars="0"/>
              <w:jc w:val="center"/>
              <w:textAlignment w:val="auto"/>
              <w:rPr>
                <w:rFonts w:hint="default" w:ascii="Times New Roman" w:hAnsi="Times New Roman" w:eastAsia="宋体" w:cs="Times New Roman"/>
                <w:b w:val="0"/>
                <w:bCs/>
                <w:color w:val="auto"/>
                <w:kern w:val="1"/>
                <w:sz w:val="21"/>
                <w:highlight w:val="none"/>
              </w:rPr>
            </w:pPr>
            <w:r>
              <w:rPr>
                <w:rFonts w:hint="default" w:ascii="Times New Roman" w:hAnsi="Times New Roman" w:eastAsia="宋体" w:cs="Times New Roman"/>
                <w:b w:val="0"/>
                <w:bCs/>
                <w:color w:val="auto"/>
                <w:kern w:val="1"/>
                <w:sz w:val="21"/>
                <w:highlight w:val="none"/>
              </w:rPr>
              <w:t>公告2017年第43号</w:t>
            </w:r>
          </w:p>
        </w:tc>
      </w:tr>
      <w:tr w14:paraId="15E1DB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29" w:type="dxa"/>
            <w:tcBorders>
              <w:tl2br w:val="nil"/>
              <w:tr2bl w:val="nil"/>
            </w:tcBorders>
            <w:noWrap w:val="0"/>
            <w:vAlign w:val="center"/>
          </w:tcPr>
          <w:p w14:paraId="0E1DAB1B">
            <w:pPr>
              <w:keepNext w:val="0"/>
              <w:keepLines w:val="0"/>
              <w:pageBreakBefore w:val="0"/>
              <w:widowControl/>
              <w:kinsoku/>
              <w:wordWrap/>
              <w:overflowPunct w:val="0"/>
              <w:topLinePunct/>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39</w:t>
            </w:r>
          </w:p>
        </w:tc>
        <w:tc>
          <w:tcPr>
            <w:tcW w:w="5697" w:type="dxa"/>
            <w:tcBorders>
              <w:tl2br w:val="nil"/>
              <w:tr2bl w:val="nil"/>
            </w:tcBorders>
            <w:noWrap w:val="0"/>
            <w:vAlign w:val="center"/>
          </w:tcPr>
          <w:p w14:paraId="68608248">
            <w:pPr>
              <w:pStyle w:val="51"/>
              <w:suppressAutoHyphens/>
              <w:overflowPunct/>
              <w:autoSpaceDE w:val="0"/>
              <w:autoSpaceDN w:val="0"/>
              <w:snapToGrid w:val="0"/>
              <w:spacing w:before="0" w:after="0" w:line="360" w:lineRule="exact"/>
              <w:ind w:firstLine="0" w:firstLineChars="0"/>
              <w:jc w:val="center"/>
              <w:textAlignment w:val="auto"/>
              <w:rPr>
                <w:rFonts w:hint="default" w:ascii="Times New Roman" w:hAnsi="Times New Roman" w:eastAsia="宋体" w:cs="Times New Roman"/>
                <w:b w:val="0"/>
                <w:bCs/>
                <w:color w:val="auto"/>
                <w:kern w:val="1"/>
                <w:sz w:val="21"/>
                <w:highlight w:val="none"/>
              </w:rPr>
            </w:pPr>
            <w:r>
              <w:rPr>
                <w:rFonts w:hint="eastAsia" w:ascii="Times New Roman" w:hAnsi="Times New Roman" w:cs="Times New Roman"/>
                <w:b w:val="0"/>
                <w:bCs/>
                <w:color w:val="auto"/>
                <w:kern w:val="1"/>
                <w:sz w:val="21"/>
                <w:highlight w:val="none"/>
                <w:lang w:eastAsia="zh-CN"/>
              </w:rPr>
              <w:t>《</w:t>
            </w:r>
            <w:r>
              <w:rPr>
                <w:rFonts w:hint="default" w:ascii="Times New Roman" w:hAnsi="Times New Roman" w:eastAsia="宋体" w:cs="Times New Roman"/>
                <w:b w:val="0"/>
                <w:bCs/>
                <w:color w:val="auto"/>
                <w:kern w:val="1"/>
                <w:sz w:val="21"/>
                <w:highlight w:val="none"/>
              </w:rPr>
              <w:t>非金属矿行业绿色矿山建设规范</w:t>
            </w:r>
            <w:r>
              <w:rPr>
                <w:rFonts w:hint="eastAsia" w:ascii="Times New Roman" w:hAnsi="Times New Roman" w:cs="Times New Roman"/>
                <w:b w:val="0"/>
                <w:bCs/>
                <w:color w:val="auto"/>
                <w:kern w:val="1"/>
                <w:sz w:val="21"/>
                <w:highlight w:val="none"/>
                <w:lang w:eastAsia="zh-CN"/>
              </w:rPr>
              <w:t>》</w:t>
            </w:r>
          </w:p>
        </w:tc>
        <w:tc>
          <w:tcPr>
            <w:tcW w:w="2137" w:type="dxa"/>
            <w:tcBorders>
              <w:tl2br w:val="nil"/>
              <w:tr2bl w:val="nil"/>
            </w:tcBorders>
            <w:noWrap w:val="0"/>
            <w:vAlign w:val="center"/>
          </w:tcPr>
          <w:p w14:paraId="5D811B5F">
            <w:pPr>
              <w:pStyle w:val="51"/>
              <w:suppressAutoHyphens/>
              <w:overflowPunct/>
              <w:autoSpaceDE w:val="0"/>
              <w:autoSpaceDN w:val="0"/>
              <w:snapToGrid w:val="0"/>
              <w:spacing w:before="0" w:after="0" w:line="360" w:lineRule="exact"/>
              <w:ind w:firstLine="0" w:firstLineChars="0"/>
              <w:jc w:val="center"/>
              <w:textAlignment w:val="auto"/>
              <w:rPr>
                <w:rFonts w:hint="default" w:ascii="Times New Roman" w:hAnsi="Times New Roman" w:eastAsia="宋体" w:cs="Times New Roman"/>
                <w:b w:val="0"/>
                <w:bCs/>
                <w:color w:val="auto"/>
                <w:kern w:val="1"/>
                <w:sz w:val="21"/>
                <w:highlight w:val="none"/>
              </w:rPr>
            </w:pPr>
            <w:r>
              <w:rPr>
                <w:rFonts w:hint="default" w:ascii="Times New Roman" w:hAnsi="Times New Roman" w:eastAsia="宋体" w:cs="Times New Roman"/>
                <w:b w:val="0"/>
                <w:bCs/>
                <w:color w:val="auto"/>
                <w:kern w:val="1"/>
                <w:sz w:val="21"/>
                <w:highlight w:val="none"/>
              </w:rPr>
              <w:t>DZ/T</w:t>
            </w:r>
            <w:r>
              <w:rPr>
                <w:rFonts w:hint="eastAsia" w:ascii="Times New Roman" w:hAnsi="Times New Roman" w:cs="Times New Roman"/>
                <w:b w:val="0"/>
                <w:bCs/>
                <w:color w:val="auto"/>
                <w:kern w:val="1"/>
                <w:sz w:val="21"/>
                <w:highlight w:val="none"/>
                <w:lang w:val="en-US" w:eastAsia="zh-CN"/>
              </w:rPr>
              <w:t xml:space="preserve"> </w:t>
            </w:r>
            <w:r>
              <w:rPr>
                <w:rFonts w:hint="default" w:ascii="Times New Roman" w:hAnsi="Times New Roman" w:eastAsia="宋体" w:cs="Times New Roman"/>
                <w:b w:val="0"/>
                <w:bCs/>
                <w:color w:val="auto"/>
                <w:kern w:val="1"/>
                <w:sz w:val="21"/>
                <w:highlight w:val="none"/>
              </w:rPr>
              <w:t>0312-2018</w:t>
            </w:r>
          </w:p>
        </w:tc>
      </w:tr>
      <w:tr w14:paraId="29C778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529" w:type="dxa"/>
            <w:tcBorders>
              <w:tl2br w:val="nil"/>
              <w:tr2bl w:val="nil"/>
            </w:tcBorders>
            <w:noWrap w:val="0"/>
            <w:vAlign w:val="center"/>
          </w:tcPr>
          <w:p w14:paraId="29B8C734">
            <w:pPr>
              <w:keepNext w:val="0"/>
              <w:keepLines w:val="0"/>
              <w:pageBreakBefore w:val="0"/>
              <w:widowControl/>
              <w:kinsoku/>
              <w:wordWrap/>
              <w:overflowPunct w:val="0"/>
              <w:topLinePunct/>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40</w:t>
            </w:r>
          </w:p>
        </w:tc>
        <w:tc>
          <w:tcPr>
            <w:tcW w:w="5697" w:type="dxa"/>
            <w:tcBorders>
              <w:tl2br w:val="nil"/>
              <w:tr2bl w:val="nil"/>
            </w:tcBorders>
            <w:noWrap w:val="0"/>
            <w:vAlign w:val="center"/>
          </w:tcPr>
          <w:p w14:paraId="4846BE5D">
            <w:pPr>
              <w:pStyle w:val="51"/>
              <w:suppressAutoHyphens/>
              <w:overflowPunct/>
              <w:autoSpaceDE w:val="0"/>
              <w:autoSpaceDN w:val="0"/>
              <w:snapToGrid w:val="0"/>
              <w:spacing w:before="0" w:after="0" w:line="360" w:lineRule="exact"/>
              <w:ind w:firstLine="0" w:firstLineChars="0"/>
              <w:jc w:val="center"/>
              <w:textAlignment w:val="auto"/>
              <w:rPr>
                <w:rFonts w:hint="eastAsia" w:ascii="Times New Roman" w:hAnsi="Times New Roman" w:eastAsia="宋体" w:cs="Times New Roman"/>
                <w:b w:val="0"/>
                <w:bCs/>
                <w:color w:val="auto"/>
                <w:kern w:val="1"/>
                <w:sz w:val="21"/>
                <w:highlight w:val="none"/>
                <w:lang w:eastAsia="zh-CN"/>
              </w:rPr>
            </w:pPr>
            <w:r>
              <w:rPr>
                <w:rFonts w:hint="eastAsia" w:ascii="Times New Roman" w:hAnsi="Times New Roman" w:cs="Times New Roman"/>
                <w:b w:val="0"/>
                <w:bCs/>
                <w:color w:val="auto"/>
                <w:kern w:val="1"/>
                <w:sz w:val="21"/>
                <w:highlight w:val="none"/>
                <w:lang w:eastAsia="zh-CN"/>
              </w:rPr>
              <w:t>《工业企业土壤和地下水自行监测 技术指南》</w:t>
            </w:r>
          </w:p>
        </w:tc>
        <w:tc>
          <w:tcPr>
            <w:tcW w:w="2137" w:type="dxa"/>
            <w:tcBorders>
              <w:tl2br w:val="nil"/>
              <w:tr2bl w:val="nil"/>
            </w:tcBorders>
            <w:noWrap w:val="0"/>
            <w:vAlign w:val="center"/>
          </w:tcPr>
          <w:p w14:paraId="49F3D291">
            <w:pPr>
              <w:pStyle w:val="51"/>
              <w:suppressAutoHyphens/>
              <w:overflowPunct/>
              <w:autoSpaceDE w:val="0"/>
              <w:autoSpaceDN w:val="0"/>
              <w:snapToGrid w:val="0"/>
              <w:spacing w:before="0" w:after="0" w:line="360" w:lineRule="exact"/>
              <w:ind w:firstLine="0" w:firstLineChars="0"/>
              <w:jc w:val="center"/>
              <w:textAlignment w:val="auto"/>
              <w:rPr>
                <w:rFonts w:hint="default" w:ascii="Times New Roman" w:hAnsi="Times New Roman" w:eastAsia="宋体" w:cs="Times New Roman"/>
                <w:b w:val="0"/>
                <w:bCs/>
                <w:color w:val="auto"/>
                <w:kern w:val="1"/>
                <w:sz w:val="21"/>
                <w:highlight w:val="none"/>
              </w:rPr>
            </w:pPr>
            <w:r>
              <w:rPr>
                <w:rFonts w:hint="default" w:ascii="Times New Roman" w:hAnsi="Times New Roman" w:eastAsia="宋体" w:cs="Times New Roman"/>
                <w:b w:val="0"/>
                <w:bCs/>
                <w:color w:val="auto"/>
                <w:kern w:val="1"/>
                <w:sz w:val="21"/>
                <w:highlight w:val="none"/>
              </w:rPr>
              <w:t>HJ 1209</w:t>
            </w:r>
            <w:r>
              <w:rPr>
                <w:rFonts w:hint="eastAsia" w:ascii="Times New Roman" w:hAnsi="Times New Roman" w:cs="Times New Roman"/>
                <w:b w:val="0"/>
                <w:bCs/>
                <w:color w:val="auto"/>
                <w:kern w:val="1"/>
                <w:sz w:val="21"/>
                <w:highlight w:val="none"/>
                <w:lang w:val="en-US" w:eastAsia="zh-CN"/>
              </w:rPr>
              <w:t>-</w:t>
            </w:r>
            <w:r>
              <w:rPr>
                <w:rFonts w:hint="default" w:ascii="Times New Roman" w:hAnsi="Times New Roman" w:eastAsia="宋体" w:cs="Times New Roman"/>
                <w:b w:val="0"/>
                <w:bCs/>
                <w:color w:val="auto"/>
                <w:kern w:val="1"/>
                <w:sz w:val="21"/>
                <w:highlight w:val="none"/>
              </w:rPr>
              <w:t>2021</w:t>
            </w:r>
          </w:p>
        </w:tc>
      </w:tr>
    </w:tbl>
    <w:p w14:paraId="08BAFCF9">
      <w:pPr>
        <w:pStyle w:val="4"/>
        <w:rPr>
          <w:rFonts w:hint="default" w:ascii="Times New Roman" w:hAnsi="Times New Roman" w:cs="Times New Roman"/>
          <w:color w:val="auto"/>
          <w:highlight w:val="none"/>
        </w:rPr>
      </w:pPr>
      <w:r>
        <w:rPr>
          <w:rFonts w:hint="default" w:ascii="Times New Roman" w:hAnsi="Times New Roman" w:cs="Times New Roman"/>
          <w:color w:val="auto"/>
          <w:highlight w:val="none"/>
        </w:rPr>
        <w:t>2.2.3项目文件、资料</w:t>
      </w:r>
      <w:bookmarkEnd w:id="121"/>
      <w:bookmarkEnd w:id="122"/>
      <w:bookmarkEnd w:id="123"/>
    </w:p>
    <w:tbl>
      <w:tblPr>
        <w:tblStyle w:val="33"/>
        <w:tblW w:w="8423"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605"/>
        <w:gridCol w:w="6273"/>
        <w:gridCol w:w="1545"/>
      </w:tblGrid>
      <w:tr w14:paraId="1848421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tblHeader/>
          <w:jc w:val="center"/>
        </w:trPr>
        <w:tc>
          <w:tcPr>
            <w:tcW w:w="605" w:type="dxa"/>
            <w:vAlign w:val="center"/>
          </w:tcPr>
          <w:p w14:paraId="580FEBCB">
            <w:pPr>
              <w:pStyle w:val="47"/>
              <w:spacing w:before="0" w:beforeAutospacing="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6273" w:type="dxa"/>
            <w:vAlign w:val="center"/>
          </w:tcPr>
          <w:p w14:paraId="604B29F9">
            <w:pPr>
              <w:pStyle w:val="47"/>
              <w:spacing w:before="0" w:beforeAutospacing="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依据名称</w:t>
            </w:r>
          </w:p>
        </w:tc>
        <w:tc>
          <w:tcPr>
            <w:tcW w:w="1545" w:type="dxa"/>
            <w:vAlign w:val="center"/>
          </w:tcPr>
          <w:p w14:paraId="70CC7DC5">
            <w:pPr>
              <w:pStyle w:val="47"/>
              <w:spacing w:before="0" w:beforeAutospacing="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时间</w:t>
            </w:r>
          </w:p>
        </w:tc>
      </w:tr>
      <w:tr w14:paraId="15C27F2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jc w:val="center"/>
        </w:trPr>
        <w:tc>
          <w:tcPr>
            <w:tcW w:w="605" w:type="dxa"/>
            <w:vAlign w:val="center"/>
          </w:tcPr>
          <w:p w14:paraId="3B02026E">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6273" w:type="dxa"/>
            <w:vAlign w:val="center"/>
          </w:tcPr>
          <w:p w14:paraId="1CCEB7A6">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rPr>
              <w:t>新疆嘉西矿业有限公司哈密市伊州区雅满苏镇M1033萤石选矿厂及尾矿库建设项目</w:t>
            </w:r>
            <w:r>
              <w:rPr>
                <w:rFonts w:hint="default" w:ascii="Times New Roman" w:hAnsi="Times New Roman" w:cs="Times New Roman"/>
                <w:color w:val="auto"/>
                <w:sz w:val="21"/>
                <w:szCs w:val="21"/>
                <w:highlight w:val="none"/>
              </w:rPr>
              <w:t>环评委托书</w:t>
            </w:r>
          </w:p>
        </w:tc>
        <w:tc>
          <w:tcPr>
            <w:tcW w:w="1545" w:type="dxa"/>
            <w:vAlign w:val="center"/>
          </w:tcPr>
          <w:p w14:paraId="34F0691F">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202</w:t>
            </w:r>
            <w:r>
              <w:rPr>
                <w:rFonts w:hint="default" w:ascii="Times New Roman" w:hAnsi="Times New Roman" w:cs="Times New Roman"/>
                <w:color w:val="auto"/>
                <w:sz w:val="21"/>
                <w:szCs w:val="21"/>
                <w:highlight w:val="none"/>
                <w:lang w:val="en-US" w:eastAsia="zh-CN"/>
              </w:rPr>
              <w:t>5.11</w:t>
            </w:r>
          </w:p>
        </w:tc>
      </w:tr>
      <w:tr w14:paraId="517D1D0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jc w:val="center"/>
        </w:trPr>
        <w:tc>
          <w:tcPr>
            <w:tcW w:w="605" w:type="dxa"/>
            <w:vAlign w:val="center"/>
          </w:tcPr>
          <w:p w14:paraId="66D071BC">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2</w:t>
            </w:r>
          </w:p>
        </w:tc>
        <w:tc>
          <w:tcPr>
            <w:tcW w:w="6273" w:type="dxa"/>
            <w:vAlign w:val="center"/>
          </w:tcPr>
          <w:p w14:paraId="0E775F14">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新疆哈密市伊州区三支萤石矿勘探报告</w:t>
            </w:r>
          </w:p>
        </w:tc>
        <w:tc>
          <w:tcPr>
            <w:tcW w:w="1545" w:type="dxa"/>
            <w:vAlign w:val="center"/>
          </w:tcPr>
          <w:p w14:paraId="3A4A919B">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2025</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9</w:t>
            </w:r>
          </w:p>
        </w:tc>
      </w:tr>
      <w:tr w14:paraId="260F53B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jc w:val="center"/>
        </w:trPr>
        <w:tc>
          <w:tcPr>
            <w:tcW w:w="605" w:type="dxa"/>
            <w:vAlign w:val="center"/>
          </w:tcPr>
          <w:p w14:paraId="663CF5B8">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6273" w:type="dxa"/>
            <w:vAlign w:val="center"/>
          </w:tcPr>
          <w:p w14:paraId="47C7C8C8">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新疆嘉西矿业有限公司哈密市伊州区雅满苏镇M1033萤石选矿厂项目可行性研究报告</w:t>
            </w:r>
          </w:p>
        </w:tc>
        <w:tc>
          <w:tcPr>
            <w:tcW w:w="1545" w:type="dxa"/>
            <w:vAlign w:val="center"/>
          </w:tcPr>
          <w:p w14:paraId="5805B9C8">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202</w:t>
            </w:r>
            <w:r>
              <w:rPr>
                <w:rFonts w:hint="default" w:ascii="Times New Roman" w:hAnsi="Times New Roman" w:cs="Times New Roman"/>
                <w:color w:val="auto"/>
                <w:sz w:val="21"/>
                <w:szCs w:val="21"/>
                <w:highlight w:val="none"/>
                <w:lang w:val="en-US" w:eastAsia="zh-CN"/>
              </w:rPr>
              <w:t>5.12</w:t>
            </w:r>
          </w:p>
        </w:tc>
      </w:tr>
      <w:tr w14:paraId="5CA9F49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jc w:val="center"/>
        </w:trPr>
        <w:tc>
          <w:tcPr>
            <w:tcW w:w="605" w:type="dxa"/>
            <w:vAlign w:val="center"/>
          </w:tcPr>
          <w:p w14:paraId="097508D6">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6273" w:type="dxa"/>
            <w:vAlign w:val="center"/>
          </w:tcPr>
          <w:p w14:paraId="4BCECA1A">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新疆嘉西矿业有限公司哈密市伊州区雅满苏镇M1033萤石矿30万t/a建设项目尾矿库可行性研究报告</w:t>
            </w:r>
          </w:p>
        </w:tc>
        <w:tc>
          <w:tcPr>
            <w:tcW w:w="1545" w:type="dxa"/>
            <w:vAlign w:val="center"/>
          </w:tcPr>
          <w:p w14:paraId="43169FF9">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20</w:t>
            </w:r>
            <w:r>
              <w:rPr>
                <w:rFonts w:hint="default" w:ascii="Times New Roman" w:hAnsi="Times New Roman" w:cs="Times New Roman"/>
                <w:color w:val="auto"/>
                <w:sz w:val="21"/>
                <w:szCs w:val="21"/>
                <w:highlight w:val="none"/>
                <w:lang w:val="en-US" w:eastAsia="zh-CN"/>
              </w:rPr>
              <w:t>26.01</w:t>
            </w:r>
          </w:p>
        </w:tc>
      </w:tr>
      <w:tr w14:paraId="6632976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jc w:val="center"/>
        </w:trPr>
        <w:tc>
          <w:tcPr>
            <w:tcW w:w="605" w:type="dxa"/>
            <w:vAlign w:val="center"/>
          </w:tcPr>
          <w:p w14:paraId="0063A711">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6273" w:type="dxa"/>
            <w:vAlign w:val="center"/>
          </w:tcPr>
          <w:p w14:paraId="784893A6">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其他与项目相关的技术资料</w:t>
            </w:r>
          </w:p>
        </w:tc>
        <w:tc>
          <w:tcPr>
            <w:tcW w:w="1545" w:type="dxa"/>
            <w:vAlign w:val="center"/>
          </w:tcPr>
          <w:p w14:paraId="410AAAC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bl>
    <w:p w14:paraId="31144B9C">
      <w:pPr>
        <w:pStyle w:val="3"/>
        <w:spacing w:line="560" w:lineRule="atLeast"/>
        <w:rPr>
          <w:rFonts w:hint="default" w:ascii="Times New Roman" w:hAnsi="Times New Roman" w:cs="Times New Roman"/>
          <w:color w:val="auto"/>
          <w:highlight w:val="none"/>
        </w:rPr>
      </w:pPr>
      <w:bookmarkStart w:id="124" w:name="_Toc10746"/>
      <w:bookmarkStart w:id="125" w:name="_Toc107413879"/>
      <w:bookmarkStart w:id="126" w:name="_Toc107414646"/>
      <w:bookmarkStart w:id="127" w:name="_Toc24102"/>
      <w:bookmarkStart w:id="128" w:name="_Toc26518"/>
      <w:bookmarkStart w:id="129" w:name="_Toc13789"/>
      <w:bookmarkStart w:id="130" w:name="_Toc20392"/>
      <w:r>
        <w:rPr>
          <w:rFonts w:hint="default" w:ascii="Times New Roman" w:hAnsi="Times New Roman" w:cs="Times New Roman"/>
          <w:color w:val="auto"/>
          <w:highlight w:val="none"/>
        </w:rPr>
        <w:t>2.3环境影响评价时段</w:t>
      </w:r>
      <w:bookmarkEnd w:id="124"/>
      <w:bookmarkEnd w:id="125"/>
      <w:bookmarkEnd w:id="126"/>
      <w:bookmarkEnd w:id="127"/>
      <w:bookmarkEnd w:id="128"/>
      <w:bookmarkEnd w:id="129"/>
      <w:bookmarkEnd w:id="130"/>
    </w:p>
    <w:p w14:paraId="2782035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本项目分为三个评价时段：</w:t>
      </w:r>
    </w:p>
    <w:p w14:paraId="2B9948C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（1）施工期；</w:t>
      </w:r>
    </w:p>
    <w:p w14:paraId="4BCFAD4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（2）运营期；</w:t>
      </w:r>
    </w:p>
    <w:p w14:paraId="5F5300D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（3）退役期。</w:t>
      </w:r>
    </w:p>
    <w:p w14:paraId="0E649746">
      <w:pPr>
        <w:pStyle w:val="3"/>
        <w:spacing w:line="560" w:lineRule="atLeast"/>
        <w:rPr>
          <w:rFonts w:hint="default" w:ascii="Times New Roman" w:hAnsi="Times New Roman" w:cs="Times New Roman"/>
          <w:color w:val="auto"/>
          <w:highlight w:val="none"/>
        </w:rPr>
      </w:pPr>
      <w:bookmarkStart w:id="131" w:name="_Toc703"/>
      <w:bookmarkStart w:id="132" w:name="_Toc21200"/>
      <w:bookmarkStart w:id="133" w:name="_Toc107413880"/>
      <w:bookmarkStart w:id="134" w:name="_Toc27166"/>
      <w:bookmarkStart w:id="135" w:name="_Toc13881"/>
      <w:bookmarkStart w:id="136" w:name="_Toc15441"/>
      <w:bookmarkStart w:id="137" w:name="_Toc107414647"/>
      <w:r>
        <w:rPr>
          <w:rFonts w:hint="default" w:ascii="Times New Roman" w:hAnsi="Times New Roman" w:cs="Times New Roman"/>
          <w:color w:val="auto"/>
          <w:highlight w:val="none"/>
        </w:rPr>
        <w:t>2.4评价因子识别及筛选</w:t>
      </w:r>
      <w:bookmarkEnd w:id="131"/>
      <w:bookmarkEnd w:id="132"/>
      <w:bookmarkEnd w:id="133"/>
      <w:bookmarkEnd w:id="134"/>
      <w:bookmarkEnd w:id="135"/>
      <w:bookmarkEnd w:id="136"/>
      <w:bookmarkEnd w:id="137"/>
    </w:p>
    <w:p w14:paraId="7CA9A14F">
      <w:pPr>
        <w:pStyle w:val="4"/>
        <w:rPr>
          <w:rFonts w:hint="default" w:ascii="Times New Roman" w:hAnsi="Times New Roman" w:cs="Times New Roman"/>
          <w:color w:val="auto"/>
          <w:highlight w:val="none"/>
        </w:rPr>
      </w:pPr>
      <w:bookmarkStart w:id="138" w:name="_Toc21190"/>
      <w:bookmarkStart w:id="139" w:name="_Toc13960"/>
      <w:bookmarkStart w:id="140" w:name="_Toc31514"/>
      <w:bookmarkStart w:id="141" w:name="_Toc5447"/>
      <w:bookmarkStart w:id="142" w:name="_Toc1207"/>
      <w:bookmarkStart w:id="143" w:name="_Toc8082"/>
      <w:bookmarkStart w:id="144" w:name="_Toc27907"/>
      <w:bookmarkStart w:id="145" w:name="_Toc16194"/>
      <w:bookmarkStart w:id="146" w:name="_Toc8897"/>
      <w:r>
        <w:rPr>
          <w:rFonts w:hint="default" w:ascii="Times New Roman" w:hAnsi="Times New Roman" w:cs="Times New Roman"/>
          <w:color w:val="auto"/>
          <w:highlight w:val="none"/>
        </w:rPr>
        <w:t>2.4.1环境影响因素识别</w:t>
      </w:r>
      <w:bookmarkEnd w:id="138"/>
      <w:bookmarkEnd w:id="139"/>
      <w:bookmarkEnd w:id="140"/>
      <w:bookmarkEnd w:id="141"/>
      <w:bookmarkEnd w:id="142"/>
      <w:bookmarkEnd w:id="143"/>
      <w:bookmarkEnd w:id="144"/>
      <w:bookmarkEnd w:id="145"/>
      <w:bookmarkEnd w:id="146"/>
    </w:p>
    <w:p w14:paraId="158E759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本项目为选矿工程，经过对本项目生产工艺和污染物排放特征分析及对周围环境状况的调查，采用矩阵法对可能受本项目影响的环境要素进行识别筛选</w:t>
      </w:r>
      <w:r>
        <w:rPr>
          <w:rFonts w:hint="default" w:ascii="Times New Roman" w:hAnsi="Times New Roman" w:cs="Times New Roman"/>
          <w:color w:val="auto"/>
          <w:highlight w:val="none"/>
        </w:rPr>
        <w:t>，项目环境影响因素识别见表2.4-1。</w:t>
      </w:r>
    </w:p>
    <w:p w14:paraId="56C38CD6">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表2.4-1    主要环境影响因素识别表</w:t>
      </w:r>
    </w:p>
    <w:tbl>
      <w:tblPr>
        <w:tblStyle w:val="3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17"/>
        <w:gridCol w:w="1056"/>
        <w:gridCol w:w="751"/>
        <w:gridCol w:w="612"/>
        <w:gridCol w:w="639"/>
        <w:gridCol w:w="555"/>
        <w:gridCol w:w="682"/>
        <w:gridCol w:w="1044"/>
        <w:gridCol w:w="653"/>
        <w:gridCol w:w="625"/>
        <w:gridCol w:w="659"/>
        <w:gridCol w:w="626"/>
      </w:tblGrid>
      <w:tr w14:paraId="2D7A6B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362" w:type="pct"/>
            <w:vMerge w:val="restart"/>
            <w:tcBorders>
              <w:tl2br w:val="nil"/>
              <w:tr2bl w:val="nil"/>
            </w:tcBorders>
            <w:vAlign w:val="center"/>
          </w:tcPr>
          <w:p w14:paraId="554D4359">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评价时段</w:t>
            </w:r>
          </w:p>
        </w:tc>
        <w:tc>
          <w:tcPr>
            <w:tcW w:w="620" w:type="pct"/>
            <w:vMerge w:val="restart"/>
            <w:tcBorders>
              <w:tl2br w:val="nil"/>
              <w:tr2bl w:val="nil"/>
            </w:tcBorders>
            <w:vAlign w:val="center"/>
          </w:tcPr>
          <w:p w14:paraId="1AC7FAA9">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污染因素</w:t>
            </w:r>
          </w:p>
        </w:tc>
        <w:tc>
          <w:tcPr>
            <w:tcW w:w="4017" w:type="pct"/>
            <w:gridSpan w:val="10"/>
            <w:tcBorders>
              <w:tl2br w:val="nil"/>
              <w:tr2bl w:val="nil"/>
            </w:tcBorders>
            <w:vAlign w:val="center"/>
          </w:tcPr>
          <w:p w14:paraId="1D546122">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环境要素</w:t>
            </w:r>
          </w:p>
        </w:tc>
      </w:tr>
      <w:tr w14:paraId="2E4B86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362" w:type="pct"/>
            <w:vMerge w:val="continue"/>
            <w:tcBorders>
              <w:tl2br w:val="nil"/>
              <w:tr2bl w:val="nil"/>
            </w:tcBorders>
            <w:vAlign w:val="center"/>
          </w:tcPr>
          <w:p w14:paraId="16969052">
            <w:pPr>
              <w:spacing w:line="360" w:lineRule="exact"/>
              <w:ind w:firstLine="0" w:firstLineChars="0"/>
              <w:jc w:val="center"/>
              <w:rPr>
                <w:rFonts w:hint="default" w:ascii="Times New Roman" w:hAnsi="Times New Roman" w:cs="Times New Roman"/>
                <w:b/>
                <w:bCs/>
                <w:color w:val="auto"/>
                <w:sz w:val="21"/>
                <w:szCs w:val="21"/>
                <w:highlight w:val="none"/>
              </w:rPr>
            </w:pPr>
          </w:p>
        </w:tc>
        <w:tc>
          <w:tcPr>
            <w:tcW w:w="620" w:type="pct"/>
            <w:vMerge w:val="continue"/>
            <w:tcBorders>
              <w:tl2br w:val="nil"/>
              <w:tr2bl w:val="nil"/>
            </w:tcBorders>
            <w:vAlign w:val="center"/>
          </w:tcPr>
          <w:p w14:paraId="74C4912D">
            <w:pPr>
              <w:spacing w:line="360" w:lineRule="exact"/>
              <w:ind w:firstLine="0" w:firstLineChars="0"/>
              <w:jc w:val="center"/>
              <w:rPr>
                <w:rFonts w:hint="default" w:ascii="Times New Roman" w:hAnsi="Times New Roman" w:cs="Times New Roman"/>
                <w:b/>
                <w:bCs/>
                <w:color w:val="auto"/>
                <w:sz w:val="21"/>
                <w:szCs w:val="21"/>
                <w:highlight w:val="none"/>
              </w:rPr>
            </w:pPr>
          </w:p>
        </w:tc>
        <w:tc>
          <w:tcPr>
            <w:tcW w:w="441" w:type="pct"/>
            <w:vMerge w:val="restart"/>
            <w:tcBorders>
              <w:tl2br w:val="nil"/>
              <w:tr2bl w:val="nil"/>
            </w:tcBorders>
            <w:vAlign w:val="center"/>
          </w:tcPr>
          <w:p w14:paraId="1CB08224">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环境空气</w:t>
            </w:r>
          </w:p>
        </w:tc>
        <w:tc>
          <w:tcPr>
            <w:tcW w:w="359" w:type="pct"/>
            <w:vMerge w:val="restart"/>
            <w:tcBorders>
              <w:tl2br w:val="nil"/>
              <w:tr2bl w:val="nil"/>
            </w:tcBorders>
            <w:vAlign w:val="center"/>
          </w:tcPr>
          <w:p w14:paraId="3D9FC34A">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地表水</w:t>
            </w:r>
          </w:p>
        </w:tc>
        <w:tc>
          <w:tcPr>
            <w:tcW w:w="375" w:type="pct"/>
            <w:vMerge w:val="restart"/>
            <w:tcBorders>
              <w:tl2br w:val="nil"/>
              <w:tr2bl w:val="nil"/>
            </w:tcBorders>
            <w:vAlign w:val="center"/>
          </w:tcPr>
          <w:p w14:paraId="4448FD57">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地下水</w:t>
            </w:r>
          </w:p>
        </w:tc>
        <w:tc>
          <w:tcPr>
            <w:tcW w:w="326" w:type="pct"/>
            <w:vMerge w:val="restart"/>
            <w:tcBorders>
              <w:tl2br w:val="nil"/>
              <w:tr2bl w:val="nil"/>
            </w:tcBorders>
            <w:vAlign w:val="center"/>
          </w:tcPr>
          <w:p w14:paraId="368B4F54">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声环境</w:t>
            </w:r>
          </w:p>
        </w:tc>
        <w:tc>
          <w:tcPr>
            <w:tcW w:w="2150" w:type="pct"/>
            <w:gridSpan w:val="5"/>
            <w:tcBorders>
              <w:tl2br w:val="nil"/>
              <w:tr2bl w:val="nil"/>
            </w:tcBorders>
            <w:vAlign w:val="center"/>
          </w:tcPr>
          <w:p w14:paraId="1ED0974B">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生态</w:t>
            </w:r>
          </w:p>
        </w:tc>
        <w:tc>
          <w:tcPr>
            <w:tcW w:w="363" w:type="pct"/>
            <w:vMerge w:val="restart"/>
            <w:tcBorders>
              <w:tl2br w:val="nil"/>
              <w:tr2bl w:val="nil"/>
            </w:tcBorders>
            <w:vAlign w:val="center"/>
          </w:tcPr>
          <w:p w14:paraId="7147B26D">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环境风险</w:t>
            </w:r>
          </w:p>
        </w:tc>
      </w:tr>
      <w:tr w14:paraId="52ED4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362" w:type="pct"/>
            <w:vMerge w:val="continue"/>
            <w:tcBorders>
              <w:tl2br w:val="nil"/>
              <w:tr2bl w:val="nil"/>
            </w:tcBorders>
            <w:vAlign w:val="center"/>
          </w:tcPr>
          <w:p w14:paraId="2AAEC120">
            <w:pPr>
              <w:spacing w:line="360" w:lineRule="exact"/>
              <w:ind w:firstLine="0" w:firstLineChars="0"/>
              <w:jc w:val="center"/>
              <w:rPr>
                <w:rFonts w:hint="default" w:ascii="Times New Roman" w:hAnsi="Times New Roman" w:cs="Times New Roman"/>
                <w:color w:val="auto"/>
                <w:sz w:val="21"/>
                <w:szCs w:val="21"/>
                <w:highlight w:val="none"/>
              </w:rPr>
            </w:pPr>
          </w:p>
        </w:tc>
        <w:tc>
          <w:tcPr>
            <w:tcW w:w="620" w:type="pct"/>
            <w:vMerge w:val="continue"/>
            <w:tcBorders>
              <w:tl2br w:val="nil"/>
              <w:tr2bl w:val="nil"/>
            </w:tcBorders>
            <w:vAlign w:val="center"/>
          </w:tcPr>
          <w:p w14:paraId="18FA2464">
            <w:pPr>
              <w:spacing w:line="360" w:lineRule="exact"/>
              <w:ind w:firstLine="0" w:firstLineChars="0"/>
              <w:jc w:val="center"/>
              <w:rPr>
                <w:rFonts w:hint="default" w:ascii="Times New Roman" w:hAnsi="Times New Roman" w:cs="Times New Roman"/>
                <w:color w:val="auto"/>
                <w:sz w:val="21"/>
                <w:szCs w:val="21"/>
                <w:highlight w:val="none"/>
              </w:rPr>
            </w:pPr>
          </w:p>
        </w:tc>
        <w:tc>
          <w:tcPr>
            <w:tcW w:w="441" w:type="pct"/>
            <w:vMerge w:val="continue"/>
            <w:tcBorders>
              <w:tl2br w:val="nil"/>
              <w:tr2bl w:val="nil"/>
            </w:tcBorders>
            <w:vAlign w:val="center"/>
          </w:tcPr>
          <w:p w14:paraId="085E6135">
            <w:pPr>
              <w:spacing w:line="360" w:lineRule="exact"/>
              <w:ind w:firstLine="0" w:firstLineChars="0"/>
              <w:jc w:val="center"/>
              <w:rPr>
                <w:rFonts w:hint="default" w:ascii="Times New Roman" w:hAnsi="Times New Roman" w:cs="Times New Roman"/>
                <w:color w:val="auto"/>
                <w:sz w:val="21"/>
                <w:szCs w:val="21"/>
                <w:highlight w:val="none"/>
              </w:rPr>
            </w:pPr>
          </w:p>
        </w:tc>
        <w:tc>
          <w:tcPr>
            <w:tcW w:w="359" w:type="pct"/>
            <w:vMerge w:val="continue"/>
            <w:tcBorders>
              <w:tl2br w:val="nil"/>
              <w:tr2bl w:val="nil"/>
            </w:tcBorders>
            <w:vAlign w:val="center"/>
          </w:tcPr>
          <w:p w14:paraId="0C3E89DB">
            <w:pPr>
              <w:spacing w:line="360" w:lineRule="exact"/>
              <w:ind w:firstLine="0" w:firstLineChars="0"/>
              <w:jc w:val="center"/>
              <w:rPr>
                <w:rFonts w:hint="default" w:ascii="Times New Roman" w:hAnsi="Times New Roman" w:cs="Times New Roman"/>
                <w:color w:val="auto"/>
                <w:sz w:val="21"/>
                <w:szCs w:val="21"/>
                <w:highlight w:val="none"/>
              </w:rPr>
            </w:pPr>
          </w:p>
        </w:tc>
        <w:tc>
          <w:tcPr>
            <w:tcW w:w="375" w:type="pct"/>
            <w:vMerge w:val="continue"/>
            <w:tcBorders>
              <w:tl2br w:val="nil"/>
              <w:tr2bl w:val="nil"/>
            </w:tcBorders>
            <w:vAlign w:val="center"/>
          </w:tcPr>
          <w:p w14:paraId="31843821">
            <w:pPr>
              <w:spacing w:line="360" w:lineRule="exact"/>
              <w:ind w:firstLine="0" w:firstLineChars="0"/>
              <w:jc w:val="center"/>
              <w:rPr>
                <w:rFonts w:hint="default" w:ascii="Times New Roman" w:hAnsi="Times New Roman" w:cs="Times New Roman"/>
                <w:color w:val="auto"/>
                <w:sz w:val="21"/>
                <w:szCs w:val="21"/>
                <w:highlight w:val="none"/>
              </w:rPr>
            </w:pPr>
          </w:p>
        </w:tc>
        <w:tc>
          <w:tcPr>
            <w:tcW w:w="326" w:type="pct"/>
            <w:vMerge w:val="continue"/>
            <w:tcBorders>
              <w:tl2br w:val="nil"/>
              <w:tr2bl w:val="nil"/>
            </w:tcBorders>
            <w:vAlign w:val="center"/>
          </w:tcPr>
          <w:p w14:paraId="0447AEBD">
            <w:pPr>
              <w:spacing w:line="360" w:lineRule="exact"/>
              <w:ind w:firstLine="0" w:firstLineChars="0"/>
              <w:jc w:val="center"/>
              <w:rPr>
                <w:rFonts w:hint="default" w:ascii="Times New Roman" w:hAnsi="Times New Roman" w:cs="Times New Roman"/>
                <w:color w:val="auto"/>
                <w:sz w:val="21"/>
                <w:szCs w:val="21"/>
                <w:highlight w:val="none"/>
              </w:rPr>
            </w:pPr>
          </w:p>
        </w:tc>
        <w:tc>
          <w:tcPr>
            <w:tcW w:w="400" w:type="pct"/>
            <w:tcBorders>
              <w:tl2br w:val="nil"/>
              <w:tr2bl w:val="nil"/>
            </w:tcBorders>
            <w:vAlign w:val="center"/>
          </w:tcPr>
          <w:p w14:paraId="1F123176">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植被</w:t>
            </w:r>
          </w:p>
        </w:tc>
        <w:tc>
          <w:tcPr>
            <w:tcW w:w="613" w:type="pct"/>
            <w:tcBorders>
              <w:tl2br w:val="nil"/>
              <w:tr2bl w:val="nil"/>
            </w:tcBorders>
            <w:vAlign w:val="center"/>
          </w:tcPr>
          <w:p w14:paraId="598988E1">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土壤或土地利用</w:t>
            </w:r>
          </w:p>
        </w:tc>
        <w:tc>
          <w:tcPr>
            <w:tcW w:w="383" w:type="pct"/>
            <w:tcBorders>
              <w:tl2br w:val="nil"/>
              <w:tr2bl w:val="nil"/>
            </w:tcBorders>
            <w:vAlign w:val="center"/>
          </w:tcPr>
          <w:p w14:paraId="20F8CFB4">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水土流失</w:t>
            </w:r>
          </w:p>
        </w:tc>
        <w:tc>
          <w:tcPr>
            <w:tcW w:w="367" w:type="pct"/>
            <w:tcBorders>
              <w:tl2br w:val="nil"/>
              <w:tr2bl w:val="nil"/>
            </w:tcBorders>
            <w:vAlign w:val="center"/>
          </w:tcPr>
          <w:p w14:paraId="0F1B4B12">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自然景观</w:t>
            </w:r>
          </w:p>
        </w:tc>
        <w:tc>
          <w:tcPr>
            <w:tcW w:w="384" w:type="pct"/>
            <w:tcBorders>
              <w:tl2br w:val="nil"/>
              <w:tr2bl w:val="nil"/>
            </w:tcBorders>
            <w:vAlign w:val="center"/>
          </w:tcPr>
          <w:p w14:paraId="4CD33057">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野生生物</w:t>
            </w:r>
          </w:p>
        </w:tc>
        <w:tc>
          <w:tcPr>
            <w:tcW w:w="363" w:type="pct"/>
            <w:vMerge w:val="continue"/>
            <w:tcBorders>
              <w:tl2br w:val="nil"/>
              <w:tr2bl w:val="nil"/>
            </w:tcBorders>
            <w:vAlign w:val="center"/>
          </w:tcPr>
          <w:p w14:paraId="19CEED2D">
            <w:pPr>
              <w:spacing w:line="360" w:lineRule="exact"/>
              <w:ind w:firstLine="0" w:firstLineChars="0"/>
              <w:jc w:val="center"/>
              <w:rPr>
                <w:rFonts w:hint="default" w:ascii="Times New Roman" w:hAnsi="Times New Roman" w:cs="Times New Roman"/>
                <w:b/>
                <w:bCs/>
                <w:color w:val="auto"/>
                <w:sz w:val="21"/>
                <w:szCs w:val="21"/>
                <w:highlight w:val="none"/>
              </w:rPr>
            </w:pPr>
          </w:p>
        </w:tc>
      </w:tr>
      <w:tr w14:paraId="5B0B6A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55" w:hRule="atLeast"/>
          <w:jc w:val="center"/>
        </w:trPr>
        <w:tc>
          <w:tcPr>
            <w:tcW w:w="362" w:type="pct"/>
            <w:vMerge w:val="restart"/>
            <w:tcBorders>
              <w:tl2br w:val="nil"/>
              <w:tr2bl w:val="nil"/>
            </w:tcBorders>
            <w:vAlign w:val="center"/>
          </w:tcPr>
          <w:p w14:paraId="2089A2D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施工期</w:t>
            </w:r>
          </w:p>
        </w:tc>
        <w:tc>
          <w:tcPr>
            <w:tcW w:w="620" w:type="pct"/>
            <w:tcBorders>
              <w:tl2br w:val="nil"/>
              <w:tr2bl w:val="nil"/>
            </w:tcBorders>
            <w:vAlign w:val="center"/>
          </w:tcPr>
          <w:p w14:paraId="05AECDB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土建工程</w:t>
            </w:r>
          </w:p>
          <w:p w14:paraId="5CDBC52A">
            <w:pPr>
              <w:pStyle w:val="32"/>
              <w:spacing w:after="0" w:line="360" w:lineRule="exact"/>
              <w:ind w:left="0" w:lef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土地平整</w:t>
            </w:r>
          </w:p>
        </w:tc>
        <w:tc>
          <w:tcPr>
            <w:tcW w:w="441" w:type="pct"/>
            <w:tcBorders>
              <w:tl2br w:val="nil"/>
              <w:tr2bl w:val="nil"/>
            </w:tcBorders>
            <w:vAlign w:val="center"/>
          </w:tcPr>
          <w:p w14:paraId="1A2D1A0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-2D</w:t>
            </w:r>
          </w:p>
        </w:tc>
        <w:tc>
          <w:tcPr>
            <w:tcW w:w="359" w:type="pct"/>
            <w:tcBorders>
              <w:tl2br w:val="nil"/>
              <w:tr2bl w:val="nil"/>
            </w:tcBorders>
            <w:vAlign w:val="center"/>
          </w:tcPr>
          <w:p w14:paraId="004B31AA">
            <w:pPr>
              <w:spacing w:line="360" w:lineRule="exact"/>
              <w:ind w:firstLine="0" w:firstLineChars="0"/>
              <w:jc w:val="center"/>
              <w:rPr>
                <w:rFonts w:hint="default" w:ascii="Times New Roman" w:hAnsi="Times New Roman" w:cs="Times New Roman"/>
                <w:color w:val="auto"/>
                <w:sz w:val="21"/>
                <w:szCs w:val="21"/>
                <w:highlight w:val="none"/>
              </w:rPr>
            </w:pPr>
          </w:p>
        </w:tc>
        <w:tc>
          <w:tcPr>
            <w:tcW w:w="375" w:type="pct"/>
            <w:tcBorders>
              <w:tl2br w:val="nil"/>
              <w:tr2bl w:val="nil"/>
            </w:tcBorders>
            <w:vAlign w:val="center"/>
          </w:tcPr>
          <w:p w14:paraId="2FC51A08">
            <w:pPr>
              <w:spacing w:line="360" w:lineRule="exact"/>
              <w:ind w:firstLine="0" w:firstLineChars="0"/>
              <w:jc w:val="center"/>
              <w:rPr>
                <w:rFonts w:hint="default" w:ascii="Times New Roman" w:hAnsi="Times New Roman" w:cs="Times New Roman"/>
                <w:color w:val="auto"/>
                <w:sz w:val="21"/>
                <w:szCs w:val="21"/>
                <w:highlight w:val="none"/>
              </w:rPr>
            </w:pPr>
          </w:p>
        </w:tc>
        <w:tc>
          <w:tcPr>
            <w:tcW w:w="326" w:type="pct"/>
            <w:tcBorders>
              <w:tl2br w:val="nil"/>
              <w:tr2bl w:val="nil"/>
            </w:tcBorders>
            <w:vAlign w:val="center"/>
          </w:tcPr>
          <w:p w14:paraId="2147C0B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-1D</w:t>
            </w:r>
          </w:p>
        </w:tc>
        <w:tc>
          <w:tcPr>
            <w:tcW w:w="400" w:type="pct"/>
            <w:tcBorders>
              <w:tl2br w:val="nil"/>
              <w:tr2bl w:val="nil"/>
            </w:tcBorders>
            <w:vAlign w:val="center"/>
          </w:tcPr>
          <w:p w14:paraId="03EC631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-1D</w:t>
            </w:r>
          </w:p>
        </w:tc>
        <w:tc>
          <w:tcPr>
            <w:tcW w:w="613" w:type="pct"/>
            <w:tcBorders>
              <w:tl2br w:val="nil"/>
              <w:tr2bl w:val="nil"/>
            </w:tcBorders>
            <w:vAlign w:val="center"/>
          </w:tcPr>
          <w:p w14:paraId="53C3E64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-1D</w:t>
            </w:r>
          </w:p>
        </w:tc>
        <w:tc>
          <w:tcPr>
            <w:tcW w:w="383" w:type="pct"/>
            <w:tcBorders>
              <w:tl2br w:val="nil"/>
              <w:tr2bl w:val="nil"/>
            </w:tcBorders>
            <w:vAlign w:val="center"/>
          </w:tcPr>
          <w:p w14:paraId="654EA7E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-1D</w:t>
            </w:r>
          </w:p>
        </w:tc>
        <w:tc>
          <w:tcPr>
            <w:tcW w:w="367" w:type="pct"/>
            <w:tcBorders>
              <w:tl2br w:val="nil"/>
              <w:tr2bl w:val="nil"/>
            </w:tcBorders>
            <w:vAlign w:val="center"/>
          </w:tcPr>
          <w:p w14:paraId="4302394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-1D</w:t>
            </w:r>
          </w:p>
        </w:tc>
        <w:tc>
          <w:tcPr>
            <w:tcW w:w="384" w:type="pct"/>
            <w:tcBorders>
              <w:tl2br w:val="nil"/>
              <w:tr2bl w:val="nil"/>
            </w:tcBorders>
            <w:vAlign w:val="center"/>
          </w:tcPr>
          <w:p w14:paraId="6B2EB76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-1D</w:t>
            </w:r>
          </w:p>
        </w:tc>
        <w:tc>
          <w:tcPr>
            <w:tcW w:w="363" w:type="pct"/>
            <w:tcBorders>
              <w:tl2br w:val="nil"/>
              <w:tr2bl w:val="nil"/>
            </w:tcBorders>
            <w:vAlign w:val="center"/>
          </w:tcPr>
          <w:p w14:paraId="6655317E">
            <w:pPr>
              <w:spacing w:line="360" w:lineRule="exact"/>
              <w:ind w:firstLine="0" w:firstLineChars="0"/>
              <w:jc w:val="center"/>
              <w:rPr>
                <w:rFonts w:hint="default" w:ascii="Times New Roman" w:hAnsi="Times New Roman" w:cs="Times New Roman"/>
                <w:color w:val="auto"/>
                <w:sz w:val="21"/>
                <w:szCs w:val="21"/>
                <w:highlight w:val="none"/>
              </w:rPr>
            </w:pPr>
          </w:p>
        </w:tc>
      </w:tr>
      <w:tr w14:paraId="150479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362" w:type="pct"/>
            <w:vMerge w:val="continue"/>
            <w:tcBorders>
              <w:tl2br w:val="nil"/>
              <w:tr2bl w:val="nil"/>
            </w:tcBorders>
            <w:vAlign w:val="center"/>
          </w:tcPr>
          <w:p w14:paraId="050FC39E">
            <w:pPr>
              <w:spacing w:line="360" w:lineRule="exact"/>
              <w:ind w:firstLine="0" w:firstLineChars="0"/>
              <w:jc w:val="center"/>
              <w:rPr>
                <w:rFonts w:hint="default" w:ascii="Times New Roman" w:hAnsi="Times New Roman" w:cs="Times New Roman"/>
                <w:color w:val="auto"/>
                <w:sz w:val="21"/>
                <w:szCs w:val="21"/>
                <w:highlight w:val="none"/>
              </w:rPr>
            </w:pPr>
          </w:p>
        </w:tc>
        <w:tc>
          <w:tcPr>
            <w:tcW w:w="620" w:type="pct"/>
            <w:tcBorders>
              <w:tl2br w:val="nil"/>
              <w:tr2bl w:val="nil"/>
            </w:tcBorders>
            <w:vAlign w:val="center"/>
          </w:tcPr>
          <w:p w14:paraId="7B3A403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物料运输</w:t>
            </w:r>
          </w:p>
        </w:tc>
        <w:tc>
          <w:tcPr>
            <w:tcW w:w="441" w:type="pct"/>
            <w:tcBorders>
              <w:tl2br w:val="nil"/>
              <w:tr2bl w:val="nil"/>
            </w:tcBorders>
            <w:vAlign w:val="center"/>
          </w:tcPr>
          <w:p w14:paraId="0E46D51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-1D</w:t>
            </w:r>
          </w:p>
        </w:tc>
        <w:tc>
          <w:tcPr>
            <w:tcW w:w="359" w:type="pct"/>
            <w:tcBorders>
              <w:tl2br w:val="nil"/>
              <w:tr2bl w:val="nil"/>
            </w:tcBorders>
            <w:vAlign w:val="center"/>
          </w:tcPr>
          <w:p w14:paraId="6FF21B4F">
            <w:pPr>
              <w:spacing w:line="360" w:lineRule="exact"/>
              <w:ind w:firstLine="0" w:firstLineChars="0"/>
              <w:jc w:val="center"/>
              <w:rPr>
                <w:rFonts w:hint="default" w:ascii="Times New Roman" w:hAnsi="Times New Roman" w:cs="Times New Roman"/>
                <w:color w:val="auto"/>
                <w:sz w:val="21"/>
                <w:szCs w:val="21"/>
                <w:highlight w:val="none"/>
              </w:rPr>
            </w:pPr>
          </w:p>
        </w:tc>
        <w:tc>
          <w:tcPr>
            <w:tcW w:w="375" w:type="pct"/>
            <w:tcBorders>
              <w:tl2br w:val="nil"/>
              <w:tr2bl w:val="nil"/>
            </w:tcBorders>
            <w:vAlign w:val="center"/>
          </w:tcPr>
          <w:p w14:paraId="3D586CA0">
            <w:pPr>
              <w:spacing w:line="360" w:lineRule="exact"/>
              <w:ind w:firstLine="0" w:firstLineChars="0"/>
              <w:jc w:val="center"/>
              <w:rPr>
                <w:rFonts w:hint="default" w:ascii="Times New Roman" w:hAnsi="Times New Roman" w:cs="Times New Roman"/>
                <w:color w:val="auto"/>
                <w:sz w:val="21"/>
                <w:szCs w:val="21"/>
                <w:highlight w:val="none"/>
              </w:rPr>
            </w:pPr>
          </w:p>
        </w:tc>
        <w:tc>
          <w:tcPr>
            <w:tcW w:w="326" w:type="pct"/>
            <w:tcBorders>
              <w:tl2br w:val="nil"/>
              <w:tr2bl w:val="nil"/>
            </w:tcBorders>
            <w:vAlign w:val="center"/>
          </w:tcPr>
          <w:p w14:paraId="20B6B0B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-1D</w:t>
            </w:r>
          </w:p>
        </w:tc>
        <w:tc>
          <w:tcPr>
            <w:tcW w:w="400" w:type="pct"/>
            <w:tcBorders>
              <w:tl2br w:val="nil"/>
              <w:tr2bl w:val="nil"/>
            </w:tcBorders>
            <w:vAlign w:val="center"/>
          </w:tcPr>
          <w:p w14:paraId="4FDD2088">
            <w:pPr>
              <w:spacing w:line="360" w:lineRule="exact"/>
              <w:ind w:firstLine="0" w:firstLineChars="0"/>
              <w:jc w:val="center"/>
              <w:rPr>
                <w:rFonts w:hint="default" w:ascii="Times New Roman" w:hAnsi="Times New Roman" w:cs="Times New Roman"/>
                <w:color w:val="auto"/>
                <w:sz w:val="21"/>
                <w:szCs w:val="21"/>
                <w:highlight w:val="none"/>
              </w:rPr>
            </w:pPr>
          </w:p>
        </w:tc>
        <w:tc>
          <w:tcPr>
            <w:tcW w:w="613" w:type="pct"/>
            <w:tcBorders>
              <w:tl2br w:val="nil"/>
              <w:tr2bl w:val="nil"/>
            </w:tcBorders>
            <w:vAlign w:val="center"/>
          </w:tcPr>
          <w:p w14:paraId="297C5549">
            <w:pPr>
              <w:spacing w:line="360" w:lineRule="exact"/>
              <w:ind w:firstLine="0" w:firstLineChars="0"/>
              <w:jc w:val="center"/>
              <w:rPr>
                <w:rFonts w:hint="default" w:ascii="Times New Roman" w:hAnsi="Times New Roman" w:cs="Times New Roman"/>
                <w:color w:val="auto"/>
                <w:sz w:val="21"/>
                <w:szCs w:val="21"/>
                <w:highlight w:val="none"/>
              </w:rPr>
            </w:pPr>
          </w:p>
        </w:tc>
        <w:tc>
          <w:tcPr>
            <w:tcW w:w="383" w:type="pct"/>
            <w:tcBorders>
              <w:tl2br w:val="nil"/>
              <w:tr2bl w:val="nil"/>
            </w:tcBorders>
            <w:vAlign w:val="center"/>
          </w:tcPr>
          <w:p w14:paraId="09653D17">
            <w:pPr>
              <w:spacing w:line="360" w:lineRule="exact"/>
              <w:ind w:firstLine="0" w:firstLineChars="0"/>
              <w:jc w:val="center"/>
              <w:rPr>
                <w:rFonts w:hint="default" w:ascii="Times New Roman" w:hAnsi="Times New Roman" w:cs="Times New Roman"/>
                <w:color w:val="auto"/>
                <w:sz w:val="21"/>
                <w:szCs w:val="21"/>
                <w:highlight w:val="none"/>
              </w:rPr>
            </w:pPr>
          </w:p>
        </w:tc>
        <w:tc>
          <w:tcPr>
            <w:tcW w:w="367" w:type="pct"/>
            <w:tcBorders>
              <w:tl2br w:val="nil"/>
              <w:tr2bl w:val="nil"/>
            </w:tcBorders>
            <w:vAlign w:val="center"/>
          </w:tcPr>
          <w:p w14:paraId="4803A4EF">
            <w:pPr>
              <w:spacing w:line="360" w:lineRule="exact"/>
              <w:ind w:firstLine="0" w:firstLineChars="0"/>
              <w:jc w:val="center"/>
              <w:rPr>
                <w:rFonts w:hint="default" w:ascii="Times New Roman" w:hAnsi="Times New Roman" w:cs="Times New Roman"/>
                <w:color w:val="auto"/>
                <w:sz w:val="21"/>
                <w:szCs w:val="21"/>
                <w:highlight w:val="none"/>
              </w:rPr>
            </w:pPr>
          </w:p>
        </w:tc>
        <w:tc>
          <w:tcPr>
            <w:tcW w:w="384" w:type="pct"/>
            <w:tcBorders>
              <w:tl2br w:val="nil"/>
              <w:tr2bl w:val="nil"/>
            </w:tcBorders>
            <w:vAlign w:val="center"/>
          </w:tcPr>
          <w:p w14:paraId="31DC1B1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-1D</w:t>
            </w:r>
          </w:p>
        </w:tc>
        <w:tc>
          <w:tcPr>
            <w:tcW w:w="363" w:type="pct"/>
            <w:tcBorders>
              <w:tl2br w:val="nil"/>
              <w:tr2bl w:val="nil"/>
            </w:tcBorders>
            <w:vAlign w:val="center"/>
          </w:tcPr>
          <w:p w14:paraId="1D6909B8">
            <w:pPr>
              <w:spacing w:line="360" w:lineRule="exact"/>
              <w:ind w:firstLine="0" w:firstLineChars="0"/>
              <w:jc w:val="center"/>
              <w:rPr>
                <w:rFonts w:hint="default" w:ascii="Times New Roman" w:hAnsi="Times New Roman" w:cs="Times New Roman"/>
                <w:color w:val="auto"/>
                <w:sz w:val="21"/>
                <w:szCs w:val="21"/>
                <w:highlight w:val="none"/>
              </w:rPr>
            </w:pPr>
          </w:p>
        </w:tc>
      </w:tr>
      <w:tr w14:paraId="0A9675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2" w:type="pct"/>
            <w:vMerge w:val="continue"/>
            <w:tcBorders>
              <w:tl2br w:val="nil"/>
              <w:tr2bl w:val="nil"/>
            </w:tcBorders>
            <w:vAlign w:val="center"/>
          </w:tcPr>
          <w:p w14:paraId="75BC86C0">
            <w:pPr>
              <w:spacing w:line="360" w:lineRule="exact"/>
              <w:ind w:firstLine="0" w:firstLineChars="0"/>
              <w:jc w:val="center"/>
              <w:rPr>
                <w:rFonts w:hint="default" w:ascii="Times New Roman" w:hAnsi="Times New Roman" w:cs="Times New Roman"/>
                <w:color w:val="auto"/>
                <w:sz w:val="21"/>
                <w:szCs w:val="21"/>
                <w:highlight w:val="none"/>
              </w:rPr>
            </w:pPr>
          </w:p>
        </w:tc>
        <w:tc>
          <w:tcPr>
            <w:tcW w:w="620" w:type="pct"/>
            <w:tcBorders>
              <w:tl2br w:val="nil"/>
              <w:tr2bl w:val="nil"/>
            </w:tcBorders>
            <w:vAlign w:val="center"/>
          </w:tcPr>
          <w:p w14:paraId="4B3633D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施工安装</w:t>
            </w:r>
          </w:p>
        </w:tc>
        <w:tc>
          <w:tcPr>
            <w:tcW w:w="441" w:type="pct"/>
            <w:tcBorders>
              <w:tl2br w:val="nil"/>
              <w:tr2bl w:val="nil"/>
            </w:tcBorders>
            <w:vAlign w:val="center"/>
          </w:tcPr>
          <w:p w14:paraId="0F209B8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-1D</w:t>
            </w:r>
          </w:p>
        </w:tc>
        <w:tc>
          <w:tcPr>
            <w:tcW w:w="359" w:type="pct"/>
            <w:tcBorders>
              <w:tl2br w:val="nil"/>
              <w:tr2bl w:val="nil"/>
            </w:tcBorders>
            <w:vAlign w:val="center"/>
          </w:tcPr>
          <w:p w14:paraId="60FAA83B">
            <w:pPr>
              <w:spacing w:line="360" w:lineRule="exact"/>
              <w:ind w:firstLine="0" w:firstLineChars="0"/>
              <w:jc w:val="center"/>
              <w:rPr>
                <w:rFonts w:hint="default" w:ascii="Times New Roman" w:hAnsi="Times New Roman" w:cs="Times New Roman"/>
                <w:color w:val="auto"/>
                <w:sz w:val="21"/>
                <w:szCs w:val="21"/>
                <w:highlight w:val="none"/>
              </w:rPr>
            </w:pPr>
          </w:p>
        </w:tc>
        <w:tc>
          <w:tcPr>
            <w:tcW w:w="375" w:type="pct"/>
            <w:tcBorders>
              <w:tl2br w:val="nil"/>
              <w:tr2bl w:val="nil"/>
            </w:tcBorders>
            <w:vAlign w:val="center"/>
          </w:tcPr>
          <w:p w14:paraId="41513D5C">
            <w:pPr>
              <w:spacing w:line="360" w:lineRule="exact"/>
              <w:ind w:firstLine="0" w:firstLineChars="0"/>
              <w:jc w:val="center"/>
              <w:rPr>
                <w:rFonts w:hint="default" w:ascii="Times New Roman" w:hAnsi="Times New Roman" w:cs="Times New Roman"/>
                <w:color w:val="auto"/>
                <w:sz w:val="21"/>
                <w:szCs w:val="21"/>
                <w:highlight w:val="none"/>
              </w:rPr>
            </w:pPr>
          </w:p>
        </w:tc>
        <w:tc>
          <w:tcPr>
            <w:tcW w:w="326" w:type="pct"/>
            <w:tcBorders>
              <w:tl2br w:val="nil"/>
              <w:tr2bl w:val="nil"/>
            </w:tcBorders>
            <w:vAlign w:val="center"/>
          </w:tcPr>
          <w:p w14:paraId="67F4DE0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-1D</w:t>
            </w:r>
          </w:p>
        </w:tc>
        <w:tc>
          <w:tcPr>
            <w:tcW w:w="400" w:type="pct"/>
            <w:tcBorders>
              <w:tl2br w:val="nil"/>
              <w:tr2bl w:val="nil"/>
            </w:tcBorders>
            <w:vAlign w:val="center"/>
          </w:tcPr>
          <w:p w14:paraId="750C2062">
            <w:pPr>
              <w:spacing w:line="360" w:lineRule="exact"/>
              <w:ind w:firstLine="0" w:firstLineChars="0"/>
              <w:jc w:val="center"/>
              <w:rPr>
                <w:rFonts w:hint="default" w:ascii="Times New Roman" w:hAnsi="Times New Roman" w:cs="Times New Roman"/>
                <w:color w:val="auto"/>
                <w:sz w:val="21"/>
                <w:szCs w:val="21"/>
                <w:highlight w:val="none"/>
              </w:rPr>
            </w:pPr>
          </w:p>
        </w:tc>
        <w:tc>
          <w:tcPr>
            <w:tcW w:w="613" w:type="pct"/>
            <w:tcBorders>
              <w:tl2br w:val="nil"/>
              <w:tr2bl w:val="nil"/>
            </w:tcBorders>
            <w:vAlign w:val="center"/>
          </w:tcPr>
          <w:p w14:paraId="1A50523E">
            <w:pPr>
              <w:spacing w:line="360" w:lineRule="exact"/>
              <w:ind w:firstLine="0" w:firstLineChars="0"/>
              <w:jc w:val="center"/>
              <w:rPr>
                <w:rFonts w:hint="default" w:ascii="Times New Roman" w:hAnsi="Times New Roman" w:cs="Times New Roman"/>
                <w:color w:val="auto"/>
                <w:sz w:val="21"/>
                <w:szCs w:val="21"/>
                <w:highlight w:val="none"/>
              </w:rPr>
            </w:pPr>
          </w:p>
        </w:tc>
        <w:tc>
          <w:tcPr>
            <w:tcW w:w="383" w:type="pct"/>
            <w:tcBorders>
              <w:tl2br w:val="nil"/>
              <w:tr2bl w:val="nil"/>
            </w:tcBorders>
            <w:vAlign w:val="center"/>
          </w:tcPr>
          <w:p w14:paraId="4E51F955">
            <w:pPr>
              <w:spacing w:line="360" w:lineRule="exact"/>
              <w:ind w:firstLine="0" w:firstLineChars="0"/>
              <w:jc w:val="center"/>
              <w:rPr>
                <w:rFonts w:hint="default" w:ascii="Times New Roman" w:hAnsi="Times New Roman" w:cs="Times New Roman"/>
                <w:color w:val="auto"/>
                <w:sz w:val="21"/>
                <w:szCs w:val="21"/>
                <w:highlight w:val="none"/>
              </w:rPr>
            </w:pPr>
          </w:p>
        </w:tc>
        <w:tc>
          <w:tcPr>
            <w:tcW w:w="367" w:type="pct"/>
            <w:tcBorders>
              <w:tl2br w:val="nil"/>
              <w:tr2bl w:val="nil"/>
            </w:tcBorders>
            <w:vAlign w:val="center"/>
          </w:tcPr>
          <w:p w14:paraId="23A92B2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-1D</w:t>
            </w:r>
          </w:p>
        </w:tc>
        <w:tc>
          <w:tcPr>
            <w:tcW w:w="384" w:type="pct"/>
            <w:tcBorders>
              <w:tl2br w:val="nil"/>
              <w:tr2bl w:val="nil"/>
            </w:tcBorders>
            <w:vAlign w:val="center"/>
          </w:tcPr>
          <w:p w14:paraId="2CE3DFE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-1D</w:t>
            </w:r>
          </w:p>
        </w:tc>
        <w:tc>
          <w:tcPr>
            <w:tcW w:w="363" w:type="pct"/>
            <w:tcBorders>
              <w:tl2br w:val="nil"/>
              <w:tr2bl w:val="nil"/>
            </w:tcBorders>
            <w:vAlign w:val="center"/>
          </w:tcPr>
          <w:p w14:paraId="76BC925C">
            <w:pPr>
              <w:spacing w:line="360" w:lineRule="exact"/>
              <w:ind w:firstLine="0" w:firstLineChars="0"/>
              <w:jc w:val="center"/>
              <w:rPr>
                <w:rFonts w:hint="default" w:ascii="Times New Roman" w:hAnsi="Times New Roman" w:cs="Times New Roman"/>
                <w:color w:val="auto"/>
                <w:sz w:val="21"/>
                <w:szCs w:val="21"/>
                <w:highlight w:val="none"/>
              </w:rPr>
            </w:pPr>
          </w:p>
        </w:tc>
      </w:tr>
      <w:tr w14:paraId="687770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2" w:type="pct"/>
            <w:vMerge w:val="restart"/>
            <w:tcBorders>
              <w:tl2br w:val="nil"/>
              <w:tr2bl w:val="nil"/>
            </w:tcBorders>
            <w:vAlign w:val="center"/>
          </w:tcPr>
          <w:p w14:paraId="631C79F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运营</w:t>
            </w:r>
          </w:p>
          <w:p w14:paraId="5925CF8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期</w:t>
            </w:r>
          </w:p>
        </w:tc>
        <w:tc>
          <w:tcPr>
            <w:tcW w:w="620" w:type="pct"/>
            <w:tcBorders>
              <w:tl2br w:val="nil"/>
              <w:tr2bl w:val="nil"/>
            </w:tcBorders>
            <w:vAlign w:val="center"/>
          </w:tcPr>
          <w:p w14:paraId="071B27B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原料/成品运输</w:t>
            </w:r>
          </w:p>
        </w:tc>
        <w:tc>
          <w:tcPr>
            <w:tcW w:w="441" w:type="pct"/>
            <w:tcBorders>
              <w:tl2br w:val="nil"/>
              <w:tr2bl w:val="nil"/>
            </w:tcBorders>
            <w:vAlign w:val="center"/>
          </w:tcPr>
          <w:p w14:paraId="6D42785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-1C</w:t>
            </w:r>
          </w:p>
        </w:tc>
        <w:tc>
          <w:tcPr>
            <w:tcW w:w="359" w:type="pct"/>
            <w:tcBorders>
              <w:tl2br w:val="nil"/>
              <w:tr2bl w:val="nil"/>
            </w:tcBorders>
            <w:vAlign w:val="center"/>
          </w:tcPr>
          <w:p w14:paraId="60A2989A">
            <w:pPr>
              <w:spacing w:line="360" w:lineRule="exact"/>
              <w:ind w:firstLine="0" w:firstLineChars="0"/>
              <w:jc w:val="center"/>
              <w:rPr>
                <w:rFonts w:hint="default" w:ascii="Times New Roman" w:hAnsi="Times New Roman" w:cs="Times New Roman"/>
                <w:color w:val="auto"/>
                <w:sz w:val="21"/>
                <w:szCs w:val="21"/>
                <w:highlight w:val="none"/>
              </w:rPr>
            </w:pPr>
          </w:p>
        </w:tc>
        <w:tc>
          <w:tcPr>
            <w:tcW w:w="375" w:type="pct"/>
            <w:tcBorders>
              <w:tl2br w:val="nil"/>
              <w:tr2bl w:val="nil"/>
            </w:tcBorders>
            <w:vAlign w:val="center"/>
          </w:tcPr>
          <w:p w14:paraId="7BE5FDF6">
            <w:pPr>
              <w:spacing w:line="360" w:lineRule="exact"/>
              <w:ind w:firstLine="0" w:firstLineChars="0"/>
              <w:jc w:val="center"/>
              <w:rPr>
                <w:rFonts w:hint="default" w:ascii="Times New Roman" w:hAnsi="Times New Roman" w:cs="Times New Roman"/>
                <w:color w:val="auto"/>
                <w:sz w:val="21"/>
                <w:szCs w:val="21"/>
                <w:highlight w:val="none"/>
              </w:rPr>
            </w:pPr>
          </w:p>
        </w:tc>
        <w:tc>
          <w:tcPr>
            <w:tcW w:w="326" w:type="pct"/>
            <w:tcBorders>
              <w:tl2br w:val="nil"/>
              <w:tr2bl w:val="nil"/>
            </w:tcBorders>
            <w:vAlign w:val="center"/>
          </w:tcPr>
          <w:p w14:paraId="019AC90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-1D</w:t>
            </w:r>
          </w:p>
        </w:tc>
        <w:tc>
          <w:tcPr>
            <w:tcW w:w="400" w:type="pct"/>
            <w:tcBorders>
              <w:tl2br w:val="nil"/>
              <w:tr2bl w:val="nil"/>
            </w:tcBorders>
            <w:vAlign w:val="center"/>
          </w:tcPr>
          <w:p w14:paraId="2F3F8B2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-1D</w:t>
            </w:r>
          </w:p>
        </w:tc>
        <w:tc>
          <w:tcPr>
            <w:tcW w:w="613" w:type="pct"/>
            <w:tcBorders>
              <w:tl2br w:val="nil"/>
              <w:tr2bl w:val="nil"/>
            </w:tcBorders>
            <w:vAlign w:val="center"/>
          </w:tcPr>
          <w:p w14:paraId="41C52EB8">
            <w:pPr>
              <w:spacing w:line="360" w:lineRule="exact"/>
              <w:ind w:firstLine="0" w:firstLineChars="0"/>
              <w:jc w:val="center"/>
              <w:rPr>
                <w:rFonts w:hint="default" w:ascii="Times New Roman" w:hAnsi="Times New Roman" w:cs="Times New Roman"/>
                <w:color w:val="auto"/>
                <w:sz w:val="21"/>
                <w:szCs w:val="21"/>
                <w:highlight w:val="none"/>
              </w:rPr>
            </w:pPr>
          </w:p>
        </w:tc>
        <w:tc>
          <w:tcPr>
            <w:tcW w:w="383" w:type="pct"/>
            <w:tcBorders>
              <w:tl2br w:val="nil"/>
              <w:tr2bl w:val="nil"/>
            </w:tcBorders>
            <w:vAlign w:val="center"/>
          </w:tcPr>
          <w:p w14:paraId="32542C74">
            <w:pPr>
              <w:spacing w:line="360" w:lineRule="exact"/>
              <w:ind w:firstLine="0" w:firstLineChars="0"/>
              <w:jc w:val="center"/>
              <w:rPr>
                <w:rFonts w:hint="default" w:ascii="Times New Roman" w:hAnsi="Times New Roman" w:cs="Times New Roman"/>
                <w:color w:val="auto"/>
                <w:sz w:val="21"/>
                <w:szCs w:val="21"/>
                <w:highlight w:val="none"/>
              </w:rPr>
            </w:pPr>
          </w:p>
        </w:tc>
        <w:tc>
          <w:tcPr>
            <w:tcW w:w="367" w:type="pct"/>
            <w:tcBorders>
              <w:tl2br w:val="nil"/>
              <w:tr2bl w:val="nil"/>
            </w:tcBorders>
            <w:vAlign w:val="center"/>
          </w:tcPr>
          <w:p w14:paraId="1BE63631">
            <w:pPr>
              <w:spacing w:line="360" w:lineRule="exact"/>
              <w:ind w:firstLine="0" w:firstLineChars="0"/>
              <w:jc w:val="center"/>
              <w:rPr>
                <w:rFonts w:hint="default" w:ascii="Times New Roman" w:hAnsi="Times New Roman" w:cs="Times New Roman"/>
                <w:color w:val="auto"/>
                <w:sz w:val="21"/>
                <w:szCs w:val="21"/>
                <w:highlight w:val="none"/>
              </w:rPr>
            </w:pPr>
          </w:p>
        </w:tc>
        <w:tc>
          <w:tcPr>
            <w:tcW w:w="384" w:type="pct"/>
            <w:tcBorders>
              <w:tl2br w:val="nil"/>
              <w:tr2bl w:val="nil"/>
            </w:tcBorders>
            <w:vAlign w:val="center"/>
          </w:tcPr>
          <w:p w14:paraId="043627A7">
            <w:pPr>
              <w:spacing w:line="360" w:lineRule="exact"/>
              <w:ind w:firstLine="0" w:firstLineChars="0"/>
              <w:jc w:val="center"/>
              <w:rPr>
                <w:rFonts w:hint="default" w:ascii="Times New Roman" w:hAnsi="Times New Roman" w:cs="Times New Roman"/>
                <w:color w:val="auto"/>
                <w:sz w:val="21"/>
                <w:szCs w:val="21"/>
                <w:highlight w:val="none"/>
              </w:rPr>
            </w:pPr>
          </w:p>
        </w:tc>
        <w:tc>
          <w:tcPr>
            <w:tcW w:w="363" w:type="pct"/>
            <w:tcBorders>
              <w:tl2br w:val="nil"/>
              <w:tr2bl w:val="nil"/>
            </w:tcBorders>
            <w:vAlign w:val="center"/>
          </w:tcPr>
          <w:p w14:paraId="66DBB766">
            <w:pPr>
              <w:spacing w:line="360" w:lineRule="exact"/>
              <w:ind w:firstLine="0" w:firstLineChars="0"/>
              <w:jc w:val="center"/>
              <w:rPr>
                <w:rFonts w:hint="default" w:ascii="Times New Roman" w:hAnsi="Times New Roman" w:cs="Times New Roman"/>
                <w:color w:val="auto"/>
                <w:sz w:val="21"/>
                <w:szCs w:val="21"/>
                <w:highlight w:val="none"/>
              </w:rPr>
            </w:pPr>
          </w:p>
        </w:tc>
      </w:tr>
      <w:tr w14:paraId="4A34F8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2" w:type="pct"/>
            <w:vMerge w:val="continue"/>
            <w:tcBorders>
              <w:tl2br w:val="nil"/>
              <w:tr2bl w:val="nil"/>
            </w:tcBorders>
            <w:vAlign w:val="center"/>
          </w:tcPr>
          <w:p w14:paraId="17F3DB91">
            <w:pPr>
              <w:spacing w:line="360" w:lineRule="exact"/>
              <w:ind w:firstLine="0" w:firstLineChars="0"/>
              <w:jc w:val="center"/>
              <w:rPr>
                <w:rFonts w:hint="default" w:ascii="Times New Roman" w:hAnsi="Times New Roman" w:cs="Times New Roman"/>
                <w:color w:val="auto"/>
                <w:sz w:val="21"/>
                <w:szCs w:val="21"/>
                <w:highlight w:val="none"/>
              </w:rPr>
            </w:pPr>
          </w:p>
        </w:tc>
        <w:tc>
          <w:tcPr>
            <w:tcW w:w="620" w:type="pct"/>
            <w:tcBorders>
              <w:tl2br w:val="nil"/>
              <w:tr2bl w:val="nil"/>
            </w:tcBorders>
            <w:vAlign w:val="center"/>
          </w:tcPr>
          <w:p w14:paraId="40A8CD4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废气排放</w:t>
            </w:r>
          </w:p>
        </w:tc>
        <w:tc>
          <w:tcPr>
            <w:tcW w:w="441" w:type="pct"/>
            <w:tcBorders>
              <w:tl2br w:val="nil"/>
              <w:tr2bl w:val="nil"/>
            </w:tcBorders>
            <w:vAlign w:val="center"/>
          </w:tcPr>
          <w:p w14:paraId="49D567D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-2C</w:t>
            </w:r>
          </w:p>
        </w:tc>
        <w:tc>
          <w:tcPr>
            <w:tcW w:w="359" w:type="pct"/>
            <w:tcBorders>
              <w:tl2br w:val="nil"/>
              <w:tr2bl w:val="nil"/>
            </w:tcBorders>
            <w:vAlign w:val="center"/>
          </w:tcPr>
          <w:p w14:paraId="2705CB87">
            <w:pPr>
              <w:spacing w:line="360" w:lineRule="exact"/>
              <w:ind w:firstLine="0" w:firstLineChars="0"/>
              <w:jc w:val="center"/>
              <w:rPr>
                <w:rFonts w:hint="default" w:ascii="Times New Roman" w:hAnsi="Times New Roman" w:cs="Times New Roman"/>
                <w:color w:val="auto"/>
                <w:sz w:val="21"/>
                <w:szCs w:val="21"/>
                <w:highlight w:val="none"/>
              </w:rPr>
            </w:pPr>
          </w:p>
        </w:tc>
        <w:tc>
          <w:tcPr>
            <w:tcW w:w="375" w:type="pct"/>
            <w:tcBorders>
              <w:tl2br w:val="nil"/>
              <w:tr2bl w:val="nil"/>
            </w:tcBorders>
            <w:vAlign w:val="center"/>
          </w:tcPr>
          <w:p w14:paraId="4771579F">
            <w:pPr>
              <w:spacing w:line="360" w:lineRule="exact"/>
              <w:ind w:firstLine="0" w:firstLineChars="0"/>
              <w:jc w:val="center"/>
              <w:rPr>
                <w:rFonts w:hint="default" w:ascii="Times New Roman" w:hAnsi="Times New Roman" w:cs="Times New Roman"/>
                <w:color w:val="auto"/>
                <w:sz w:val="21"/>
                <w:szCs w:val="21"/>
                <w:highlight w:val="none"/>
              </w:rPr>
            </w:pPr>
          </w:p>
        </w:tc>
        <w:tc>
          <w:tcPr>
            <w:tcW w:w="326" w:type="pct"/>
            <w:tcBorders>
              <w:tl2br w:val="nil"/>
              <w:tr2bl w:val="nil"/>
            </w:tcBorders>
            <w:vAlign w:val="center"/>
          </w:tcPr>
          <w:p w14:paraId="6E104644">
            <w:pPr>
              <w:spacing w:line="360" w:lineRule="exact"/>
              <w:ind w:firstLine="0" w:firstLineChars="0"/>
              <w:jc w:val="center"/>
              <w:rPr>
                <w:rFonts w:hint="default" w:ascii="Times New Roman" w:hAnsi="Times New Roman" w:cs="Times New Roman"/>
                <w:color w:val="auto"/>
                <w:sz w:val="21"/>
                <w:szCs w:val="21"/>
                <w:highlight w:val="none"/>
              </w:rPr>
            </w:pPr>
          </w:p>
        </w:tc>
        <w:tc>
          <w:tcPr>
            <w:tcW w:w="400" w:type="pct"/>
            <w:tcBorders>
              <w:tl2br w:val="nil"/>
              <w:tr2bl w:val="nil"/>
            </w:tcBorders>
            <w:vAlign w:val="center"/>
          </w:tcPr>
          <w:p w14:paraId="44D4081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-1D</w:t>
            </w:r>
          </w:p>
        </w:tc>
        <w:tc>
          <w:tcPr>
            <w:tcW w:w="613" w:type="pct"/>
            <w:tcBorders>
              <w:tl2br w:val="nil"/>
              <w:tr2bl w:val="nil"/>
            </w:tcBorders>
            <w:vAlign w:val="center"/>
          </w:tcPr>
          <w:p w14:paraId="3E614F7D">
            <w:pPr>
              <w:spacing w:line="360" w:lineRule="exact"/>
              <w:ind w:firstLine="0" w:firstLineChars="0"/>
              <w:jc w:val="center"/>
              <w:rPr>
                <w:rFonts w:hint="default" w:ascii="Times New Roman" w:hAnsi="Times New Roman" w:cs="Times New Roman"/>
                <w:color w:val="auto"/>
                <w:sz w:val="21"/>
                <w:szCs w:val="21"/>
                <w:highlight w:val="none"/>
              </w:rPr>
            </w:pPr>
          </w:p>
        </w:tc>
        <w:tc>
          <w:tcPr>
            <w:tcW w:w="383" w:type="pct"/>
            <w:tcBorders>
              <w:tl2br w:val="nil"/>
              <w:tr2bl w:val="nil"/>
            </w:tcBorders>
            <w:vAlign w:val="center"/>
          </w:tcPr>
          <w:p w14:paraId="6890929A">
            <w:pPr>
              <w:spacing w:line="360" w:lineRule="exact"/>
              <w:ind w:firstLine="0" w:firstLineChars="0"/>
              <w:jc w:val="center"/>
              <w:rPr>
                <w:rFonts w:hint="default" w:ascii="Times New Roman" w:hAnsi="Times New Roman" w:cs="Times New Roman"/>
                <w:color w:val="auto"/>
                <w:sz w:val="21"/>
                <w:szCs w:val="21"/>
                <w:highlight w:val="none"/>
              </w:rPr>
            </w:pPr>
          </w:p>
        </w:tc>
        <w:tc>
          <w:tcPr>
            <w:tcW w:w="367" w:type="pct"/>
            <w:tcBorders>
              <w:tl2br w:val="nil"/>
              <w:tr2bl w:val="nil"/>
            </w:tcBorders>
            <w:vAlign w:val="center"/>
          </w:tcPr>
          <w:p w14:paraId="126A3CCF">
            <w:pPr>
              <w:spacing w:line="360" w:lineRule="exact"/>
              <w:ind w:firstLine="0" w:firstLineChars="0"/>
              <w:jc w:val="center"/>
              <w:rPr>
                <w:rFonts w:hint="default" w:ascii="Times New Roman" w:hAnsi="Times New Roman" w:cs="Times New Roman"/>
                <w:color w:val="auto"/>
                <w:sz w:val="21"/>
                <w:szCs w:val="21"/>
                <w:highlight w:val="none"/>
              </w:rPr>
            </w:pPr>
          </w:p>
        </w:tc>
        <w:tc>
          <w:tcPr>
            <w:tcW w:w="384" w:type="pct"/>
            <w:tcBorders>
              <w:tl2br w:val="nil"/>
              <w:tr2bl w:val="nil"/>
            </w:tcBorders>
            <w:vAlign w:val="center"/>
          </w:tcPr>
          <w:p w14:paraId="7103FA3D">
            <w:pPr>
              <w:spacing w:line="360" w:lineRule="exact"/>
              <w:ind w:firstLine="0" w:firstLineChars="0"/>
              <w:jc w:val="center"/>
              <w:rPr>
                <w:rFonts w:hint="default" w:ascii="Times New Roman" w:hAnsi="Times New Roman" w:cs="Times New Roman"/>
                <w:color w:val="auto"/>
                <w:sz w:val="21"/>
                <w:szCs w:val="21"/>
                <w:highlight w:val="none"/>
              </w:rPr>
            </w:pPr>
          </w:p>
        </w:tc>
        <w:tc>
          <w:tcPr>
            <w:tcW w:w="363" w:type="pct"/>
            <w:tcBorders>
              <w:tl2br w:val="nil"/>
              <w:tr2bl w:val="nil"/>
            </w:tcBorders>
            <w:vAlign w:val="center"/>
          </w:tcPr>
          <w:p w14:paraId="2820F14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-1D</w:t>
            </w:r>
          </w:p>
        </w:tc>
      </w:tr>
      <w:tr w14:paraId="5DCDFB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2" w:type="pct"/>
            <w:vMerge w:val="continue"/>
            <w:tcBorders>
              <w:tl2br w:val="nil"/>
              <w:tr2bl w:val="nil"/>
            </w:tcBorders>
            <w:vAlign w:val="center"/>
          </w:tcPr>
          <w:p w14:paraId="26BD77EE">
            <w:pPr>
              <w:spacing w:line="360" w:lineRule="exact"/>
              <w:ind w:firstLine="0" w:firstLineChars="0"/>
              <w:jc w:val="center"/>
              <w:rPr>
                <w:rFonts w:hint="default" w:ascii="Times New Roman" w:hAnsi="Times New Roman" w:cs="Times New Roman"/>
                <w:color w:val="auto"/>
                <w:sz w:val="21"/>
                <w:szCs w:val="21"/>
                <w:highlight w:val="none"/>
              </w:rPr>
            </w:pPr>
          </w:p>
        </w:tc>
        <w:tc>
          <w:tcPr>
            <w:tcW w:w="620" w:type="pct"/>
            <w:tcBorders>
              <w:tl2br w:val="nil"/>
              <w:tr2bl w:val="nil"/>
            </w:tcBorders>
            <w:vAlign w:val="center"/>
          </w:tcPr>
          <w:p w14:paraId="3385675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废水排放</w:t>
            </w:r>
          </w:p>
        </w:tc>
        <w:tc>
          <w:tcPr>
            <w:tcW w:w="441" w:type="pct"/>
            <w:tcBorders>
              <w:tl2br w:val="nil"/>
              <w:tr2bl w:val="nil"/>
            </w:tcBorders>
            <w:vAlign w:val="center"/>
          </w:tcPr>
          <w:p w14:paraId="3B4AA61C">
            <w:pPr>
              <w:spacing w:line="360" w:lineRule="exact"/>
              <w:ind w:firstLine="0" w:firstLineChars="0"/>
              <w:jc w:val="center"/>
              <w:rPr>
                <w:rFonts w:hint="default" w:ascii="Times New Roman" w:hAnsi="Times New Roman" w:cs="Times New Roman"/>
                <w:color w:val="auto"/>
                <w:sz w:val="21"/>
                <w:szCs w:val="21"/>
                <w:highlight w:val="none"/>
              </w:rPr>
            </w:pPr>
          </w:p>
        </w:tc>
        <w:tc>
          <w:tcPr>
            <w:tcW w:w="359" w:type="pct"/>
            <w:tcBorders>
              <w:tl2br w:val="nil"/>
              <w:tr2bl w:val="nil"/>
            </w:tcBorders>
            <w:vAlign w:val="center"/>
          </w:tcPr>
          <w:p w14:paraId="2936D1E0">
            <w:pPr>
              <w:spacing w:line="360" w:lineRule="exact"/>
              <w:ind w:firstLine="0" w:firstLineChars="0"/>
              <w:jc w:val="center"/>
              <w:rPr>
                <w:rFonts w:hint="default" w:ascii="Times New Roman" w:hAnsi="Times New Roman" w:cs="Times New Roman"/>
                <w:color w:val="auto"/>
                <w:sz w:val="21"/>
                <w:szCs w:val="21"/>
                <w:highlight w:val="none"/>
              </w:rPr>
            </w:pPr>
          </w:p>
        </w:tc>
        <w:tc>
          <w:tcPr>
            <w:tcW w:w="375" w:type="pct"/>
            <w:tcBorders>
              <w:tl2br w:val="nil"/>
              <w:tr2bl w:val="nil"/>
            </w:tcBorders>
            <w:vAlign w:val="center"/>
          </w:tcPr>
          <w:p w14:paraId="33A9F39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-1C</w:t>
            </w:r>
          </w:p>
        </w:tc>
        <w:tc>
          <w:tcPr>
            <w:tcW w:w="326" w:type="pct"/>
            <w:tcBorders>
              <w:tl2br w:val="nil"/>
              <w:tr2bl w:val="nil"/>
            </w:tcBorders>
            <w:vAlign w:val="center"/>
          </w:tcPr>
          <w:p w14:paraId="645D8899">
            <w:pPr>
              <w:spacing w:line="360" w:lineRule="exact"/>
              <w:ind w:firstLine="0" w:firstLineChars="0"/>
              <w:jc w:val="center"/>
              <w:rPr>
                <w:rFonts w:hint="default" w:ascii="Times New Roman" w:hAnsi="Times New Roman" w:cs="Times New Roman"/>
                <w:color w:val="auto"/>
                <w:sz w:val="21"/>
                <w:szCs w:val="21"/>
                <w:highlight w:val="none"/>
              </w:rPr>
            </w:pPr>
          </w:p>
        </w:tc>
        <w:tc>
          <w:tcPr>
            <w:tcW w:w="400" w:type="pct"/>
            <w:tcBorders>
              <w:tl2br w:val="nil"/>
              <w:tr2bl w:val="nil"/>
            </w:tcBorders>
            <w:vAlign w:val="center"/>
          </w:tcPr>
          <w:p w14:paraId="6F72075C">
            <w:pPr>
              <w:spacing w:line="360" w:lineRule="exact"/>
              <w:ind w:firstLine="0" w:firstLineChars="0"/>
              <w:jc w:val="center"/>
              <w:rPr>
                <w:rFonts w:hint="default" w:ascii="Times New Roman" w:hAnsi="Times New Roman" w:cs="Times New Roman"/>
                <w:color w:val="auto"/>
                <w:sz w:val="21"/>
                <w:szCs w:val="21"/>
                <w:highlight w:val="none"/>
              </w:rPr>
            </w:pPr>
          </w:p>
        </w:tc>
        <w:tc>
          <w:tcPr>
            <w:tcW w:w="613" w:type="pct"/>
            <w:tcBorders>
              <w:tl2br w:val="nil"/>
              <w:tr2bl w:val="nil"/>
            </w:tcBorders>
            <w:vAlign w:val="center"/>
          </w:tcPr>
          <w:p w14:paraId="67A757CC">
            <w:pPr>
              <w:spacing w:line="360" w:lineRule="exact"/>
              <w:ind w:firstLine="0" w:firstLineChars="0"/>
              <w:jc w:val="center"/>
              <w:rPr>
                <w:rFonts w:hint="default" w:ascii="Times New Roman" w:hAnsi="Times New Roman" w:cs="Times New Roman"/>
                <w:color w:val="auto"/>
                <w:sz w:val="21"/>
                <w:szCs w:val="21"/>
                <w:highlight w:val="none"/>
              </w:rPr>
            </w:pPr>
          </w:p>
        </w:tc>
        <w:tc>
          <w:tcPr>
            <w:tcW w:w="383" w:type="pct"/>
            <w:tcBorders>
              <w:tl2br w:val="nil"/>
              <w:tr2bl w:val="nil"/>
            </w:tcBorders>
            <w:vAlign w:val="center"/>
          </w:tcPr>
          <w:p w14:paraId="562B6803">
            <w:pPr>
              <w:spacing w:line="360" w:lineRule="exact"/>
              <w:ind w:firstLine="0" w:firstLineChars="0"/>
              <w:jc w:val="center"/>
              <w:rPr>
                <w:rFonts w:hint="default" w:ascii="Times New Roman" w:hAnsi="Times New Roman" w:cs="Times New Roman"/>
                <w:color w:val="auto"/>
                <w:sz w:val="21"/>
                <w:szCs w:val="21"/>
                <w:highlight w:val="none"/>
              </w:rPr>
            </w:pPr>
          </w:p>
        </w:tc>
        <w:tc>
          <w:tcPr>
            <w:tcW w:w="367" w:type="pct"/>
            <w:tcBorders>
              <w:tl2br w:val="nil"/>
              <w:tr2bl w:val="nil"/>
            </w:tcBorders>
            <w:vAlign w:val="center"/>
          </w:tcPr>
          <w:p w14:paraId="00DE649B">
            <w:pPr>
              <w:spacing w:line="360" w:lineRule="exact"/>
              <w:ind w:firstLine="0" w:firstLineChars="0"/>
              <w:jc w:val="center"/>
              <w:rPr>
                <w:rFonts w:hint="default" w:ascii="Times New Roman" w:hAnsi="Times New Roman" w:cs="Times New Roman"/>
                <w:color w:val="auto"/>
                <w:sz w:val="21"/>
                <w:szCs w:val="21"/>
                <w:highlight w:val="none"/>
              </w:rPr>
            </w:pPr>
          </w:p>
        </w:tc>
        <w:tc>
          <w:tcPr>
            <w:tcW w:w="384" w:type="pct"/>
            <w:tcBorders>
              <w:tl2br w:val="nil"/>
              <w:tr2bl w:val="nil"/>
            </w:tcBorders>
            <w:vAlign w:val="center"/>
          </w:tcPr>
          <w:p w14:paraId="5F200A96">
            <w:pPr>
              <w:spacing w:line="360" w:lineRule="exact"/>
              <w:ind w:firstLine="0" w:firstLineChars="0"/>
              <w:jc w:val="center"/>
              <w:rPr>
                <w:rFonts w:hint="default" w:ascii="Times New Roman" w:hAnsi="Times New Roman" w:cs="Times New Roman"/>
                <w:color w:val="auto"/>
                <w:sz w:val="21"/>
                <w:szCs w:val="21"/>
                <w:highlight w:val="none"/>
              </w:rPr>
            </w:pPr>
          </w:p>
        </w:tc>
        <w:tc>
          <w:tcPr>
            <w:tcW w:w="363" w:type="pct"/>
            <w:tcBorders>
              <w:tl2br w:val="nil"/>
              <w:tr2bl w:val="nil"/>
            </w:tcBorders>
            <w:vAlign w:val="center"/>
          </w:tcPr>
          <w:p w14:paraId="7D9DB2E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-1D</w:t>
            </w:r>
          </w:p>
        </w:tc>
      </w:tr>
      <w:tr w14:paraId="06C41D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2" w:type="pct"/>
            <w:vMerge w:val="continue"/>
            <w:tcBorders>
              <w:tl2br w:val="nil"/>
              <w:tr2bl w:val="nil"/>
            </w:tcBorders>
            <w:vAlign w:val="center"/>
          </w:tcPr>
          <w:p w14:paraId="75085A53">
            <w:pPr>
              <w:spacing w:line="360" w:lineRule="exact"/>
              <w:ind w:firstLine="0" w:firstLineChars="0"/>
              <w:jc w:val="center"/>
              <w:rPr>
                <w:rFonts w:hint="default" w:ascii="Times New Roman" w:hAnsi="Times New Roman" w:cs="Times New Roman"/>
                <w:color w:val="auto"/>
                <w:sz w:val="21"/>
                <w:szCs w:val="21"/>
                <w:highlight w:val="none"/>
              </w:rPr>
            </w:pPr>
          </w:p>
        </w:tc>
        <w:tc>
          <w:tcPr>
            <w:tcW w:w="620" w:type="pct"/>
            <w:tcBorders>
              <w:tl2br w:val="nil"/>
              <w:tr2bl w:val="nil"/>
            </w:tcBorders>
            <w:vAlign w:val="center"/>
          </w:tcPr>
          <w:p w14:paraId="57D3B77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噪声排放</w:t>
            </w:r>
          </w:p>
        </w:tc>
        <w:tc>
          <w:tcPr>
            <w:tcW w:w="441" w:type="pct"/>
            <w:tcBorders>
              <w:tl2br w:val="nil"/>
              <w:tr2bl w:val="nil"/>
            </w:tcBorders>
            <w:vAlign w:val="center"/>
          </w:tcPr>
          <w:p w14:paraId="20017FD7">
            <w:pPr>
              <w:spacing w:line="360" w:lineRule="exact"/>
              <w:ind w:firstLine="0" w:firstLineChars="0"/>
              <w:jc w:val="center"/>
              <w:rPr>
                <w:rFonts w:hint="default" w:ascii="Times New Roman" w:hAnsi="Times New Roman" w:cs="Times New Roman"/>
                <w:color w:val="auto"/>
                <w:sz w:val="21"/>
                <w:szCs w:val="21"/>
                <w:highlight w:val="none"/>
              </w:rPr>
            </w:pPr>
          </w:p>
        </w:tc>
        <w:tc>
          <w:tcPr>
            <w:tcW w:w="359" w:type="pct"/>
            <w:tcBorders>
              <w:tl2br w:val="nil"/>
              <w:tr2bl w:val="nil"/>
            </w:tcBorders>
            <w:vAlign w:val="center"/>
          </w:tcPr>
          <w:p w14:paraId="2283884D">
            <w:pPr>
              <w:spacing w:line="360" w:lineRule="exact"/>
              <w:ind w:firstLine="0" w:firstLineChars="0"/>
              <w:jc w:val="center"/>
              <w:rPr>
                <w:rFonts w:hint="default" w:ascii="Times New Roman" w:hAnsi="Times New Roman" w:cs="Times New Roman"/>
                <w:color w:val="auto"/>
                <w:sz w:val="21"/>
                <w:szCs w:val="21"/>
                <w:highlight w:val="none"/>
              </w:rPr>
            </w:pPr>
          </w:p>
        </w:tc>
        <w:tc>
          <w:tcPr>
            <w:tcW w:w="375" w:type="pct"/>
            <w:tcBorders>
              <w:tl2br w:val="nil"/>
              <w:tr2bl w:val="nil"/>
            </w:tcBorders>
            <w:vAlign w:val="center"/>
          </w:tcPr>
          <w:p w14:paraId="2B3074DC">
            <w:pPr>
              <w:spacing w:line="360" w:lineRule="exact"/>
              <w:ind w:firstLine="0" w:firstLineChars="0"/>
              <w:jc w:val="center"/>
              <w:rPr>
                <w:rFonts w:hint="default" w:ascii="Times New Roman" w:hAnsi="Times New Roman" w:cs="Times New Roman"/>
                <w:color w:val="auto"/>
                <w:sz w:val="21"/>
                <w:szCs w:val="21"/>
                <w:highlight w:val="none"/>
              </w:rPr>
            </w:pPr>
          </w:p>
        </w:tc>
        <w:tc>
          <w:tcPr>
            <w:tcW w:w="326" w:type="pct"/>
            <w:tcBorders>
              <w:tl2br w:val="nil"/>
              <w:tr2bl w:val="nil"/>
            </w:tcBorders>
            <w:vAlign w:val="center"/>
          </w:tcPr>
          <w:p w14:paraId="4352439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-1C</w:t>
            </w:r>
          </w:p>
        </w:tc>
        <w:tc>
          <w:tcPr>
            <w:tcW w:w="400" w:type="pct"/>
            <w:tcBorders>
              <w:tl2br w:val="nil"/>
              <w:tr2bl w:val="nil"/>
            </w:tcBorders>
            <w:vAlign w:val="center"/>
          </w:tcPr>
          <w:p w14:paraId="7F0CF569">
            <w:pPr>
              <w:spacing w:line="360" w:lineRule="exact"/>
              <w:ind w:firstLine="0" w:firstLineChars="0"/>
              <w:jc w:val="center"/>
              <w:rPr>
                <w:rFonts w:hint="default" w:ascii="Times New Roman" w:hAnsi="Times New Roman" w:cs="Times New Roman"/>
                <w:color w:val="auto"/>
                <w:sz w:val="21"/>
                <w:szCs w:val="21"/>
                <w:highlight w:val="none"/>
              </w:rPr>
            </w:pPr>
          </w:p>
        </w:tc>
        <w:tc>
          <w:tcPr>
            <w:tcW w:w="613" w:type="pct"/>
            <w:tcBorders>
              <w:tl2br w:val="nil"/>
              <w:tr2bl w:val="nil"/>
            </w:tcBorders>
            <w:vAlign w:val="center"/>
          </w:tcPr>
          <w:p w14:paraId="63FF8289">
            <w:pPr>
              <w:spacing w:line="360" w:lineRule="exact"/>
              <w:ind w:firstLine="0" w:firstLineChars="0"/>
              <w:jc w:val="center"/>
              <w:rPr>
                <w:rFonts w:hint="default" w:ascii="Times New Roman" w:hAnsi="Times New Roman" w:cs="Times New Roman"/>
                <w:color w:val="auto"/>
                <w:sz w:val="21"/>
                <w:szCs w:val="21"/>
                <w:highlight w:val="none"/>
              </w:rPr>
            </w:pPr>
          </w:p>
        </w:tc>
        <w:tc>
          <w:tcPr>
            <w:tcW w:w="383" w:type="pct"/>
            <w:tcBorders>
              <w:tl2br w:val="nil"/>
              <w:tr2bl w:val="nil"/>
            </w:tcBorders>
            <w:vAlign w:val="center"/>
          </w:tcPr>
          <w:p w14:paraId="2463CF8C">
            <w:pPr>
              <w:spacing w:line="360" w:lineRule="exact"/>
              <w:ind w:firstLine="0" w:firstLineChars="0"/>
              <w:jc w:val="center"/>
              <w:rPr>
                <w:rFonts w:hint="default" w:ascii="Times New Roman" w:hAnsi="Times New Roman" w:cs="Times New Roman"/>
                <w:color w:val="auto"/>
                <w:sz w:val="21"/>
                <w:szCs w:val="21"/>
                <w:highlight w:val="none"/>
              </w:rPr>
            </w:pPr>
          </w:p>
        </w:tc>
        <w:tc>
          <w:tcPr>
            <w:tcW w:w="367" w:type="pct"/>
            <w:tcBorders>
              <w:tl2br w:val="nil"/>
              <w:tr2bl w:val="nil"/>
            </w:tcBorders>
            <w:vAlign w:val="center"/>
          </w:tcPr>
          <w:p w14:paraId="5B2B13CF">
            <w:pPr>
              <w:spacing w:line="360" w:lineRule="exact"/>
              <w:ind w:firstLine="0" w:firstLineChars="0"/>
              <w:jc w:val="center"/>
              <w:rPr>
                <w:rFonts w:hint="default" w:ascii="Times New Roman" w:hAnsi="Times New Roman" w:cs="Times New Roman"/>
                <w:color w:val="auto"/>
                <w:sz w:val="21"/>
                <w:szCs w:val="21"/>
                <w:highlight w:val="none"/>
              </w:rPr>
            </w:pPr>
          </w:p>
        </w:tc>
        <w:tc>
          <w:tcPr>
            <w:tcW w:w="384" w:type="pct"/>
            <w:tcBorders>
              <w:tl2br w:val="nil"/>
              <w:tr2bl w:val="nil"/>
            </w:tcBorders>
            <w:vAlign w:val="center"/>
          </w:tcPr>
          <w:p w14:paraId="5C6312E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-1C</w:t>
            </w:r>
          </w:p>
        </w:tc>
        <w:tc>
          <w:tcPr>
            <w:tcW w:w="363" w:type="pct"/>
            <w:tcBorders>
              <w:tl2br w:val="nil"/>
              <w:tr2bl w:val="nil"/>
            </w:tcBorders>
            <w:vAlign w:val="center"/>
          </w:tcPr>
          <w:p w14:paraId="74ED7D88">
            <w:pPr>
              <w:spacing w:line="360" w:lineRule="exact"/>
              <w:ind w:firstLine="0" w:firstLineChars="0"/>
              <w:jc w:val="center"/>
              <w:rPr>
                <w:rFonts w:hint="default" w:ascii="Times New Roman" w:hAnsi="Times New Roman" w:cs="Times New Roman"/>
                <w:color w:val="auto"/>
                <w:sz w:val="21"/>
                <w:szCs w:val="21"/>
                <w:highlight w:val="none"/>
              </w:rPr>
            </w:pPr>
          </w:p>
        </w:tc>
      </w:tr>
      <w:tr w14:paraId="731D14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62" w:type="pct"/>
            <w:vMerge w:val="continue"/>
            <w:tcBorders>
              <w:tl2br w:val="nil"/>
              <w:tr2bl w:val="nil"/>
            </w:tcBorders>
            <w:vAlign w:val="center"/>
          </w:tcPr>
          <w:p w14:paraId="29410171">
            <w:pPr>
              <w:spacing w:line="360" w:lineRule="exact"/>
              <w:ind w:firstLine="0" w:firstLineChars="0"/>
              <w:jc w:val="center"/>
              <w:rPr>
                <w:rFonts w:hint="default" w:ascii="Times New Roman" w:hAnsi="Times New Roman" w:cs="Times New Roman"/>
                <w:color w:val="auto"/>
                <w:sz w:val="21"/>
                <w:szCs w:val="21"/>
                <w:highlight w:val="none"/>
              </w:rPr>
            </w:pPr>
          </w:p>
        </w:tc>
        <w:tc>
          <w:tcPr>
            <w:tcW w:w="620" w:type="pct"/>
            <w:tcBorders>
              <w:tl2br w:val="nil"/>
              <w:tr2bl w:val="nil"/>
            </w:tcBorders>
            <w:vAlign w:val="center"/>
          </w:tcPr>
          <w:p w14:paraId="1E3B7E0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固废处置</w:t>
            </w:r>
          </w:p>
        </w:tc>
        <w:tc>
          <w:tcPr>
            <w:tcW w:w="441" w:type="pct"/>
            <w:tcBorders>
              <w:tl2br w:val="nil"/>
              <w:tr2bl w:val="nil"/>
            </w:tcBorders>
            <w:vAlign w:val="center"/>
          </w:tcPr>
          <w:p w14:paraId="31E8B78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-1C</w:t>
            </w:r>
          </w:p>
        </w:tc>
        <w:tc>
          <w:tcPr>
            <w:tcW w:w="359" w:type="pct"/>
            <w:tcBorders>
              <w:tl2br w:val="nil"/>
              <w:tr2bl w:val="nil"/>
            </w:tcBorders>
            <w:vAlign w:val="center"/>
          </w:tcPr>
          <w:p w14:paraId="1689BDA5">
            <w:pPr>
              <w:spacing w:line="360" w:lineRule="exact"/>
              <w:ind w:firstLine="0" w:firstLineChars="0"/>
              <w:jc w:val="center"/>
              <w:rPr>
                <w:rFonts w:hint="default" w:ascii="Times New Roman" w:hAnsi="Times New Roman" w:cs="Times New Roman"/>
                <w:color w:val="auto"/>
                <w:sz w:val="21"/>
                <w:szCs w:val="21"/>
                <w:highlight w:val="none"/>
              </w:rPr>
            </w:pPr>
          </w:p>
        </w:tc>
        <w:tc>
          <w:tcPr>
            <w:tcW w:w="375" w:type="pct"/>
            <w:tcBorders>
              <w:tl2br w:val="nil"/>
              <w:tr2bl w:val="nil"/>
            </w:tcBorders>
            <w:vAlign w:val="center"/>
          </w:tcPr>
          <w:p w14:paraId="6CE741E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-1C</w:t>
            </w:r>
          </w:p>
        </w:tc>
        <w:tc>
          <w:tcPr>
            <w:tcW w:w="326" w:type="pct"/>
            <w:tcBorders>
              <w:tl2br w:val="nil"/>
              <w:tr2bl w:val="nil"/>
            </w:tcBorders>
            <w:vAlign w:val="center"/>
          </w:tcPr>
          <w:p w14:paraId="65CAFD09">
            <w:pPr>
              <w:spacing w:line="360" w:lineRule="exact"/>
              <w:ind w:firstLine="0" w:firstLineChars="0"/>
              <w:jc w:val="center"/>
              <w:rPr>
                <w:rFonts w:hint="default" w:ascii="Times New Roman" w:hAnsi="Times New Roman" w:cs="Times New Roman"/>
                <w:color w:val="auto"/>
                <w:sz w:val="21"/>
                <w:szCs w:val="21"/>
                <w:highlight w:val="none"/>
              </w:rPr>
            </w:pPr>
          </w:p>
        </w:tc>
        <w:tc>
          <w:tcPr>
            <w:tcW w:w="400" w:type="pct"/>
            <w:tcBorders>
              <w:tl2br w:val="nil"/>
              <w:tr2bl w:val="nil"/>
            </w:tcBorders>
            <w:vAlign w:val="center"/>
          </w:tcPr>
          <w:p w14:paraId="17C2FC7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-1C</w:t>
            </w:r>
          </w:p>
        </w:tc>
        <w:tc>
          <w:tcPr>
            <w:tcW w:w="613" w:type="pct"/>
            <w:tcBorders>
              <w:tl2br w:val="nil"/>
              <w:tr2bl w:val="nil"/>
            </w:tcBorders>
            <w:vAlign w:val="center"/>
          </w:tcPr>
          <w:p w14:paraId="1ECD383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-1C</w:t>
            </w:r>
          </w:p>
        </w:tc>
        <w:tc>
          <w:tcPr>
            <w:tcW w:w="383" w:type="pct"/>
            <w:tcBorders>
              <w:tl2br w:val="nil"/>
              <w:tr2bl w:val="nil"/>
            </w:tcBorders>
            <w:vAlign w:val="center"/>
          </w:tcPr>
          <w:p w14:paraId="7288E55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-1C</w:t>
            </w:r>
          </w:p>
        </w:tc>
        <w:tc>
          <w:tcPr>
            <w:tcW w:w="367" w:type="pct"/>
            <w:tcBorders>
              <w:tl2br w:val="nil"/>
              <w:tr2bl w:val="nil"/>
            </w:tcBorders>
            <w:vAlign w:val="center"/>
          </w:tcPr>
          <w:p w14:paraId="144B390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-1C</w:t>
            </w:r>
          </w:p>
        </w:tc>
        <w:tc>
          <w:tcPr>
            <w:tcW w:w="384" w:type="pct"/>
            <w:tcBorders>
              <w:tl2br w:val="nil"/>
              <w:tr2bl w:val="nil"/>
            </w:tcBorders>
            <w:vAlign w:val="center"/>
          </w:tcPr>
          <w:p w14:paraId="2C5453FC">
            <w:pPr>
              <w:spacing w:line="360" w:lineRule="exact"/>
              <w:ind w:firstLine="0" w:firstLineChars="0"/>
              <w:jc w:val="center"/>
              <w:rPr>
                <w:rFonts w:hint="default" w:ascii="Times New Roman" w:hAnsi="Times New Roman" w:cs="Times New Roman"/>
                <w:color w:val="auto"/>
                <w:sz w:val="21"/>
                <w:szCs w:val="21"/>
                <w:highlight w:val="none"/>
              </w:rPr>
            </w:pPr>
          </w:p>
        </w:tc>
        <w:tc>
          <w:tcPr>
            <w:tcW w:w="363" w:type="pct"/>
            <w:tcBorders>
              <w:tl2br w:val="nil"/>
              <w:tr2bl w:val="nil"/>
            </w:tcBorders>
            <w:vAlign w:val="center"/>
          </w:tcPr>
          <w:p w14:paraId="4BC0FBD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-1C</w:t>
            </w:r>
          </w:p>
        </w:tc>
      </w:tr>
      <w:tr w14:paraId="043A29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0" w:hRule="atLeast"/>
          <w:jc w:val="center"/>
        </w:trPr>
        <w:tc>
          <w:tcPr>
            <w:tcW w:w="362" w:type="pct"/>
            <w:tcBorders>
              <w:tl2br w:val="nil"/>
              <w:tr2bl w:val="nil"/>
            </w:tcBorders>
            <w:vAlign w:val="center"/>
          </w:tcPr>
          <w:p w14:paraId="63892EE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退役期</w:t>
            </w:r>
          </w:p>
        </w:tc>
        <w:tc>
          <w:tcPr>
            <w:tcW w:w="620" w:type="pct"/>
            <w:tcBorders>
              <w:tl2br w:val="nil"/>
              <w:tr2bl w:val="nil"/>
            </w:tcBorders>
            <w:vAlign w:val="center"/>
          </w:tcPr>
          <w:p w14:paraId="5899FD8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生态恢复</w:t>
            </w:r>
          </w:p>
        </w:tc>
        <w:tc>
          <w:tcPr>
            <w:tcW w:w="441" w:type="pct"/>
            <w:tcBorders>
              <w:tl2br w:val="nil"/>
              <w:tr2bl w:val="nil"/>
            </w:tcBorders>
            <w:vAlign w:val="center"/>
          </w:tcPr>
          <w:p w14:paraId="47A7D507">
            <w:pPr>
              <w:spacing w:line="360" w:lineRule="exact"/>
              <w:ind w:firstLine="0" w:firstLineChars="0"/>
              <w:jc w:val="center"/>
              <w:rPr>
                <w:rFonts w:hint="default" w:ascii="Times New Roman" w:hAnsi="Times New Roman" w:cs="Times New Roman"/>
                <w:color w:val="auto"/>
                <w:sz w:val="21"/>
                <w:szCs w:val="21"/>
                <w:highlight w:val="none"/>
              </w:rPr>
            </w:pPr>
          </w:p>
        </w:tc>
        <w:tc>
          <w:tcPr>
            <w:tcW w:w="359" w:type="pct"/>
            <w:tcBorders>
              <w:tl2br w:val="nil"/>
              <w:tr2bl w:val="nil"/>
            </w:tcBorders>
            <w:vAlign w:val="center"/>
          </w:tcPr>
          <w:p w14:paraId="1D0DA3FA">
            <w:pPr>
              <w:spacing w:line="360" w:lineRule="exact"/>
              <w:ind w:firstLine="0" w:firstLineChars="0"/>
              <w:jc w:val="center"/>
              <w:rPr>
                <w:rFonts w:hint="default" w:ascii="Times New Roman" w:hAnsi="Times New Roman" w:cs="Times New Roman"/>
                <w:color w:val="auto"/>
                <w:sz w:val="21"/>
                <w:szCs w:val="21"/>
                <w:highlight w:val="none"/>
              </w:rPr>
            </w:pPr>
          </w:p>
        </w:tc>
        <w:tc>
          <w:tcPr>
            <w:tcW w:w="375" w:type="pct"/>
            <w:tcBorders>
              <w:tl2br w:val="nil"/>
              <w:tr2bl w:val="nil"/>
            </w:tcBorders>
            <w:vAlign w:val="center"/>
          </w:tcPr>
          <w:p w14:paraId="2162A034">
            <w:pPr>
              <w:spacing w:line="360" w:lineRule="exact"/>
              <w:ind w:firstLine="0" w:firstLineChars="0"/>
              <w:jc w:val="center"/>
              <w:rPr>
                <w:rFonts w:hint="default" w:ascii="Times New Roman" w:hAnsi="Times New Roman" w:cs="Times New Roman"/>
                <w:color w:val="auto"/>
                <w:sz w:val="21"/>
                <w:szCs w:val="21"/>
                <w:highlight w:val="none"/>
              </w:rPr>
            </w:pPr>
          </w:p>
        </w:tc>
        <w:tc>
          <w:tcPr>
            <w:tcW w:w="326" w:type="pct"/>
            <w:tcBorders>
              <w:tl2br w:val="nil"/>
              <w:tr2bl w:val="nil"/>
            </w:tcBorders>
            <w:vAlign w:val="center"/>
          </w:tcPr>
          <w:p w14:paraId="3D4D63F6">
            <w:pPr>
              <w:spacing w:line="360" w:lineRule="exact"/>
              <w:ind w:firstLine="0" w:firstLineChars="0"/>
              <w:jc w:val="center"/>
              <w:rPr>
                <w:rFonts w:hint="default" w:ascii="Times New Roman" w:hAnsi="Times New Roman" w:cs="Times New Roman"/>
                <w:color w:val="auto"/>
                <w:sz w:val="21"/>
                <w:szCs w:val="21"/>
                <w:highlight w:val="none"/>
              </w:rPr>
            </w:pPr>
          </w:p>
        </w:tc>
        <w:tc>
          <w:tcPr>
            <w:tcW w:w="400" w:type="pct"/>
            <w:tcBorders>
              <w:tl2br w:val="nil"/>
              <w:tr2bl w:val="nil"/>
            </w:tcBorders>
            <w:vAlign w:val="center"/>
          </w:tcPr>
          <w:p w14:paraId="0B2FF36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+2C</w:t>
            </w:r>
          </w:p>
        </w:tc>
        <w:tc>
          <w:tcPr>
            <w:tcW w:w="613" w:type="pct"/>
            <w:tcBorders>
              <w:tl2br w:val="nil"/>
              <w:tr2bl w:val="nil"/>
            </w:tcBorders>
            <w:vAlign w:val="center"/>
          </w:tcPr>
          <w:p w14:paraId="40C3E76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+2C</w:t>
            </w:r>
          </w:p>
        </w:tc>
        <w:tc>
          <w:tcPr>
            <w:tcW w:w="383" w:type="pct"/>
            <w:tcBorders>
              <w:tl2br w:val="nil"/>
              <w:tr2bl w:val="nil"/>
            </w:tcBorders>
            <w:vAlign w:val="center"/>
          </w:tcPr>
          <w:p w14:paraId="1B2EA862">
            <w:pPr>
              <w:spacing w:line="360" w:lineRule="exact"/>
              <w:ind w:firstLine="0" w:firstLineChars="0"/>
              <w:jc w:val="center"/>
              <w:rPr>
                <w:rFonts w:hint="default" w:ascii="Times New Roman" w:hAnsi="Times New Roman" w:cs="Times New Roman"/>
                <w:color w:val="auto"/>
                <w:sz w:val="21"/>
                <w:szCs w:val="21"/>
                <w:highlight w:val="none"/>
              </w:rPr>
            </w:pPr>
          </w:p>
        </w:tc>
        <w:tc>
          <w:tcPr>
            <w:tcW w:w="367" w:type="pct"/>
            <w:tcBorders>
              <w:tl2br w:val="nil"/>
              <w:tr2bl w:val="nil"/>
            </w:tcBorders>
            <w:vAlign w:val="center"/>
          </w:tcPr>
          <w:p w14:paraId="15A1A143">
            <w:pPr>
              <w:spacing w:line="360" w:lineRule="exact"/>
              <w:ind w:firstLine="0" w:firstLineChars="0"/>
              <w:jc w:val="center"/>
              <w:rPr>
                <w:rFonts w:hint="default" w:ascii="Times New Roman" w:hAnsi="Times New Roman" w:cs="Times New Roman"/>
                <w:color w:val="auto"/>
                <w:sz w:val="21"/>
                <w:szCs w:val="21"/>
                <w:highlight w:val="none"/>
              </w:rPr>
            </w:pPr>
          </w:p>
        </w:tc>
        <w:tc>
          <w:tcPr>
            <w:tcW w:w="384" w:type="pct"/>
            <w:tcBorders>
              <w:tl2br w:val="nil"/>
              <w:tr2bl w:val="nil"/>
            </w:tcBorders>
            <w:vAlign w:val="center"/>
          </w:tcPr>
          <w:p w14:paraId="2B4B0A3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+1C</w:t>
            </w:r>
          </w:p>
        </w:tc>
        <w:tc>
          <w:tcPr>
            <w:tcW w:w="363" w:type="pct"/>
            <w:tcBorders>
              <w:tl2br w:val="nil"/>
              <w:tr2bl w:val="nil"/>
            </w:tcBorders>
            <w:vAlign w:val="center"/>
          </w:tcPr>
          <w:p w14:paraId="1BB4F485">
            <w:pPr>
              <w:spacing w:line="360" w:lineRule="exact"/>
              <w:ind w:firstLine="0" w:firstLineChars="0"/>
              <w:jc w:val="center"/>
              <w:rPr>
                <w:rFonts w:hint="default" w:ascii="Times New Roman" w:hAnsi="Times New Roman" w:cs="Times New Roman"/>
                <w:color w:val="auto"/>
                <w:sz w:val="21"/>
                <w:szCs w:val="21"/>
                <w:highlight w:val="none"/>
              </w:rPr>
            </w:pPr>
          </w:p>
        </w:tc>
      </w:tr>
      <w:tr w14:paraId="6D8678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12"/>
            <w:tcBorders>
              <w:tl2br w:val="nil"/>
              <w:tr2bl w:val="nil"/>
            </w:tcBorders>
            <w:vAlign w:val="center"/>
          </w:tcPr>
          <w:p w14:paraId="5DC6D5DF">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备注：</w:t>
            </w:r>
          </w:p>
          <w:p w14:paraId="79ACF018">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1、表中</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表示有利影响，</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表示不利影响；</w:t>
            </w:r>
          </w:p>
          <w:p w14:paraId="4CF7EC1D">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2、表中数字表示影响的相对程度，</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1</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表示影响较小，</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2</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表示影响中等，</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3</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表示影响较大；</w:t>
            </w:r>
          </w:p>
          <w:p w14:paraId="60642C75">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3、表中</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D</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表示短期影响，</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C</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表示长期影响。</w:t>
            </w:r>
          </w:p>
        </w:tc>
      </w:tr>
    </w:tbl>
    <w:p w14:paraId="4B6F838D">
      <w:pPr>
        <w:pStyle w:val="4"/>
        <w:rPr>
          <w:rFonts w:hint="default" w:ascii="Times New Roman" w:hAnsi="Times New Roman" w:cs="Times New Roman"/>
          <w:color w:val="auto"/>
          <w:highlight w:val="none"/>
        </w:rPr>
      </w:pPr>
      <w:bookmarkStart w:id="147" w:name="_Toc5739"/>
      <w:bookmarkStart w:id="148" w:name="_Toc24816"/>
      <w:bookmarkStart w:id="149" w:name="_Toc24657"/>
      <w:bookmarkStart w:id="150" w:name="_Toc8949"/>
      <w:bookmarkStart w:id="151" w:name="_Toc26910"/>
      <w:bookmarkStart w:id="152" w:name="_Toc4614"/>
      <w:bookmarkStart w:id="153" w:name="_Toc31497"/>
      <w:bookmarkStart w:id="154" w:name="_Toc6132"/>
      <w:bookmarkStart w:id="155" w:name="_Toc27656"/>
      <w:r>
        <w:rPr>
          <w:rFonts w:hint="default" w:ascii="Times New Roman" w:hAnsi="Times New Roman" w:cs="Times New Roman"/>
          <w:color w:val="auto"/>
          <w:highlight w:val="none"/>
        </w:rPr>
        <w:t>2.4.2主要污染因子筛选</w:t>
      </w:r>
      <w:bookmarkEnd w:id="147"/>
      <w:bookmarkEnd w:id="148"/>
      <w:bookmarkEnd w:id="149"/>
      <w:bookmarkEnd w:id="150"/>
      <w:bookmarkEnd w:id="151"/>
      <w:bookmarkEnd w:id="152"/>
      <w:bookmarkEnd w:id="153"/>
      <w:bookmarkEnd w:id="154"/>
      <w:bookmarkEnd w:id="155"/>
    </w:p>
    <w:p w14:paraId="3871287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根据项目特点、污染物排放特征及所在地区环境质量状况，将最终对环境影响较大的污染因子作为主要污染因子，见表2.4-2。</w:t>
      </w:r>
    </w:p>
    <w:p w14:paraId="5D177D5C">
      <w:pPr>
        <w:overflowPunct w:val="0"/>
        <w:topLinePunct/>
        <w:ind w:firstLine="480"/>
        <w:rPr>
          <w:rFonts w:hint="default" w:ascii="Times New Roman" w:hAnsi="Times New Roman" w:cs="Times New Roman"/>
          <w:color w:val="auto"/>
          <w:highlight w:val="none"/>
        </w:rPr>
      </w:pPr>
    </w:p>
    <w:p w14:paraId="34DCF909">
      <w:pPr>
        <w:pStyle w:val="49"/>
        <w:rPr>
          <w:rFonts w:hint="default" w:ascii="Times New Roman" w:hAnsi="Times New Roman" w:cs="Times New Roman"/>
          <w:color w:val="auto"/>
          <w:highlight w:val="none"/>
        </w:rPr>
      </w:pPr>
      <w:r>
        <w:rPr>
          <w:rFonts w:hint="default" w:ascii="Times New Roman" w:hAnsi="Times New Roman" w:cs="Times New Roman"/>
          <w:color w:val="auto"/>
          <w:highlight w:val="none"/>
        </w:rPr>
        <w:t>表2.4-2    本项目主要污染因子识别</w:t>
      </w:r>
    </w:p>
    <w:tbl>
      <w:tblPr>
        <w:tblStyle w:val="33"/>
        <w:tblW w:w="860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57"/>
        <w:gridCol w:w="1000"/>
        <w:gridCol w:w="4452"/>
        <w:gridCol w:w="2394"/>
      </w:tblGrid>
      <w:tr w14:paraId="6BAFCA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blHeader/>
          <w:jc w:val="center"/>
        </w:trPr>
        <w:tc>
          <w:tcPr>
            <w:tcW w:w="757" w:type="dxa"/>
            <w:vAlign w:val="center"/>
          </w:tcPr>
          <w:p w14:paraId="38BDC0C3">
            <w:pPr>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阶段</w:t>
            </w:r>
          </w:p>
        </w:tc>
        <w:tc>
          <w:tcPr>
            <w:tcW w:w="1000" w:type="dxa"/>
            <w:vAlign w:val="center"/>
          </w:tcPr>
          <w:p w14:paraId="591CC0AD">
            <w:pPr>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环境要素</w:t>
            </w:r>
          </w:p>
        </w:tc>
        <w:tc>
          <w:tcPr>
            <w:tcW w:w="4452" w:type="dxa"/>
            <w:vAlign w:val="center"/>
          </w:tcPr>
          <w:p w14:paraId="30A77B7B">
            <w:pPr>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现状评价因子</w:t>
            </w:r>
          </w:p>
        </w:tc>
        <w:tc>
          <w:tcPr>
            <w:tcW w:w="2394" w:type="dxa"/>
            <w:vAlign w:val="center"/>
          </w:tcPr>
          <w:p w14:paraId="3B554A48">
            <w:pPr>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影响评价因子</w:t>
            </w:r>
          </w:p>
        </w:tc>
      </w:tr>
      <w:tr w14:paraId="05CBA1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6" w:hRule="atLeast"/>
          <w:jc w:val="center"/>
        </w:trPr>
        <w:tc>
          <w:tcPr>
            <w:tcW w:w="757" w:type="dxa"/>
            <w:vMerge w:val="restart"/>
            <w:vAlign w:val="center"/>
          </w:tcPr>
          <w:p w14:paraId="59B15DD1">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运营期</w:t>
            </w:r>
          </w:p>
        </w:tc>
        <w:tc>
          <w:tcPr>
            <w:tcW w:w="1000" w:type="dxa"/>
            <w:vAlign w:val="center"/>
          </w:tcPr>
          <w:p w14:paraId="5CA2FE1A">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环境空气</w:t>
            </w:r>
          </w:p>
        </w:tc>
        <w:tc>
          <w:tcPr>
            <w:tcW w:w="4452" w:type="dxa"/>
            <w:vAlign w:val="center"/>
          </w:tcPr>
          <w:p w14:paraId="623733AE">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10</w:t>
            </w: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2.5</w:t>
            </w:r>
            <w:r>
              <w:rPr>
                <w:rFonts w:hint="default" w:ascii="Times New Roman" w:hAnsi="Times New Roman" w:cs="Times New Roman"/>
                <w:color w:val="auto"/>
                <w:sz w:val="21"/>
                <w:szCs w:val="21"/>
                <w:highlight w:val="none"/>
              </w:rPr>
              <w:t>、CO</w:t>
            </w:r>
            <w:r>
              <w:rPr>
                <w:rFonts w:hint="default" w:ascii="Times New Roman" w:hAnsi="Times New Roman" w:cs="Times New Roman"/>
                <w:color w:val="auto"/>
                <w:sz w:val="21"/>
                <w:szCs w:val="21"/>
                <w:highlight w:val="none"/>
                <w:lang w:val="zh-CN"/>
              </w:rPr>
              <w:t>、</w:t>
            </w:r>
            <w:r>
              <w:rPr>
                <w:rFonts w:hint="default" w:ascii="Times New Roman" w:hAnsi="Times New Roman" w:cs="Times New Roman"/>
                <w:color w:val="auto"/>
                <w:sz w:val="21"/>
                <w:szCs w:val="21"/>
                <w:highlight w:val="none"/>
              </w:rPr>
              <w:t>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、TSP、</w:t>
            </w:r>
            <w:r>
              <w:rPr>
                <w:rFonts w:hint="default" w:ascii="Times New Roman" w:hAnsi="Times New Roman" w:cs="Times New Roman"/>
                <w:color w:val="auto"/>
                <w:sz w:val="21"/>
                <w:szCs w:val="21"/>
                <w:highlight w:val="none"/>
                <w:lang w:eastAsia="zh-CN"/>
              </w:rPr>
              <w:t>氟化物</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汞及其化合物</w:t>
            </w:r>
          </w:p>
        </w:tc>
        <w:tc>
          <w:tcPr>
            <w:tcW w:w="2394" w:type="dxa"/>
            <w:vAlign w:val="center"/>
          </w:tcPr>
          <w:p w14:paraId="65CCBBC5">
            <w:pPr>
              <w:spacing w:line="360" w:lineRule="exact"/>
              <w:ind w:firstLine="0" w:firstLine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rPr>
              <w:t>TSP、PM</w:t>
            </w:r>
            <w:r>
              <w:rPr>
                <w:rFonts w:hint="default" w:ascii="Times New Roman" w:hAnsi="Times New Roman" w:cs="Times New Roman"/>
                <w:color w:val="auto"/>
                <w:kern w:val="0"/>
                <w:sz w:val="21"/>
                <w:szCs w:val="21"/>
                <w:highlight w:val="none"/>
                <w:vertAlign w:val="subscript"/>
              </w:rPr>
              <w:t>10</w:t>
            </w:r>
            <w:r>
              <w:rPr>
                <w:rFonts w:hint="default" w:ascii="Times New Roman" w:hAnsi="Times New Roman" w:cs="Times New Roman"/>
                <w:color w:val="auto"/>
                <w:kern w:val="0"/>
                <w:sz w:val="21"/>
                <w:szCs w:val="21"/>
                <w:highlight w:val="none"/>
              </w:rPr>
              <w:t>、</w:t>
            </w:r>
            <w:r>
              <w:rPr>
                <w:rFonts w:hint="default" w:ascii="Times New Roman" w:hAnsi="Times New Roman" w:cs="Times New Roman"/>
                <w:color w:val="auto"/>
                <w:kern w:val="0"/>
                <w:sz w:val="21"/>
                <w:szCs w:val="21"/>
                <w:highlight w:val="none"/>
                <w:lang w:eastAsia="zh-CN"/>
              </w:rPr>
              <w:t>氟化物、</w:t>
            </w: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、NO</w:t>
            </w:r>
            <w:r>
              <w:rPr>
                <w:rFonts w:hint="eastAsia" w:ascii="Times New Roman" w:hAnsi="Times New Roman" w:cs="Times New Roman"/>
                <w:color w:val="auto"/>
                <w:sz w:val="21"/>
                <w:szCs w:val="21"/>
                <w:highlight w:val="none"/>
                <w:vertAlign w:val="subscript"/>
                <w:lang w:val="en-US" w:eastAsia="zh-CN"/>
              </w:rPr>
              <w:t>x</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汞及其化合物</w:t>
            </w:r>
          </w:p>
        </w:tc>
      </w:tr>
      <w:tr w14:paraId="0FD922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vMerge w:val="continue"/>
            <w:vAlign w:val="center"/>
          </w:tcPr>
          <w:p w14:paraId="3470D20B">
            <w:pPr>
              <w:spacing w:line="360" w:lineRule="exact"/>
              <w:ind w:firstLine="0" w:firstLineChars="0"/>
              <w:jc w:val="center"/>
              <w:rPr>
                <w:rFonts w:hint="default" w:ascii="Times New Roman" w:hAnsi="Times New Roman" w:cs="Times New Roman"/>
                <w:color w:val="auto"/>
                <w:kern w:val="0"/>
                <w:sz w:val="21"/>
                <w:szCs w:val="21"/>
                <w:highlight w:val="none"/>
              </w:rPr>
            </w:pPr>
          </w:p>
        </w:tc>
        <w:tc>
          <w:tcPr>
            <w:tcW w:w="1000" w:type="dxa"/>
            <w:vAlign w:val="center"/>
          </w:tcPr>
          <w:p w14:paraId="23ADC308">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地下水环境</w:t>
            </w:r>
          </w:p>
        </w:tc>
        <w:tc>
          <w:tcPr>
            <w:tcW w:w="4452" w:type="dxa"/>
            <w:vAlign w:val="center"/>
          </w:tcPr>
          <w:p w14:paraId="06FB9E1F">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K</w:t>
            </w:r>
            <w:r>
              <w:rPr>
                <w:rFonts w:hint="default" w:ascii="Times New Roman" w:hAnsi="Times New Roman" w:eastAsia="宋体" w:cs="Times New Roman"/>
                <w:color w:val="auto"/>
                <w:sz w:val="21"/>
                <w:szCs w:val="21"/>
                <w:highlight w:val="none"/>
                <w:vertAlign w:val="superscript"/>
                <w:lang w:val="en-US" w:eastAsia="zh-CN"/>
              </w:rPr>
              <w:t>+</w:t>
            </w:r>
            <w:r>
              <w:rPr>
                <w:rFonts w:hint="default" w:ascii="Times New Roman" w:hAnsi="Times New Roman" w:eastAsia="宋体" w:cs="Times New Roman"/>
                <w:color w:val="auto"/>
                <w:sz w:val="21"/>
                <w:szCs w:val="21"/>
                <w:highlight w:val="none"/>
                <w:lang w:val="en-US" w:eastAsia="zh-CN"/>
              </w:rPr>
              <w:t>、Na</w:t>
            </w:r>
            <w:r>
              <w:rPr>
                <w:rFonts w:hint="default" w:ascii="Times New Roman" w:hAnsi="Times New Roman" w:eastAsia="宋体" w:cs="Times New Roman"/>
                <w:color w:val="auto"/>
                <w:sz w:val="21"/>
                <w:szCs w:val="21"/>
                <w:highlight w:val="none"/>
                <w:vertAlign w:val="superscript"/>
                <w:lang w:val="en-US" w:eastAsia="zh-CN"/>
              </w:rPr>
              <w:t>+</w:t>
            </w:r>
            <w:r>
              <w:rPr>
                <w:rFonts w:hint="default" w:ascii="Times New Roman" w:hAnsi="Times New Roman" w:eastAsia="宋体" w:cs="Times New Roman"/>
                <w:color w:val="auto"/>
                <w:sz w:val="21"/>
                <w:szCs w:val="21"/>
                <w:highlight w:val="none"/>
                <w:lang w:val="en-US" w:eastAsia="zh-CN"/>
              </w:rPr>
              <w:t>、Ca</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lang w:val="en-US" w:eastAsia="zh-CN"/>
              </w:rPr>
              <w:t>Mg</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、CO</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、HCO</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vertAlign w:val="superscript"/>
                <w:lang w:val="en-US" w:eastAsia="zh-CN"/>
              </w:rPr>
              <w:t>-</w:t>
            </w:r>
            <w:r>
              <w:rPr>
                <w:rFonts w:hint="default" w:ascii="Times New Roman" w:hAnsi="Times New Roman" w:eastAsia="宋体" w:cs="Times New Roman"/>
                <w:color w:val="auto"/>
                <w:sz w:val="21"/>
                <w:szCs w:val="21"/>
                <w:highlight w:val="none"/>
                <w:lang w:val="en-US" w:eastAsia="zh-CN"/>
              </w:rPr>
              <w:t>、C</w:t>
            </w:r>
            <w:r>
              <w:rPr>
                <w:rFonts w:hint="default" w:ascii="Times New Roman" w:hAnsi="Times New Roman" w:eastAsia="宋体" w:cs="Times New Roman"/>
                <w:color w:val="auto"/>
                <w:sz w:val="21"/>
                <w:szCs w:val="21"/>
                <w:highlight w:val="none"/>
                <w:vertAlign w:val="baseline"/>
                <w:lang w:val="en-US" w:eastAsia="zh-CN"/>
              </w:rPr>
              <w:t>l</w:t>
            </w:r>
            <w:r>
              <w:rPr>
                <w:rFonts w:hint="default" w:ascii="Times New Roman" w:hAnsi="Times New Roman" w:eastAsia="宋体" w:cs="Times New Roman"/>
                <w:color w:val="auto"/>
                <w:sz w:val="21"/>
                <w:szCs w:val="21"/>
                <w:highlight w:val="none"/>
                <w:vertAlign w:val="superscript"/>
                <w:lang w:val="en-US" w:eastAsia="zh-CN"/>
              </w:rPr>
              <w:t>-</w:t>
            </w:r>
            <w:r>
              <w:rPr>
                <w:rFonts w:hint="default" w:ascii="Times New Roman" w:hAnsi="Times New Roman" w:eastAsia="宋体" w:cs="Times New Roman"/>
                <w:color w:val="auto"/>
                <w:sz w:val="21"/>
                <w:szCs w:val="21"/>
                <w:highlight w:val="none"/>
                <w:lang w:val="en-US" w:eastAsia="zh-CN"/>
              </w:rPr>
              <w:t>、SO</w:t>
            </w:r>
            <w:r>
              <w:rPr>
                <w:rFonts w:hint="default" w:ascii="Times New Roman" w:hAnsi="Times New Roman" w:eastAsia="宋体" w:cs="Times New Roman"/>
                <w:color w:val="auto"/>
                <w:sz w:val="21"/>
                <w:szCs w:val="21"/>
                <w:highlight w:val="none"/>
                <w:vertAlign w:val="subscript"/>
                <w:lang w:val="en-US" w:eastAsia="zh-CN"/>
              </w:rPr>
              <w:t>4</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以及</w:t>
            </w:r>
            <w:r>
              <w:rPr>
                <w:rFonts w:hint="default" w:ascii="Times New Roman" w:hAnsi="Times New Roman" w:eastAsia="宋体" w:cs="Times New Roman"/>
                <w:color w:val="auto"/>
                <w:sz w:val="21"/>
                <w:szCs w:val="21"/>
                <w:highlight w:val="none"/>
              </w:rPr>
              <w:t>pH值、总硬度</w:t>
            </w:r>
            <w:r>
              <w:rPr>
                <w:rFonts w:hint="default" w:ascii="Times New Roman" w:hAnsi="Times New Roman" w:eastAsia="宋体" w:cs="Times New Roman"/>
                <w:color w:val="auto"/>
                <w:sz w:val="21"/>
                <w:szCs w:val="21"/>
                <w:highlight w:val="none"/>
                <w:lang w:eastAsia="zh-CN"/>
              </w:rPr>
              <w:t>、溶解性总固体、铁、锰、</w:t>
            </w:r>
            <w:r>
              <w:rPr>
                <w:rFonts w:hint="default" w:ascii="Times New Roman" w:hAnsi="Times New Roman" w:eastAsia="宋体" w:cs="Times New Roman"/>
                <w:b w:val="0"/>
                <w:bCs w:val="0"/>
                <w:color w:val="auto"/>
                <w:sz w:val="21"/>
                <w:szCs w:val="21"/>
                <w:highlight w:val="none"/>
                <w:lang w:eastAsia="zh-CN"/>
              </w:rPr>
              <w:t>铜、</w:t>
            </w:r>
            <w:r>
              <w:rPr>
                <w:rFonts w:hint="default" w:ascii="Times New Roman" w:hAnsi="Times New Roman" w:eastAsia="宋体" w:cs="Times New Roman"/>
                <w:b w:val="0"/>
                <w:bCs w:val="0"/>
                <w:color w:val="auto"/>
                <w:sz w:val="21"/>
                <w:szCs w:val="21"/>
                <w:highlight w:val="none"/>
              </w:rPr>
              <w:t>锌</w:t>
            </w:r>
            <w:r>
              <w:rPr>
                <w:rFonts w:hint="default" w:ascii="Times New Roman" w:hAnsi="Times New Roman" w:eastAsia="宋体" w:cs="Times New Roman"/>
                <w:color w:val="auto"/>
                <w:sz w:val="21"/>
                <w:szCs w:val="21"/>
                <w:highlight w:val="none"/>
              </w:rPr>
              <w:t>、挥发性酚类、氨氮、总大肠菌群、亚硝酸盐、硝酸盐</w:t>
            </w:r>
            <w:r>
              <w:rPr>
                <w:rFonts w:hint="default" w:ascii="Times New Roman" w:hAnsi="Times New Roman" w:eastAsia="宋体" w:cs="Times New Roman"/>
                <w:color w:val="auto"/>
                <w:sz w:val="21"/>
                <w:szCs w:val="21"/>
                <w:highlight w:val="none"/>
                <w:lang w:eastAsia="zh-CN"/>
              </w:rPr>
              <w:t>、氰化物、氟化物</w:t>
            </w:r>
            <w:r>
              <w:rPr>
                <w:rFonts w:hint="default" w:ascii="Times New Roman" w:hAnsi="Times New Roman" w:eastAsia="宋体" w:cs="Times New Roman"/>
                <w:color w:val="auto"/>
                <w:sz w:val="21"/>
                <w:szCs w:val="21"/>
                <w:highlight w:val="none"/>
              </w:rPr>
              <w:t>、汞、砷、镉、铬（六价）、铅、镍</w:t>
            </w:r>
          </w:p>
        </w:tc>
        <w:tc>
          <w:tcPr>
            <w:tcW w:w="2394" w:type="dxa"/>
            <w:vAlign w:val="center"/>
          </w:tcPr>
          <w:p w14:paraId="7DAD8567">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eastAsia="zh-CN"/>
              </w:rPr>
              <w:t>氟化物</w:t>
            </w: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汞</w:t>
            </w:r>
          </w:p>
        </w:tc>
      </w:tr>
      <w:tr w14:paraId="287D8D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757" w:type="dxa"/>
            <w:vMerge w:val="continue"/>
            <w:vAlign w:val="center"/>
          </w:tcPr>
          <w:p w14:paraId="3B1CF4A0">
            <w:pPr>
              <w:spacing w:line="360" w:lineRule="exact"/>
              <w:ind w:firstLine="0" w:firstLineChars="0"/>
              <w:jc w:val="center"/>
              <w:rPr>
                <w:rFonts w:hint="default" w:ascii="Times New Roman" w:hAnsi="Times New Roman" w:cs="Times New Roman"/>
                <w:color w:val="auto"/>
                <w:kern w:val="0"/>
                <w:sz w:val="21"/>
                <w:szCs w:val="21"/>
                <w:highlight w:val="none"/>
              </w:rPr>
            </w:pPr>
          </w:p>
        </w:tc>
        <w:tc>
          <w:tcPr>
            <w:tcW w:w="1000" w:type="dxa"/>
            <w:vAlign w:val="center"/>
          </w:tcPr>
          <w:p w14:paraId="34B0E1DC">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声环境</w:t>
            </w:r>
          </w:p>
        </w:tc>
        <w:tc>
          <w:tcPr>
            <w:tcW w:w="4452" w:type="dxa"/>
            <w:vAlign w:val="center"/>
          </w:tcPr>
          <w:p w14:paraId="1C664B08">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连续等效A声级</w:t>
            </w:r>
          </w:p>
        </w:tc>
        <w:tc>
          <w:tcPr>
            <w:tcW w:w="2394" w:type="dxa"/>
            <w:vAlign w:val="center"/>
          </w:tcPr>
          <w:p w14:paraId="4C91CEBF">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连续等效A声级</w:t>
            </w:r>
          </w:p>
        </w:tc>
      </w:tr>
      <w:tr w14:paraId="1CE521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757" w:type="dxa"/>
            <w:vMerge w:val="continue"/>
            <w:vAlign w:val="center"/>
          </w:tcPr>
          <w:p w14:paraId="6B256BEB">
            <w:pPr>
              <w:spacing w:line="360" w:lineRule="exact"/>
              <w:ind w:firstLine="0" w:firstLineChars="0"/>
              <w:jc w:val="center"/>
              <w:rPr>
                <w:rFonts w:hint="default" w:ascii="Times New Roman" w:hAnsi="Times New Roman" w:cs="Times New Roman"/>
                <w:color w:val="auto"/>
                <w:kern w:val="0"/>
                <w:sz w:val="21"/>
                <w:szCs w:val="21"/>
                <w:highlight w:val="none"/>
              </w:rPr>
            </w:pPr>
          </w:p>
        </w:tc>
        <w:tc>
          <w:tcPr>
            <w:tcW w:w="1000" w:type="dxa"/>
            <w:vAlign w:val="center"/>
          </w:tcPr>
          <w:p w14:paraId="5EBCB6AA">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固体废物</w:t>
            </w:r>
          </w:p>
        </w:tc>
        <w:tc>
          <w:tcPr>
            <w:tcW w:w="4452" w:type="dxa"/>
            <w:vAlign w:val="center"/>
          </w:tcPr>
          <w:p w14:paraId="7EA97EE1">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2394" w:type="dxa"/>
            <w:vAlign w:val="center"/>
          </w:tcPr>
          <w:p w14:paraId="4B80E5E8">
            <w:pPr>
              <w:spacing w:line="360" w:lineRule="exact"/>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尾矿砂、除尘灰、废药剂包装物、废离子交换树脂、废布袋、循环水池底泥、</w:t>
            </w:r>
            <w:r>
              <w:rPr>
                <w:rFonts w:hint="eastAsia" w:cs="Times New Roman"/>
                <w:color w:val="auto"/>
                <w:kern w:val="0"/>
                <w:sz w:val="21"/>
                <w:szCs w:val="21"/>
                <w:highlight w:val="none"/>
                <w:lang w:val="en-US" w:eastAsia="zh-CN"/>
              </w:rPr>
              <w:t>脱硫石膏、</w:t>
            </w:r>
            <w:r>
              <w:rPr>
                <w:rFonts w:hint="default" w:ascii="Times New Roman" w:hAnsi="Times New Roman" w:cs="Times New Roman"/>
                <w:color w:val="auto"/>
                <w:kern w:val="0"/>
                <w:sz w:val="21"/>
                <w:szCs w:val="21"/>
                <w:highlight w:val="none"/>
              </w:rPr>
              <w:t>生活垃圾及少量废机油、废油桶等</w:t>
            </w:r>
          </w:p>
        </w:tc>
      </w:tr>
      <w:tr w14:paraId="27FE0C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57" w:type="dxa"/>
            <w:vMerge w:val="continue"/>
            <w:vAlign w:val="center"/>
          </w:tcPr>
          <w:p w14:paraId="467BF0F3">
            <w:pPr>
              <w:spacing w:line="360" w:lineRule="exact"/>
              <w:ind w:firstLine="0" w:firstLineChars="0"/>
              <w:jc w:val="center"/>
              <w:rPr>
                <w:rFonts w:hint="default" w:ascii="Times New Roman" w:hAnsi="Times New Roman" w:cs="Times New Roman"/>
                <w:color w:val="auto"/>
                <w:kern w:val="0"/>
                <w:sz w:val="21"/>
                <w:szCs w:val="21"/>
                <w:highlight w:val="none"/>
              </w:rPr>
            </w:pPr>
          </w:p>
        </w:tc>
        <w:tc>
          <w:tcPr>
            <w:tcW w:w="1000" w:type="dxa"/>
            <w:vAlign w:val="center"/>
          </w:tcPr>
          <w:p w14:paraId="4EBC9F44">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土壤环境</w:t>
            </w:r>
          </w:p>
        </w:tc>
        <w:tc>
          <w:tcPr>
            <w:tcW w:w="4452" w:type="dxa"/>
            <w:vAlign w:val="center"/>
          </w:tcPr>
          <w:p w14:paraId="5653E083">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GB36600-2018表1中45项基本项+pH值</w:t>
            </w:r>
          </w:p>
        </w:tc>
        <w:tc>
          <w:tcPr>
            <w:tcW w:w="2394" w:type="dxa"/>
            <w:vAlign w:val="center"/>
          </w:tcPr>
          <w:p w14:paraId="2240FA8E">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eastAsia" w:cs="Times New Roman"/>
                <w:color w:val="auto"/>
                <w:spacing w:val="-1"/>
                <w:sz w:val="21"/>
                <w:szCs w:val="21"/>
                <w:highlight w:val="none"/>
                <w:lang w:val="en-US" w:eastAsia="zh-CN"/>
              </w:rPr>
              <w:t>汞</w:t>
            </w:r>
          </w:p>
        </w:tc>
      </w:tr>
      <w:tr w14:paraId="6DC978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15" w:hRule="atLeast"/>
          <w:jc w:val="center"/>
        </w:trPr>
        <w:tc>
          <w:tcPr>
            <w:tcW w:w="757" w:type="dxa"/>
            <w:vMerge w:val="continue"/>
            <w:vAlign w:val="center"/>
          </w:tcPr>
          <w:p w14:paraId="3D30266C">
            <w:pPr>
              <w:spacing w:line="360" w:lineRule="exact"/>
              <w:ind w:firstLine="0" w:firstLineChars="0"/>
              <w:jc w:val="center"/>
              <w:rPr>
                <w:rFonts w:hint="default" w:ascii="Times New Roman" w:hAnsi="Times New Roman" w:cs="Times New Roman"/>
                <w:color w:val="auto"/>
                <w:kern w:val="0"/>
                <w:sz w:val="21"/>
                <w:szCs w:val="21"/>
                <w:highlight w:val="none"/>
              </w:rPr>
            </w:pPr>
          </w:p>
        </w:tc>
        <w:tc>
          <w:tcPr>
            <w:tcW w:w="1000" w:type="dxa"/>
            <w:vAlign w:val="center"/>
          </w:tcPr>
          <w:p w14:paraId="782ED5B3">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环境风险</w:t>
            </w:r>
          </w:p>
        </w:tc>
        <w:tc>
          <w:tcPr>
            <w:tcW w:w="4452" w:type="dxa"/>
            <w:vAlign w:val="center"/>
          </w:tcPr>
          <w:p w14:paraId="54F19591">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2394" w:type="dxa"/>
            <w:vAlign w:val="center"/>
          </w:tcPr>
          <w:p w14:paraId="15F9CD79">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尾矿、柴油</w:t>
            </w:r>
            <w:r>
              <w:rPr>
                <w:rFonts w:hint="default" w:ascii="Times New Roman" w:hAnsi="Times New Roman" w:cs="Times New Roman"/>
                <w:color w:val="auto"/>
                <w:kern w:val="0"/>
                <w:sz w:val="21"/>
                <w:szCs w:val="21"/>
                <w:highlight w:val="none"/>
                <w:lang w:eastAsia="zh-CN"/>
              </w:rPr>
              <w:t>、废机油</w:t>
            </w:r>
          </w:p>
        </w:tc>
      </w:tr>
      <w:tr w14:paraId="621BAE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19" w:hRule="atLeast"/>
          <w:jc w:val="center"/>
        </w:trPr>
        <w:tc>
          <w:tcPr>
            <w:tcW w:w="757" w:type="dxa"/>
            <w:vAlign w:val="center"/>
          </w:tcPr>
          <w:p w14:paraId="332C832B">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退役期</w:t>
            </w:r>
          </w:p>
        </w:tc>
        <w:tc>
          <w:tcPr>
            <w:tcW w:w="7846" w:type="dxa"/>
            <w:gridSpan w:val="3"/>
            <w:vAlign w:val="center"/>
          </w:tcPr>
          <w:p w14:paraId="649E9F99">
            <w:pPr>
              <w:spacing w:line="360" w:lineRule="exact"/>
              <w:ind w:firstLine="0" w:firstLineChars="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rPr>
              <w:t>选矿厂、尾矿库土地复垦及生态恢复等</w:t>
            </w:r>
          </w:p>
        </w:tc>
      </w:tr>
    </w:tbl>
    <w:p w14:paraId="0A019C33">
      <w:pPr>
        <w:pStyle w:val="49"/>
        <w:keepNext w:val="0"/>
        <w:keepLines w:val="0"/>
        <w:pageBreakBefore w:val="0"/>
        <w:kinsoku/>
        <w:wordWrap/>
        <w:overflowPunct/>
        <w:topLinePunct w:val="0"/>
        <w:autoSpaceDE/>
        <w:autoSpaceDN/>
        <w:bidi w:val="0"/>
        <w:adjustRightInd/>
        <w:snapToGrid/>
        <w:spacing w:before="0" w:beforeLines="0" w:after="0" w:afterLines="0" w:line="480" w:lineRule="exact"/>
        <w:textAlignment w:val="auto"/>
        <w:outlineLvl w:val="9"/>
        <w:rPr>
          <w:rFonts w:hint="default" w:ascii="Times New Roman" w:hAnsi="Times New Roman" w:cs="Times New Roman"/>
          <w:color w:val="auto"/>
          <w:highlight w:val="none"/>
        </w:rPr>
      </w:pPr>
      <w:bookmarkStart w:id="156" w:name="_Toc11599"/>
      <w:bookmarkStart w:id="157" w:name="_Toc30587"/>
      <w:bookmarkStart w:id="158" w:name="_Toc31241"/>
      <w:bookmarkStart w:id="159" w:name="_Toc4593"/>
      <w:bookmarkStart w:id="160" w:name="_Toc107413881"/>
      <w:bookmarkStart w:id="161" w:name="_Toc26176"/>
      <w:bookmarkStart w:id="162" w:name="_Toc107414648"/>
      <w:r>
        <w:rPr>
          <w:rFonts w:hint="default" w:ascii="Times New Roman" w:hAnsi="Times New Roman" w:cs="Times New Roman"/>
          <w:color w:val="auto"/>
          <w:highlight w:val="none"/>
        </w:rPr>
        <w:t>表2.</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en-US" w:eastAsia="zh-CN"/>
        </w:rPr>
        <w:t xml:space="preserve"> 生态影响评价因子一览表</w:t>
      </w:r>
    </w:p>
    <w:tbl>
      <w:tblPr>
        <w:tblStyle w:val="99"/>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371"/>
        <w:gridCol w:w="2410"/>
        <w:gridCol w:w="2200"/>
        <w:gridCol w:w="1304"/>
        <w:gridCol w:w="1225"/>
      </w:tblGrid>
      <w:tr w14:paraId="365EC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blHeader/>
          <w:jc w:val="center"/>
        </w:trPr>
        <w:tc>
          <w:tcPr>
            <w:tcW w:w="805" w:type="pct"/>
            <w:tcBorders>
              <w:top w:val="single" w:color="000000" w:sz="12" w:space="0"/>
              <w:left w:val="single" w:color="000000" w:sz="12" w:space="0"/>
              <w:bottom w:val="single" w:color="000000" w:sz="4" w:space="0"/>
              <w:right w:val="single" w:color="000000" w:sz="4" w:space="0"/>
            </w:tcBorders>
            <w:tcMar>
              <w:top w:w="0" w:type="dxa"/>
              <w:left w:w="102" w:type="dxa"/>
              <w:bottom w:w="0" w:type="dxa"/>
              <w:right w:w="102" w:type="dxa"/>
            </w:tcMar>
            <w:vAlign w:val="center"/>
          </w:tcPr>
          <w:p w14:paraId="58BDF61E">
            <w:pPr>
              <w:keepNext w:val="0"/>
              <w:keepLines w:val="0"/>
              <w:pageBreakBefore w:val="0"/>
              <w:widowControl w:val="0"/>
              <w:kinsoku/>
              <w:wordWrap/>
              <w:overflowPunct/>
              <w:topLinePunct/>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受影响对象</w:t>
            </w:r>
          </w:p>
        </w:tc>
        <w:tc>
          <w:tcPr>
            <w:tcW w:w="1415" w:type="pct"/>
            <w:tcBorders>
              <w:top w:val="single" w:color="000000" w:sz="12" w:space="0"/>
              <w:left w:val="single" w:color="000000" w:sz="4" w:space="0"/>
              <w:bottom w:val="single" w:color="000000" w:sz="4" w:space="0"/>
              <w:right w:val="single" w:color="000000" w:sz="4" w:space="0"/>
            </w:tcBorders>
            <w:tcMar>
              <w:top w:w="0" w:type="dxa"/>
              <w:left w:w="102" w:type="dxa"/>
              <w:bottom w:w="0" w:type="dxa"/>
              <w:right w:w="102" w:type="dxa"/>
            </w:tcMar>
            <w:vAlign w:val="center"/>
          </w:tcPr>
          <w:p w14:paraId="15EBB857">
            <w:pPr>
              <w:keepNext w:val="0"/>
              <w:keepLines w:val="0"/>
              <w:pageBreakBefore w:val="0"/>
              <w:widowControl w:val="0"/>
              <w:kinsoku/>
              <w:wordWrap/>
              <w:overflowPunct/>
              <w:topLinePunct/>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评价因子</w:t>
            </w:r>
          </w:p>
        </w:tc>
        <w:tc>
          <w:tcPr>
            <w:tcW w:w="1292" w:type="pct"/>
            <w:tcBorders>
              <w:top w:val="single" w:color="000000" w:sz="12" w:space="0"/>
              <w:left w:val="single" w:color="000000" w:sz="4" w:space="0"/>
              <w:bottom w:val="single" w:color="000000" w:sz="4" w:space="0"/>
              <w:right w:val="single" w:color="000000" w:sz="4" w:space="0"/>
            </w:tcBorders>
            <w:tcMar>
              <w:top w:w="0" w:type="dxa"/>
              <w:left w:w="102" w:type="dxa"/>
              <w:bottom w:w="0" w:type="dxa"/>
              <w:right w:w="102" w:type="dxa"/>
            </w:tcMar>
            <w:vAlign w:val="center"/>
          </w:tcPr>
          <w:p w14:paraId="017D474A">
            <w:pPr>
              <w:keepNext w:val="0"/>
              <w:keepLines w:val="0"/>
              <w:pageBreakBefore w:val="0"/>
              <w:widowControl w:val="0"/>
              <w:kinsoku/>
              <w:wordWrap/>
              <w:overflowPunct/>
              <w:topLinePunct/>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工程内容及影响方式</w:t>
            </w:r>
          </w:p>
        </w:tc>
        <w:tc>
          <w:tcPr>
            <w:tcW w:w="766" w:type="pct"/>
            <w:tcBorders>
              <w:top w:val="single" w:color="000000" w:sz="12" w:space="0"/>
              <w:left w:val="single" w:color="000000" w:sz="4" w:space="0"/>
              <w:bottom w:val="single" w:color="000000" w:sz="4" w:space="0"/>
              <w:right w:val="single" w:color="000000" w:sz="4" w:space="0"/>
            </w:tcBorders>
            <w:tcMar>
              <w:top w:w="0" w:type="dxa"/>
              <w:left w:w="102" w:type="dxa"/>
              <w:bottom w:w="0" w:type="dxa"/>
              <w:right w:w="102" w:type="dxa"/>
            </w:tcMar>
            <w:vAlign w:val="center"/>
          </w:tcPr>
          <w:p w14:paraId="70ECF17E">
            <w:pPr>
              <w:keepNext w:val="0"/>
              <w:keepLines w:val="0"/>
              <w:pageBreakBefore w:val="0"/>
              <w:widowControl w:val="0"/>
              <w:kinsoku/>
              <w:wordWrap/>
              <w:overflowPunct/>
              <w:topLinePunct/>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影响性质</w:t>
            </w:r>
          </w:p>
        </w:tc>
        <w:tc>
          <w:tcPr>
            <w:tcW w:w="719" w:type="pct"/>
            <w:tcBorders>
              <w:top w:val="single" w:color="000000" w:sz="12" w:space="0"/>
              <w:left w:val="single" w:color="000000" w:sz="4" w:space="0"/>
              <w:bottom w:val="single" w:color="000000" w:sz="4" w:space="0"/>
              <w:right w:val="single" w:color="000000" w:sz="12" w:space="0"/>
            </w:tcBorders>
            <w:tcMar>
              <w:top w:w="0" w:type="dxa"/>
              <w:left w:w="102" w:type="dxa"/>
              <w:bottom w:w="0" w:type="dxa"/>
              <w:right w:w="102" w:type="dxa"/>
            </w:tcMar>
            <w:vAlign w:val="center"/>
          </w:tcPr>
          <w:p w14:paraId="280731C3">
            <w:pPr>
              <w:keepNext w:val="0"/>
              <w:keepLines w:val="0"/>
              <w:pageBreakBefore w:val="0"/>
              <w:widowControl w:val="0"/>
              <w:kinsoku/>
              <w:wordWrap/>
              <w:overflowPunct/>
              <w:topLinePunct/>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影响程度</w:t>
            </w:r>
          </w:p>
        </w:tc>
      </w:tr>
      <w:tr w14:paraId="25CC2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805" w:type="pct"/>
            <w:tcBorders>
              <w:top w:val="single" w:color="000000" w:sz="4" w:space="0"/>
              <w:left w:val="single" w:color="000000" w:sz="12" w:space="0"/>
              <w:bottom w:val="single" w:color="000000" w:sz="4" w:space="0"/>
              <w:right w:val="single" w:color="000000" w:sz="4" w:space="0"/>
            </w:tcBorders>
            <w:tcMar>
              <w:top w:w="0" w:type="dxa"/>
              <w:left w:w="102" w:type="dxa"/>
              <w:bottom w:w="0" w:type="dxa"/>
              <w:right w:w="102" w:type="dxa"/>
            </w:tcMar>
            <w:vAlign w:val="center"/>
          </w:tcPr>
          <w:p w14:paraId="5A3A95CB">
            <w:pPr>
              <w:keepNext w:val="0"/>
              <w:keepLines w:val="0"/>
              <w:pageBreakBefore w:val="0"/>
              <w:widowControl w:val="0"/>
              <w:kinsoku/>
              <w:wordWrap/>
              <w:overflowPunct/>
              <w:topLinePunct/>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物种</w:t>
            </w:r>
          </w:p>
        </w:tc>
        <w:tc>
          <w:tcPr>
            <w:tcW w:w="1415" w:type="pct"/>
            <w:tcBorders>
              <w:top w:val="single" w:color="000000" w:sz="4" w:space="0"/>
              <w:left w:val="single" w:color="000000" w:sz="4" w:space="0"/>
              <w:bottom w:val="single" w:color="000000" w:sz="4" w:space="0"/>
              <w:right w:val="single" w:color="000000" w:sz="4" w:space="0"/>
            </w:tcBorders>
            <w:tcMar>
              <w:top w:w="0" w:type="dxa"/>
              <w:left w:w="102" w:type="dxa"/>
              <w:bottom w:w="0" w:type="dxa"/>
              <w:right w:w="102" w:type="dxa"/>
            </w:tcMar>
            <w:vAlign w:val="center"/>
          </w:tcPr>
          <w:p w14:paraId="533E17E0">
            <w:pPr>
              <w:keepNext w:val="0"/>
              <w:keepLines w:val="0"/>
              <w:pageBreakBefore w:val="0"/>
              <w:widowControl w:val="0"/>
              <w:kinsoku/>
              <w:wordWrap/>
              <w:overflowPunct/>
              <w:topLinePunct/>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分布范围、种群数量、种群结构、行为</w:t>
            </w:r>
          </w:p>
        </w:tc>
        <w:tc>
          <w:tcPr>
            <w:tcW w:w="1292" w:type="pct"/>
            <w:tcBorders>
              <w:top w:val="single" w:color="000000" w:sz="4" w:space="0"/>
              <w:left w:val="single" w:color="000000" w:sz="4" w:space="0"/>
              <w:bottom w:val="single" w:color="000000" w:sz="4" w:space="0"/>
              <w:right w:val="single" w:color="000000" w:sz="4" w:space="0"/>
            </w:tcBorders>
            <w:tcMar>
              <w:top w:w="0" w:type="dxa"/>
              <w:left w:w="102" w:type="dxa"/>
              <w:bottom w:w="0" w:type="dxa"/>
              <w:right w:w="102" w:type="dxa"/>
            </w:tcMar>
            <w:vAlign w:val="center"/>
          </w:tcPr>
          <w:p w14:paraId="1373CA37">
            <w:pPr>
              <w:keepNext w:val="0"/>
              <w:keepLines w:val="0"/>
              <w:pageBreakBefore w:val="0"/>
              <w:widowControl w:val="0"/>
              <w:kinsoku/>
              <w:wordWrap/>
              <w:overflowPunct/>
              <w:topLinePunct/>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占地</w:t>
            </w:r>
            <w:r>
              <w:rPr>
                <w:rFonts w:hint="default" w:ascii="Times New Roman" w:hAnsi="Times New Roman" w:eastAsia="宋体" w:cs="Times New Roman"/>
                <w:color w:val="auto"/>
                <w:sz w:val="21"/>
                <w:szCs w:val="21"/>
                <w:highlight w:val="none"/>
              </w:rPr>
              <w:t>；直接生态影响</w:t>
            </w:r>
          </w:p>
        </w:tc>
        <w:tc>
          <w:tcPr>
            <w:tcW w:w="766" w:type="pct"/>
            <w:tcBorders>
              <w:top w:val="single" w:color="000000" w:sz="4" w:space="0"/>
              <w:left w:val="single" w:color="000000" w:sz="4" w:space="0"/>
              <w:bottom w:val="single" w:color="000000" w:sz="4" w:space="0"/>
              <w:right w:val="single" w:color="000000" w:sz="4" w:space="0"/>
            </w:tcBorders>
            <w:tcMar>
              <w:top w:w="0" w:type="dxa"/>
              <w:left w:w="102" w:type="dxa"/>
              <w:bottom w:w="0" w:type="dxa"/>
              <w:right w:w="102" w:type="dxa"/>
            </w:tcMar>
            <w:vAlign w:val="center"/>
          </w:tcPr>
          <w:p w14:paraId="06DFA073">
            <w:pPr>
              <w:keepNext w:val="0"/>
              <w:keepLines w:val="0"/>
              <w:pageBreakBefore w:val="0"/>
              <w:widowControl w:val="0"/>
              <w:kinsoku/>
              <w:wordWrap/>
              <w:overflowPunct/>
              <w:topLinePunct/>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长期、可逆</w:t>
            </w:r>
          </w:p>
        </w:tc>
        <w:tc>
          <w:tcPr>
            <w:tcW w:w="719" w:type="pct"/>
            <w:tcBorders>
              <w:top w:val="single" w:color="000000" w:sz="4" w:space="0"/>
              <w:left w:val="single" w:color="000000" w:sz="4" w:space="0"/>
              <w:bottom w:val="single" w:color="000000" w:sz="4" w:space="0"/>
              <w:right w:val="single" w:color="000000" w:sz="12" w:space="0"/>
            </w:tcBorders>
            <w:tcMar>
              <w:top w:w="0" w:type="dxa"/>
              <w:left w:w="102" w:type="dxa"/>
              <w:bottom w:w="0" w:type="dxa"/>
              <w:right w:w="102" w:type="dxa"/>
            </w:tcMar>
            <w:vAlign w:val="center"/>
          </w:tcPr>
          <w:p w14:paraId="46FD7CB0">
            <w:pPr>
              <w:keepNext w:val="0"/>
              <w:keepLines w:val="0"/>
              <w:pageBreakBefore w:val="0"/>
              <w:widowControl w:val="0"/>
              <w:kinsoku/>
              <w:wordWrap/>
              <w:overflowPunct/>
              <w:topLinePunct/>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弱</w:t>
            </w:r>
          </w:p>
        </w:tc>
      </w:tr>
      <w:tr w14:paraId="0639EC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805" w:type="pct"/>
            <w:tcBorders>
              <w:top w:val="single" w:color="000000" w:sz="4" w:space="0"/>
              <w:left w:val="single" w:color="000000" w:sz="12" w:space="0"/>
              <w:bottom w:val="single" w:color="000000" w:sz="4" w:space="0"/>
              <w:right w:val="single" w:color="000000" w:sz="4" w:space="0"/>
            </w:tcBorders>
            <w:tcMar>
              <w:top w:w="0" w:type="dxa"/>
              <w:left w:w="102" w:type="dxa"/>
              <w:bottom w:w="0" w:type="dxa"/>
              <w:right w:w="102" w:type="dxa"/>
            </w:tcMar>
            <w:vAlign w:val="center"/>
          </w:tcPr>
          <w:p w14:paraId="3CE93AAD">
            <w:pPr>
              <w:keepNext w:val="0"/>
              <w:keepLines w:val="0"/>
              <w:pageBreakBefore w:val="0"/>
              <w:widowControl w:val="0"/>
              <w:kinsoku/>
              <w:wordWrap/>
              <w:overflowPunct/>
              <w:topLinePunct/>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生境</w:t>
            </w:r>
          </w:p>
        </w:tc>
        <w:tc>
          <w:tcPr>
            <w:tcW w:w="1415" w:type="pct"/>
            <w:tcBorders>
              <w:top w:val="single" w:color="000000" w:sz="4" w:space="0"/>
              <w:left w:val="single" w:color="000000" w:sz="4" w:space="0"/>
              <w:bottom w:val="single" w:color="000000" w:sz="4" w:space="0"/>
              <w:right w:val="single" w:color="000000" w:sz="4" w:space="0"/>
            </w:tcBorders>
            <w:tcMar>
              <w:top w:w="0" w:type="dxa"/>
              <w:left w:w="102" w:type="dxa"/>
              <w:bottom w:w="0" w:type="dxa"/>
              <w:right w:w="102" w:type="dxa"/>
            </w:tcMar>
            <w:vAlign w:val="center"/>
          </w:tcPr>
          <w:p w14:paraId="23386A08">
            <w:pPr>
              <w:keepNext w:val="0"/>
              <w:keepLines w:val="0"/>
              <w:pageBreakBefore w:val="0"/>
              <w:widowControl w:val="0"/>
              <w:kinsoku/>
              <w:wordWrap/>
              <w:overflowPunct/>
              <w:topLinePunct/>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生境面积、质量、连通性</w:t>
            </w:r>
          </w:p>
        </w:tc>
        <w:tc>
          <w:tcPr>
            <w:tcW w:w="1292" w:type="pct"/>
            <w:tcBorders>
              <w:top w:val="single" w:color="000000" w:sz="4" w:space="0"/>
              <w:left w:val="single" w:color="000000" w:sz="4" w:space="0"/>
              <w:bottom w:val="single" w:color="000000" w:sz="4" w:space="0"/>
              <w:right w:val="single" w:color="000000" w:sz="4" w:space="0"/>
            </w:tcBorders>
            <w:tcMar>
              <w:top w:w="0" w:type="dxa"/>
              <w:left w:w="102" w:type="dxa"/>
              <w:bottom w:w="0" w:type="dxa"/>
              <w:right w:w="102" w:type="dxa"/>
            </w:tcMar>
            <w:vAlign w:val="center"/>
          </w:tcPr>
          <w:p w14:paraId="662D15E8">
            <w:pPr>
              <w:keepNext w:val="0"/>
              <w:keepLines w:val="0"/>
              <w:pageBreakBefore w:val="0"/>
              <w:widowControl w:val="0"/>
              <w:kinsoku/>
              <w:wordWrap/>
              <w:overflowPunct/>
              <w:topLinePunct/>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占地、生产运营；</w:t>
            </w:r>
            <w:r>
              <w:rPr>
                <w:rFonts w:hint="default" w:ascii="Times New Roman" w:hAnsi="Times New Roman" w:eastAsia="宋体" w:cs="Times New Roman"/>
                <w:color w:val="auto"/>
                <w:sz w:val="21"/>
                <w:szCs w:val="21"/>
                <w:highlight w:val="none"/>
              </w:rPr>
              <w:t>直接生态影响</w:t>
            </w:r>
          </w:p>
        </w:tc>
        <w:tc>
          <w:tcPr>
            <w:tcW w:w="766" w:type="pct"/>
            <w:tcBorders>
              <w:top w:val="single" w:color="000000" w:sz="4" w:space="0"/>
              <w:left w:val="single" w:color="000000" w:sz="4" w:space="0"/>
              <w:bottom w:val="single" w:color="000000" w:sz="4" w:space="0"/>
              <w:right w:val="single" w:color="000000" w:sz="4" w:space="0"/>
            </w:tcBorders>
            <w:tcMar>
              <w:top w:w="0" w:type="dxa"/>
              <w:left w:w="102" w:type="dxa"/>
              <w:bottom w:w="0" w:type="dxa"/>
              <w:right w:w="102" w:type="dxa"/>
            </w:tcMar>
            <w:vAlign w:val="center"/>
          </w:tcPr>
          <w:p w14:paraId="2F83D946">
            <w:pPr>
              <w:keepNext w:val="0"/>
              <w:keepLines w:val="0"/>
              <w:pageBreakBefore w:val="0"/>
              <w:widowControl w:val="0"/>
              <w:kinsoku/>
              <w:wordWrap/>
              <w:overflowPunct/>
              <w:topLinePunct/>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长期、可逆</w:t>
            </w:r>
          </w:p>
        </w:tc>
        <w:tc>
          <w:tcPr>
            <w:tcW w:w="719" w:type="pct"/>
            <w:tcBorders>
              <w:top w:val="single" w:color="000000" w:sz="4" w:space="0"/>
              <w:left w:val="single" w:color="000000" w:sz="4" w:space="0"/>
              <w:bottom w:val="single" w:color="000000" w:sz="4" w:space="0"/>
              <w:right w:val="single" w:color="000000" w:sz="12" w:space="0"/>
            </w:tcBorders>
            <w:tcMar>
              <w:top w:w="0" w:type="dxa"/>
              <w:left w:w="102" w:type="dxa"/>
              <w:bottom w:w="0" w:type="dxa"/>
              <w:right w:w="102" w:type="dxa"/>
            </w:tcMar>
            <w:vAlign w:val="center"/>
          </w:tcPr>
          <w:p w14:paraId="37658953">
            <w:pPr>
              <w:keepNext w:val="0"/>
              <w:keepLines w:val="0"/>
              <w:pageBreakBefore w:val="0"/>
              <w:widowControl w:val="0"/>
              <w:kinsoku/>
              <w:wordWrap/>
              <w:overflowPunct/>
              <w:topLinePunct/>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eastAsia="zh-CN"/>
              </w:rPr>
              <w:t>中等</w:t>
            </w:r>
          </w:p>
        </w:tc>
      </w:tr>
      <w:tr w14:paraId="122B9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805" w:type="pct"/>
            <w:tcBorders>
              <w:top w:val="single" w:color="000000" w:sz="4" w:space="0"/>
              <w:left w:val="single" w:color="000000" w:sz="12" w:space="0"/>
              <w:bottom w:val="single" w:color="000000" w:sz="4" w:space="0"/>
              <w:right w:val="single" w:color="000000" w:sz="4" w:space="0"/>
            </w:tcBorders>
            <w:tcMar>
              <w:top w:w="0" w:type="dxa"/>
              <w:left w:w="102" w:type="dxa"/>
              <w:bottom w:w="0" w:type="dxa"/>
              <w:right w:w="102" w:type="dxa"/>
            </w:tcMar>
            <w:vAlign w:val="center"/>
          </w:tcPr>
          <w:p w14:paraId="4819D01E">
            <w:pPr>
              <w:keepNext w:val="0"/>
              <w:keepLines w:val="0"/>
              <w:pageBreakBefore w:val="0"/>
              <w:widowControl w:val="0"/>
              <w:kinsoku/>
              <w:wordWrap/>
              <w:overflowPunct/>
              <w:topLinePunct/>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生物群落</w:t>
            </w:r>
          </w:p>
        </w:tc>
        <w:tc>
          <w:tcPr>
            <w:tcW w:w="1415" w:type="pct"/>
            <w:tcBorders>
              <w:top w:val="single" w:color="000000" w:sz="4" w:space="0"/>
              <w:left w:val="single" w:color="000000" w:sz="4" w:space="0"/>
              <w:bottom w:val="single" w:color="000000" w:sz="4" w:space="0"/>
              <w:right w:val="single" w:color="000000" w:sz="4" w:space="0"/>
            </w:tcBorders>
            <w:tcMar>
              <w:top w:w="0" w:type="dxa"/>
              <w:left w:w="102" w:type="dxa"/>
              <w:bottom w:w="0" w:type="dxa"/>
              <w:right w:w="102" w:type="dxa"/>
            </w:tcMar>
            <w:vAlign w:val="center"/>
          </w:tcPr>
          <w:p w14:paraId="5B4973AA">
            <w:pPr>
              <w:keepNext w:val="0"/>
              <w:keepLines w:val="0"/>
              <w:pageBreakBefore w:val="0"/>
              <w:widowControl w:val="0"/>
              <w:kinsoku/>
              <w:wordWrap/>
              <w:overflowPunct/>
              <w:topLinePunct/>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物种组成、群落结构</w:t>
            </w:r>
          </w:p>
        </w:tc>
        <w:tc>
          <w:tcPr>
            <w:tcW w:w="1292" w:type="pct"/>
            <w:tcBorders>
              <w:top w:val="single" w:color="000000" w:sz="4" w:space="0"/>
              <w:left w:val="single" w:color="000000" w:sz="4" w:space="0"/>
              <w:bottom w:val="single" w:color="000000" w:sz="4" w:space="0"/>
              <w:right w:val="single" w:color="000000" w:sz="4" w:space="0"/>
            </w:tcBorders>
            <w:tcMar>
              <w:top w:w="0" w:type="dxa"/>
              <w:left w:w="102" w:type="dxa"/>
              <w:bottom w:w="0" w:type="dxa"/>
              <w:right w:w="102" w:type="dxa"/>
            </w:tcMar>
            <w:vAlign w:val="center"/>
          </w:tcPr>
          <w:p w14:paraId="4B2C8A90">
            <w:pPr>
              <w:keepNext w:val="0"/>
              <w:keepLines w:val="0"/>
              <w:pageBreakBefore w:val="0"/>
              <w:widowControl w:val="0"/>
              <w:kinsoku/>
              <w:wordWrap/>
              <w:overflowPunct/>
              <w:topLinePunct/>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占地</w:t>
            </w:r>
            <w:r>
              <w:rPr>
                <w:rFonts w:hint="default" w:ascii="Times New Roman" w:hAnsi="Times New Roman" w:eastAsia="宋体" w:cs="Times New Roman"/>
                <w:color w:val="auto"/>
                <w:sz w:val="21"/>
                <w:szCs w:val="21"/>
                <w:highlight w:val="none"/>
              </w:rPr>
              <w:t>；直接生态影响</w:t>
            </w:r>
          </w:p>
        </w:tc>
        <w:tc>
          <w:tcPr>
            <w:tcW w:w="766" w:type="pct"/>
            <w:tcBorders>
              <w:top w:val="single" w:color="000000" w:sz="4" w:space="0"/>
              <w:left w:val="single" w:color="000000" w:sz="4" w:space="0"/>
              <w:bottom w:val="single" w:color="000000" w:sz="4" w:space="0"/>
              <w:right w:val="single" w:color="000000" w:sz="4" w:space="0"/>
            </w:tcBorders>
            <w:tcMar>
              <w:top w:w="0" w:type="dxa"/>
              <w:left w:w="102" w:type="dxa"/>
              <w:bottom w:w="0" w:type="dxa"/>
              <w:right w:w="102" w:type="dxa"/>
            </w:tcMar>
            <w:vAlign w:val="center"/>
          </w:tcPr>
          <w:p w14:paraId="2B2930BC">
            <w:pPr>
              <w:keepNext w:val="0"/>
              <w:keepLines w:val="0"/>
              <w:pageBreakBefore w:val="0"/>
              <w:widowControl w:val="0"/>
              <w:kinsoku/>
              <w:wordWrap/>
              <w:overflowPunct/>
              <w:topLinePunct/>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长期、可逆</w:t>
            </w:r>
          </w:p>
        </w:tc>
        <w:tc>
          <w:tcPr>
            <w:tcW w:w="719" w:type="pct"/>
            <w:tcBorders>
              <w:top w:val="single" w:color="000000" w:sz="4" w:space="0"/>
              <w:left w:val="single" w:color="000000" w:sz="4" w:space="0"/>
              <w:bottom w:val="single" w:color="000000" w:sz="4" w:space="0"/>
              <w:right w:val="single" w:color="000000" w:sz="12" w:space="0"/>
            </w:tcBorders>
            <w:tcMar>
              <w:top w:w="0" w:type="dxa"/>
              <w:left w:w="102" w:type="dxa"/>
              <w:bottom w:w="0" w:type="dxa"/>
              <w:right w:w="102" w:type="dxa"/>
            </w:tcMar>
            <w:vAlign w:val="center"/>
          </w:tcPr>
          <w:p w14:paraId="31985A0A">
            <w:pPr>
              <w:keepNext w:val="0"/>
              <w:keepLines w:val="0"/>
              <w:pageBreakBefore w:val="0"/>
              <w:widowControl w:val="0"/>
              <w:kinsoku/>
              <w:wordWrap/>
              <w:overflowPunct/>
              <w:topLinePunct/>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弱</w:t>
            </w:r>
          </w:p>
        </w:tc>
      </w:tr>
      <w:tr w14:paraId="408F8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805" w:type="pct"/>
            <w:tcBorders>
              <w:top w:val="single" w:color="000000" w:sz="4" w:space="0"/>
              <w:left w:val="single" w:color="000000" w:sz="12" w:space="0"/>
              <w:bottom w:val="single" w:color="000000" w:sz="4" w:space="0"/>
              <w:right w:val="single" w:color="000000" w:sz="4" w:space="0"/>
            </w:tcBorders>
            <w:tcMar>
              <w:top w:w="0" w:type="dxa"/>
              <w:left w:w="102" w:type="dxa"/>
              <w:bottom w:w="0" w:type="dxa"/>
              <w:right w:w="102" w:type="dxa"/>
            </w:tcMar>
            <w:vAlign w:val="center"/>
          </w:tcPr>
          <w:p w14:paraId="47E29222">
            <w:pPr>
              <w:keepNext w:val="0"/>
              <w:keepLines w:val="0"/>
              <w:pageBreakBefore w:val="0"/>
              <w:widowControl w:val="0"/>
              <w:kinsoku/>
              <w:wordWrap/>
              <w:overflowPunct/>
              <w:topLinePunct/>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生态系统</w:t>
            </w:r>
          </w:p>
        </w:tc>
        <w:tc>
          <w:tcPr>
            <w:tcW w:w="1415" w:type="pct"/>
            <w:tcBorders>
              <w:top w:val="single" w:color="000000" w:sz="4" w:space="0"/>
              <w:left w:val="single" w:color="000000" w:sz="4" w:space="0"/>
              <w:bottom w:val="single" w:color="000000" w:sz="4" w:space="0"/>
              <w:right w:val="single" w:color="000000" w:sz="4" w:space="0"/>
            </w:tcBorders>
            <w:tcMar>
              <w:top w:w="0" w:type="dxa"/>
              <w:left w:w="102" w:type="dxa"/>
              <w:bottom w:w="0" w:type="dxa"/>
              <w:right w:w="102" w:type="dxa"/>
            </w:tcMar>
            <w:vAlign w:val="center"/>
          </w:tcPr>
          <w:p w14:paraId="44CAC27D">
            <w:pPr>
              <w:keepNext w:val="0"/>
              <w:keepLines w:val="0"/>
              <w:pageBreakBefore w:val="0"/>
              <w:widowControl w:val="0"/>
              <w:kinsoku/>
              <w:wordWrap/>
              <w:overflowPunct/>
              <w:topLinePunct/>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植被覆盖度、生产力、生物量、生态系统功能</w:t>
            </w:r>
          </w:p>
        </w:tc>
        <w:tc>
          <w:tcPr>
            <w:tcW w:w="1292" w:type="pct"/>
            <w:tcBorders>
              <w:top w:val="single" w:color="000000" w:sz="4" w:space="0"/>
              <w:left w:val="single" w:color="000000" w:sz="4" w:space="0"/>
              <w:bottom w:val="single" w:color="000000" w:sz="4" w:space="0"/>
              <w:right w:val="single" w:color="000000" w:sz="4" w:space="0"/>
            </w:tcBorders>
            <w:tcMar>
              <w:top w:w="0" w:type="dxa"/>
              <w:left w:w="102" w:type="dxa"/>
              <w:bottom w:w="0" w:type="dxa"/>
              <w:right w:w="102" w:type="dxa"/>
            </w:tcMar>
            <w:vAlign w:val="center"/>
          </w:tcPr>
          <w:p w14:paraId="40D8A9B2">
            <w:pPr>
              <w:keepNext w:val="0"/>
              <w:keepLines w:val="0"/>
              <w:pageBreakBefore w:val="0"/>
              <w:widowControl w:val="0"/>
              <w:kinsoku/>
              <w:wordWrap/>
              <w:overflowPunct/>
              <w:topLinePunct/>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占地</w:t>
            </w:r>
            <w:r>
              <w:rPr>
                <w:rFonts w:hint="default" w:ascii="Times New Roman" w:hAnsi="Times New Roman" w:eastAsia="宋体" w:cs="Times New Roman"/>
                <w:color w:val="auto"/>
                <w:sz w:val="21"/>
                <w:szCs w:val="21"/>
                <w:highlight w:val="none"/>
              </w:rPr>
              <w:t>；直接生态影响</w:t>
            </w:r>
          </w:p>
        </w:tc>
        <w:tc>
          <w:tcPr>
            <w:tcW w:w="766" w:type="pct"/>
            <w:tcBorders>
              <w:top w:val="single" w:color="000000" w:sz="4" w:space="0"/>
              <w:left w:val="single" w:color="000000" w:sz="4" w:space="0"/>
              <w:bottom w:val="single" w:color="000000" w:sz="4" w:space="0"/>
              <w:right w:val="single" w:color="000000" w:sz="4" w:space="0"/>
            </w:tcBorders>
            <w:tcMar>
              <w:top w:w="0" w:type="dxa"/>
              <w:left w:w="102" w:type="dxa"/>
              <w:bottom w:w="0" w:type="dxa"/>
              <w:right w:w="102" w:type="dxa"/>
            </w:tcMar>
            <w:vAlign w:val="center"/>
          </w:tcPr>
          <w:p w14:paraId="405D0A43">
            <w:pPr>
              <w:keepNext w:val="0"/>
              <w:keepLines w:val="0"/>
              <w:pageBreakBefore w:val="0"/>
              <w:widowControl w:val="0"/>
              <w:kinsoku/>
              <w:wordWrap/>
              <w:overflowPunct/>
              <w:topLinePunct/>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长期、可逆</w:t>
            </w:r>
          </w:p>
        </w:tc>
        <w:tc>
          <w:tcPr>
            <w:tcW w:w="719" w:type="pct"/>
            <w:tcBorders>
              <w:top w:val="single" w:color="000000" w:sz="4" w:space="0"/>
              <w:left w:val="single" w:color="000000" w:sz="4" w:space="0"/>
              <w:bottom w:val="single" w:color="000000" w:sz="4" w:space="0"/>
              <w:right w:val="single" w:color="000000" w:sz="12" w:space="0"/>
            </w:tcBorders>
            <w:tcMar>
              <w:top w:w="0" w:type="dxa"/>
              <w:left w:w="102" w:type="dxa"/>
              <w:bottom w:w="0" w:type="dxa"/>
              <w:right w:w="102" w:type="dxa"/>
            </w:tcMar>
            <w:vAlign w:val="center"/>
          </w:tcPr>
          <w:p w14:paraId="7C602A58">
            <w:pPr>
              <w:keepNext w:val="0"/>
              <w:keepLines w:val="0"/>
              <w:pageBreakBefore w:val="0"/>
              <w:widowControl w:val="0"/>
              <w:kinsoku/>
              <w:wordWrap/>
              <w:overflowPunct/>
              <w:topLinePunct/>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弱</w:t>
            </w:r>
          </w:p>
        </w:tc>
      </w:tr>
      <w:tr w14:paraId="687687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805" w:type="pct"/>
            <w:tcBorders>
              <w:top w:val="single" w:color="000000" w:sz="4" w:space="0"/>
              <w:left w:val="single" w:color="000000" w:sz="12" w:space="0"/>
              <w:bottom w:val="single" w:color="000000" w:sz="4" w:space="0"/>
              <w:right w:val="single" w:color="000000" w:sz="4" w:space="0"/>
            </w:tcBorders>
            <w:tcMar>
              <w:top w:w="0" w:type="dxa"/>
              <w:left w:w="102" w:type="dxa"/>
              <w:bottom w:w="0" w:type="dxa"/>
              <w:right w:w="102" w:type="dxa"/>
            </w:tcMar>
            <w:vAlign w:val="center"/>
          </w:tcPr>
          <w:p w14:paraId="53ACE046">
            <w:pPr>
              <w:keepNext w:val="0"/>
              <w:keepLines w:val="0"/>
              <w:pageBreakBefore w:val="0"/>
              <w:widowControl w:val="0"/>
              <w:kinsoku/>
              <w:wordWrap/>
              <w:overflowPunct/>
              <w:topLinePunct/>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生物多样性</w:t>
            </w:r>
          </w:p>
        </w:tc>
        <w:tc>
          <w:tcPr>
            <w:tcW w:w="1415" w:type="pct"/>
            <w:tcBorders>
              <w:top w:val="single" w:color="000000" w:sz="4" w:space="0"/>
              <w:left w:val="single" w:color="000000" w:sz="4" w:space="0"/>
              <w:bottom w:val="single" w:color="000000" w:sz="4" w:space="0"/>
              <w:right w:val="single" w:color="000000" w:sz="4" w:space="0"/>
            </w:tcBorders>
            <w:tcMar>
              <w:top w:w="0" w:type="dxa"/>
              <w:left w:w="102" w:type="dxa"/>
              <w:bottom w:w="0" w:type="dxa"/>
              <w:right w:w="102" w:type="dxa"/>
            </w:tcMar>
            <w:vAlign w:val="center"/>
          </w:tcPr>
          <w:p w14:paraId="6CD7CF21">
            <w:pPr>
              <w:keepNext w:val="0"/>
              <w:keepLines w:val="0"/>
              <w:pageBreakBefore w:val="0"/>
              <w:widowControl w:val="0"/>
              <w:kinsoku/>
              <w:wordWrap/>
              <w:overflowPunct/>
              <w:topLinePunct/>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物种丰富度、均匀度、优势度</w:t>
            </w:r>
          </w:p>
        </w:tc>
        <w:tc>
          <w:tcPr>
            <w:tcW w:w="1292" w:type="pct"/>
            <w:tcBorders>
              <w:top w:val="single" w:color="000000" w:sz="4" w:space="0"/>
              <w:left w:val="single" w:color="000000" w:sz="4" w:space="0"/>
              <w:bottom w:val="single" w:color="000000" w:sz="4" w:space="0"/>
              <w:right w:val="single" w:color="000000" w:sz="4" w:space="0"/>
            </w:tcBorders>
            <w:tcMar>
              <w:top w:w="0" w:type="dxa"/>
              <w:left w:w="102" w:type="dxa"/>
              <w:bottom w:w="0" w:type="dxa"/>
              <w:right w:w="102" w:type="dxa"/>
            </w:tcMar>
            <w:vAlign w:val="center"/>
          </w:tcPr>
          <w:p w14:paraId="471D9C1C">
            <w:pPr>
              <w:keepNext w:val="0"/>
              <w:keepLines w:val="0"/>
              <w:pageBreakBefore w:val="0"/>
              <w:widowControl w:val="0"/>
              <w:kinsoku/>
              <w:wordWrap/>
              <w:overflowPunct/>
              <w:topLinePunct/>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占地</w:t>
            </w:r>
            <w:r>
              <w:rPr>
                <w:rFonts w:hint="default" w:ascii="Times New Roman" w:hAnsi="Times New Roman" w:eastAsia="宋体" w:cs="Times New Roman"/>
                <w:color w:val="auto"/>
                <w:sz w:val="21"/>
                <w:szCs w:val="21"/>
                <w:highlight w:val="none"/>
              </w:rPr>
              <w:t>；间接生态影响</w:t>
            </w:r>
          </w:p>
        </w:tc>
        <w:tc>
          <w:tcPr>
            <w:tcW w:w="766" w:type="pct"/>
            <w:tcBorders>
              <w:top w:val="single" w:color="000000" w:sz="4" w:space="0"/>
              <w:left w:val="single" w:color="000000" w:sz="4" w:space="0"/>
              <w:bottom w:val="single" w:color="000000" w:sz="4" w:space="0"/>
              <w:right w:val="single" w:color="000000" w:sz="4" w:space="0"/>
            </w:tcBorders>
            <w:tcMar>
              <w:top w:w="0" w:type="dxa"/>
              <w:left w:w="102" w:type="dxa"/>
              <w:bottom w:w="0" w:type="dxa"/>
              <w:right w:w="102" w:type="dxa"/>
            </w:tcMar>
            <w:vAlign w:val="center"/>
          </w:tcPr>
          <w:p w14:paraId="20933D1F">
            <w:pPr>
              <w:keepNext w:val="0"/>
              <w:keepLines w:val="0"/>
              <w:pageBreakBefore w:val="0"/>
              <w:widowControl w:val="0"/>
              <w:kinsoku/>
              <w:wordWrap/>
              <w:overflowPunct/>
              <w:topLinePunct/>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长期、可逆</w:t>
            </w:r>
          </w:p>
        </w:tc>
        <w:tc>
          <w:tcPr>
            <w:tcW w:w="719" w:type="pct"/>
            <w:tcBorders>
              <w:top w:val="single" w:color="000000" w:sz="4" w:space="0"/>
              <w:left w:val="single" w:color="000000" w:sz="4" w:space="0"/>
              <w:bottom w:val="single" w:color="000000" w:sz="4" w:space="0"/>
              <w:right w:val="single" w:color="000000" w:sz="12" w:space="0"/>
            </w:tcBorders>
            <w:tcMar>
              <w:top w:w="0" w:type="dxa"/>
              <w:left w:w="102" w:type="dxa"/>
              <w:bottom w:w="0" w:type="dxa"/>
              <w:right w:w="102" w:type="dxa"/>
            </w:tcMar>
            <w:vAlign w:val="center"/>
          </w:tcPr>
          <w:p w14:paraId="28E83F26">
            <w:pPr>
              <w:keepNext w:val="0"/>
              <w:keepLines w:val="0"/>
              <w:pageBreakBefore w:val="0"/>
              <w:widowControl w:val="0"/>
              <w:kinsoku/>
              <w:wordWrap/>
              <w:overflowPunct/>
              <w:topLinePunct/>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弱</w:t>
            </w:r>
          </w:p>
        </w:tc>
      </w:tr>
      <w:tr w14:paraId="072732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805" w:type="pct"/>
            <w:tcBorders>
              <w:top w:val="single" w:color="000000" w:sz="4" w:space="0"/>
              <w:left w:val="single" w:color="000000" w:sz="12" w:space="0"/>
              <w:bottom w:val="single" w:color="000000" w:sz="12" w:space="0"/>
              <w:right w:val="single" w:color="000000" w:sz="4" w:space="0"/>
            </w:tcBorders>
            <w:tcMar>
              <w:top w:w="0" w:type="dxa"/>
              <w:left w:w="102" w:type="dxa"/>
              <w:bottom w:w="0" w:type="dxa"/>
              <w:right w:w="102" w:type="dxa"/>
            </w:tcMar>
            <w:vAlign w:val="center"/>
          </w:tcPr>
          <w:p w14:paraId="1B5B8090">
            <w:pPr>
              <w:keepNext w:val="0"/>
              <w:keepLines w:val="0"/>
              <w:pageBreakBefore w:val="0"/>
              <w:widowControl w:val="0"/>
              <w:kinsoku/>
              <w:wordWrap/>
              <w:overflowPunct/>
              <w:topLinePunct/>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自然景观</w:t>
            </w:r>
          </w:p>
        </w:tc>
        <w:tc>
          <w:tcPr>
            <w:tcW w:w="1415" w:type="pct"/>
            <w:tcBorders>
              <w:top w:val="single" w:color="000000" w:sz="4" w:space="0"/>
              <w:left w:val="single" w:color="000000" w:sz="4" w:space="0"/>
              <w:bottom w:val="single" w:color="000000" w:sz="12" w:space="0"/>
              <w:right w:val="single" w:color="000000" w:sz="4" w:space="0"/>
            </w:tcBorders>
            <w:tcMar>
              <w:top w:w="0" w:type="dxa"/>
              <w:left w:w="102" w:type="dxa"/>
              <w:bottom w:w="0" w:type="dxa"/>
              <w:right w:w="102" w:type="dxa"/>
            </w:tcMar>
            <w:vAlign w:val="center"/>
          </w:tcPr>
          <w:p w14:paraId="032835A1">
            <w:pPr>
              <w:keepNext w:val="0"/>
              <w:keepLines w:val="0"/>
              <w:pageBreakBefore w:val="0"/>
              <w:widowControl w:val="0"/>
              <w:kinsoku/>
              <w:wordWrap/>
              <w:overflowPunct/>
              <w:topLinePunct/>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景观多样性、完整性</w:t>
            </w:r>
          </w:p>
        </w:tc>
        <w:tc>
          <w:tcPr>
            <w:tcW w:w="1292" w:type="pct"/>
            <w:tcBorders>
              <w:top w:val="single" w:color="000000" w:sz="4" w:space="0"/>
              <w:left w:val="single" w:color="000000" w:sz="4" w:space="0"/>
              <w:bottom w:val="single" w:color="000000" w:sz="12" w:space="0"/>
              <w:right w:val="single" w:color="000000" w:sz="4" w:space="0"/>
            </w:tcBorders>
            <w:tcMar>
              <w:top w:w="0" w:type="dxa"/>
              <w:left w:w="102" w:type="dxa"/>
              <w:bottom w:w="0" w:type="dxa"/>
              <w:right w:w="102" w:type="dxa"/>
            </w:tcMar>
            <w:vAlign w:val="center"/>
          </w:tcPr>
          <w:p w14:paraId="772E0523">
            <w:pPr>
              <w:keepNext w:val="0"/>
              <w:keepLines w:val="0"/>
              <w:pageBreakBefore w:val="0"/>
              <w:widowControl w:val="0"/>
              <w:kinsoku/>
              <w:wordWrap/>
              <w:overflowPunct/>
              <w:topLinePunct/>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占地；</w:t>
            </w:r>
            <w:r>
              <w:rPr>
                <w:rFonts w:hint="default" w:ascii="Times New Roman" w:hAnsi="Times New Roman" w:eastAsia="宋体" w:cs="Times New Roman"/>
                <w:color w:val="auto"/>
                <w:sz w:val="21"/>
                <w:szCs w:val="21"/>
                <w:highlight w:val="none"/>
              </w:rPr>
              <w:t>直接生态影响</w:t>
            </w:r>
          </w:p>
        </w:tc>
        <w:tc>
          <w:tcPr>
            <w:tcW w:w="766" w:type="pct"/>
            <w:tcBorders>
              <w:top w:val="single" w:color="000000" w:sz="4" w:space="0"/>
              <w:left w:val="single" w:color="000000" w:sz="4" w:space="0"/>
              <w:bottom w:val="single" w:color="000000" w:sz="12" w:space="0"/>
              <w:right w:val="single" w:color="000000" w:sz="4" w:space="0"/>
            </w:tcBorders>
            <w:tcMar>
              <w:top w:w="0" w:type="dxa"/>
              <w:left w:w="102" w:type="dxa"/>
              <w:bottom w:w="0" w:type="dxa"/>
              <w:right w:w="102" w:type="dxa"/>
            </w:tcMar>
            <w:vAlign w:val="center"/>
          </w:tcPr>
          <w:p w14:paraId="01428A40">
            <w:pPr>
              <w:keepNext w:val="0"/>
              <w:keepLines w:val="0"/>
              <w:pageBreakBefore w:val="0"/>
              <w:widowControl w:val="0"/>
              <w:kinsoku/>
              <w:wordWrap/>
              <w:overflowPunct/>
              <w:topLinePunct/>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长期、可逆</w:t>
            </w:r>
          </w:p>
        </w:tc>
        <w:tc>
          <w:tcPr>
            <w:tcW w:w="719" w:type="pct"/>
            <w:tcBorders>
              <w:top w:val="single" w:color="000000" w:sz="4" w:space="0"/>
              <w:left w:val="single" w:color="000000" w:sz="4" w:space="0"/>
              <w:bottom w:val="single" w:color="000000" w:sz="12" w:space="0"/>
              <w:right w:val="single" w:color="000000" w:sz="12" w:space="0"/>
            </w:tcBorders>
            <w:tcMar>
              <w:top w:w="0" w:type="dxa"/>
              <w:left w:w="102" w:type="dxa"/>
              <w:bottom w:w="0" w:type="dxa"/>
              <w:right w:w="102" w:type="dxa"/>
            </w:tcMar>
            <w:vAlign w:val="center"/>
          </w:tcPr>
          <w:p w14:paraId="023B0454">
            <w:pPr>
              <w:keepNext w:val="0"/>
              <w:keepLines w:val="0"/>
              <w:pageBreakBefore w:val="0"/>
              <w:widowControl w:val="0"/>
              <w:kinsoku/>
              <w:wordWrap/>
              <w:overflowPunct/>
              <w:topLinePunct/>
              <w:autoSpaceDE/>
              <w:autoSpaceDN/>
              <w:bidi w:val="0"/>
              <w:adjustRightInd/>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中等</w:t>
            </w:r>
          </w:p>
        </w:tc>
      </w:tr>
    </w:tbl>
    <w:p w14:paraId="1DD3B078">
      <w:pPr>
        <w:pStyle w:val="3"/>
        <w:rPr>
          <w:rFonts w:hint="default" w:ascii="Times New Roman" w:hAnsi="Times New Roman" w:cs="Times New Roman"/>
          <w:color w:val="auto"/>
          <w:highlight w:val="none"/>
        </w:rPr>
      </w:pPr>
      <w:r>
        <w:rPr>
          <w:rFonts w:hint="default" w:ascii="Times New Roman" w:hAnsi="Times New Roman" w:cs="Times New Roman"/>
          <w:color w:val="auto"/>
          <w:highlight w:val="none"/>
        </w:rPr>
        <w:t>2.5环境功能区划和评价标准</w:t>
      </w:r>
      <w:bookmarkEnd w:id="156"/>
      <w:bookmarkEnd w:id="157"/>
      <w:bookmarkEnd w:id="158"/>
      <w:bookmarkEnd w:id="159"/>
      <w:bookmarkEnd w:id="160"/>
      <w:bookmarkEnd w:id="161"/>
      <w:bookmarkEnd w:id="162"/>
    </w:p>
    <w:p w14:paraId="533E37FF">
      <w:pPr>
        <w:pStyle w:val="4"/>
        <w:rPr>
          <w:rFonts w:hint="default" w:ascii="Times New Roman" w:hAnsi="Times New Roman" w:cs="Times New Roman"/>
          <w:color w:val="auto"/>
          <w:highlight w:val="none"/>
        </w:rPr>
      </w:pPr>
      <w:bookmarkStart w:id="163" w:name="_Toc16118"/>
      <w:bookmarkStart w:id="164" w:name="_Toc13718"/>
      <w:bookmarkStart w:id="165" w:name="_Toc4203"/>
      <w:bookmarkStart w:id="166" w:name="_Toc2407"/>
      <w:bookmarkStart w:id="167" w:name="_Toc3134"/>
      <w:bookmarkStart w:id="168" w:name="_Toc1486"/>
      <w:bookmarkStart w:id="169" w:name="_Toc15413"/>
      <w:bookmarkStart w:id="170" w:name="_Toc11648"/>
      <w:bookmarkStart w:id="171" w:name="_Toc2756"/>
      <w:r>
        <w:rPr>
          <w:rFonts w:hint="default" w:ascii="Times New Roman" w:hAnsi="Times New Roman" w:cs="Times New Roman"/>
          <w:color w:val="auto"/>
          <w:highlight w:val="none"/>
        </w:rPr>
        <w:t>2.5.1环境功能区划</w:t>
      </w:r>
      <w:bookmarkEnd w:id="163"/>
      <w:bookmarkEnd w:id="164"/>
      <w:bookmarkEnd w:id="165"/>
      <w:bookmarkEnd w:id="166"/>
      <w:bookmarkEnd w:id="167"/>
      <w:bookmarkEnd w:id="168"/>
      <w:bookmarkEnd w:id="169"/>
      <w:bookmarkEnd w:id="170"/>
      <w:bookmarkEnd w:id="171"/>
    </w:p>
    <w:p w14:paraId="5CE5F898">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2.5.1.1空气环境功能区划</w:t>
      </w:r>
    </w:p>
    <w:p w14:paraId="3CB69784">
      <w:pPr>
        <w:pStyle w:val="55"/>
        <w:overflowPunct w:val="0"/>
        <w:topLinePunct/>
        <w:adjustRightInd/>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本项目评价区域属于</w:t>
      </w:r>
      <w:r>
        <w:rPr>
          <w:rFonts w:hint="eastAsia" w:cs="Times New Roman"/>
          <w:color w:val="auto"/>
          <w:highlight w:val="none"/>
          <w:lang w:eastAsia="zh-CN"/>
        </w:rPr>
        <w:t>《环境空气质量标准》（GB3095-2026）</w:t>
      </w:r>
      <w:r>
        <w:rPr>
          <w:rFonts w:hint="default" w:ascii="Times New Roman" w:hAnsi="Times New Roman" w:cs="Times New Roman"/>
          <w:color w:val="auto"/>
          <w:highlight w:val="none"/>
        </w:rPr>
        <w:t>中规定的二类功能区。</w:t>
      </w:r>
    </w:p>
    <w:p w14:paraId="7E9F14AB">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2.5.1.2水环境功能区划</w:t>
      </w:r>
    </w:p>
    <w:p w14:paraId="513B529B">
      <w:pPr>
        <w:pStyle w:val="55"/>
        <w:overflowPunct w:val="0"/>
        <w:topLinePunct/>
        <w:adjustRightInd/>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（1）地表水</w:t>
      </w:r>
    </w:p>
    <w:p w14:paraId="0887E612">
      <w:pPr>
        <w:pStyle w:val="55"/>
        <w:overflowPunct w:val="0"/>
        <w:topLinePunct/>
        <w:adjustRightInd/>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本项目周边</w:t>
      </w:r>
      <w:r>
        <w:rPr>
          <w:rFonts w:hint="default" w:ascii="Times New Roman" w:hAnsi="Times New Roman" w:eastAsia="宋体" w:cs="Times New Roman"/>
          <w:color w:val="auto"/>
          <w:highlight w:val="none"/>
          <w:lang w:val="en-US" w:eastAsia="zh-CN"/>
        </w:rPr>
        <w:t>30km内</w:t>
      </w:r>
      <w:r>
        <w:rPr>
          <w:rFonts w:hint="default" w:ascii="Times New Roman" w:hAnsi="Times New Roman" w:eastAsia="宋体" w:cs="Times New Roman"/>
          <w:color w:val="auto"/>
          <w:highlight w:val="none"/>
        </w:rPr>
        <w:t>无地表水体。</w:t>
      </w:r>
    </w:p>
    <w:p w14:paraId="240E4BEC">
      <w:pPr>
        <w:pStyle w:val="55"/>
        <w:overflowPunct w:val="0"/>
        <w:topLinePunct/>
        <w:adjustRightInd/>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（2）地下水</w:t>
      </w:r>
    </w:p>
    <w:p w14:paraId="65CC3A7A">
      <w:pPr>
        <w:pStyle w:val="55"/>
        <w:overflowPunct w:val="0"/>
        <w:topLinePunct/>
        <w:adjustRightInd/>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项目所在区域地下水未进行功能区划分，根据其用途执行《地下水质量标准》（GB/T14848-2017）Ⅲ类标准。</w:t>
      </w:r>
    </w:p>
    <w:p w14:paraId="1BC82A72">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2.5.1.3声环境功能区划</w:t>
      </w:r>
    </w:p>
    <w:p w14:paraId="6F40DA7E">
      <w:pPr>
        <w:pStyle w:val="55"/>
        <w:overflowPunct w:val="0"/>
        <w:topLinePunct/>
        <w:ind w:firstLine="476" w:firstLineChars="200"/>
        <w:rPr>
          <w:rFonts w:hint="default" w:ascii="Times New Roman" w:hAnsi="Times New Roman" w:cs="Times New Roman"/>
          <w:color w:val="auto"/>
          <w:spacing w:val="-1"/>
          <w:highlight w:val="none"/>
        </w:rPr>
      </w:pPr>
      <w:r>
        <w:rPr>
          <w:rFonts w:hint="default" w:ascii="Times New Roman" w:hAnsi="Times New Roman" w:cs="Times New Roman"/>
          <w:color w:val="auto"/>
          <w:spacing w:val="-1"/>
          <w:highlight w:val="none"/>
        </w:rPr>
        <w:t>本项目为</w:t>
      </w:r>
      <w:r>
        <w:rPr>
          <w:rFonts w:hint="default" w:ascii="Times New Roman" w:hAnsi="Times New Roman" w:cs="Times New Roman"/>
          <w:color w:val="auto"/>
          <w:spacing w:val="-1"/>
          <w:highlight w:val="none"/>
          <w:lang w:eastAsia="zh-CN"/>
        </w:rPr>
        <w:t>萤石</w:t>
      </w:r>
      <w:r>
        <w:rPr>
          <w:rFonts w:hint="default" w:ascii="Times New Roman" w:hAnsi="Times New Roman" w:cs="Times New Roman"/>
          <w:color w:val="auto"/>
          <w:spacing w:val="-1"/>
          <w:highlight w:val="none"/>
        </w:rPr>
        <w:t>选矿</w:t>
      </w:r>
      <w:r>
        <w:rPr>
          <w:rFonts w:hint="default" w:ascii="Times New Roman" w:hAnsi="Times New Roman" w:cs="Times New Roman"/>
          <w:color w:val="auto"/>
          <w:spacing w:val="-1"/>
          <w:highlight w:val="none"/>
          <w:lang w:eastAsia="zh-CN"/>
        </w:rPr>
        <w:t>新建</w:t>
      </w:r>
      <w:r>
        <w:rPr>
          <w:rFonts w:hint="default" w:ascii="Times New Roman" w:hAnsi="Times New Roman" w:cs="Times New Roman"/>
          <w:color w:val="auto"/>
          <w:spacing w:val="-1"/>
          <w:highlight w:val="none"/>
        </w:rPr>
        <w:t>工程，以工业生产为主要功能，本项目区属于《声环境质量标准》（GB3096-2008）中的</w:t>
      </w:r>
      <w:r>
        <w:rPr>
          <w:rFonts w:hint="default" w:ascii="Times New Roman" w:hAnsi="Times New Roman" w:cs="Times New Roman"/>
          <w:color w:val="auto"/>
          <w:spacing w:val="-1"/>
          <w:highlight w:val="none"/>
          <w:lang w:val="en-US" w:eastAsia="zh-CN"/>
        </w:rPr>
        <w:t>2</w:t>
      </w:r>
      <w:r>
        <w:rPr>
          <w:rFonts w:hint="default" w:ascii="Times New Roman" w:hAnsi="Times New Roman" w:cs="Times New Roman"/>
          <w:color w:val="auto"/>
          <w:spacing w:val="-1"/>
          <w:highlight w:val="none"/>
        </w:rPr>
        <w:t>类功能区。</w:t>
      </w:r>
    </w:p>
    <w:p w14:paraId="59CEBBFD">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2.5.1.4生态环境功能区划</w:t>
      </w:r>
    </w:p>
    <w:p w14:paraId="0CAD6D3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zh-CN"/>
        </w:rPr>
        <w:t>根据《新疆生态功能区划》，</w:t>
      </w:r>
      <w:r>
        <w:rPr>
          <w:rFonts w:hint="default" w:ascii="Times New Roman" w:hAnsi="Times New Roman" w:cs="Times New Roman"/>
          <w:color w:val="auto"/>
          <w:szCs w:val="24"/>
          <w:highlight w:val="none"/>
          <w:lang w:val="zh-CN"/>
        </w:rPr>
        <w:t>项目所在地位于Ⅲ天山山地温性草原、森林生态区—Ⅲ</w:t>
      </w:r>
      <w:r>
        <w:rPr>
          <w:rFonts w:hint="default" w:ascii="Times New Roman" w:hAnsi="Times New Roman" w:cs="Times New Roman"/>
          <w:color w:val="auto"/>
          <w:szCs w:val="24"/>
          <w:highlight w:val="none"/>
          <w:vertAlign w:val="subscript"/>
          <w:lang w:val="zh-CN"/>
        </w:rPr>
        <w:t>4</w:t>
      </w:r>
      <w:r>
        <w:rPr>
          <w:rFonts w:hint="default" w:ascii="Times New Roman" w:hAnsi="Times New Roman" w:cs="Times New Roman"/>
          <w:color w:val="auto"/>
          <w:szCs w:val="24"/>
          <w:highlight w:val="none"/>
          <w:lang w:val="zh-CN"/>
        </w:rPr>
        <w:t>天山南坡吐鲁番—哈密盆地戈壁荒漠、绿洲农业生态亚区—53.嘎顺—南湖戈壁荒漠风蚀敏感生态功能区。</w:t>
      </w:r>
    </w:p>
    <w:p w14:paraId="07FCC676">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2.5.1.5土壤环境功能区划</w:t>
      </w:r>
    </w:p>
    <w:p w14:paraId="25337579">
      <w:pPr>
        <w:overflowPunct w:val="0"/>
        <w:topLinePunct/>
        <w:ind w:firstLine="476"/>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本项目选矿工业场地及尾矿库用地性质为工矿用地，根据《土壤环境质量 建设用地土壤污染风险管控标准（试行）》（GB36600-2018），本项目属于第二类用地中的工业用地（M）。</w:t>
      </w:r>
    </w:p>
    <w:p w14:paraId="3B7E1835">
      <w:pPr>
        <w:pStyle w:val="4"/>
        <w:rPr>
          <w:rFonts w:hint="default" w:ascii="Times New Roman" w:hAnsi="Times New Roman" w:cs="Times New Roman"/>
          <w:color w:val="auto"/>
          <w:highlight w:val="none"/>
        </w:rPr>
      </w:pPr>
      <w:bookmarkStart w:id="172" w:name="_Toc7992"/>
      <w:bookmarkStart w:id="173" w:name="_Toc16394"/>
      <w:bookmarkStart w:id="174" w:name="_Toc31747"/>
      <w:bookmarkStart w:id="175" w:name="_Toc29325"/>
      <w:bookmarkStart w:id="176" w:name="_Toc16621"/>
      <w:bookmarkStart w:id="177" w:name="_Toc24772"/>
      <w:bookmarkStart w:id="178" w:name="_Toc31745"/>
      <w:bookmarkStart w:id="179" w:name="_Toc12662"/>
      <w:bookmarkStart w:id="180" w:name="_Toc20204"/>
      <w:r>
        <w:rPr>
          <w:rFonts w:hint="default" w:ascii="Times New Roman" w:hAnsi="Times New Roman" w:cs="Times New Roman"/>
          <w:color w:val="auto"/>
          <w:highlight w:val="none"/>
        </w:rPr>
        <w:t>2.5.2评价标准</w:t>
      </w:r>
      <w:bookmarkEnd w:id="172"/>
      <w:bookmarkEnd w:id="173"/>
      <w:bookmarkEnd w:id="174"/>
      <w:bookmarkEnd w:id="175"/>
      <w:bookmarkEnd w:id="176"/>
      <w:bookmarkEnd w:id="177"/>
      <w:bookmarkEnd w:id="178"/>
      <w:bookmarkEnd w:id="179"/>
      <w:bookmarkEnd w:id="180"/>
    </w:p>
    <w:p w14:paraId="2DFE8E53">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2.5.2.1环境质量标准</w:t>
      </w:r>
    </w:p>
    <w:p w14:paraId="0F5A8097">
      <w:pPr>
        <w:pStyle w:val="55"/>
        <w:overflowPunct w:val="0"/>
        <w:topLinePunct/>
        <w:adjustRightInd/>
        <w:ind w:firstLine="476" w:firstLineChars="200"/>
        <w:rPr>
          <w:rFonts w:hint="default" w:ascii="Times New Roman" w:hAnsi="Times New Roman" w:cs="Times New Roman"/>
          <w:color w:val="auto"/>
          <w:spacing w:val="-1"/>
          <w:highlight w:val="none"/>
        </w:rPr>
      </w:pPr>
      <w:r>
        <w:rPr>
          <w:rFonts w:hint="default" w:ascii="Times New Roman" w:hAnsi="Times New Roman" w:cs="Times New Roman"/>
          <w:color w:val="auto"/>
          <w:spacing w:val="-1"/>
          <w:highlight w:val="none"/>
        </w:rPr>
        <w:t>（1）大气环境</w:t>
      </w:r>
    </w:p>
    <w:p w14:paraId="40710BA8">
      <w:pPr>
        <w:pStyle w:val="55"/>
        <w:widowControl/>
        <w:overflowPunct w:val="0"/>
        <w:topLinePunct/>
        <w:adjustRightInd/>
        <w:ind w:firstLine="476" w:firstLineChars="200"/>
        <w:rPr>
          <w:rFonts w:hint="default" w:ascii="Times New Roman" w:hAnsi="Times New Roman" w:cs="Times New Roman"/>
          <w:color w:val="auto"/>
          <w:spacing w:val="-1"/>
          <w:highlight w:val="none"/>
        </w:rPr>
      </w:pPr>
      <w:r>
        <w:rPr>
          <w:rFonts w:hint="default" w:ascii="Times New Roman" w:hAnsi="Times New Roman" w:cs="Times New Roman"/>
          <w:color w:val="auto"/>
          <w:spacing w:val="-1"/>
          <w:highlight w:val="none"/>
        </w:rPr>
        <w:t>本项目所在地为环境空气二类功能区，</w:t>
      </w:r>
      <w:r>
        <w:rPr>
          <w:rFonts w:hint="eastAsia" w:ascii="Times New Roman" w:hAnsi="Times New Roman" w:cs="Times New Roman"/>
          <w:color w:val="auto"/>
          <w:spacing w:val="0"/>
          <w:w w:val="100"/>
          <w:position w:val="0"/>
          <w:sz w:val="24"/>
          <w:highlight w:val="none"/>
          <w:lang w:val="en-US" w:eastAsia="zh-CN"/>
        </w:rPr>
        <w:t>项目区</w:t>
      </w:r>
      <w:r>
        <w:rPr>
          <w:rFonts w:hint="default" w:ascii="Times New Roman" w:hAnsi="Times New Roman" w:eastAsia="宋体" w:cs="Times New Roman"/>
          <w:color w:val="auto"/>
          <w:spacing w:val="0"/>
          <w:w w:val="100"/>
          <w:position w:val="0"/>
          <w:sz w:val="24"/>
          <w:highlight w:val="none"/>
        </w:rPr>
        <w:t>环境空气质量评价中SO</w:t>
      </w:r>
      <w:r>
        <w:rPr>
          <w:rFonts w:hint="default" w:ascii="Times New Roman" w:hAnsi="Times New Roman" w:eastAsia="宋体" w:cs="Times New Roman"/>
          <w:color w:val="auto"/>
          <w:spacing w:val="0"/>
          <w:w w:val="100"/>
          <w:position w:val="0"/>
          <w:sz w:val="24"/>
          <w:highlight w:val="none"/>
          <w:vertAlign w:val="subscript"/>
        </w:rPr>
        <w:t>2</w:t>
      </w:r>
      <w:r>
        <w:rPr>
          <w:rFonts w:hint="default" w:ascii="Times New Roman" w:hAnsi="Times New Roman" w:eastAsia="宋体" w:cs="Times New Roman"/>
          <w:color w:val="auto"/>
          <w:spacing w:val="0"/>
          <w:w w:val="100"/>
          <w:position w:val="0"/>
          <w:sz w:val="24"/>
          <w:highlight w:val="none"/>
        </w:rPr>
        <w:t>、NO</w:t>
      </w:r>
      <w:r>
        <w:rPr>
          <w:rFonts w:hint="default" w:ascii="Times New Roman" w:hAnsi="Times New Roman" w:eastAsia="宋体" w:cs="Times New Roman"/>
          <w:color w:val="auto"/>
          <w:spacing w:val="0"/>
          <w:w w:val="100"/>
          <w:position w:val="0"/>
          <w:sz w:val="24"/>
          <w:highlight w:val="none"/>
          <w:vertAlign w:val="subscript"/>
        </w:rPr>
        <w:t>2</w:t>
      </w:r>
      <w:r>
        <w:rPr>
          <w:rFonts w:hint="default" w:ascii="Times New Roman" w:hAnsi="Times New Roman" w:eastAsia="宋体" w:cs="Times New Roman"/>
          <w:color w:val="auto"/>
          <w:spacing w:val="0"/>
          <w:w w:val="100"/>
          <w:position w:val="0"/>
          <w:sz w:val="24"/>
          <w:highlight w:val="none"/>
        </w:rPr>
        <w:t>、PM</w:t>
      </w:r>
      <w:r>
        <w:rPr>
          <w:rFonts w:hint="default" w:ascii="Times New Roman" w:hAnsi="Times New Roman" w:eastAsia="宋体" w:cs="Times New Roman"/>
          <w:color w:val="auto"/>
          <w:spacing w:val="0"/>
          <w:w w:val="100"/>
          <w:position w:val="0"/>
          <w:sz w:val="24"/>
          <w:highlight w:val="none"/>
          <w:vertAlign w:val="subscript"/>
        </w:rPr>
        <w:t>10</w:t>
      </w:r>
      <w:r>
        <w:rPr>
          <w:rFonts w:hint="default" w:ascii="Times New Roman" w:hAnsi="Times New Roman" w:eastAsia="宋体" w:cs="Times New Roman"/>
          <w:color w:val="auto"/>
          <w:spacing w:val="0"/>
          <w:w w:val="100"/>
          <w:position w:val="0"/>
          <w:sz w:val="24"/>
          <w:highlight w:val="none"/>
        </w:rPr>
        <w:t>、PM</w:t>
      </w:r>
      <w:r>
        <w:rPr>
          <w:rFonts w:hint="default" w:ascii="Times New Roman" w:hAnsi="Times New Roman" w:eastAsia="宋体" w:cs="Times New Roman"/>
          <w:color w:val="auto"/>
          <w:spacing w:val="0"/>
          <w:w w:val="100"/>
          <w:position w:val="0"/>
          <w:sz w:val="24"/>
          <w:highlight w:val="none"/>
          <w:vertAlign w:val="subscript"/>
        </w:rPr>
        <w:t>2.5</w:t>
      </w:r>
      <w:r>
        <w:rPr>
          <w:rFonts w:hint="default" w:ascii="Times New Roman" w:hAnsi="Times New Roman" w:eastAsia="宋体" w:cs="Times New Roman"/>
          <w:color w:val="auto"/>
          <w:spacing w:val="0"/>
          <w:w w:val="100"/>
          <w:position w:val="0"/>
          <w:sz w:val="24"/>
          <w:highlight w:val="none"/>
        </w:rPr>
        <w:t>、CO</w:t>
      </w:r>
      <w:r>
        <w:rPr>
          <w:rFonts w:hint="eastAsia" w:cs="Times New Roman"/>
          <w:color w:val="auto"/>
          <w:spacing w:val="0"/>
          <w:w w:val="100"/>
          <w:position w:val="0"/>
          <w:sz w:val="24"/>
          <w:highlight w:val="none"/>
          <w:lang w:val="en-US" w:eastAsia="zh-CN"/>
        </w:rPr>
        <w:t>及</w:t>
      </w:r>
      <w:r>
        <w:rPr>
          <w:rFonts w:hint="default" w:ascii="Times New Roman" w:hAnsi="Times New Roman" w:eastAsia="宋体" w:cs="Times New Roman"/>
          <w:color w:val="auto"/>
          <w:spacing w:val="0"/>
          <w:w w:val="100"/>
          <w:position w:val="0"/>
          <w:sz w:val="24"/>
          <w:highlight w:val="none"/>
        </w:rPr>
        <w:t>O</w:t>
      </w:r>
      <w:r>
        <w:rPr>
          <w:rFonts w:hint="default" w:ascii="Times New Roman" w:hAnsi="Times New Roman" w:eastAsia="宋体" w:cs="Times New Roman"/>
          <w:color w:val="auto"/>
          <w:spacing w:val="0"/>
          <w:w w:val="100"/>
          <w:position w:val="0"/>
          <w:sz w:val="24"/>
          <w:highlight w:val="none"/>
          <w:vertAlign w:val="subscript"/>
        </w:rPr>
        <w:t>3</w:t>
      </w:r>
      <w:r>
        <w:rPr>
          <w:rFonts w:hint="default" w:ascii="Times New Roman" w:hAnsi="Times New Roman" w:eastAsia="宋体" w:cs="Times New Roman"/>
          <w:color w:val="auto"/>
          <w:spacing w:val="0"/>
          <w:w w:val="100"/>
          <w:position w:val="0"/>
          <w:sz w:val="24"/>
          <w:highlight w:val="none"/>
          <w:vertAlign w:val="baseline"/>
        </w:rPr>
        <w:t>执行《环境空气质量标准》（GB3095-2026）中过渡阶段二级标准</w:t>
      </w:r>
      <w:r>
        <w:rPr>
          <w:rFonts w:hint="eastAsia" w:cs="Times New Roman"/>
          <w:color w:val="auto"/>
          <w:spacing w:val="0"/>
          <w:w w:val="100"/>
          <w:position w:val="0"/>
          <w:sz w:val="24"/>
          <w:highlight w:val="none"/>
          <w:vertAlign w:val="baseline"/>
          <w:lang w:eastAsia="zh-CN"/>
        </w:rPr>
        <w:t>；</w:t>
      </w:r>
      <w:r>
        <w:rPr>
          <w:rFonts w:hint="eastAsia" w:ascii="Times New Roman" w:hAnsi="Times New Roman" w:eastAsia="宋体" w:cs="Times New Roman"/>
          <w:color w:val="auto"/>
          <w:spacing w:val="0"/>
          <w:w w:val="100"/>
          <w:position w:val="0"/>
          <w:sz w:val="24"/>
          <w:highlight w:val="none"/>
          <w:vertAlign w:val="baseline"/>
          <w:lang w:val="en-US" w:eastAsia="zh-CN"/>
        </w:rPr>
        <w:t>NO</w:t>
      </w:r>
      <w:r>
        <w:rPr>
          <w:rFonts w:hint="eastAsia" w:cs="Times New Roman"/>
          <w:color w:val="auto"/>
          <w:spacing w:val="0"/>
          <w:w w:val="100"/>
          <w:position w:val="0"/>
          <w:sz w:val="24"/>
          <w:highlight w:val="none"/>
          <w:vertAlign w:val="subscript"/>
          <w:lang w:val="en-US" w:eastAsia="zh-CN"/>
        </w:rPr>
        <w:t>x</w:t>
      </w:r>
      <w:r>
        <w:rPr>
          <w:rFonts w:hint="eastAsia" w:cs="Times New Roman"/>
          <w:color w:val="auto"/>
          <w:spacing w:val="0"/>
          <w:w w:val="100"/>
          <w:position w:val="0"/>
          <w:sz w:val="24"/>
          <w:highlight w:val="none"/>
          <w:vertAlign w:val="baseline"/>
          <w:lang w:val="en-US" w:eastAsia="zh-CN"/>
        </w:rPr>
        <w:t>、</w:t>
      </w:r>
      <w:r>
        <w:rPr>
          <w:rFonts w:hint="eastAsia" w:cs="Times New Roman"/>
          <w:color w:val="auto"/>
          <w:spacing w:val="-1"/>
          <w:highlight w:val="none"/>
          <w:lang w:val="en-US" w:eastAsia="zh-CN"/>
        </w:rPr>
        <w:t>TSP</w:t>
      </w:r>
      <w:r>
        <w:rPr>
          <w:rFonts w:hint="default" w:ascii="Times New Roman" w:hAnsi="Times New Roman" w:cs="Times New Roman"/>
          <w:color w:val="auto"/>
          <w:spacing w:val="-1"/>
          <w:highlight w:val="none"/>
        </w:rPr>
        <w:t>执行</w:t>
      </w:r>
      <w:r>
        <w:rPr>
          <w:rFonts w:hint="eastAsia" w:cs="Times New Roman"/>
          <w:color w:val="auto"/>
          <w:spacing w:val="-1"/>
          <w:highlight w:val="none"/>
          <w:lang w:eastAsia="zh-CN"/>
        </w:rPr>
        <w:t>《环境空气质量标准》（GB3095-2026）</w:t>
      </w:r>
      <w:r>
        <w:rPr>
          <w:rFonts w:hint="eastAsia" w:cs="Times New Roman"/>
          <w:color w:val="auto"/>
          <w:spacing w:val="-1"/>
          <w:highlight w:val="none"/>
          <w:lang w:val="en-US" w:eastAsia="zh-CN"/>
        </w:rPr>
        <w:t>表2</w:t>
      </w:r>
      <w:r>
        <w:rPr>
          <w:rFonts w:hint="default" w:ascii="Times New Roman" w:hAnsi="Times New Roman" w:cs="Times New Roman"/>
          <w:color w:val="auto"/>
          <w:spacing w:val="-1"/>
          <w:highlight w:val="none"/>
        </w:rPr>
        <w:t>中的二级标准</w:t>
      </w:r>
      <w:r>
        <w:rPr>
          <w:rFonts w:hint="eastAsia" w:ascii="Times New Roman" w:eastAsia="宋体"/>
          <w:color w:val="auto"/>
          <w:highlight w:val="none"/>
          <w:lang w:val="en-US" w:eastAsia="zh-CN"/>
        </w:rPr>
        <w:t>浓度限值</w:t>
      </w:r>
      <w:r>
        <w:rPr>
          <w:rFonts w:hint="eastAsia" w:cs="Times New Roman"/>
          <w:color w:val="auto"/>
          <w:spacing w:val="-1"/>
          <w:highlight w:val="none"/>
          <w:lang w:val="en-US" w:eastAsia="zh-CN"/>
        </w:rPr>
        <w:t>；氟化物及汞及其化合物</w:t>
      </w:r>
      <w:r>
        <w:rPr>
          <w:rFonts w:hint="default" w:ascii="Times New Roman" w:hAnsi="Times New Roman" w:cs="Times New Roman"/>
          <w:color w:val="auto"/>
          <w:spacing w:val="-1"/>
          <w:highlight w:val="none"/>
        </w:rPr>
        <w:t>执行</w:t>
      </w:r>
      <w:r>
        <w:rPr>
          <w:rFonts w:hint="eastAsia" w:cs="Times New Roman"/>
          <w:color w:val="auto"/>
          <w:spacing w:val="-1"/>
          <w:highlight w:val="none"/>
          <w:lang w:eastAsia="zh-CN"/>
        </w:rPr>
        <w:t>《环境空气质量标准》（GB3095-2026）</w:t>
      </w:r>
      <w:r>
        <w:rPr>
          <w:rFonts w:hint="eastAsia"/>
          <w:color w:val="auto"/>
          <w:highlight w:val="none"/>
          <w:lang w:val="en-US" w:eastAsia="zh-CN"/>
        </w:rPr>
        <w:t>附录A中浓度限值</w:t>
      </w:r>
      <w:r>
        <w:rPr>
          <w:rFonts w:hint="default" w:ascii="Times New Roman" w:hAnsi="Times New Roman" w:cs="Times New Roman"/>
          <w:color w:val="auto"/>
          <w:spacing w:val="-1"/>
          <w:highlight w:val="none"/>
        </w:rPr>
        <w:t>，具体标准值见表2.5-1。</w:t>
      </w:r>
    </w:p>
    <w:p w14:paraId="32774329">
      <w:pPr>
        <w:pStyle w:val="49"/>
        <w:widowControl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表</w:t>
      </w:r>
      <w:r>
        <w:rPr>
          <w:rFonts w:hint="default" w:ascii="Times New Roman" w:hAnsi="Times New Roman" w:cs="Times New Roman"/>
          <w:color w:val="auto"/>
          <w:highlight w:val="none"/>
        </w:rPr>
        <w:t>2</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5-1</w:t>
      </w:r>
      <w:r>
        <w:rPr>
          <w:rFonts w:hint="default" w:ascii="Times New Roman" w:hAnsi="Times New Roman" w:cs="Times New Roman"/>
          <w:color w:val="auto"/>
          <w:highlight w:val="none"/>
          <w:lang w:val="zh-CN"/>
        </w:rPr>
        <w:t xml:space="preserve">    </w:t>
      </w:r>
      <w:r>
        <w:rPr>
          <w:rFonts w:hint="eastAsia" w:cs="Times New Roman"/>
          <w:color w:val="auto"/>
          <w:highlight w:val="none"/>
          <w:lang w:val="zh-CN"/>
        </w:rPr>
        <w:t>《环境空气质量标准》（GB3095-2026）</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部分</w:t>
      </w:r>
      <w:r>
        <w:rPr>
          <w:rFonts w:hint="default" w:ascii="Times New Roman" w:hAnsi="Times New Roman" w:cs="Times New Roman"/>
          <w:color w:val="auto"/>
          <w:highlight w:val="none"/>
          <w:lang w:val="zh-CN"/>
        </w:rPr>
        <w:t>）</w:t>
      </w:r>
    </w:p>
    <w:tbl>
      <w:tblPr>
        <w:tblStyle w:val="34"/>
        <w:tblW w:w="85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7"/>
        <w:gridCol w:w="2987"/>
        <w:gridCol w:w="2444"/>
        <w:gridCol w:w="1515"/>
        <w:gridCol w:w="843"/>
      </w:tblGrid>
      <w:tr w14:paraId="05A1FE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727" w:type="dxa"/>
            <w:tcBorders>
              <w:tl2br w:val="nil"/>
              <w:tr2bl w:val="nil"/>
            </w:tcBorders>
            <w:vAlign w:val="center"/>
          </w:tcPr>
          <w:p w14:paraId="6A1BC2CD">
            <w:pPr>
              <w:pStyle w:val="43"/>
              <w:spacing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序号</w:t>
            </w:r>
          </w:p>
        </w:tc>
        <w:tc>
          <w:tcPr>
            <w:tcW w:w="2987" w:type="dxa"/>
            <w:tcBorders>
              <w:tl2br w:val="nil"/>
              <w:tr2bl w:val="nil"/>
            </w:tcBorders>
            <w:vAlign w:val="center"/>
          </w:tcPr>
          <w:p w14:paraId="2D304B99">
            <w:pPr>
              <w:pStyle w:val="43"/>
              <w:spacing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污染物项目</w:t>
            </w:r>
          </w:p>
        </w:tc>
        <w:tc>
          <w:tcPr>
            <w:tcW w:w="2444" w:type="dxa"/>
            <w:tcBorders>
              <w:tl2br w:val="nil"/>
              <w:tr2bl w:val="nil"/>
            </w:tcBorders>
            <w:vAlign w:val="center"/>
          </w:tcPr>
          <w:p w14:paraId="224DFBF8">
            <w:pPr>
              <w:pStyle w:val="43"/>
              <w:spacing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平均时间</w:t>
            </w:r>
          </w:p>
        </w:tc>
        <w:tc>
          <w:tcPr>
            <w:tcW w:w="1515" w:type="dxa"/>
            <w:tcBorders>
              <w:tl2br w:val="nil"/>
              <w:tr2bl w:val="nil"/>
            </w:tcBorders>
            <w:vAlign w:val="center"/>
          </w:tcPr>
          <w:p w14:paraId="3B7466E4">
            <w:pPr>
              <w:pStyle w:val="43"/>
              <w:spacing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二级浓度限值</w:t>
            </w:r>
          </w:p>
        </w:tc>
        <w:tc>
          <w:tcPr>
            <w:tcW w:w="843" w:type="dxa"/>
            <w:tcBorders>
              <w:tl2br w:val="nil"/>
              <w:tr2bl w:val="nil"/>
            </w:tcBorders>
            <w:vAlign w:val="center"/>
          </w:tcPr>
          <w:p w14:paraId="3EB75B9B">
            <w:pPr>
              <w:pStyle w:val="43"/>
              <w:spacing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单位</w:t>
            </w:r>
          </w:p>
        </w:tc>
      </w:tr>
      <w:tr w14:paraId="4063F7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7" w:type="dxa"/>
            <w:vMerge w:val="restart"/>
            <w:tcBorders>
              <w:tl2br w:val="nil"/>
              <w:tr2bl w:val="nil"/>
            </w:tcBorders>
            <w:vAlign w:val="center"/>
          </w:tcPr>
          <w:p w14:paraId="5214C930">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1</w:t>
            </w:r>
          </w:p>
        </w:tc>
        <w:tc>
          <w:tcPr>
            <w:tcW w:w="2987" w:type="dxa"/>
            <w:vMerge w:val="restart"/>
            <w:tcBorders>
              <w:tl2br w:val="nil"/>
              <w:tr2bl w:val="nil"/>
            </w:tcBorders>
            <w:vAlign w:val="center"/>
          </w:tcPr>
          <w:p w14:paraId="471970EA">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二氧化硫（SO</w:t>
            </w:r>
            <w:r>
              <w:rPr>
                <w:rFonts w:hint="default" w:ascii="Times New Roman" w:hAnsi="Times New Roman" w:cs="Times New Roman"/>
                <w:color w:val="auto"/>
                <w:spacing w:val="-1"/>
                <w:sz w:val="21"/>
                <w:szCs w:val="21"/>
                <w:highlight w:val="none"/>
                <w:vertAlign w:val="subscript"/>
              </w:rPr>
              <w:t>2</w:t>
            </w:r>
            <w:r>
              <w:rPr>
                <w:rFonts w:hint="default" w:ascii="Times New Roman" w:hAnsi="Times New Roman" w:cs="Times New Roman"/>
                <w:color w:val="auto"/>
                <w:spacing w:val="-1"/>
                <w:sz w:val="21"/>
                <w:szCs w:val="21"/>
                <w:highlight w:val="none"/>
              </w:rPr>
              <w:t>）</w:t>
            </w:r>
          </w:p>
        </w:tc>
        <w:tc>
          <w:tcPr>
            <w:tcW w:w="2444" w:type="dxa"/>
            <w:tcBorders>
              <w:tl2br w:val="nil"/>
              <w:tr2bl w:val="nil"/>
            </w:tcBorders>
            <w:vAlign w:val="center"/>
          </w:tcPr>
          <w:p w14:paraId="5CB7F3E7">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年平均</w:t>
            </w:r>
          </w:p>
        </w:tc>
        <w:tc>
          <w:tcPr>
            <w:tcW w:w="1515" w:type="dxa"/>
            <w:tcBorders>
              <w:tl2br w:val="nil"/>
              <w:tr2bl w:val="nil"/>
            </w:tcBorders>
            <w:vAlign w:val="center"/>
          </w:tcPr>
          <w:p w14:paraId="6E79444B">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60</w:t>
            </w:r>
          </w:p>
        </w:tc>
        <w:tc>
          <w:tcPr>
            <w:tcW w:w="843" w:type="dxa"/>
            <w:vMerge w:val="restart"/>
            <w:tcBorders>
              <w:tl2br w:val="nil"/>
              <w:tr2bl w:val="nil"/>
            </w:tcBorders>
            <w:vAlign w:val="center"/>
          </w:tcPr>
          <w:p w14:paraId="7066EA50">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μg/m</w:t>
            </w:r>
            <w:r>
              <w:rPr>
                <w:rFonts w:hint="default" w:ascii="Times New Roman" w:hAnsi="Times New Roman" w:cs="Times New Roman"/>
                <w:color w:val="auto"/>
                <w:spacing w:val="-1"/>
                <w:sz w:val="21"/>
                <w:szCs w:val="21"/>
                <w:highlight w:val="none"/>
                <w:vertAlign w:val="superscript"/>
              </w:rPr>
              <w:t>3</w:t>
            </w:r>
          </w:p>
        </w:tc>
      </w:tr>
      <w:tr w14:paraId="675351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7" w:type="dxa"/>
            <w:vMerge w:val="continue"/>
            <w:tcBorders>
              <w:tl2br w:val="nil"/>
              <w:tr2bl w:val="nil"/>
            </w:tcBorders>
            <w:vAlign w:val="center"/>
          </w:tcPr>
          <w:p w14:paraId="208A3AFF">
            <w:pPr>
              <w:pStyle w:val="43"/>
              <w:spacing w:line="360" w:lineRule="exact"/>
              <w:ind w:firstLine="0" w:firstLineChars="0"/>
              <w:jc w:val="center"/>
              <w:rPr>
                <w:rFonts w:hint="default" w:ascii="Times New Roman" w:hAnsi="Times New Roman" w:cs="Times New Roman"/>
                <w:color w:val="auto"/>
                <w:sz w:val="21"/>
                <w:szCs w:val="21"/>
                <w:highlight w:val="none"/>
              </w:rPr>
            </w:pPr>
          </w:p>
        </w:tc>
        <w:tc>
          <w:tcPr>
            <w:tcW w:w="2987" w:type="dxa"/>
            <w:vMerge w:val="continue"/>
            <w:tcBorders>
              <w:tl2br w:val="nil"/>
              <w:tr2bl w:val="nil"/>
            </w:tcBorders>
            <w:vAlign w:val="center"/>
          </w:tcPr>
          <w:p w14:paraId="75871464">
            <w:pPr>
              <w:pStyle w:val="43"/>
              <w:spacing w:line="360" w:lineRule="exact"/>
              <w:ind w:firstLine="0" w:firstLineChars="0"/>
              <w:jc w:val="center"/>
              <w:rPr>
                <w:rFonts w:hint="default" w:ascii="Times New Roman" w:hAnsi="Times New Roman" w:cs="Times New Roman"/>
                <w:color w:val="auto"/>
                <w:sz w:val="21"/>
                <w:szCs w:val="21"/>
                <w:highlight w:val="none"/>
              </w:rPr>
            </w:pPr>
          </w:p>
        </w:tc>
        <w:tc>
          <w:tcPr>
            <w:tcW w:w="2444" w:type="dxa"/>
            <w:tcBorders>
              <w:tl2br w:val="nil"/>
              <w:tr2bl w:val="nil"/>
            </w:tcBorders>
            <w:vAlign w:val="center"/>
          </w:tcPr>
          <w:p w14:paraId="24A26AD6">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24小时平均</w:t>
            </w:r>
          </w:p>
        </w:tc>
        <w:tc>
          <w:tcPr>
            <w:tcW w:w="1515" w:type="dxa"/>
            <w:tcBorders>
              <w:tl2br w:val="nil"/>
              <w:tr2bl w:val="nil"/>
            </w:tcBorders>
            <w:vAlign w:val="center"/>
          </w:tcPr>
          <w:p w14:paraId="4E85C792">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150</w:t>
            </w:r>
          </w:p>
        </w:tc>
        <w:tc>
          <w:tcPr>
            <w:tcW w:w="843" w:type="dxa"/>
            <w:vMerge w:val="continue"/>
            <w:tcBorders>
              <w:tl2br w:val="nil"/>
              <w:tr2bl w:val="nil"/>
            </w:tcBorders>
            <w:vAlign w:val="center"/>
          </w:tcPr>
          <w:p w14:paraId="3014233F">
            <w:pPr>
              <w:pStyle w:val="43"/>
              <w:spacing w:line="360" w:lineRule="exact"/>
              <w:ind w:firstLine="0" w:firstLineChars="0"/>
              <w:jc w:val="center"/>
              <w:rPr>
                <w:rFonts w:hint="default" w:ascii="Times New Roman" w:hAnsi="Times New Roman" w:cs="Times New Roman"/>
                <w:color w:val="auto"/>
                <w:spacing w:val="-1"/>
                <w:sz w:val="21"/>
                <w:szCs w:val="21"/>
                <w:highlight w:val="none"/>
              </w:rPr>
            </w:pPr>
          </w:p>
        </w:tc>
      </w:tr>
      <w:tr w14:paraId="4A10A1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7" w:type="dxa"/>
            <w:vMerge w:val="continue"/>
            <w:tcBorders>
              <w:tl2br w:val="nil"/>
              <w:tr2bl w:val="nil"/>
            </w:tcBorders>
            <w:vAlign w:val="center"/>
          </w:tcPr>
          <w:p w14:paraId="4D163AF4">
            <w:pPr>
              <w:pStyle w:val="43"/>
              <w:spacing w:line="360" w:lineRule="exact"/>
              <w:ind w:firstLine="0" w:firstLineChars="0"/>
              <w:jc w:val="center"/>
              <w:rPr>
                <w:rFonts w:hint="default" w:ascii="Times New Roman" w:hAnsi="Times New Roman" w:cs="Times New Roman"/>
                <w:color w:val="auto"/>
                <w:spacing w:val="-1"/>
                <w:sz w:val="21"/>
                <w:szCs w:val="21"/>
                <w:highlight w:val="none"/>
              </w:rPr>
            </w:pPr>
          </w:p>
        </w:tc>
        <w:tc>
          <w:tcPr>
            <w:tcW w:w="2987" w:type="dxa"/>
            <w:vMerge w:val="continue"/>
            <w:tcBorders>
              <w:tl2br w:val="nil"/>
              <w:tr2bl w:val="nil"/>
            </w:tcBorders>
            <w:vAlign w:val="center"/>
          </w:tcPr>
          <w:p w14:paraId="68A338D4">
            <w:pPr>
              <w:pStyle w:val="43"/>
              <w:spacing w:line="360" w:lineRule="exact"/>
              <w:ind w:firstLine="0" w:firstLineChars="0"/>
              <w:jc w:val="center"/>
              <w:rPr>
                <w:rFonts w:hint="default" w:ascii="Times New Roman" w:hAnsi="Times New Roman" w:cs="Times New Roman"/>
                <w:color w:val="auto"/>
                <w:spacing w:val="-1"/>
                <w:sz w:val="21"/>
                <w:szCs w:val="21"/>
                <w:highlight w:val="none"/>
              </w:rPr>
            </w:pPr>
          </w:p>
        </w:tc>
        <w:tc>
          <w:tcPr>
            <w:tcW w:w="2444" w:type="dxa"/>
            <w:tcBorders>
              <w:tl2br w:val="nil"/>
              <w:tr2bl w:val="nil"/>
            </w:tcBorders>
            <w:vAlign w:val="center"/>
          </w:tcPr>
          <w:p w14:paraId="79AFBB3C">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1小时平均</w:t>
            </w:r>
          </w:p>
        </w:tc>
        <w:tc>
          <w:tcPr>
            <w:tcW w:w="1515" w:type="dxa"/>
            <w:tcBorders>
              <w:tl2br w:val="nil"/>
              <w:tr2bl w:val="nil"/>
            </w:tcBorders>
            <w:vAlign w:val="center"/>
          </w:tcPr>
          <w:p w14:paraId="652A100F">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500</w:t>
            </w:r>
          </w:p>
        </w:tc>
        <w:tc>
          <w:tcPr>
            <w:tcW w:w="843" w:type="dxa"/>
            <w:vMerge w:val="continue"/>
            <w:tcBorders>
              <w:tl2br w:val="nil"/>
              <w:tr2bl w:val="nil"/>
            </w:tcBorders>
            <w:vAlign w:val="center"/>
          </w:tcPr>
          <w:p w14:paraId="01B3613F">
            <w:pPr>
              <w:pStyle w:val="43"/>
              <w:spacing w:line="360" w:lineRule="exact"/>
              <w:ind w:firstLine="0" w:firstLineChars="0"/>
              <w:jc w:val="center"/>
              <w:rPr>
                <w:rFonts w:hint="default" w:ascii="Times New Roman" w:hAnsi="Times New Roman" w:cs="Times New Roman"/>
                <w:color w:val="auto"/>
                <w:spacing w:val="-1"/>
                <w:sz w:val="21"/>
                <w:szCs w:val="21"/>
                <w:highlight w:val="none"/>
              </w:rPr>
            </w:pPr>
          </w:p>
        </w:tc>
      </w:tr>
      <w:tr w14:paraId="2037BA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7" w:type="dxa"/>
            <w:vMerge w:val="restart"/>
            <w:tcBorders>
              <w:tl2br w:val="nil"/>
              <w:tr2bl w:val="nil"/>
            </w:tcBorders>
            <w:vAlign w:val="center"/>
          </w:tcPr>
          <w:p w14:paraId="2BAF344B">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2</w:t>
            </w:r>
          </w:p>
        </w:tc>
        <w:tc>
          <w:tcPr>
            <w:tcW w:w="2987" w:type="dxa"/>
            <w:vMerge w:val="restart"/>
            <w:tcBorders>
              <w:tl2br w:val="nil"/>
              <w:tr2bl w:val="nil"/>
            </w:tcBorders>
            <w:vAlign w:val="center"/>
          </w:tcPr>
          <w:p w14:paraId="482F4706">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二氧化氮（NO</w:t>
            </w:r>
            <w:r>
              <w:rPr>
                <w:rFonts w:hint="default" w:ascii="Times New Roman" w:hAnsi="Times New Roman" w:cs="Times New Roman"/>
                <w:color w:val="auto"/>
                <w:spacing w:val="-1"/>
                <w:sz w:val="21"/>
                <w:szCs w:val="21"/>
                <w:highlight w:val="none"/>
                <w:vertAlign w:val="subscript"/>
              </w:rPr>
              <w:t>2</w:t>
            </w:r>
            <w:r>
              <w:rPr>
                <w:rFonts w:hint="default" w:ascii="Times New Roman" w:hAnsi="Times New Roman" w:cs="Times New Roman"/>
                <w:color w:val="auto"/>
                <w:spacing w:val="-1"/>
                <w:sz w:val="21"/>
                <w:szCs w:val="21"/>
                <w:highlight w:val="none"/>
              </w:rPr>
              <w:t>）</w:t>
            </w:r>
          </w:p>
        </w:tc>
        <w:tc>
          <w:tcPr>
            <w:tcW w:w="2444" w:type="dxa"/>
            <w:tcBorders>
              <w:tl2br w:val="nil"/>
              <w:tr2bl w:val="nil"/>
            </w:tcBorders>
            <w:vAlign w:val="center"/>
          </w:tcPr>
          <w:p w14:paraId="24581EFD">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年平均</w:t>
            </w:r>
          </w:p>
        </w:tc>
        <w:tc>
          <w:tcPr>
            <w:tcW w:w="1515" w:type="dxa"/>
            <w:tcBorders>
              <w:tl2br w:val="nil"/>
              <w:tr2bl w:val="nil"/>
            </w:tcBorders>
            <w:vAlign w:val="center"/>
          </w:tcPr>
          <w:p w14:paraId="3710DC5A">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40</w:t>
            </w:r>
          </w:p>
        </w:tc>
        <w:tc>
          <w:tcPr>
            <w:tcW w:w="843" w:type="dxa"/>
            <w:vMerge w:val="restart"/>
            <w:tcBorders>
              <w:tl2br w:val="nil"/>
              <w:tr2bl w:val="nil"/>
            </w:tcBorders>
            <w:vAlign w:val="center"/>
          </w:tcPr>
          <w:p w14:paraId="0D0EA75B">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μg/m</w:t>
            </w:r>
            <w:r>
              <w:rPr>
                <w:rFonts w:hint="default" w:ascii="Times New Roman" w:hAnsi="Times New Roman" w:cs="Times New Roman"/>
                <w:color w:val="auto"/>
                <w:spacing w:val="-1"/>
                <w:sz w:val="21"/>
                <w:szCs w:val="21"/>
                <w:highlight w:val="none"/>
                <w:vertAlign w:val="superscript"/>
              </w:rPr>
              <w:t>3</w:t>
            </w:r>
          </w:p>
        </w:tc>
      </w:tr>
      <w:tr w14:paraId="46A586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7" w:type="dxa"/>
            <w:vMerge w:val="continue"/>
            <w:tcBorders>
              <w:tl2br w:val="nil"/>
              <w:tr2bl w:val="nil"/>
            </w:tcBorders>
            <w:vAlign w:val="center"/>
          </w:tcPr>
          <w:p w14:paraId="08005AC6">
            <w:pPr>
              <w:pStyle w:val="43"/>
              <w:spacing w:line="360" w:lineRule="exact"/>
              <w:ind w:firstLine="0" w:firstLineChars="0"/>
              <w:jc w:val="center"/>
              <w:rPr>
                <w:rFonts w:hint="default" w:ascii="Times New Roman" w:hAnsi="Times New Roman" w:cs="Times New Roman"/>
                <w:color w:val="auto"/>
                <w:sz w:val="21"/>
                <w:szCs w:val="21"/>
                <w:highlight w:val="none"/>
              </w:rPr>
            </w:pPr>
          </w:p>
        </w:tc>
        <w:tc>
          <w:tcPr>
            <w:tcW w:w="2987" w:type="dxa"/>
            <w:vMerge w:val="continue"/>
            <w:tcBorders>
              <w:tl2br w:val="nil"/>
              <w:tr2bl w:val="nil"/>
            </w:tcBorders>
            <w:vAlign w:val="center"/>
          </w:tcPr>
          <w:p w14:paraId="3D21FBD2">
            <w:pPr>
              <w:pStyle w:val="43"/>
              <w:spacing w:line="360" w:lineRule="exact"/>
              <w:ind w:firstLine="0" w:firstLineChars="0"/>
              <w:jc w:val="center"/>
              <w:rPr>
                <w:rFonts w:hint="default" w:ascii="Times New Roman" w:hAnsi="Times New Roman" w:cs="Times New Roman"/>
                <w:color w:val="auto"/>
                <w:sz w:val="21"/>
                <w:szCs w:val="21"/>
                <w:highlight w:val="none"/>
              </w:rPr>
            </w:pPr>
          </w:p>
        </w:tc>
        <w:tc>
          <w:tcPr>
            <w:tcW w:w="2444" w:type="dxa"/>
            <w:tcBorders>
              <w:tl2br w:val="nil"/>
              <w:tr2bl w:val="nil"/>
            </w:tcBorders>
            <w:vAlign w:val="center"/>
          </w:tcPr>
          <w:p w14:paraId="28269E6F">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24小时平均</w:t>
            </w:r>
          </w:p>
        </w:tc>
        <w:tc>
          <w:tcPr>
            <w:tcW w:w="1515" w:type="dxa"/>
            <w:tcBorders>
              <w:tl2br w:val="nil"/>
              <w:tr2bl w:val="nil"/>
            </w:tcBorders>
            <w:vAlign w:val="center"/>
          </w:tcPr>
          <w:p w14:paraId="7C7DD887">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80</w:t>
            </w:r>
          </w:p>
        </w:tc>
        <w:tc>
          <w:tcPr>
            <w:tcW w:w="843" w:type="dxa"/>
            <w:vMerge w:val="continue"/>
            <w:tcBorders>
              <w:tl2br w:val="nil"/>
              <w:tr2bl w:val="nil"/>
            </w:tcBorders>
            <w:vAlign w:val="center"/>
          </w:tcPr>
          <w:p w14:paraId="3FC4CBBC">
            <w:pPr>
              <w:pStyle w:val="43"/>
              <w:spacing w:line="360" w:lineRule="exact"/>
              <w:ind w:firstLine="0" w:firstLineChars="0"/>
              <w:jc w:val="center"/>
              <w:rPr>
                <w:rFonts w:hint="default" w:ascii="Times New Roman" w:hAnsi="Times New Roman" w:cs="Times New Roman"/>
                <w:color w:val="auto"/>
                <w:spacing w:val="-1"/>
                <w:sz w:val="21"/>
                <w:szCs w:val="21"/>
                <w:highlight w:val="none"/>
              </w:rPr>
            </w:pPr>
          </w:p>
        </w:tc>
      </w:tr>
      <w:tr w14:paraId="0F9936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7" w:type="dxa"/>
            <w:vMerge w:val="continue"/>
            <w:tcBorders>
              <w:tl2br w:val="nil"/>
              <w:tr2bl w:val="nil"/>
            </w:tcBorders>
            <w:vAlign w:val="center"/>
          </w:tcPr>
          <w:p w14:paraId="03A60CB5">
            <w:pPr>
              <w:pStyle w:val="43"/>
              <w:spacing w:line="360" w:lineRule="exact"/>
              <w:ind w:firstLine="0" w:firstLineChars="0"/>
              <w:jc w:val="center"/>
              <w:rPr>
                <w:rFonts w:hint="default" w:ascii="Times New Roman" w:hAnsi="Times New Roman" w:cs="Times New Roman"/>
                <w:color w:val="auto"/>
                <w:spacing w:val="-1"/>
                <w:sz w:val="21"/>
                <w:szCs w:val="21"/>
                <w:highlight w:val="none"/>
              </w:rPr>
            </w:pPr>
          </w:p>
        </w:tc>
        <w:tc>
          <w:tcPr>
            <w:tcW w:w="2987" w:type="dxa"/>
            <w:vMerge w:val="continue"/>
            <w:tcBorders>
              <w:tl2br w:val="nil"/>
              <w:tr2bl w:val="nil"/>
            </w:tcBorders>
            <w:vAlign w:val="center"/>
          </w:tcPr>
          <w:p w14:paraId="5F2DD046">
            <w:pPr>
              <w:pStyle w:val="43"/>
              <w:spacing w:line="360" w:lineRule="exact"/>
              <w:ind w:firstLine="0" w:firstLineChars="0"/>
              <w:jc w:val="center"/>
              <w:rPr>
                <w:rFonts w:hint="default" w:ascii="Times New Roman" w:hAnsi="Times New Roman" w:cs="Times New Roman"/>
                <w:color w:val="auto"/>
                <w:spacing w:val="-1"/>
                <w:sz w:val="21"/>
                <w:szCs w:val="21"/>
                <w:highlight w:val="none"/>
              </w:rPr>
            </w:pPr>
          </w:p>
        </w:tc>
        <w:tc>
          <w:tcPr>
            <w:tcW w:w="2444" w:type="dxa"/>
            <w:tcBorders>
              <w:tl2br w:val="nil"/>
              <w:tr2bl w:val="nil"/>
            </w:tcBorders>
            <w:vAlign w:val="center"/>
          </w:tcPr>
          <w:p w14:paraId="08D184FB">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1小时平均</w:t>
            </w:r>
          </w:p>
        </w:tc>
        <w:tc>
          <w:tcPr>
            <w:tcW w:w="1515" w:type="dxa"/>
            <w:tcBorders>
              <w:tl2br w:val="nil"/>
              <w:tr2bl w:val="nil"/>
            </w:tcBorders>
            <w:vAlign w:val="center"/>
          </w:tcPr>
          <w:p w14:paraId="445E1DE7">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200</w:t>
            </w:r>
          </w:p>
        </w:tc>
        <w:tc>
          <w:tcPr>
            <w:tcW w:w="843" w:type="dxa"/>
            <w:vMerge w:val="continue"/>
            <w:tcBorders>
              <w:tl2br w:val="nil"/>
              <w:tr2bl w:val="nil"/>
            </w:tcBorders>
            <w:vAlign w:val="center"/>
          </w:tcPr>
          <w:p w14:paraId="014E55FD">
            <w:pPr>
              <w:pStyle w:val="43"/>
              <w:spacing w:line="360" w:lineRule="exact"/>
              <w:ind w:firstLine="0" w:firstLineChars="0"/>
              <w:jc w:val="center"/>
              <w:rPr>
                <w:rFonts w:hint="default" w:ascii="Times New Roman" w:hAnsi="Times New Roman" w:cs="Times New Roman"/>
                <w:color w:val="auto"/>
                <w:spacing w:val="-1"/>
                <w:sz w:val="21"/>
                <w:szCs w:val="21"/>
                <w:highlight w:val="none"/>
              </w:rPr>
            </w:pPr>
          </w:p>
        </w:tc>
      </w:tr>
      <w:tr w14:paraId="701988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7" w:type="dxa"/>
            <w:vMerge w:val="restart"/>
            <w:tcBorders>
              <w:tl2br w:val="nil"/>
              <w:tr2bl w:val="nil"/>
            </w:tcBorders>
            <w:vAlign w:val="center"/>
          </w:tcPr>
          <w:p w14:paraId="4AB50399">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3</w:t>
            </w:r>
          </w:p>
        </w:tc>
        <w:tc>
          <w:tcPr>
            <w:tcW w:w="2987" w:type="dxa"/>
            <w:vMerge w:val="restart"/>
            <w:tcBorders>
              <w:tl2br w:val="nil"/>
              <w:tr2bl w:val="nil"/>
            </w:tcBorders>
            <w:vAlign w:val="center"/>
          </w:tcPr>
          <w:p w14:paraId="2FA50705">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一氧化碳（CO）</w:t>
            </w:r>
          </w:p>
        </w:tc>
        <w:tc>
          <w:tcPr>
            <w:tcW w:w="2444" w:type="dxa"/>
            <w:tcBorders>
              <w:tl2br w:val="nil"/>
              <w:tr2bl w:val="nil"/>
            </w:tcBorders>
            <w:vAlign w:val="center"/>
          </w:tcPr>
          <w:p w14:paraId="40814CDF">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24小时平均</w:t>
            </w:r>
          </w:p>
        </w:tc>
        <w:tc>
          <w:tcPr>
            <w:tcW w:w="1515" w:type="dxa"/>
            <w:tcBorders>
              <w:tl2br w:val="nil"/>
              <w:tr2bl w:val="nil"/>
            </w:tcBorders>
            <w:vAlign w:val="center"/>
          </w:tcPr>
          <w:p w14:paraId="67E3A44A">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4</w:t>
            </w:r>
          </w:p>
        </w:tc>
        <w:tc>
          <w:tcPr>
            <w:tcW w:w="843" w:type="dxa"/>
            <w:vMerge w:val="restart"/>
            <w:tcBorders>
              <w:tl2br w:val="nil"/>
              <w:tr2bl w:val="nil"/>
            </w:tcBorders>
            <w:vAlign w:val="center"/>
          </w:tcPr>
          <w:p w14:paraId="6A1AFFB8">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mg/m</w:t>
            </w:r>
            <w:r>
              <w:rPr>
                <w:rFonts w:hint="default" w:ascii="Times New Roman" w:hAnsi="Times New Roman" w:cs="Times New Roman"/>
                <w:color w:val="auto"/>
                <w:spacing w:val="-1"/>
                <w:sz w:val="21"/>
                <w:szCs w:val="21"/>
                <w:highlight w:val="none"/>
                <w:vertAlign w:val="superscript"/>
              </w:rPr>
              <w:t>3</w:t>
            </w:r>
          </w:p>
        </w:tc>
      </w:tr>
      <w:tr w14:paraId="100864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7" w:type="dxa"/>
            <w:vMerge w:val="continue"/>
            <w:tcBorders>
              <w:tl2br w:val="nil"/>
              <w:tr2bl w:val="nil"/>
            </w:tcBorders>
            <w:vAlign w:val="center"/>
          </w:tcPr>
          <w:p w14:paraId="2A7905D7">
            <w:pPr>
              <w:pStyle w:val="43"/>
              <w:spacing w:line="360" w:lineRule="exact"/>
              <w:ind w:firstLine="0" w:firstLineChars="0"/>
              <w:jc w:val="center"/>
              <w:rPr>
                <w:rFonts w:hint="default" w:ascii="Times New Roman" w:hAnsi="Times New Roman" w:cs="Times New Roman"/>
                <w:color w:val="auto"/>
                <w:sz w:val="21"/>
                <w:szCs w:val="21"/>
                <w:highlight w:val="none"/>
              </w:rPr>
            </w:pPr>
          </w:p>
        </w:tc>
        <w:tc>
          <w:tcPr>
            <w:tcW w:w="2987" w:type="dxa"/>
            <w:vMerge w:val="continue"/>
            <w:tcBorders>
              <w:tl2br w:val="nil"/>
              <w:tr2bl w:val="nil"/>
            </w:tcBorders>
            <w:vAlign w:val="center"/>
          </w:tcPr>
          <w:p w14:paraId="530EE076">
            <w:pPr>
              <w:pStyle w:val="43"/>
              <w:spacing w:line="360" w:lineRule="exact"/>
              <w:ind w:firstLine="0" w:firstLineChars="0"/>
              <w:jc w:val="center"/>
              <w:rPr>
                <w:rFonts w:hint="default" w:ascii="Times New Roman" w:hAnsi="Times New Roman" w:cs="Times New Roman"/>
                <w:color w:val="auto"/>
                <w:sz w:val="21"/>
                <w:szCs w:val="21"/>
                <w:highlight w:val="none"/>
              </w:rPr>
            </w:pPr>
          </w:p>
        </w:tc>
        <w:tc>
          <w:tcPr>
            <w:tcW w:w="2444" w:type="dxa"/>
            <w:tcBorders>
              <w:tl2br w:val="nil"/>
              <w:tr2bl w:val="nil"/>
            </w:tcBorders>
            <w:vAlign w:val="center"/>
          </w:tcPr>
          <w:p w14:paraId="26991F3A">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1小时平均</w:t>
            </w:r>
          </w:p>
        </w:tc>
        <w:tc>
          <w:tcPr>
            <w:tcW w:w="1515" w:type="dxa"/>
            <w:tcBorders>
              <w:tl2br w:val="nil"/>
              <w:tr2bl w:val="nil"/>
            </w:tcBorders>
            <w:vAlign w:val="center"/>
          </w:tcPr>
          <w:p w14:paraId="3B848C09">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10</w:t>
            </w:r>
          </w:p>
        </w:tc>
        <w:tc>
          <w:tcPr>
            <w:tcW w:w="843" w:type="dxa"/>
            <w:vMerge w:val="continue"/>
            <w:tcBorders>
              <w:tl2br w:val="nil"/>
              <w:tr2bl w:val="nil"/>
            </w:tcBorders>
            <w:vAlign w:val="center"/>
          </w:tcPr>
          <w:p w14:paraId="723364AE">
            <w:pPr>
              <w:pStyle w:val="43"/>
              <w:spacing w:line="360" w:lineRule="exact"/>
              <w:ind w:firstLine="0" w:firstLineChars="0"/>
              <w:jc w:val="center"/>
              <w:rPr>
                <w:rFonts w:hint="default" w:ascii="Times New Roman" w:hAnsi="Times New Roman" w:cs="Times New Roman"/>
                <w:color w:val="auto"/>
                <w:spacing w:val="-1"/>
                <w:sz w:val="21"/>
                <w:szCs w:val="21"/>
                <w:highlight w:val="none"/>
              </w:rPr>
            </w:pPr>
          </w:p>
        </w:tc>
      </w:tr>
      <w:tr w14:paraId="26E301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7" w:type="dxa"/>
            <w:vMerge w:val="restart"/>
            <w:tcBorders>
              <w:tl2br w:val="nil"/>
              <w:tr2bl w:val="nil"/>
            </w:tcBorders>
            <w:vAlign w:val="center"/>
          </w:tcPr>
          <w:p w14:paraId="35C93EC8">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4</w:t>
            </w:r>
          </w:p>
        </w:tc>
        <w:tc>
          <w:tcPr>
            <w:tcW w:w="2987" w:type="dxa"/>
            <w:vMerge w:val="restart"/>
            <w:tcBorders>
              <w:tl2br w:val="nil"/>
              <w:tr2bl w:val="nil"/>
            </w:tcBorders>
            <w:vAlign w:val="center"/>
          </w:tcPr>
          <w:p w14:paraId="6E3C7EC4">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臭氧（O</w:t>
            </w:r>
            <w:r>
              <w:rPr>
                <w:rFonts w:hint="default" w:ascii="Times New Roman" w:hAnsi="Times New Roman" w:cs="Times New Roman"/>
                <w:color w:val="auto"/>
                <w:spacing w:val="-1"/>
                <w:sz w:val="21"/>
                <w:szCs w:val="21"/>
                <w:highlight w:val="none"/>
                <w:vertAlign w:val="subscript"/>
              </w:rPr>
              <w:t>3</w:t>
            </w:r>
            <w:r>
              <w:rPr>
                <w:rFonts w:hint="default" w:ascii="Times New Roman" w:hAnsi="Times New Roman" w:cs="Times New Roman"/>
                <w:color w:val="auto"/>
                <w:spacing w:val="-1"/>
                <w:sz w:val="21"/>
                <w:szCs w:val="21"/>
                <w:highlight w:val="none"/>
              </w:rPr>
              <w:t>）</w:t>
            </w:r>
          </w:p>
        </w:tc>
        <w:tc>
          <w:tcPr>
            <w:tcW w:w="2444" w:type="dxa"/>
            <w:tcBorders>
              <w:tl2br w:val="nil"/>
              <w:tr2bl w:val="nil"/>
            </w:tcBorders>
            <w:vAlign w:val="center"/>
          </w:tcPr>
          <w:p w14:paraId="3D1EC25F">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日最大8小时平均</w:t>
            </w:r>
          </w:p>
        </w:tc>
        <w:tc>
          <w:tcPr>
            <w:tcW w:w="1515" w:type="dxa"/>
            <w:tcBorders>
              <w:tl2br w:val="nil"/>
              <w:tr2bl w:val="nil"/>
            </w:tcBorders>
            <w:vAlign w:val="center"/>
          </w:tcPr>
          <w:p w14:paraId="194439F6">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160</w:t>
            </w:r>
          </w:p>
        </w:tc>
        <w:tc>
          <w:tcPr>
            <w:tcW w:w="843" w:type="dxa"/>
            <w:vMerge w:val="restart"/>
            <w:tcBorders>
              <w:tl2br w:val="nil"/>
              <w:tr2bl w:val="nil"/>
            </w:tcBorders>
            <w:vAlign w:val="center"/>
          </w:tcPr>
          <w:p w14:paraId="4C0B5779">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μg/m</w:t>
            </w:r>
            <w:r>
              <w:rPr>
                <w:rFonts w:hint="default" w:ascii="Times New Roman" w:hAnsi="Times New Roman" w:cs="Times New Roman"/>
                <w:color w:val="auto"/>
                <w:spacing w:val="-1"/>
                <w:sz w:val="21"/>
                <w:szCs w:val="21"/>
                <w:highlight w:val="none"/>
                <w:vertAlign w:val="superscript"/>
              </w:rPr>
              <w:t>3</w:t>
            </w:r>
          </w:p>
        </w:tc>
      </w:tr>
      <w:tr w14:paraId="4E1CDE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7" w:type="dxa"/>
            <w:vMerge w:val="continue"/>
            <w:tcBorders>
              <w:tl2br w:val="nil"/>
              <w:tr2bl w:val="nil"/>
            </w:tcBorders>
            <w:vAlign w:val="center"/>
          </w:tcPr>
          <w:p w14:paraId="43CEE4B7">
            <w:pPr>
              <w:pStyle w:val="43"/>
              <w:spacing w:line="360" w:lineRule="exact"/>
              <w:ind w:firstLine="0" w:firstLineChars="0"/>
              <w:jc w:val="center"/>
              <w:rPr>
                <w:rFonts w:hint="default" w:ascii="Times New Roman" w:hAnsi="Times New Roman" w:cs="Times New Roman"/>
                <w:color w:val="auto"/>
                <w:sz w:val="21"/>
                <w:szCs w:val="21"/>
                <w:highlight w:val="none"/>
              </w:rPr>
            </w:pPr>
          </w:p>
        </w:tc>
        <w:tc>
          <w:tcPr>
            <w:tcW w:w="2987" w:type="dxa"/>
            <w:vMerge w:val="continue"/>
            <w:tcBorders>
              <w:tl2br w:val="nil"/>
              <w:tr2bl w:val="nil"/>
            </w:tcBorders>
            <w:vAlign w:val="center"/>
          </w:tcPr>
          <w:p w14:paraId="0FD346AB">
            <w:pPr>
              <w:pStyle w:val="43"/>
              <w:spacing w:line="360" w:lineRule="exact"/>
              <w:ind w:firstLine="0" w:firstLineChars="0"/>
              <w:jc w:val="center"/>
              <w:rPr>
                <w:rFonts w:hint="default" w:ascii="Times New Roman" w:hAnsi="Times New Roman" w:cs="Times New Roman"/>
                <w:color w:val="auto"/>
                <w:sz w:val="21"/>
                <w:szCs w:val="21"/>
                <w:highlight w:val="none"/>
              </w:rPr>
            </w:pPr>
          </w:p>
        </w:tc>
        <w:tc>
          <w:tcPr>
            <w:tcW w:w="2444" w:type="dxa"/>
            <w:tcBorders>
              <w:tl2br w:val="nil"/>
              <w:tr2bl w:val="nil"/>
            </w:tcBorders>
            <w:vAlign w:val="center"/>
          </w:tcPr>
          <w:p w14:paraId="17EA939F">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1小时平均</w:t>
            </w:r>
          </w:p>
        </w:tc>
        <w:tc>
          <w:tcPr>
            <w:tcW w:w="1515" w:type="dxa"/>
            <w:tcBorders>
              <w:tl2br w:val="nil"/>
              <w:tr2bl w:val="nil"/>
            </w:tcBorders>
            <w:vAlign w:val="center"/>
          </w:tcPr>
          <w:p w14:paraId="35E74516">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200</w:t>
            </w:r>
          </w:p>
        </w:tc>
        <w:tc>
          <w:tcPr>
            <w:tcW w:w="843" w:type="dxa"/>
            <w:vMerge w:val="continue"/>
            <w:tcBorders>
              <w:tl2br w:val="nil"/>
              <w:tr2bl w:val="nil"/>
            </w:tcBorders>
            <w:vAlign w:val="center"/>
          </w:tcPr>
          <w:p w14:paraId="7D5DC1A2">
            <w:pPr>
              <w:pStyle w:val="43"/>
              <w:spacing w:line="360" w:lineRule="exact"/>
              <w:ind w:firstLine="0" w:firstLineChars="0"/>
              <w:jc w:val="center"/>
              <w:rPr>
                <w:rFonts w:hint="default" w:ascii="Times New Roman" w:hAnsi="Times New Roman" w:cs="Times New Roman"/>
                <w:color w:val="auto"/>
                <w:spacing w:val="-1"/>
                <w:sz w:val="21"/>
                <w:szCs w:val="21"/>
                <w:highlight w:val="none"/>
              </w:rPr>
            </w:pPr>
          </w:p>
        </w:tc>
      </w:tr>
      <w:tr w14:paraId="478B9E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7" w:type="dxa"/>
            <w:vMerge w:val="restart"/>
            <w:tcBorders>
              <w:tl2br w:val="nil"/>
              <w:tr2bl w:val="nil"/>
            </w:tcBorders>
            <w:vAlign w:val="center"/>
          </w:tcPr>
          <w:p w14:paraId="1A858146">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5</w:t>
            </w:r>
          </w:p>
        </w:tc>
        <w:tc>
          <w:tcPr>
            <w:tcW w:w="2987" w:type="dxa"/>
            <w:vMerge w:val="restart"/>
            <w:tcBorders>
              <w:tl2br w:val="nil"/>
              <w:tr2bl w:val="nil"/>
            </w:tcBorders>
            <w:vAlign w:val="center"/>
          </w:tcPr>
          <w:p w14:paraId="304E7A9B">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PM</w:t>
            </w:r>
            <w:r>
              <w:rPr>
                <w:rFonts w:hint="default" w:ascii="Times New Roman" w:hAnsi="Times New Roman" w:cs="Times New Roman"/>
                <w:color w:val="auto"/>
                <w:spacing w:val="-1"/>
                <w:sz w:val="21"/>
                <w:szCs w:val="21"/>
                <w:highlight w:val="none"/>
                <w:vertAlign w:val="subscript"/>
              </w:rPr>
              <w:t>10</w:t>
            </w:r>
            <w:r>
              <w:rPr>
                <w:rFonts w:hint="default" w:ascii="Times New Roman" w:hAnsi="Times New Roman" w:cs="Times New Roman"/>
                <w:color w:val="auto"/>
                <w:spacing w:val="-1"/>
                <w:sz w:val="21"/>
                <w:szCs w:val="21"/>
                <w:highlight w:val="none"/>
              </w:rPr>
              <w:t>（粒径小于等于10μm）</w:t>
            </w:r>
          </w:p>
        </w:tc>
        <w:tc>
          <w:tcPr>
            <w:tcW w:w="2444" w:type="dxa"/>
            <w:tcBorders>
              <w:tl2br w:val="nil"/>
              <w:tr2bl w:val="nil"/>
            </w:tcBorders>
            <w:vAlign w:val="center"/>
          </w:tcPr>
          <w:p w14:paraId="635EE63F">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年平均</w:t>
            </w:r>
          </w:p>
        </w:tc>
        <w:tc>
          <w:tcPr>
            <w:tcW w:w="1515" w:type="dxa"/>
            <w:tcBorders>
              <w:tl2br w:val="nil"/>
              <w:tr2bl w:val="nil"/>
            </w:tcBorders>
            <w:vAlign w:val="center"/>
          </w:tcPr>
          <w:p w14:paraId="2B1DADD5">
            <w:pPr>
              <w:pStyle w:val="43"/>
              <w:spacing w:line="360" w:lineRule="exact"/>
              <w:ind w:firstLine="0" w:firstLineChars="0"/>
              <w:jc w:val="center"/>
              <w:rPr>
                <w:rFonts w:hint="default" w:ascii="Times New Roman" w:hAnsi="Times New Roman" w:eastAsia="宋体" w:cs="Times New Roman"/>
                <w:color w:val="auto"/>
                <w:spacing w:val="-1"/>
                <w:sz w:val="21"/>
                <w:szCs w:val="21"/>
                <w:highlight w:val="none"/>
                <w:lang w:val="en-US" w:eastAsia="zh-CN"/>
              </w:rPr>
            </w:pPr>
            <w:r>
              <w:rPr>
                <w:rFonts w:hint="eastAsia" w:cs="Times New Roman"/>
                <w:color w:val="auto"/>
                <w:spacing w:val="-1"/>
                <w:sz w:val="21"/>
                <w:szCs w:val="21"/>
                <w:highlight w:val="none"/>
                <w:lang w:val="en-US" w:eastAsia="zh-CN"/>
              </w:rPr>
              <w:t>60</w:t>
            </w:r>
          </w:p>
        </w:tc>
        <w:tc>
          <w:tcPr>
            <w:tcW w:w="843" w:type="dxa"/>
            <w:vMerge w:val="restart"/>
            <w:tcBorders>
              <w:tl2br w:val="nil"/>
              <w:tr2bl w:val="nil"/>
            </w:tcBorders>
            <w:vAlign w:val="center"/>
          </w:tcPr>
          <w:p w14:paraId="11EBEE45">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μg/m</w:t>
            </w:r>
            <w:r>
              <w:rPr>
                <w:rFonts w:hint="default" w:ascii="Times New Roman" w:hAnsi="Times New Roman" w:cs="Times New Roman"/>
                <w:color w:val="auto"/>
                <w:spacing w:val="-1"/>
                <w:sz w:val="21"/>
                <w:szCs w:val="21"/>
                <w:highlight w:val="none"/>
                <w:vertAlign w:val="superscript"/>
              </w:rPr>
              <w:t>3</w:t>
            </w:r>
          </w:p>
        </w:tc>
      </w:tr>
      <w:tr w14:paraId="3EAD81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7" w:type="dxa"/>
            <w:vMerge w:val="continue"/>
            <w:tcBorders>
              <w:tl2br w:val="nil"/>
              <w:tr2bl w:val="nil"/>
            </w:tcBorders>
            <w:vAlign w:val="center"/>
          </w:tcPr>
          <w:p w14:paraId="271EAACC">
            <w:pPr>
              <w:pStyle w:val="43"/>
              <w:spacing w:line="360" w:lineRule="exact"/>
              <w:ind w:firstLine="0" w:firstLineChars="0"/>
              <w:jc w:val="center"/>
              <w:rPr>
                <w:rFonts w:hint="default" w:ascii="Times New Roman" w:hAnsi="Times New Roman" w:cs="Times New Roman"/>
                <w:color w:val="auto"/>
                <w:sz w:val="21"/>
                <w:szCs w:val="21"/>
                <w:highlight w:val="none"/>
              </w:rPr>
            </w:pPr>
          </w:p>
        </w:tc>
        <w:tc>
          <w:tcPr>
            <w:tcW w:w="2987" w:type="dxa"/>
            <w:vMerge w:val="continue"/>
            <w:tcBorders>
              <w:tl2br w:val="nil"/>
              <w:tr2bl w:val="nil"/>
            </w:tcBorders>
            <w:vAlign w:val="center"/>
          </w:tcPr>
          <w:p w14:paraId="6769924A">
            <w:pPr>
              <w:pStyle w:val="43"/>
              <w:spacing w:line="360" w:lineRule="exact"/>
              <w:ind w:firstLine="0" w:firstLineChars="0"/>
              <w:jc w:val="center"/>
              <w:rPr>
                <w:rFonts w:hint="default" w:ascii="Times New Roman" w:hAnsi="Times New Roman" w:cs="Times New Roman"/>
                <w:color w:val="auto"/>
                <w:sz w:val="21"/>
                <w:szCs w:val="21"/>
                <w:highlight w:val="none"/>
              </w:rPr>
            </w:pPr>
          </w:p>
        </w:tc>
        <w:tc>
          <w:tcPr>
            <w:tcW w:w="2444" w:type="dxa"/>
            <w:tcBorders>
              <w:tl2br w:val="nil"/>
              <w:tr2bl w:val="nil"/>
            </w:tcBorders>
            <w:vAlign w:val="center"/>
          </w:tcPr>
          <w:p w14:paraId="1419806A">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24小时平均</w:t>
            </w:r>
          </w:p>
        </w:tc>
        <w:tc>
          <w:tcPr>
            <w:tcW w:w="1515" w:type="dxa"/>
            <w:tcBorders>
              <w:tl2br w:val="nil"/>
              <w:tr2bl w:val="nil"/>
            </w:tcBorders>
            <w:vAlign w:val="center"/>
          </w:tcPr>
          <w:p w14:paraId="0A82850C">
            <w:pPr>
              <w:pStyle w:val="43"/>
              <w:spacing w:line="360" w:lineRule="exact"/>
              <w:ind w:firstLine="0" w:firstLineChars="0"/>
              <w:jc w:val="center"/>
              <w:rPr>
                <w:rFonts w:hint="default" w:ascii="Times New Roman" w:hAnsi="Times New Roman" w:eastAsia="宋体" w:cs="Times New Roman"/>
                <w:color w:val="auto"/>
                <w:spacing w:val="-1"/>
                <w:sz w:val="21"/>
                <w:szCs w:val="21"/>
                <w:highlight w:val="none"/>
                <w:lang w:val="en-US" w:eastAsia="zh-CN"/>
              </w:rPr>
            </w:pPr>
            <w:r>
              <w:rPr>
                <w:rFonts w:hint="eastAsia" w:cs="Times New Roman"/>
                <w:color w:val="auto"/>
                <w:spacing w:val="-1"/>
                <w:sz w:val="21"/>
                <w:szCs w:val="21"/>
                <w:highlight w:val="none"/>
                <w:lang w:val="en-US" w:eastAsia="zh-CN"/>
              </w:rPr>
              <w:t>120</w:t>
            </w:r>
          </w:p>
        </w:tc>
        <w:tc>
          <w:tcPr>
            <w:tcW w:w="843" w:type="dxa"/>
            <w:vMerge w:val="continue"/>
            <w:tcBorders>
              <w:tl2br w:val="nil"/>
              <w:tr2bl w:val="nil"/>
            </w:tcBorders>
            <w:vAlign w:val="center"/>
          </w:tcPr>
          <w:p w14:paraId="546DA3F2">
            <w:pPr>
              <w:pStyle w:val="43"/>
              <w:spacing w:line="360" w:lineRule="exact"/>
              <w:ind w:firstLine="0" w:firstLineChars="0"/>
              <w:jc w:val="center"/>
              <w:rPr>
                <w:rFonts w:hint="default" w:ascii="Times New Roman" w:hAnsi="Times New Roman" w:cs="Times New Roman"/>
                <w:color w:val="auto"/>
                <w:spacing w:val="-1"/>
                <w:sz w:val="21"/>
                <w:szCs w:val="21"/>
                <w:highlight w:val="none"/>
              </w:rPr>
            </w:pPr>
          </w:p>
        </w:tc>
      </w:tr>
      <w:tr w14:paraId="00ACDF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7" w:type="dxa"/>
            <w:vMerge w:val="restart"/>
            <w:tcBorders>
              <w:tl2br w:val="nil"/>
              <w:tr2bl w:val="nil"/>
            </w:tcBorders>
            <w:vAlign w:val="center"/>
          </w:tcPr>
          <w:p w14:paraId="4C9D8F1E">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6</w:t>
            </w:r>
          </w:p>
        </w:tc>
        <w:tc>
          <w:tcPr>
            <w:tcW w:w="2987" w:type="dxa"/>
            <w:vMerge w:val="restart"/>
            <w:tcBorders>
              <w:tl2br w:val="nil"/>
              <w:tr2bl w:val="nil"/>
            </w:tcBorders>
            <w:vAlign w:val="center"/>
          </w:tcPr>
          <w:p w14:paraId="753645AD">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PM</w:t>
            </w:r>
            <w:r>
              <w:rPr>
                <w:rFonts w:hint="default" w:ascii="Times New Roman" w:hAnsi="Times New Roman" w:cs="Times New Roman"/>
                <w:color w:val="auto"/>
                <w:spacing w:val="-1"/>
                <w:sz w:val="21"/>
                <w:szCs w:val="21"/>
                <w:highlight w:val="none"/>
                <w:vertAlign w:val="subscript"/>
              </w:rPr>
              <w:t>2.5</w:t>
            </w:r>
            <w:r>
              <w:rPr>
                <w:rFonts w:hint="default" w:ascii="Times New Roman" w:hAnsi="Times New Roman" w:cs="Times New Roman"/>
                <w:color w:val="auto"/>
                <w:spacing w:val="-1"/>
                <w:sz w:val="21"/>
                <w:szCs w:val="21"/>
                <w:highlight w:val="none"/>
              </w:rPr>
              <w:t>（粒径小于等于2.5μm）</w:t>
            </w:r>
          </w:p>
        </w:tc>
        <w:tc>
          <w:tcPr>
            <w:tcW w:w="2444" w:type="dxa"/>
            <w:tcBorders>
              <w:tl2br w:val="nil"/>
              <w:tr2bl w:val="nil"/>
            </w:tcBorders>
            <w:vAlign w:val="center"/>
          </w:tcPr>
          <w:p w14:paraId="2AE267BD">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年平均</w:t>
            </w:r>
          </w:p>
        </w:tc>
        <w:tc>
          <w:tcPr>
            <w:tcW w:w="1515" w:type="dxa"/>
            <w:tcBorders>
              <w:tl2br w:val="nil"/>
              <w:tr2bl w:val="nil"/>
            </w:tcBorders>
            <w:vAlign w:val="center"/>
          </w:tcPr>
          <w:p w14:paraId="74E74D7F">
            <w:pPr>
              <w:pStyle w:val="43"/>
              <w:spacing w:line="360" w:lineRule="exact"/>
              <w:ind w:firstLine="0" w:firstLineChars="0"/>
              <w:jc w:val="center"/>
              <w:rPr>
                <w:rFonts w:hint="default" w:ascii="Times New Roman" w:hAnsi="Times New Roman" w:eastAsia="宋体" w:cs="Times New Roman"/>
                <w:color w:val="auto"/>
                <w:spacing w:val="-1"/>
                <w:sz w:val="21"/>
                <w:szCs w:val="21"/>
                <w:highlight w:val="none"/>
                <w:lang w:val="en-US" w:eastAsia="zh-CN"/>
              </w:rPr>
            </w:pPr>
            <w:r>
              <w:rPr>
                <w:rFonts w:hint="eastAsia" w:cs="Times New Roman"/>
                <w:color w:val="auto"/>
                <w:spacing w:val="-1"/>
                <w:sz w:val="21"/>
                <w:szCs w:val="21"/>
                <w:highlight w:val="none"/>
                <w:lang w:val="en-US" w:eastAsia="zh-CN"/>
              </w:rPr>
              <w:t>30</w:t>
            </w:r>
          </w:p>
        </w:tc>
        <w:tc>
          <w:tcPr>
            <w:tcW w:w="843" w:type="dxa"/>
            <w:vMerge w:val="restart"/>
            <w:tcBorders>
              <w:tl2br w:val="nil"/>
              <w:tr2bl w:val="nil"/>
            </w:tcBorders>
            <w:vAlign w:val="center"/>
          </w:tcPr>
          <w:p w14:paraId="5801134B">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μg/m</w:t>
            </w:r>
            <w:r>
              <w:rPr>
                <w:rFonts w:hint="default" w:ascii="Times New Roman" w:hAnsi="Times New Roman" w:cs="Times New Roman"/>
                <w:color w:val="auto"/>
                <w:spacing w:val="-1"/>
                <w:sz w:val="21"/>
                <w:szCs w:val="21"/>
                <w:highlight w:val="none"/>
                <w:vertAlign w:val="superscript"/>
              </w:rPr>
              <w:t>3</w:t>
            </w:r>
          </w:p>
        </w:tc>
      </w:tr>
      <w:tr w14:paraId="31EB5F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7" w:type="dxa"/>
            <w:vMerge w:val="continue"/>
            <w:tcBorders>
              <w:tl2br w:val="nil"/>
              <w:tr2bl w:val="nil"/>
            </w:tcBorders>
            <w:vAlign w:val="center"/>
          </w:tcPr>
          <w:p w14:paraId="4B60B4FD">
            <w:pPr>
              <w:pStyle w:val="43"/>
              <w:spacing w:line="360" w:lineRule="exact"/>
              <w:ind w:firstLine="0" w:firstLineChars="0"/>
              <w:jc w:val="center"/>
              <w:rPr>
                <w:rFonts w:hint="default" w:ascii="Times New Roman" w:hAnsi="Times New Roman" w:cs="Times New Roman"/>
                <w:color w:val="auto"/>
                <w:sz w:val="21"/>
                <w:szCs w:val="21"/>
                <w:highlight w:val="none"/>
              </w:rPr>
            </w:pPr>
          </w:p>
        </w:tc>
        <w:tc>
          <w:tcPr>
            <w:tcW w:w="2987" w:type="dxa"/>
            <w:vMerge w:val="continue"/>
            <w:tcBorders>
              <w:tl2br w:val="nil"/>
              <w:tr2bl w:val="nil"/>
            </w:tcBorders>
            <w:vAlign w:val="center"/>
          </w:tcPr>
          <w:p w14:paraId="2881D4E5">
            <w:pPr>
              <w:pStyle w:val="43"/>
              <w:spacing w:line="360" w:lineRule="exact"/>
              <w:ind w:firstLine="0" w:firstLineChars="0"/>
              <w:jc w:val="center"/>
              <w:rPr>
                <w:rFonts w:hint="default" w:ascii="Times New Roman" w:hAnsi="Times New Roman" w:cs="Times New Roman"/>
                <w:color w:val="auto"/>
                <w:sz w:val="21"/>
                <w:szCs w:val="21"/>
                <w:highlight w:val="none"/>
              </w:rPr>
            </w:pPr>
          </w:p>
        </w:tc>
        <w:tc>
          <w:tcPr>
            <w:tcW w:w="2444" w:type="dxa"/>
            <w:tcBorders>
              <w:tl2br w:val="nil"/>
              <w:tr2bl w:val="nil"/>
            </w:tcBorders>
            <w:vAlign w:val="center"/>
          </w:tcPr>
          <w:p w14:paraId="4B9FD446">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24小时平均</w:t>
            </w:r>
          </w:p>
        </w:tc>
        <w:tc>
          <w:tcPr>
            <w:tcW w:w="1515" w:type="dxa"/>
            <w:tcBorders>
              <w:tl2br w:val="nil"/>
              <w:tr2bl w:val="nil"/>
            </w:tcBorders>
            <w:vAlign w:val="center"/>
          </w:tcPr>
          <w:p w14:paraId="1C95DBA3">
            <w:pPr>
              <w:pStyle w:val="43"/>
              <w:spacing w:line="360" w:lineRule="exact"/>
              <w:ind w:firstLine="0" w:firstLineChars="0"/>
              <w:jc w:val="center"/>
              <w:rPr>
                <w:rFonts w:hint="default" w:ascii="Times New Roman" w:hAnsi="Times New Roman" w:eastAsia="宋体" w:cs="Times New Roman"/>
                <w:color w:val="auto"/>
                <w:spacing w:val="-1"/>
                <w:sz w:val="21"/>
                <w:szCs w:val="21"/>
                <w:highlight w:val="none"/>
                <w:lang w:val="en-US" w:eastAsia="zh-CN"/>
              </w:rPr>
            </w:pPr>
            <w:r>
              <w:rPr>
                <w:rFonts w:hint="eastAsia" w:cs="Times New Roman"/>
                <w:color w:val="auto"/>
                <w:spacing w:val="-1"/>
                <w:sz w:val="21"/>
                <w:szCs w:val="21"/>
                <w:highlight w:val="none"/>
                <w:lang w:val="en-US" w:eastAsia="zh-CN"/>
              </w:rPr>
              <w:t>60</w:t>
            </w:r>
          </w:p>
        </w:tc>
        <w:tc>
          <w:tcPr>
            <w:tcW w:w="843" w:type="dxa"/>
            <w:vMerge w:val="continue"/>
            <w:tcBorders>
              <w:tl2br w:val="nil"/>
              <w:tr2bl w:val="nil"/>
            </w:tcBorders>
            <w:vAlign w:val="center"/>
          </w:tcPr>
          <w:p w14:paraId="5AB409B9">
            <w:pPr>
              <w:pStyle w:val="43"/>
              <w:spacing w:line="360" w:lineRule="exact"/>
              <w:ind w:firstLine="0" w:firstLineChars="0"/>
              <w:jc w:val="center"/>
              <w:rPr>
                <w:rFonts w:hint="default" w:ascii="Times New Roman" w:hAnsi="Times New Roman" w:cs="Times New Roman"/>
                <w:color w:val="auto"/>
                <w:spacing w:val="-1"/>
                <w:sz w:val="21"/>
                <w:szCs w:val="21"/>
                <w:highlight w:val="none"/>
              </w:rPr>
            </w:pPr>
          </w:p>
        </w:tc>
      </w:tr>
      <w:tr w14:paraId="2B6C18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7" w:type="dxa"/>
            <w:vMerge w:val="restart"/>
            <w:tcBorders>
              <w:tl2br w:val="nil"/>
              <w:tr2bl w:val="nil"/>
            </w:tcBorders>
            <w:vAlign w:val="center"/>
          </w:tcPr>
          <w:p w14:paraId="78B943F2">
            <w:pPr>
              <w:pStyle w:val="43"/>
              <w:spacing w:line="360" w:lineRule="exact"/>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2987" w:type="dxa"/>
            <w:vMerge w:val="restart"/>
            <w:tcBorders>
              <w:tl2br w:val="nil"/>
              <w:tr2bl w:val="nil"/>
            </w:tcBorders>
            <w:vAlign w:val="center"/>
          </w:tcPr>
          <w:p w14:paraId="026148C6">
            <w:pPr>
              <w:pStyle w:val="43"/>
              <w:spacing w:line="360" w:lineRule="exact"/>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氮氧化物（NOx）</w:t>
            </w:r>
          </w:p>
        </w:tc>
        <w:tc>
          <w:tcPr>
            <w:tcW w:w="2444" w:type="dxa"/>
            <w:tcBorders>
              <w:tl2br w:val="nil"/>
              <w:tr2bl w:val="nil"/>
            </w:tcBorders>
            <w:shd w:val="clear" w:color="auto" w:fill="auto"/>
            <w:vAlign w:val="center"/>
          </w:tcPr>
          <w:p w14:paraId="406E452E">
            <w:pPr>
              <w:pStyle w:val="43"/>
              <w:spacing w:line="360" w:lineRule="exact"/>
              <w:ind w:firstLine="0" w:firstLineChars="0"/>
              <w:jc w:val="center"/>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cs="Times New Roman"/>
                <w:color w:val="auto"/>
                <w:spacing w:val="-1"/>
                <w:sz w:val="21"/>
                <w:szCs w:val="21"/>
                <w:highlight w:val="none"/>
              </w:rPr>
              <w:t>年平均</w:t>
            </w:r>
          </w:p>
        </w:tc>
        <w:tc>
          <w:tcPr>
            <w:tcW w:w="1515" w:type="dxa"/>
            <w:tcBorders>
              <w:tl2br w:val="nil"/>
              <w:tr2bl w:val="nil"/>
            </w:tcBorders>
            <w:vAlign w:val="center"/>
          </w:tcPr>
          <w:p w14:paraId="79811502">
            <w:pPr>
              <w:pStyle w:val="43"/>
              <w:spacing w:line="360" w:lineRule="exact"/>
              <w:ind w:firstLine="0" w:firstLineChars="0"/>
              <w:jc w:val="center"/>
              <w:rPr>
                <w:rFonts w:hint="default" w:cs="Times New Roman"/>
                <w:color w:val="auto"/>
                <w:spacing w:val="-1"/>
                <w:sz w:val="21"/>
                <w:szCs w:val="21"/>
                <w:highlight w:val="none"/>
                <w:lang w:val="en-US" w:eastAsia="zh-CN"/>
              </w:rPr>
            </w:pPr>
            <w:r>
              <w:rPr>
                <w:rFonts w:hint="eastAsia" w:cs="Times New Roman"/>
                <w:color w:val="auto"/>
                <w:spacing w:val="-1"/>
                <w:sz w:val="21"/>
                <w:szCs w:val="21"/>
                <w:highlight w:val="none"/>
                <w:lang w:val="en-US" w:eastAsia="zh-CN"/>
              </w:rPr>
              <w:t>40</w:t>
            </w:r>
          </w:p>
        </w:tc>
        <w:tc>
          <w:tcPr>
            <w:tcW w:w="843" w:type="dxa"/>
            <w:vMerge w:val="restart"/>
            <w:tcBorders>
              <w:tl2br w:val="nil"/>
              <w:tr2bl w:val="nil"/>
            </w:tcBorders>
            <w:vAlign w:val="center"/>
          </w:tcPr>
          <w:p w14:paraId="77646CE6">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μg/m</w:t>
            </w:r>
            <w:r>
              <w:rPr>
                <w:rFonts w:hint="default" w:ascii="Times New Roman" w:hAnsi="Times New Roman" w:cs="Times New Roman"/>
                <w:color w:val="auto"/>
                <w:spacing w:val="-1"/>
                <w:sz w:val="21"/>
                <w:szCs w:val="21"/>
                <w:highlight w:val="none"/>
                <w:vertAlign w:val="superscript"/>
              </w:rPr>
              <w:t>3</w:t>
            </w:r>
          </w:p>
        </w:tc>
      </w:tr>
      <w:tr w14:paraId="50BAD5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7" w:type="dxa"/>
            <w:vMerge w:val="continue"/>
            <w:tcBorders>
              <w:tl2br w:val="nil"/>
              <w:tr2bl w:val="nil"/>
            </w:tcBorders>
            <w:vAlign w:val="center"/>
          </w:tcPr>
          <w:p w14:paraId="4B54B2D2">
            <w:pPr>
              <w:pStyle w:val="43"/>
              <w:spacing w:line="360" w:lineRule="exact"/>
              <w:ind w:firstLine="0" w:firstLineChars="0"/>
              <w:jc w:val="center"/>
              <w:rPr>
                <w:rFonts w:hint="eastAsia" w:cs="Times New Roman"/>
                <w:color w:val="auto"/>
                <w:sz w:val="21"/>
                <w:szCs w:val="21"/>
                <w:highlight w:val="none"/>
                <w:lang w:val="en-US" w:eastAsia="zh-CN"/>
              </w:rPr>
            </w:pPr>
          </w:p>
        </w:tc>
        <w:tc>
          <w:tcPr>
            <w:tcW w:w="2987" w:type="dxa"/>
            <w:vMerge w:val="continue"/>
            <w:tcBorders>
              <w:tl2br w:val="nil"/>
              <w:tr2bl w:val="nil"/>
            </w:tcBorders>
            <w:vAlign w:val="center"/>
          </w:tcPr>
          <w:p w14:paraId="5EC9871A">
            <w:pPr>
              <w:pStyle w:val="43"/>
              <w:spacing w:line="360" w:lineRule="exact"/>
              <w:ind w:firstLine="0" w:firstLineChars="0"/>
              <w:jc w:val="center"/>
              <w:rPr>
                <w:rFonts w:hint="eastAsia" w:cs="Times New Roman"/>
                <w:color w:val="auto"/>
                <w:sz w:val="21"/>
                <w:szCs w:val="21"/>
                <w:highlight w:val="none"/>
                <w:lang w:val="en-US" w:eastAsia="zh-CN"/>
              </w:rPr>
            </w:pPr>
          </w:p>
        </w:tc>
        <w:tc>
          <w:tcPr>
            <w:tcW w:w="2444" w:type="dxa"/>
            <w:tcBorders>
              <w:tl2br w:val="nil"/>
              <w:tr2bl w:val="nil"/>
            </w:tcBorders>
            <w:shd w:val="clear" w:color="auto" w:fill="auto"/>
            <w:vAlign w:val="center"/>
          </w:tcPr>
          <w:p w14:paraId="0FA0B4C0">
            <w:pPr>
              <w:pStyle w:val="43"/>
              <w:spacing w:line="360" w:lineRule="exact"/>
              <w:ind w:firstLine="0" w:firstLineChars="0"/>
              <w:jc w:val="center"/>
              <w:rPr>
                <w:rFonts w:hint="eastAsia" w:ascii="Times New Roman" w:hAnsi="Times New Roman" w:eastAsia="宋体" w:cs="Times New Roman"/>
                <w:color w:val="auto"/>
                <w:spacing w:val="-1"/>
                <w:sz w:val="21"/>
                <w:szCs w:val="21"/>
                <w:highlight w:val="none"/>
                <w:lang w:eastAsia="zh-CN"/>
              </w:rPr>
            </w:pPr>
            <w:r>
              <w:rPr>
                <w:rFonts w:hint="default" w:ascii="Times New Roman" w:hAnsi="Times New Roman" w:cs="Times New Roman"/>
                <w:color w:val="auto"/>
                <w:spacing w:val="-1"/>
                <w:sz w:val="21"/>
                <w:szCs w:val="21"/>
                <w:highlight w:val="none"/>
              </w:rPr>
              <w:t>年平均</w:t>
            </w:r>
            <w:r>
              <w:rPr>
                <w:rFonts w:hint="eastAsia" w:cs="Times New Roman"/>
                <w:color w:val="auto"/>
                <w:spacing w:val="-1"/>
                <w:sz w:val="21"/>
                <w:szCs w:val="21"/>
                <w:highlight w:val="none"/>
                <w:lang w:eastAsia="zh-CN"/>
              </w:rPr>
              <w:t>（</w:t>
            </w:r>
            <w:r>
              <w:rPr>
                <w:rFonts w:hint="eastAsia" w:cs="Times New Roman"/>
                <w:color w:val="auto"/>
                <w:spacing w:val="-1"/>
                <w:sz w:val="21"/>
                <w:szCs w:val="21"/>
                <w:highlight w:val="none"/>
                <w:lang w:val="en-US" w:eastAsia="zh-CN"/>
              </w:rPr>
              <w:t>过渡阶段</w:t>
            </w:r>
            <w:r>
              <w:rPr>
                <w:rFonts w:hint="eastAsia" w:cs="Times New Roman"/>
                <w:color w:val="auto"/>
                <w:spacing w:val="-1"/>
                <w:sz w:val="21"/>
                <w:szCs w:val="21"/>
                <w:highlight w:val="none"/>
                <w:lang w:eastAsia="zh-CN"/>
              </w:rPr>
              <w:t>）</w:t>
            </w:r>
          </w:p>
        </w:tc>
        <w:tc>
          <w:tcPr>
            <w:tcW w:w="1515" w:type="dxa"/>
            <w:tcBorders>
              <w:tl2br w:val="nil"/>
              <w:tr2bl w:val="nil"/>
            </w:tcBorders>
            <w:vAlign w:val="center"/>
          </w:tcPr>
          <w:p w14:paraId="544453E4">
            <w:pPr>
              <w:pStyle w:val="43"/>
              <w:spacing w:line="360" w:lineRule="exact"/>
              <w:ind w:firstLine="0" w:firstLineChars="0"/>
              <w:jc w:val="center"/>
              <w:rPr>
                <w:rFonts w:hint="eastAsia" w:cs="Times New Roman"/>
                <w:color w:val="auto"/>
                <w:spacing w:val="-1"/>
                <w:sz w:val="21"/>
                <w:szCs w:val="21"/>
                <w:highlight w:val="none"/>
                <w:lang w:val="en-US" w:eastAsia="zh-CN"/>
              </w:rPr>
            </w:pPr>
            <w:r>
              <w:rPr>
                <w:rFonts w:hint="eastAsia" w:cs="Times New Roman"/>
                <w:color w:val="auto"/>
                <w:spacing w:val="-1"/>
                <w:sz w:val="21"/>
                <w:szCs w:val="21"/>
                <w:highlight w:val="none"/>
                <w:lang w:val="en-US" w:eastAsia="zh-CN"/>
              </w:rPr>
              <w:t>50</w:t>
            </w:r>
          </w:p>
        </w:tc>
        <w:tc>
          <w:tcPr>
            <w:tcW w:w="843" w:type="dxa"/>
            <w:vMerge w:val="continue"/>
            <w:tcBorders>
              <w:tl2br w:val="nil"/>
              <w:tr2bl w:val="nil"/>
            </w:tcBorders>
            <w:vAlign w:val="center"/>
          </w:tcPr>
          <w:p w14:paraId="2B6A1028">
            <w:pPr>
              <w:pStyle w:val="43"/>
              <w:spacing w:line="360" w:lineRule="exact"/>
              <w:ind w:firstLine="0" w:firstLineChars="0"/>
              <w:jc w:val="center"/>
              <w:rPr>
                <w:rFonts w:hint="default" w:ascii="Times New Roman" w:hAnsi="Times New Roman" w:cs="Times New Roman"/>
                <w:color w:val="auto"/>
                <w:spacing w:val="-1"/>
                <w:sz w:val="21"/>
                <w:szCs w:val="21"/>
                <w:highlight w:val="none"/>
              </w:rPr>
            </w:pPr>
          </w:p>
        </w:tc>
      </w:tr>
      <w:tr w14:paraId="1852AB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7" w:type="dxa"/>
            <w:vMerge w:val="continue"/>
            <w:tcBorders>
              <w:tl2br w:val="nil"/>
              <w:tr2bl w:val="nil"/>
            </w:tcBorders>
            <w:vAlign w:val="center"/>
          </w:tcPr>
          <w:p w14:paraId="2B3E91C4">
            <w:pPr>
              <w:pStyle w:val="43"/>
              <w:spacing w:line="360" w:lineRule="exact"/>
              <w:ind w:firstLine="0" w:firstLineChars="0"/>
              <w:jc w:val="center"/>
              <w:rPr>
                <w:rFonts w:hint="eastAsia" w:cs="Times New Roman"/>
                <w:color w:val="auto"/>
                <w:sz w:val="21"/>
                <w:szCs w:val="21"/>
                <w:highlight w:val="none"/>
                <w:lang w:val="en-US" w:eastAsia="zh-CN"/>
              </w:rPr>
            </w:pPr>
          </w:p>
        </w:tc>
        <w:tc>
          <w:tcPr>
            <w:tcW w:w="2987" w:type="dxa"/>
            <w:vMerge w:val="continue"/>
            <w:tcBorders>
              <w:tl2br w:val="nil"/>
              <w:tr2bl w:val="nil"/>
            </w:tcBorders>
            <w:vAlign w:val="center"/>
          </w:tcPr>
          <w:p w14:paraId="7CFEB506">
            <w:pPr>
              <w:pStyle w:val="43"/>
              <w:spacing w:line="360" w:lineRule="exact"/>
              <w:ind w:firstLine="0" w:firstLineChars="0"/>
              <w:jc w:val="center"/>
              <w:rPr>
                <w:rFonts w:hint="default" w:ascii="Times New Roman" w:hAnsi="Times New Roman" w:cs="Times New Roman"/>
                <w:color w:val="auto"/>
                <w:sz w:val="21"/>
                <w:szCs w:val="21"/>
                <w:highlight w:val="none"/>
              </w:rPr>
            </w:pPr>
          </w:p>
        </w:tc>
        <w:tc>
          <w:tcPr>
            <w:tcW w:w="2444" w:type="dxa"/>
            <w:tcBorders>
              <w:tl2br w:val="nil"/>
              <w:tr2bl w:val="nil"/>
            </w:tcBorders>
            <w:shd w:val="clear" w:color="auto" w:fill="auto"/>
            <w:vAlign w:val="center"/>
          </w:tcPr>
          <w:p w14:paraId="6D883914">
            <w:pPr>
              <w:pStyle w:val="43"/>
              <w:spacing w:line="360" w:lineRule="exact"/>
              <w:ind w:firstLine="0" w:firstLineChars="0"/>
              <w:jc w:val="center"/>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cs="Times New Roman"/>
                <w:color w:val="auto"/>
                <w:spacing w:val="-1"/>
                <w:sz w:val="21"/>
                <w:szCs w:val="21"/>
                <w:highlight w:val="none"/>
              </w:rPr>
              <w:t>24小时平均</w:t>
            </w:r>
          </w:p>
        </w:tc>
        <w:tc>
          <w:tcPr>
            <w:tcW w:w="1515" w:type="dxa"/>
            <w:tcBorders>
              <w:tl2br w:val="nil"/>
              <w:tr2bl w:val="nil"/>
            </w:tcBorders>
            <w:vAlign w:val="center"/>
          </w:tcPr>
          <w:p w14:paraId="2B7FD0F1">
            <w:pPr>
              <w:pStyle w:val="43"/>
              <w:spacing w:line="360" w:lineRule="exact"/>
              <w:ind w:firstLine="0" w:firstLineChars="0"/>
              <w:jc w:val="center"/>
              <w:rPr>
                <w:rFonts w:hint="default" w:cs="Times New Roman"/>
                <w:color w:val="auto"/>
                <w:spacing w:val="-1"/>
                <w:sz w:val="21"/>
                <w:szCs w:val="21"/>
                <w:highlight w:val="none"/>
                <w:lang w:val="en-US" w:eastAsia="zh-CN"/>
              </w:rPr>
            </w:pPr>
            <w:r>
              <w:rPr>
                <w:rFonts w:hint="eastAsia" w:cs="Times New Roman"/>
                <w:color w:val="auto"/>
                <w:spacing w:val="-1"/>
                <w:sz w:val="21"/>
                <w:szCs w:val="21"/>
                <w:highlight w:val="none"/>
                <w:lang w:val="en-US" w:eastAsia="zh-CN"/>
              </w:rPr>
              <w:t>70</w:t>
            </w:r>
          </w:p>
        </w:tc>
        <w:tc>
          <w:tcPr>
            <w:tcW w:w="843" w:type="dxa"/>
            <w:vMerge w:val="continue"/>
            <w:tcBorders>
              <w:tl2br w:val="nil"/>
              <w:tr2bl w:val="nil"/>
            </w:tcBorders>
            <w:vAlign w:val="center"/>
          </w:tcPr>
          <w:p w14:paraId="626D24EE">
            <w:pPr>
              <w:pStyle w:val="43"/>
              <w:spacing w:line="360" w:lineRule="exact"/>
              <w:ind w:firstLine="0" w:firstLineChars="0"/>
              <w:jc w:val="center"/>
              <w:rPr>
                <w:rFonts w:hint="default" w:ascii="Times New Roman" w:hAnsi="Times New Roman" w:cs="Times New Roman"/>
                <w:color w:val="auto"/>
                <w:spacing w:val="-1"/>
                <w:sz w:val="21"/>
                <w:szCs w:val="21"/>
                <w:highlight w:val="none"/>
              </w:rPr>
            </w:pPr>
          </w:p>
        </w:tc>
      </w:tr>
      <w:tr w14:paraId="5BEA59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7" w:type="dxa"/>
            <w:vMerge w:val="continue"/>
            <w:tcBorders>
              <w:tl2br w:val="nil"/>
              <w:tr2bl w:val="nil"/>
            </w:tcBorders>
            <w:vAlign w:val="center"/>
          </w:tcPr>
          <w:p w14:paraId="2377B5E6">
            <w:pPr>
              <w:pStyle w:val="43"/>
              <w:spacing w:line="360" w:lineRule="exact"/>
              <w:ind w:firstLine="0" w:firstLineChars="0"/>
              <w:jc w:val="center"/>
              <w:rPr>
                <w:rFonts w:hint="eastAsia" w:cs="Times New Roman"/>
                <w:color w:val="auto"/>
                <w:sz w:val="21"/>
                <w:szCs w:val="21"/>
                <w:highlight w:val="none"/>
                <w:lang w:val="en-US" w:eastAsia="zh-CN"/>
              </w:rPr>
            </w:pPr>
          </w:p>
        </w:tc>
        <w:tc>
          <w:tcPr>
            <w:tcW w:w="2987" w:type="dxa"/>
            <w:vMerge w:val="continue"/>
            <w:tcBorders>
              <w:tl2br w:val="nil"/>
              <w:tr2bl w:val="nil"/>
            </w:tcBorders>
            <w:vAlign w:val="center"/>
          </w:tcPr>
          <w:p w14:paraId="4840D854">
            <w:pPr>
              <w:pStyle w:val="43"/>
              <w:spacing w:line="360" w:lineRule="exact"/>
              <w:ind w:firstLine="0" w:firstLineChars="0"/>
              <w:jc w:val="center"/>
              <w:rPr>
                <w:rFonts w:hint="default" w:ascii="Times New Roman" w:hAnsi="Times New Roman" w:cs="Times New Roman"/>
                <w:color w:val="auto"/>
                <w:sz w:val="21"/>
                <w:szCs w:val="21"/>
                <w:highlight w:val="none"/>
              </w:rPr>
            </w:pPr>
          </w:p>
        </w:tc>
        <w:tc>
          <w:tcPr>
            <w:tcW w:w="2444" w:type="dxa"/>
            <w:tcBorders>
              <w:tl2br w:val="nil"/>
              <w:tr2bl w:val="nil"/>
            </w:tcBorders>
            <w:shd w:val="clear" w:color="auto" w:fill="auto"/>
            <w:vAlign w:val="center"/>
          </w:tcPr>
          <w:p w14:paraId="53D7B9A9">
            <w:pPr>
              <w:pStyle w:val="43"/>
              <w:spacing w:line="360" w:lineRule="exact"/>
              <w:ind w:firstLine="0" w:firstLineChars="0"/>
              <w:jc w:val="center"/>
              <w:rPr>
                <w:rFonts w:hint="eastAsia" w:ascii="Times New Roman" w:hAnsi="Times New Roman" w:eastAsia="宋体" w:cs="Times New Roman"/>
                <w:color w:val="auto"/>
                <w:spacing w:val="-1"/>
                <w:sz w:val="21"/>
                <w:szCs w:val="21"/>
                <w:highlight w:val="none"/>
                <w:lang w:eastAsia="zh-CN"/>
              </w:rPr>
            </w:pPr>
            <w:r>
              <w:rPr>
                <w:rFonts w:hint="default" w:ascii="Times New Roman" w:hAnsi="Times New Roman" w:cs="Times New Roman"/>
                <w:color w:val="auto"/>
                <w:spacing w:val="-1"/>
                <w:sz w:val="21"/>
                <w:szCs w:val="21"/>
                <w:highlight w:val="none"/>
              </w:rPr>
              <w:t>24小时平均</w:t>
            </w:r>
            <w:r>
              <w:rPr>
                <w:rFonts w:hint="eastAsia" w:cs="Times New Roman"/>
                <w:color w:val="auto"/>
                <w:spacing w:val="-1"/>
                <w:sz w:val="21"/>
                <w:szCs w:val="21"/>
                <w:highlight w:val="none"/>
                <w:lang w:eastAsia="zh-CN"/>
              </w:rPr>
              <w:t>（</w:t>
            </w:r>
            <w:r>
              <w:rPr>
                <w:rFonts w:hint="eastAsia" w:cs="Times New Roman"/>
                <w:color w:val="auto"/>
                <w:spacing w:val="-1"/>
                <w:sz w:val="21"/>
                <w:szCs w:val="21"/>
                <w:highlight w:val="none"/>
                <w:lang w:val="en-US" w:eastAsia="zh-CN"/>
              </w:rPr>
              <w:t>过渡阶段</w:t>
            </w:r>
            <w:r>
              <w:rPr>
                <w:rFonts w:hint="eastAsia" w:cs="Times New Roman"/>
                <w:color w:val="auto"/>
                <w:spacing w:val="-1"/>
                <w:sz w:val="21"/>
                <w:szCs w:val="21"/>
                <w:highlight w:val="none"/>
                <w:lang w:eastAsia="zh-CN"/>
              </w:rPr>
              <w:t>）</w:t>
            </w:r>
          </w:p>
        </w:tc>
        <w:tc>
          <w:tcPr>
            <w:tcW w:w="1515" w:type="dxa"/>
            <w:tcBorders>
              <w:tl2br w:val="nil"/>
              <w:tr2bl w:val="nil"/>
            </w:tcBorders>
            <w:vAlign w:val="center"/>
          </w:tcPr>
          <w:p w14:paraId="486D7A19">
            <w:pPr>
              <w:pStyle w:val="43"/>
              <w:spacing w:line="360" w:lineRule="exact"/>
              <w:ind w:firstLine="0" w:firstLineChars="0"/>
              <w:jc w:val="center"/>
              <w:rPr>
                <w:rFonts w:hint="default" w:cs="Times New Roman"/>
                <w:color w:val="auto"/>
                <w:spacing w:val="-1"/>
                <w:sz w:val="21"/>
                <w:szCs w:val="21"/>
                <w:highlight w:val="none"/>
                <w:lang w:val="en-US" w:eastAsia="zh-CN"/>
              </w:rPr>
            </w:pPr>
            <w:r>
              <w:rPr>
                <w:rFonts w:hint="eastAsia" w:cs="Times New Roman"/>
                <w:color w:val="auto"/>
                <w:spacing w:val="-1"/>
                <w:sz w:val="21"/>
                <w:szCs w:val="21"/>
                <w:highlight w:val="none"/>
                <w:lang w:val="en-US" w:eastAsia="zh-CN"/>
              </w:rPr>
              <w:t>100</w:t>
            </w:r>
          </w:p>
        </w:tc>
        <w:tc>
          <w:tcPr>
            <w:tcW w:w="843" w:type="dxa"/>
            <w:vMerge w:val="continue"/>
            <w:tcBorders>
              <w:tl2br w:val="nil"/>
              <w:tr2bl w:val="nil"/>
            </w:tcBorders>
            <w:vAlign w:val="center"/>
          </w:tcPr>
          <w:p w14:paraId="0977DFD3">
            <w:pPr>
              <w:pStyle w:val="43"/>
              <w:spacing w:line="360" w:lineRule="exact"/>
              <w:ind w:firstLine="0" w:firstLineChars="0"/>
              <w:jc w:val="center"/>
              <w:rPr>
                <w:rFonts w:hint="default" w:ascii="Times New Roman" w:hAnsi="Times New Roman" w:cs="Times New Roman"/>
                <w:color w:val="auto"/>
                <w:spacing w:val="-1"/>
                <w:sz w:val="21"/>
                <w:szCs w:val="21"/>
                <w:highlight w:val="none"/>
              </w:rPr>
            </w:pPr>
          </w:p>
        </w:tc>
      </w:tr>
      <w:tr w14:paraId="6E8D3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7" w:type="dxa"/>
            <w:vMerge w:val="continue"/>
            <w:tcBorders>
              <w:tl2br w:val="nil"/>
              <w:tr2bl w:val="nil"/>
            </w:tcBorders>
            <w:vAlign w:val="center"/>
          </w:tcPr>
          <w:p w14:paraId="6C975198">
            <w:pPr>
              <w:pStyle w:val="43"/>
              <w:spacing w:line="360" w:lineRule="exact"/>
              <w:ind w:firstLine="0" w:firstLineChars="0"/>
              <w:jc w:val="center"/>
              <w:rPr>
                <w:rFonts w:hint="eastAsia" w:cs="Times New Roman"/>
                <w:color w:val="auto"/>
                <w:sz w:val="21"/>
                <w:szCs w:val="21"/>
                <w:highlight w:val="none"/>
                <w:lang w:val="en-US" w:eastAsia="zh-CN"/>
              </w:rPr>
            </w:pPr>
          </w:p>
        </w:tc>
        <w:tc>
          <w:tcPr>
            <w:tcW w:w="2987" w:type="dxa"/>
            <w:vMerge w:val="continue"/>
            <w:tcBorders>
              <w:tl2br w:val="nil"/>
              <w:tr2bl w:val="nil"/>
            </w:tcBorders>
            <w:vAlign w:val="center"/>
          </w:tcPr>
          <w:p w14:paraId="17202B26">
            <w:pPr>
              <w:pStyle w:val="43"/>
              <w:spacing w:line="360" w:lineRule="exact"/>
              <w:ind w:firstLine="0" w:firstLineChars="0"/>
              <w:jc w:val="center"/>
              <w:rPr>
                <w:rFonts w:hint="default" w:ascii="Times New Roman" w:hAnsi="Times New Roman" w:cs="Times New Roman"/>
                <w:color w:val="auto"/>
                <w:sz w:val="21"/>
                <w:szCs w:val="21"/>
                <w:highlight w:val="none"/>
              </w:rPr>
            </w:pPr>
          </w:p>
        </w:tc>
        <w:tc>
          <w:tcPr>
            <w:tcW w:w="2444" w:type="dxa"/>
            <w:tcBorders>
              <w:tl2br w:val="nil"/>
              <w:tr2bl w:val="nil"/>
            </w:tcBorders>
            <w:shd w:val="clear" w:color="auto" w:fill="auto"/>
            <w:vAlign w:val="center"/>
          </w:tcPr>
          <w:p w14:paraId="05E3823E">
            <w:pPr>
              <w:pStyle w:val="43"/>
              <w:spacing w:line="360" w:lineRule="exact"/>
              <w:ind w:firstLine="0" w:firstLineChars="0"/>
              <w:jc w:val="center"/>
              <w:rPr>
                <w:rFonts w:hint="default" w:ascii="Times New Roman" w:hAnsi="Times New Roman" w:eastAsia="宋体" w:cs="Times New Roman"/>
                <w:color w:val="auto"/>
                <w:spacing w:val="-1"/>
                <w:kern w:val="2"/>
                <w:sz w:val="21"/>
                <w:szCs w:val="21"/>
                <w:highlight w:val="none"/>
                <w:lang w:val="en-US" w:eastAsia="zh-CN" w:bidi="ar-SA"/>
              </w:rPr>
            </w:pPr>
            <w:r>
              <w:rPr>
                <w:rFonts w:hint="default" w:ascii="Times New Roman" w:hAnsi="Times New Roman" w:cs="Times New Roman"/>
                <w:color w:val="auto"/>
                <w:spacing w:val="-1"/>
                <w:sz w:val="21"/>
                <w:szCs w:val="21"/>
                <w:highlight w:val="none"/>
              </w:rPr>
              <w:t>1小时平均</w:t>
            </w:r>
          </w:p>
        </w:tc>
        <w:tc>
          <w:tcPr>
            <w:tcW w:w="1515" w:type="dxa"/>
            <w:tcBorders>
              <w:tl2br w:val="nil"/>
              <w:tr2bl w:val="nil"/>
            </w:tcBorders>
            <w:vAlign w:val="center"/>
          </w:tcPr>
          <w:p w14:paraId="3566DBED">
            <w:pPr>
              <w:pStyle w:val="43"/>
              <w:spacing w:line="360" w:lineRule="exact"/>
              <w:ind w:firstLine="0" w:firstLineChars="0"/>
              <w:jc w:val="center"/>
              <w:rPr>
                <w:rFonts w:hint="default" w:cs="Times New Roman"/>
                <w:color w:val="auto"/>
                <w:spacing w:val="-1"/>
                <w:sz w:val="21"/>
                <w:szCs w:val="21"/>
                <w:highlight w:val="none"/>
                <w:lang w:val="en-US" w:eastAsia="zh-CN"/>
              </w:rPr>
            </w:pPr>
            <w:r>
              <w:rPr>
                <w:rFonts w:hint="eastAsia" w:cs="Times New Roman"/>
                <w:color w:val="auto"/>
                <w:spacing w:val="-1"/>
                <w:sz w:val="21"/>
                <w:szCs w:val="21"/>
                <w:highlight w:val="none"/>
                <w:lang w:val="en-US" w:eastAsia="zh-CN"/>
              </w:rPr>
              <w:t>250</w:t>
            </w:r>
          </w:p>
        </w:tc>
        <w:tc>
          <w:tcPr>
            <w:tcW w:w="843" w:type="dxa"/>
            <w:vMerge w:val="continue"/>
            <w:tcBorders>
              <w:tl2br w:val="nil"/>
              <w:tr2bl w:val="nil"/>
            </w:tcBorders>
            <w:vAlign w:val="center"/>
          </w:tcPr>
          <w:p w14:paraId="7CAE7263">
            <w:pPr>
              <w:pStyle w:val="43"/>
              <w:spacing w:line="360" w:lineRule="exact"/>
              <w:ind w:firstLine="0" w:firstLineChars="0"/>
              <w:jc w:val="center"/>
              <w:rPr>
                <w:rFonts w:hint="default" w:ascii="Times New Roman" w:hAnsi="Times New Roman" w:cs="Times New Roman"/>
                <w:color w:val="auto"/>
                <w:spacing w:val="-1"/>
                <w:sz w:val="21"/>
                <w:szCs w:val="21"/>
                <w:highlight w:val="none"/>
              </w:rPr>
            </w:pPr>
          </w:p>
        </w:tc>
      </w:tr>
      <w:tr w14:paraId="260446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7" w:type="dxa"/>
            <w:vMerge w:val="restart"/>
            <w:tcBorders>
              <w:tl2br w:val="nil"/>
              <w:tr2bl w:val="nil"/>
            </w:tcBorders>
            <w:vAlign w:val="center"/>
          </w:tcPr>
          <w:p w14:paraId="68451AB2">
            <w:pPr>
              <w:pStyle w:val="43"/>
              <w:spacing w:line="360" w:lineRule="exact"/>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8</w:t>
            </w:r>
          </w:p>
        </w:tc>
        <w:tc>
          <w:tcPr>
            <w:tcW w:w="2987" w:type="dxa"/>
            <w:vMerge w:val="restart"/>
            <w:tcBorders>
              <w:tl2br w:val="nil"/>
              <w:tr2bl w:val="nil"/>
            </w:tcBorders>
            <w:vAlign w:val="center"/>
          </w:tcPr>
          <w:p w14:paraId="4BB453B1">
            <w:pPr>
              <w:pStyle w:val="43"/>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总悬浮颗粒物（TSP）</w:t>
            </w:r>
          </w:p>
        </w:tc>
        <w:tc>
          <w:tcPr>
            <w:tcW w:w="2444" w:type="dxa"/>
            <w:tcBorders>
              <w:tl2br w:val="nil"/>
              <w:tr2bl w:val="nil"/>
            </w:tcBorders>
            <w:vAlign w:val="center"/>
          </w:tcPr>
          <w:p w14:paraId="703C737E">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年平均</w:t>
            </w:r>
          </w:p>
        </w:tc>
        <w:tc>
          <w:tcPr>
            <w:tcW w:w="1515" w:type="dxa"/>
            <w:tcBorders>
              <w:tl2br w:val="nil"/>
              <w:tr2bl w:val="nil"/>
            </w:tcBorders>
            <w:vAlign w:val="center"/>
          </w:tcPr>
          <w:p w14:paraId="67291FF7">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200</w:t>
            </w:r>
          </w:p>
        </w:tc>
        <w:tc>
          <w:tcPr>
            <w:tcW w:w="843" w:type="dxa"/>
            <w:vMerge w:val="restart"/>
            <w:tcBorders>
              <w:tl2br w:val="nil"/>
              <w:tr2bl w:val="nil"/>
            </w:tcBorders>
            <w:vAlign w:val="center"/>
          </w:tcPr>
          <w:p w14:paraId="5319F32C">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μg/m</w:t>
            </w:r>
            <w:r>
              <w:rPr>
                <w:rFonts w:hint="default" w:ascii="Times New Roman" w:hAnsi="Times New Roman" w:cs="Times New Roman"/>
                <w:color w:val="auto"/>
                <w:spacing w:val="-1"/>
                <w:sz w:val="21"/>
                <w:szCs w:val="21"/>
                <w:highlight w:val="none"/>
                <w:vertAlign w:val="superscript"/>
              </w:rPr>
              <w:t>3</w:t>
            </w:r>
          </w:p>
        </w:tc>
      </w:tr>
      <w:tr w14:paraId="24A247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7" w:type="dxa"/>
            <w:vMerge w:val="continue"/>
            <w:tcBorders>
              <w:tl2br w:val="nil"/>
              <w:tr2bl w:val="nil"/>
            </w:tcBorders>
            <w:vAlign w:val="center"/>
          </w:tcPr>
          <w:p w14:paraId="20387FFC">
            <w:pPr>
              <w:pStyle w:val="43"/>
              <w:spacing w:line="360" w:lineRule="exact"/>
              <w:ind w:firstLine="0" w:firstLineChars="0"/>
              <w:jc w:val="center"/>
              <w:rPr>
                <w:rFonts w:hint="default" w:ascii="Times New Roman" w:hAnsi="Times New Roman" w:cs="Times New Roman"/>
                <w:color w:val="auto"/>
                <w:sz w:val="21"/>
                <w:szCs w:val="21"/>
                <w:highlight w:val="none"/>
              </w:rPr>
            </w:pPr>
          </w:p>
        </w:tc>
        <w:tc>
          <w:tcPr>
            <w:tcW w:w="2987" w:type="dxa"/>
            <w:vMerge w:val="continue"/>
            <w:tcBorders>
              <w:tl2br w:val="nil"/>
              <w:tr2bl w:val="nil"/>
            </w:tcBorders>
            <w:vAlign w:val="center"/>
          </w:tcPr>
          <w:p w14:paraId="39BDC722">
            <w:pPr>
              <w:pStyle w:val="43"/>
              <w:spacing w:line="360" w:lineRule="exact"/>
              <w:ind w:firstLine="0" w:firstLineChars="0"/>
              <w:jc w:val="center"/>
              <w:rPr>
                <w:rFonts w:hint="default" w:ascii="Times New Roman" w:hAnsi="Times New Roman" w:cs="Times New Roman"/>
                <w:color w:val="auto"/>
                <w:sz w:val="21"/>
                <w:szCs w:val="21"/>
                <w:highlight w:val="none"/>
              </w:rPr>
            </w:pPr>
          </w:p>
        </w:tc>
        <w:tc>
          <w:tcPr>
            <w:tcW w:w="2444" w:type="dxa"/>
            <w:tcBorders>
              <w:tl2br w:val="nil"/>
              <w:tr2bl w:val="nil"/>
            </w:tcBorders>
            <w:vAlign w:val="center"/>
          </w:tcPr>
          <w:p w14:paraId="2FA76058">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24小时平均</w:t>
            </w:r>
          </w:p>
        </w:tc>
        <w:tc>
          <w:tcPr>
            <w:tcW w:w="1515" w:type="dxa"/>
            <w:tcBorders>
              <w:tl2br w:val="nil"/>
              <w:tr2bl w:val="nil"/>
            </w:tcBorders>
            <w:vAlign w:val="center"/>
          </w:tcPr>
          <w:p w14:paraId="26BF678D">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300</w:t>
            </w:r>
          </w:p>
        </w:tc>
        <w:tc>
          <w:tcPr>
            <w:tcW w:w="843" w:type="dxa"/>
            <w:vMerge w:val="continue"/>
            <w:tcBorders>
              <w:tl2br w:val="nil"/>
              <w:tr2bl w:val="nil"/>
            </w:tcBorders>
            <w:vAlign w:val="center"/>
          </w:tcPr>
          <w:p w14:paraId="6BC6D3FB">
            <w:pPr>
              <w:pStyle w:val="43"/>
              <w:spacing w:line="360" w:lineRule="exact"/>
              <w:ind w:firstLine="0" w:firstLineChars="0"/>
              <w:jc w:val="center"/>
              <w:rPr>
                <w:rFonts w:hint="default" w:ascii="Times New Roman" w:hAnsi="Times New Roman" w:cs="Times New Roman"/>
                <w:color w:val="auto"/>
                <w:spacing w:val="-1"/>
                <w:sz w:val="21"/>
                <w:szCs w:val="21"/>
                <w:highlight w:val="none"/>
              </w:rPr>
            </w:pPr>
          </w:p>
        </w:tc>
      </w:tr>
      <w:tr w14:paraId="1FB1B9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7" w:type="dxa"/>
            <w:vMerge w:val="restart"/>
            <w:tcBorders>
              <w:tl2br w:val="nil"/>
              <w:tr2bl w:val="nil"/>
            </w:tcBorders>
            <w:vAlign w:val="center"/>
          </w:tcPr>
          <w:p w14:paraId="04B8F8F3">
            <w:pPr>
              <w:pStyle w:val="43"/>
              <w:spacing w:line="360" w:lineRule="exact"/>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9</w:t>
            </w:r>
          </w:p>
        </w:tc>
        <w:tc>
          <w:tcPr>
            <w:tcW w:w="2987" w:type="dxa"/>
            <w:vMerge w:val="restart"/>
            <w:tcBorders>
              <w:tl2br w:val="nil"/>
              <w:tr2bl w:val="nil"/>
            </w:tcBorders>
            <w:vAlign w:val="center"/>
          </w:tcPr>
          <w:p w14:paraId="115F5156">
            <w:pPr>
              <w:pStyle w:val="43"/>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氟化物（</w:t>
            </w:r>
            <w:r>
              <w:rPr>
                <w:rFonts w:hint="default" w:ascii="Times New Roman" w:hAnsi="Times New Roman" w:cs="Times New Roman"/>
                <w:color w:val="auto"/>
                <w:sz w:val="21"/>
                <w:szCs w:val="21"/>
                <w:highlight w:val="none"/>
                <w:lang w:val="en-US" w:eastAsia="zh-CN"/>
              </w:rPr>
              <w:t>F</w:t>
            </w:r>
            <w:r>
              <w:rPr>
                <w:rFonts w:hint="default" w:ascii="Times New Roman" w:hAnsi="Times New Roman" w:cs="Times New Roman"/>
                <w:color w:val="auto"/>
                <w:sz w:val="21"/>
                <w:szCs w:val="21"/>
                <w:highlight w:val="none"/>
                <w:lang w:eastAsia="zh-CN"/>
              </w:rPr>
              <w:t>）</w:t>
            </w:r>
          </w:p>
        </w:tc>
        <w:tc>
          <w:tcPr>
            <w:tcW w:w="2444" w:type="dxa"/>
            <w:tcBorders>
              <w:tl2br w:val="nil"/>
              <w:tr2bl w:val="nil"/>
            </w:tcBorders>
            <w:vAlign w:val="center"/>
          </w:tcPr>
          <w:p w14:paraId="3CB13C16">
            <w:pPr>
              <w:pStyle w:val="43"/>
              <w:spacing w:line="360" w:lineRule="exact"/>
              <w:ind w:firstLine="0" w:firstLineChars="0"/>
              <w:jc w:val="center"/>
              <w:rPr>
                <w:rFonts w:hint="default" w:ascii="Times New Roman" w:hAnsi="Times New Roman" w:eastAsia="宋体" w:cs="Times New Roman"/>
                <w:color w:val="auto"/>
                <w:spacing w:val="-1"/>
                <w:sz w:val="21"/>
                <w:szCs w:val="21"/>
                <w:highlight w:val="none"/>
                <w:lang w:eastAsia="zh-CN"/>
              </w:rPr>
            </w:pPr>
            <w:r>
              <w:rPr>
                <w:rFonts w:hint="default" w:ascii="Times New Roman" w:hAnsi="Times New Roman" w:cs="Times New Roman"/>
                <w:color w:val="auto"/>
                <w:spacing w:val="-1"/>
                <w:sz w:val="21"/>
                <w:szCs w:val="21"/>
                <w:highlight w:val="none"/>
                <w:lang w:val="en-US" w:eastAsia="zh-CN"/>
              </w:rPr>
              <w:t>1</w:t>
            </w:r>
            <w:r>
              <w:rPr>
                <w:rFonts w:hint="default" w:ascii="Times New Roman" w:hAnsi="Times New Roman" w:cs="Times New Roman"/>
                <w:color w:val="auto"/>
                <w:spacing w:val="-1"/>
                <w:sz w:val="21"/>
                <w:szCs w:val="21"/>
                <w:highlight w:val="none"/>
                <w:lang w:eastAsia="zh-CN"/>
              </w:rPr>
              <w:t>小时平均</w:t>
            </w:r>
          </w:p>
        </w:tc>
        <w:tc>
          <w:tcPr>
            <w:tcW w:w="1515" w:type="dxa"/>
            <w:tcBorders>
              <w:tl2br w:val="nil"/>
              <w:tr2bl w:val="nil"/>
            </w:tcBorders>
            <w:vAlign w:val="center"/>
          </w:tcPr>
          <w:p w14:paraId="7B6A7935">
            <w:pPr>
              <w:pStyle w:val="43"/>
              <w:spacing w:line="360" w:lineRule="exact"/>
              <w:ind w:firstLine="0" w:firstLineChars="0"/>
              <w:jc w:val="center"/>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cs="Times New Roman"/>
                <w:color w:val="auto"/>
                <w:spacing w:val="-1"/>
                <w:sz w:val="21"/>
                <w:szCs w:val="21"/>
                <w:highlight w:val="none"/>
                <w:lang w:val="en-US" w:eastAsia="zh-CN"/>
              </w:rPr>
              <w:t>20</w:t>
            </w:r>
          </w:p>
        </w:tc>
        <w:tc>
          <w:tcPr>
            <w:tcW w:w="843" w:type="dxa"/>
            <w:vMerge w:val="restart"/>
            <w:tcBorders>
              <w:tl2br w:val="nil"/>
              <w:tr2bl w:val="nil"/>
            </w:tcBorders>
            <w:vAlign w:val="center"/>
          </w:tcPr>
          <w:p w14:paraId="75AD8A78">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μg/m</w:t>
            </w:r>
            <w:r>
              <w:rPr>
                <w:rFonts w:hint="default" w:ascii="Times New Roman" w:hAnsi="Times New Roman" w:cs="Times New Roman"/>
                <w:color w:val="auto"/>
                <w:spacing w:val="-1"/>
                <w:sz w:val="21"/>
                <w:szCs w:val="21"/>
                <w:highlight w:val="none"/>
                <w:vertAlign w:val="superscript"/>
              </w:rPr>
              <w:t>3</w:t>
            </w:r>
          </w:p>
        </w:tc>
      </w:tr>
      <w:tr w14:paraId="389FE4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7" w:type="dxa"/>
            <w:vMerge w:val="continue"/>
            <w:tcBorders>
              <w:tl2br w:val="nil"/>
              <w:tr2bl w:val="nil"/>
            </w:tcBorders>
            <w:vAlign w:val="center"/>
          </w:tcPr>
          <w:p w14:paraId="264FEDFE">
            <w:pPr>
              <w:pStyle w:val="43"/>
              <w:spacing w:line="360" w:lineRule="exact"/>
              <w:ind w:firstLine="0" w:firstLineChars="0"/>
              <w:jc w:val="center"/>
              <w:rPr>
                <w:rFonts w:hint="default" w:ascii="Times New Roman" w:hAnsi="Times New Roman" w:cs="Times New Roman"/>
                <w:color w:val="auto"/>
                <w:sz w:val="21"/>
                <w:szCs w:val="21"/>
                <w:highlight w:val="none"/>
              </w:rPr>
            </w:pPr>
          </w:p>
        </w:tc>
        <w:tc>
          <w:tcPr>
            <w:tcW w:w="2987" w:type="dxa"/>
            <w:vMerge w:val="continue"/>
            <w:tcBorders>
              <w:tl2br w:val="nil"/>
              <w:tr2bl w:val="nil"/>
            </w:tcBorders>
            <w:vAlign w:val="center"/>
          </w:tcPr>
          <w:p w14:paraId="3FC8BD5B">
            <w:pPr>
              <w:pStyle w:val="43"/>
              <w:spacing w:line="360" w:lineRule="exact"/>
              <w:ind w:firstLine="0" w:firstLineChars="0"/>
              <w:jc w:val="center"/>
              <w:rPr>
                <w:rFonts w:hint="default" w:ascii="Times New Roman" w:hAnsi="Times New Roman" w:cs="Times New Roman"/>
                <w:color w:val="auto"/>
                <w:sz w:val="21"/>
                <w:szCs w:val="21"/>
                <w:highlight w:val="none"/>
                <w:lang w:eastAsia="zh-CN"/>
              </w:rPr>
            </w:pPr>
          </w:p>
        </w:tc>
        <w:tc>
          <w:tcPr>
            <w:tcW w:w="2444" w:type="dxa"/>
            <w:tcBorders>
              <w:tl2br w:val="nil"/>
              <w:tr2bl w:val="nil"/>
            </w:tcBorders>
            <w:vAlign w:val="center"/>
          </w:tcPr>
          <w:p w14:paraId="2789E38A">
            <w:pPr>
              <w:pStyle w:val="43"/>
              <w:spacing w:line="360" w:lineRule="exact"/>
              <w:ind w:firstLine="0" w:firstLineChars="0"/>
              <w:jc w:val="center"/>
              <w:rPr>
                <w:rFonts w:hint="default" w:ascii="Times New Roman" w:hAnsi="Times New Roman" w:cs="Times New Roman"/>
                <w:color w:val="auto"/>
                <w:spacing w:val="-1"/>
                <w:sz w:val="21"/>
                <w:szCs w:val="21"/>
                <w:highlight w:val="none"/>
                <w:lang w:val="en-US" w:eastAsia="zh-CN"/>
              </w:rPr>
            </w:pPr>
            <w:r>
              <w:rPr>
                <w:rFonts w:hint="default" w:ascii="Times New Roman" w:hAnsi="Times New Roman" w:cs="Times New Roman"/>
                <w:color w:val="auto"/>
                <w:spacing w:val="-1"/>
                <w:sz w:val="21"/>
                <w:szCs w:val="21"/>
                <w:highlight w:val="none"/>
                <w:lang w:val="en-US" w:eastAsia="zh-CN"/>
              </w:rPr>
              <w:t>24小时平均</w:t>
            </w:r>
          </w:p>
        </w:tc>
        <w:tc>
          <w:tcPr>
            <w:tcW w:w="1515" w:type="dxa"/>
            <w:tcBorders>
              <w:tl2br w:val="nil"/>
              <w:tr2bl w:val="nil"/>
            </w:tcBorders>
            <w:vAlign w:val="center"/>
          </w:tcPr>
          <w:p w14:paraId="4A890F87">
            <w:pPr>
              <w:pStyle w:val="43"/>
              <w:spacing w:line="360" w:lineRule="exact"/>
              <w:ind w:firstLine="0" w:firstLineChars="0"/>
              <w:jc w:val="center"/>
              <w:rPr>
                <w:rFonts w:hint="default" w:ascii="Times New Roman" w:hAnsi="Times New Roman" w:cs="Times New Roman"/>
                <w:color w:val="auto"/>
                <w:spacing w:val="-1"/>
                <w:sz w:val="21"/>
                <w:szCs w:val="21"/>
                <w:highlight w:val="none"/>
                <w:lang w:val="en-US" w:eastAsia="zh-CN"/>
              </w:rPr>
            </w:pPr>
            <w:r>
              <w:rPr>
                <w:rFonts w:hint="default" w:ascii="Times New Roman" w:hAnsi="Times New Roman" w:cs="Times New Roman"/>
                <w:color w:val="auto"/>
                <w:spacing w:val="-1"/>
                <w:sz w:val="21"/>
                <w:szCs w:val="21"/>
                <w:highlight w:val="none"/>
                <w:lang w:val="en-US" w:eastAsia="zh-CN"/>
              </w:rPr>
              <w:t>7</w:t>
            </w:r>
          </w:p>
        </w:tc>
        <w:tc>
          <w:tcPr>
            <w:tcW w:w="843" w:type="dxa"/>
            <w:vMerge w:val="continue"/>
            <w:tcBorders>
              <w:tl2br w:val="nil"/>
              <w:tr2bl w:val="nil"/>
            </w:tcBorders>
            <w:vAlign w:val="center"/>
          </w:tcPr>
          <w:p w14:paraId="659AC028">
            <w:pPr>
              <w:pStyle w:val="43"/>
              <w:spacing w:line="360" w:lineRule="exact"/>
              <w:ind w:firstLine="0" w:firstLineChars="0"/>
              <w:jc w:val="center"/>
              <w:rPr>
                <w:rFonts w:hint="default" w:ascii="Times New Roman" w:hAnsi="Times New Roman" w:cs="Times New Roman"/>
                <w:color w:val="auto"/>
                <w:spacing w:val="-1"/>
                <w:sz w:val="21"/>
                <w:szCs w:val="21"/>
                <w:highlight w:val="none"/>
              </w:rPr>
            </w:pPr>
          </w:p>
        </w:tc>
      </w:tr>
      <w:tr w14:paraId="7A3A6D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27" w:type="dxa"/>
            <w:tcBorders>
              <w:tl2br w:val="nil"/>
              <w:tr2bl w:val="nil"/>
            </w:tcBorders>
            <w:vAlign w:val="center"/>
          </w:tcPr>
          <w:p w14:paraId="516704BF">
            <w:pPr>
              <w:pStyle w:val="43"/>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2987" w:type="dxa"/>
            <w:tcBorders>
              <w:tl2br w:val="nil"/>
              <w:tr2bl w:val="nil"/>
            </w:tcBorders>
            <w:vAlign w:val="center"/>
          </w:tcPr>
          <w:p w14:paraId="7B0DE88D">
            <w:pPr>
              <w:pStyle w:val="43"/>
              <w:spacing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汞及其化合物（</w:t>
            </w:r>
            <w:r>
              <w:rPr>
                <w:rFonts w:hint="default" w:ascii="Times New Roman" w:hAnsi="Times New Roman" w:cs="Times New Roman"/>
                <w:color w:val="auto"/>
                <w:sz w:val="21"/>
                <w:szCs w:val="21"/>
                <w:highlight w:val="none"/>
                <w:lang w:val="en-US" w:eastAsia="zh-CN"/>
              </w:rPr>
              <w:t>Hg</w:t>
            </w:r>
            <w:r>
              <w:rPr>
                <w:rFonts w:hint="default" w:ascii="Times New Roman" w:hAnsi="Times New Roman" w:cs="Times New Roman"/>
                <w:color w:val="auto"/>
                <w:sz w:val="21"/>
                <w:szCs w:val="21"/>
                <w:highlight w:val="none"/>
                <w:lang w:eastAsia="zh-CN"/>
              </w:rPr>
              <w:t>）</w:t>
            </w:r>
          </w:p>
        </w:tc>
        <w:tc>
          <w:tcPr>
            <w:tcW w:w="2444" w:type="dxa"/>
            <w:tcBorders>
              <w:tl2br w:val="nil"/>
              <w:tr2bl w:val="nil"/>
            </w:tcBorders>
            <w:vAlign w:val="center"/>
          </w:tcPr>
          <w:p w14:paraId="64EC62DD">
            <w:pPr>
              <w:pStyle w:val="43"/>
              <w:spacing w:line="360" w:lineRule="exact"/>
              <w:ind w:firstLine="0" w:firstLineChars="0"/>
              <w:jc w:val="center"/>
              <w:rPr>
                <w:rFonts w:hint="default" w:ascii="Times New Roman" w:hAnsi="Times New Roman" w:cs="Times New Roman"/>
                <w:color w:val="auto"/>
                <w:spacing w:val="-1"/>
                <w:sz w:val="21"/>
                <w:szCs w:val="21"/>
                <w:highlight w:val="none"/>
                <w:lang w:val="en-US" w:eastAsia="zh-CN"/>
              </w:rPr>
            </w:pPr>
            <w:r>
              <w:rPr>
                <w:rFonts w:hint="default" w:ascii="Times New Roman" w:hAnsi="Times New Roman" w:cs="Times New Roman"/>
                <w:color w:val="auto"/>
                <w:spacing w:val="-1"/>
                <w:sz w:val="21"/>
                <w:szCs w:val="21"/>
                <w:highlight w:val="none"/>
              </w:rPr>
              <w:t>年平均</w:t>
            </w:r>
          </w:p>
        </w:tc>
        <w:tc>
          <w:tcPr>
            <w:tcW w:w="1515" w:type="dxa"/>
            <w:tcBorders>
              <w:tl2br w:val="nil"/>
              <w:tr2bl w:val="nil"/>
            </w:tcBorders>
            <w:vAlign w:val="center"/>
          </w:tcPr>
          <w:p w14:paraId="13C50300">
            <w:pPr>
              <w:pStyle w:val="43"/>
              <w:spacing w:line="360" w:lineRule="exact"/>
              <w:ind w:firstLine="0" w:firstLineChars="0"/>
              <w:jc w:val="center"/>
              <w:rPr>
                <w:rFonts w:hint="default" w:ascii="Times New Roman" w:hAnsi="Times New Roman" w:cs="Times New Roman"/>
                <w:color w:val="auto"/>
                <w:spacing w:val="-1"/>
                <w:sz w:val="21"/>
                <w:szCs w:val="21"/>
                <w:highlight w:val="none"/>
                <w:lang w:val="en-US" w:eastAsia="zh-CN"/>
              </w:rPr>
            </w:pPr>
            <w:r>
              <w:rPr>
                <w:rFonts w:hint="default" w:ascii="Times New Roman" w:hAnsi="Times New Roman" w:cs="Times New Roman"/>
                <w:color w:val="auto"/>
                <w:spacing w:val="-1"/>
                <w:sz w:val="21"/>
                <w:szCs w:val="21"/>
                <w:highlight w:val="none"/>
                <w:lang w:val="en-US" w:eastAsia="zh-CN"/>
              </w:rPr>
              <w:t>0.05</w:t>
            </w:r>
          </w:p>
        </w:tc>
        <w:tc>
          <w:tcPr>
            <w:tcW w:w="843" w:type="dxa"/>
            <w:tcBorders>
              <w:tl2br w:val="nil"/>
              <w:tr2bl w:val="nil"/>
            </w:tcBorders>
            <w:vAlign w:val="center"/>
          </w:tcPr>
          <w:p w14:paraId="44BDA7C7">
            <w:pPr>
              <w:pStyle w:val="43"/>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μg/m</w:t>
            </w:r>
            <w:r>
              <w:rPr>
                <w:rFonts w:hint="default" w:ascii="Times New Roman" w:hAnsi="Times New Roman" w:cs="Times New Roman"/>
                <w:color w:val="auto"/>
                <w:spacing w:val="-1"/>
                <w:sz w:val="21"/>
                <w:szCs w:val="21"/>
                <w:highlight w:val="none"/>
                <w:vertAlign w:val="superscript"/>
              </w:rPr>
              <w:t>3</w:t>
            </w:r>
          </w:p>
        </w:tc>
      </w:tr>
    </w:tbl>
    <w:p w14:paraId="3EC6CCE7">
      <w:pPr>
        <w:pStyle w:val="55"/>
        <w:overflowPunct w:val="0"/>
        <w:topLinePunct/>
        <w:adjustRightInd/>
        <w:ind w:firstLine="476" w:firstLineChars="200"/>
        <w:rPr>
          <w:rFonts w:hint="default" w:ascii="Times New Roman" w:hAnsi="Times New Roman" w:cs="Times New Roman"/>
          <w:color w:val="auto"/>
          <w:spacing w:val="-1"/>
          <w:highlight w:val="none"/>
        </w:rPr>
      </w:pPr>
      <w:r>
        <w:rPr>
          <w:rFonts w:hint="default" w:ascii="Times New Roman" w:hAnsi="Times New Roman" w:cs="Times New Roman"/>
          <w:color w:val="auto"/>
          <w:spacing w:val="-1"/>
          <w:highlight w:val="none"/>
        </w:rPr>
        <w:t>（2）地表水环境</w:t>
      </w:r>
    </w:p>
    <w:p w14:paraId="28F4AF1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项目区周边区域无地表水体。</w:t>
      </w:r>
    </w:p>
    <w:p w14:paraId="5C242C1C">
      <w:pPr>
        <w:pStyle w:val="55"/>
        <w:overflowPunct w:val="0"/>
        <w:topLinePunct/>
        <w:adjustRightInd/>
        <w:ind w:firstLine="476" w:firstLineChars="200"/>
        <w:rPr>
          <w:rFonts w:hint="default" w:ascii="Times New Roman" w:hAnsi="Times New Roman" w:cs="Times New Roman"/>
          <w:color w:val="auto"/>
          <w:spacing w:val="-1"/>
          <w:highlight w:val="none"/>
        </w:rPr>
      </w:pPr>
      <w:r>
        <w:rPr>
          <w:rFonts w:hint="default" w:ascii="Times New Roman" w:hAnsi="Times New Roman" w:cs="Times New Roman"/>
          <w:color w:val="auto"/>
          <w:spacing w:val="-1"/>
          <w:highlight w:val="none"/>
        </w:rPr>
        <w:t>（3）地下水环境</w:t>
      </w:r>
    </w:p>
    <w:p w14:paraId="088AF791">
      <w:pPr>
        <w:overflowPunct w:val="0"/>
        <w:topLinePunct/>
        <w:ind w:firstLine="476"/>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地下水水质除K</w:t>
      </w:r>
      <w:r>
        <w:rPr>
          <w:rFonts w:hint="default" w:ascii="Times New Roman" w:hAnsi="Times New Roman" w:eastAsia="宋体" w:cs="Times New Roman"/>
          <w:color w:val="auto"/>
          <w:highlight w:val="none"/>
          <w:vertAlign w:val="superscript"/>
        </w:rPr>
        <w:t>+</w:t>
      </w:r>
      <w:r>
        <w:rPr>
          <w:rFonts w:hint="default" w:ascii="Times New Roman" w:hAnsi="Times New Roman" w:eastAsia="宋体" w:cs="Times New Roman"/>
          <w:color w:val="auto"/>
          <w:highlight w:val="none"/>
        </w:rPr>
        <w:t>、Ca</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、Mg</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、CO</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、HCO</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外，执行《地下水质量标准》（GB/T14848-2017）Ⅲ类标准</w:t>
      </w:r>
      <w:r>
        <w:rPr>
          <w:rFonts w:hint="default" w:ascii="Times New Roman" w:hAnsi="Times New Roman" w:cs="Times New Roman"/>
          <w:color w:val="auto"/>
          <w:spacing w:val="-1"/>
          <w:highlight w:val="none"/>
        </w:rPr>
        <w:t>。具体标准值见表2.5-</w:t>
      </w:r>
      <w:r>
        <w:rPr>
          <w:rFonts w:hint="default" w:ascii="Times New Roman" w:hAnsi="Times New Roman" w:cs="Times New Roman"/>
          <w:color w:val="auto"/>
          <w:spacing w:val="-1"/>
          <w:highlight w:val="none"/>
          <w:lang w:val="en-US" w:eastAsia="zh-CN"/>
        </w:rPr>
        <w:t>2</w:t>
      </w:r>
      <w:r>
        <w:rPr>
          <w:rFonts w:hint="default" w:ascii="Times New Roman" w:hAnsi="Times New Roman" w:cs="Times New Roman"/>
          <w:color w:val="auto"/>
          <w:spacing w:val="-1"/>
          <w:highlight w:val="none"/>
        </w:rPr>
        <w:t>。</w:t>
      </w:r>
    </w:p>
    <w:p w14:paraId="49DD30C4">
      <w:pPr>
        <w:pStyle w:val="49"/>
        <w:widowControl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表</w:t>
      </w:r>
      <w:r>
        <w:rPr>
          <w:rFonts w:hint="default" w:ascii="Times New Roman" w:hAnsi="Times New Roman" w:cs="Times New Roman"/>
          <w:color w:val="auto"/>
          <w:highlight w:val="none"/>
        </w:rPr>
        <w:t>2</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5-</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zh-CN"/>
        </w:rPr>
        <w:t xml:space="preserve">    《地下水质量标准》（</w:t>
      </w:r>
      <w:r>
        <w:rPr>
          <w:rFonts w:hint="default" w:ascii="Times New Roman" w:hAnsi="Times New Roman" w:cs="Times New Roman"/>
          <w:color w:val="auto"/>
          <w:highlight w:val="none"/>
        </w:rPr>
        <w:t>部分</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单位：mg/L</w:t>
      </w:r>
    </w:p>
    <w:tbl>
      <w:tblPr>
        <w:tblStyle w:val="34"/>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08"/>
        <w:gridCol w:w="3575"/>
        <w:gridCol w:w="2839"/>
      </w:tblGrid>
      <w:tr w14:paraId="7D8A02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108" w:type="dxa"/>
            <w:tcBorders>
              <w:tl2br w:val="nil"/>
              <w:tr2bl w:val="nil"/>
            </w:tcBorders>
            <w:vAlign w:val="center"/>
          </w:tcPr>
          <w:p w14:paraId="3CAC71B4">
            <w:pPr>
              <w:pStyle w:val="43"/>
              <w:spacing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序号</w:t>
            </w:r>
          </w:p>
        </w:tc>
        <w:tc>
          <w:tcPr>
            <w:tcW w:w="3575" w:type="dxa"/>
            <w:tcBorders>
              <w:tl2br w:val="nil"/>
              <w:tr2bl w:val="nil"/>
            </w:tcBorders>
            <w:vAlign w:val="center"/>
          </w:tcPr>
          <w:p w14:paraId="193C223C">
            <w:pPr>
              <w:pStyle w:val="43"/>
              <w:spacing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项目</w:t>
            </w:r>
          </w:p>
        </w:tc>
        <w:tc>
          <w:tcPr>
            <w:tcW w:w="2839" w:type="dxa"/>
            <w:tcBorders>
              <w:tl2br w:val="nil"/>
              <w:tr2bl w:val="nil"/>
            </w:tcBorders>
            <w:vAlign w:val="center"/>
          </w:tcPr>
          <w:p w14:paraId="0BB7F3A4">
            <w:pPr>
              <w:pStyle w:val="43"/>
              <w:spacing w:line="360" w:lineRule="exact"/>
              <w:ind w:firstLine="0" w:firstLineChars="0"/>
              <w:jc w:val="center"/>
              <w:rPr>
                <w:rFonts w:hint="default" w:ascii="Times New Roman" w:hAnsi="Times New Roman" w:cs="Times New Roman"/>
                <w:b/>
                <w:bCs/>
                <w:color w:val="auto"/>
                <w:spacing w:val="-1"/>
                <w:sz w:val="21"/>
                <w:szCs w:val="21"/>
                <w:highlight w:val="none"/>
              </w:rPr>
            </w:pPr>
            <w:r>
              <w:rPr>
                <w:rFonts w:hint="eastAsia" w:cs="Times New Roman"/>
                <w:b/>
                <w:bCs/>
                <w:color w:val="auto"/>
                <w:spacing w:val="-1"/>
                <w:sz w:val="21"/>
                <w:szCs w:val="21"/>
                <w:highlight w:val="none"/>
                <w:lang w:eastAsia="zh-CN"/>
              </w:rPr>
              <w:t>Ⅲ类</w:t>
            </w:r>
            <w:r>
              <w:rPr>
                <w:rFonts w:hint="default" w:ascii="Times New Roman" w:hAnsi="Times New Roman" w:cs="Times New Roman"/>
                <w:b/>
                <w:bCs/>
                <w:color w:val="auto"/>
                <w:spacing w:val="-1"/>
                <w:sz w:val="21"/>
                <w:szCs w:val="21"/>
                <w:highlight w:val="none"/>
              </w:rPr>
              <w:t>标准限值</w:t>
            </w:r>
          </w:p>
        </w:tc>
      </w:tr>
      <w:tr w14:paraId="4C3A74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08" w:type="dxa"/>
            <w:tcBorders>
              <w:tl2br w:val="nil"/>
              <w:tr2bl w:val="nil"/>
            </w:tcBorders>
            <w:vAlign w:val="center"/>
          </w:tcPr>
          <w:p w14:paraId="7F3D5730">
            <w:pPr>
              <w:pStyle w:val="53"/>
              <w:spacing w:line="360" w:lineRule="exact"/>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1</w:t>
            </w:r>
          </w:p>
        </w:tc>
        <w:tc>
          <w:tcPr>
            <w:tcW w:w="3575" w:type="dxa"/>
            <w:tcBorders>
              <w:tl2br w:val="nil"/>
              <w:tr2bl w:val="nil"/>
            </w:tcBorders>
            <w:vAlign w:val="center"/>
          </w:tcPr>
          <w:p w14:paraId="0B6BCDFD">
            <w:pPr>
              <w:snapToGrid w:val="0"/>
              <w:spacing w:line="360" w:lineRule="exact"/>
              <w:ind w:firstLine="0" w:firstLineChars="0"/>
              <w:contextualSpacing/>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z w:val="21"/>
                <w:szCs w:val="21"/>
                <w:highlight w:val="none"/>
              </w:rPr>
              <w:t>pH</w:t>
            </w:r>
          </w:p>
        </w:tc>
        <w:tc>
          <w:tcPr>
            <w:tcW w:w="2839" w:type="dxa"/>
            <w:tcBorders>
              <w:tl2br w:val="nil"/>
              <w:tr2bl w:val="nil"/>
            </w:tcBorders>
            <w:vAlign w:val="center"/>
          </w:tcPr>
          <w:p w14:paraId="1916C31B">
            <w:pPr>
              <w:snapToGrid w:val="0"/>
              <w:spacing w:line="360" w:lineRule="exact"/>
              <w:ind w:firstLine="0" w:firstLineChars="0"/>
              <w:contextualSpacing/>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z w:val="21"/>
                <w:szCs w:val="21"/>
                <w:highlight w:val="none"/>
              </w:rPr>
              <w:t>6</w:t>
            </w:r>
            <w:r>
              <w:rPr>
                <w:rFonts w:hint="default" w:ascii="Times New Roman" w:hAnsi="Times New Roman" w:cs="Times New Roman"/>
                <w:color w:val="auto"/>
                <w:sz w:val="21"/>
                <w:szCs w:val="21"/>
                <w:highlight w:val="none"/>
                <w:lang w:val="en-US" w:eastAsia="zh-CN"/>
              </w:rPr>
              <w:t>.5</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8.5</w:t>
            </w:r>
          </w:p>
        </w:tc>
      </w:tr>
      <w:tr w14:paraId="6291FC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8" w:type="dxa"/>
            <w:tcBorders>
              <w:tl2br w:val="nil"/>
              <w:tr2bl w:val="nil"/>
            </w:tcBorders>
            <w:vAlign w:val="center"/>
          </w:tcPr>
          <w:p w14:paraId="2C68118E">
            <w:pPr>
              <w:pStyle w:val="53"/>
              <w:spacing w:line="360" w:lineRule="exact"/>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2</w:t>
            </w:r>
          </w:p>
        </w:tc>
        <w:tc>
          <w:tcPr>
            <w:tcW w:w="3575" w:type="dxa"/>
            <w:tcBorders>
              <w:tl2br w:val="nil"/>
              <w:tr2bl w:val="nil"/>
            </w:tcBorders>
            <w:vAlign w:val="center"/>
          </w:tcPr>
          <w:p w14:paraId="71B66643">
            <w:pPr>
              <w:snapToGrid w:val="0"/>
              <w:spacing w:line="360" w:lineRule="exact"/>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总硬度</w:t>
            </w:r>
          </w:p>
        </w:tc>
        <w:tc>
          <w:tcPr>
            <w:tcW w:w="2839" w:type="dxa"/>
            <w:tcBorders>
              <w:tl2br w:val="nil"/>
              <w:tr2bl w:val="nil"/>
            </w:tcBorders>
            <w:vAlign w:val="center"/>
          </w:tcPr>
          <w:p w14:paraId="0432A3AA">
            <w:pPr>
              <w:snapToGrid w:val="0"/>
              <w:spacing w:line="360" w:lineRule="exact"/>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450</w:t>
            </w:r>
          </w:p>
        </w:tc>
      </w:tr>
      <w:tr w14:paraId="2BD41B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8" w:type="dxa"/>
            <w:tcBorders>
              <w:tl2br w:val="nil"/>
              <w:tr2bl w:val="nil"/>
            </w:tcBorders>
            <w:vAlign w:val="center"/>
          </w:tcPr>
          <w:p w14:paraId="668F81BC">
            <w:pPr>
              <w:pStyle w:val="53"/>
              <w:spacing w:line="360" w:lineRule="exact"/>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3</w:t>
            </w:r>
          </w:p>
        </w:tc>
        <w:tc>
          <w:tcPr>
            <w:tcW w:w="3575" w:type="dxa"/>
            <w:tcBorders>
              <w:tl2br w:val="nil"/>
              <w:tr2bl w:val="nil"/>
            </w:tcBorders>
            <w:vAlign w:val="center"/>
          </w:tcPr>
          <w:p w14:paraId="7828CAD9">
            <w:pPr>
              <w:snapToGrid w:val="0"/>
              <w:spacing w:line="360" w:lineRule="exact"/>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溶解性总固体</w:t>
            </w:r>
          </w:p>
        </w:tc>
        <w:tc>
          <w:tcPr>
            <w:tcW w:w="2839" w:type="dxa"/>
            <w:tcBorders>
              <w:tl2br w:val="nil"/>
              <w:tr2bl w:val="nil"/>
            </w:tcBorders>
            <w:vAlign w:val="center"/>
          </w:tcPr>
          <w:p w14:paraId="64436422">
            <w:pPr>
              <w:snapToGrid w:val="0"/>
              <w:spacing w:line="360" w:lineRule="exact"/>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1000</w:t>
            </w:r>
          </w:p>
        </w:tc>
      </w:tr>
      <w:tr w14:paraId="432C6A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8" w:type="dxa"/>
            <w:tcBorders>
              <w:tl2br w:val="nil"/>
              <w:tr2bl w:val="nil"/>
            </w:tcBorders>
            <w:vAlign w:val="center"/>
          </w:tcPr>
          <w:p w14:paraId="3DFDF39A">
            <w:pPr>
              <w:pStyle w:val="53"/>
              <w:spacing w:line="360" w:lineRule="exact"/>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4</w:t>
            </w:r>
          </w:p>
        </w:tc>
        <w:tc>
          <w:tcPr>
            <w:tcW w:w="3575" w:type="dxa"/>
            <w:tcBorders>
              <w:tl2br w:val="nil"/>
              <w:tr2bl w:val="nil"/>
            </w:tcBorders>
            <w:vAlign w:val="center"/>
          </w:tcPr>
          <w:p w14:paraId="02D2ECF7">
            <w:pPr>
              <w:snapToGrid w:val="0"/>
              <w:spacing w:line="360" w:lineRule="exact"/>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铁</w:t>
            </w:r>
          </w:p>
        </w:tc>
        <w:tc>
          <w:tcPr>
            <w:tcW w:w="2839" w:type="dxa"/>
            <w:tcBorders>
              <w:tl2br w:val="nil"/>
              <w:tr2bl w:val="nil"/>
            </w:tcBorders>
            <w:vAlign w:val="center"/>
          </w:tcPr>
          <w:p w14:paraId="66CF1F16">
            <w:pPr>
              <w:snapToGrid w:val="0"/>
              <w:spacing w:line="360" w:lineRule="exact"/>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0.3</w:t>
            </w:r>
          </w:p>
        </w:tc>
      </w:tr>
      <w:tr w14:paraId="46DDC0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8" w:type="dxa"/>
            <w:tcBorders>
              <w:tl2br w:val="nil"/>
              <w:tr2bl w:val="nil"/>
            </w:tcBorders>
            <w:vAlign w:val="center"/>
          </w:tcPr>
          <w:p w14:paraId="5E0CCF78">
            <w:pPr>
              <w:pStyle w:val="53"/>
              <w:spacing w:line="360" w:lineRule="exact"/>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5</w:t>
            </w:r>
          </w:p>
        </w:tc>
        <w:tc>
          <w:tcPr>
            <w:tcW w:w="3575" w:type="dxa"/>
            <w:tcBorders>
              <w:tl2br w:val="nil"/>
              <w:tr2bl w:val="nil"/>
            </w:tcBorders>
            <w:vAlign w:val="center"/>
          </w:tcPr>
          <w:p w14:paraId="7A09B72B">
            <w:pPr>
              <w:snapToGrid w:val="0"/>
              <w:spacing w:line="360" w:lineRule="exact"/>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锰</w:t>
            </w:r>
          </w:p>
        </w:tc>
        <w:tc>
          <w:tcPr>
            <w:tcW w:w="2839" w:type="dxa"/>
            <w:tcBorders>
              <w:tl2br w:val="nil"/>
              <w:tr2bl w:val="nil"/>
            </w:tcBorders>
            <w:vAlign w:val="center"/>
          </w:tcPr>
          <w:p w14:paraId="606ED58C">
            <w:pPr>
              <w:snapToGrid w:val="0"/>
              <w:spacing w:line="360" w:lineRule="exact"/>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0.10</w:t>
            </w:r>
          </w:p>
        </w:tc>
      </w:tr>
      <w:tr w14:paraId="006D14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8" w:type="dxa"/>
            <w:tcBorders>
              <w:tl2br w:val="nil"/>
              <w:tr2bl w:val="nil"/>
            </w:tcBorders>
            <w:vAlign w:val="center"/>
          </w:tcPr>
          <w:p w14:paraId="1312AD04">
            <w:pPr>
              <w:pStyle w:val="53"/>
              <w:spacing w:line="360" w:lineRule="exact"/>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6</w:t>
            </w:r>
          </w:p>
        </w:tc>
        <w:tc>
          <w:tcPr>
            <w:tcW w:w="3575" w:type="dxa"/>
            <w:tcBorders>
              <w:tl2br w:val="nil"/>
              <w:tr2bl w:val="nil"/>
            </w:tcBorders>
            <w:vAlign w:val="center"/>
          </w:tcPr>
          <w:p w14:paraId="611B4E9A">
            <w:pPr>
              <w:snapToGrid w:val="0"/>
              <w:spacing w:line="360" w:lineRule="exact"/>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锌</w:t>
            </w:r>
          </w:p>
        </w:tc>
        <w:tc>
          <w:tcPr>
            <w:tcW w:w="2839" w:type="dxa"/>
            <w:tcBorders>
              <w:tl2br w:val="nil"/>
              <w:tr2bl w:val="nil"/>
            </w:tcBorders>
            <w:vAlign w:val="center"/>
          </w:tcPr>
          <w:p w14:paraId="7C55F1D3">
            <w:pPr>
              <w:snapToGrid w:val="0"/>
              <w:spacing w:line="360" w:lineRule="exact"/>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w:t>
            </w:r>
          </w:p>
        </w:tc>
      </w:tr>
      <w:tr w14:paraId="257FBD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8" w:type="dxa"/>
            <w:tcBorders>
              <w:tl2br w:val="nil"/>
              <w:tr2bl w:val="nil"/>
            </w:tcBorders>
            <w:vAlign w:val="center"/>
          </w:tcPr>
          <w:p w14:paraId="315E9DB3">
            <w:pPr>
              <w:pStyle w:val="53"/>
              <w:spacing w:line="360" w:lineRule="exact"/>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7</w:t>
            </w:r>
          </w:p>
        </w:tc>
        <w:tc>
          <w:tcPr>
            <w:tcW w:w="3575" w:type="dxa"/>
            <w:tcBorders>
              <w:tl2br w:val="nil"/>
              <w:tr2bl w:val="nil"/>
            </w:tcBorders>
            <w:vAlign w:val="center"/>
          </w:tcPr>
          <w:p w14:paraId="62D5ED05">
            <w:pPr>
              <w:snapToGrid w:val="0"/>
              <w:spacing w:line="360" w:lineRule="exact"/>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挥发酚</w:t>
            </w:r>
          </w:p>
        </w:tc>
        <w:tc>
          <w:tcPr>
            <w:tcW w:w="2839" w:type="dxa"/>
            <w:tcBorders>
              <w:tl2br w:val="nil"/>
              <w:tr2bl w:val="nil"/>
            </w:tcBorders>
            <w:vAlign w:val="center"/>
          </w:tcPr>
          <w:p w14:paraId="5B4C2901">
            <w:pPr>
              <w:snapToGrid w:val="0"/>
              <w:spacing w:line="360" w:lineRule="exact"/>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0.002</w:t>
            </w:r>
          </w:p>
        </w:tc>
      </w:tr>
      <w:tr w14:paraId="0750D8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8" w:type="dxa"/>
            <w:tcBorders>
              <w:tl2br w:val="nil"/>
              <w:tr2bl w:val="nil"/>
            </w:tcBorders>
            <w:vAlign w:val="center"/>
          </w:tcPr>
          <w:p w14:paraId="0B0E1FBB">
            <w:pPr>
              <w:pStyle w:val="53"/>
              <w:spacing w:line="360" w:lineRule="exact"/>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8</w:t>
            </w:r>
          </w:p>
        </w:tc>
        <w:tc>
          <w:tcPr>
            <w:tcW w:w="3575" w:type="dxa"/>
            <w:tcBorders>
              <w:tl2br w:val="nil"/>
              <w:tr2bl w:val="nil"/>
            </w:tcBorders>
            <w:vAlign w:val="center"/>
          </w:tcPr>
          <w:p w14:paraId="779AFCC4">
            <w:pPr>
              <w:snapToGrid w:val="0"/>
              <w:spacing w:line="360" w:lineRule="exact"/>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氨氮</w:t>
            </w:r>
          </w:p>
        </w:tc>
        <w:tc>
          <w:tcPr>
            <w:tcW w:w="2839" w:type="dxa"/>
            <w:tcBorders>
              <w:tl2br w:val="nil"/>
              <w:tr2bl w:val="nil"/>
            </w:tcBorders>
            <w:vAlign w:val="center"/>
          </w:tcPr>
          <w:p w14:paraId="0C458E4C">
            <w:pPr>
              <w:snapToGrid w:val="0"/>
              <w:spacing w:line="360" w:lineRule="exact"/>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0.50</w:t>
            </w:r>
          </w:p>
        </w:tc>
      </w:tr>
      <w:tr w14:paraId="006F0A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8" w:type="dxa"/>
            <w:tcBorders>
              <w:tl2br w:val="nil"/>
              <w:tr2bl w:val="nil"/>
            </w:tcBorders>
            <w:vAlign w:val="center"/>
          </w:tcPr>
          <w:p w14:paraId="5709F0C1">
            <w:pPr>
              <w:pStyle w:val="53"/>
              <w:spacing w:line="360" w:lineRule="exact"/>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9</w:t>
            </w:r>
          </w:p>
        </w:tc>
        <w:tc>
          <w:tcPr>
            <w:tcW w:w="3575" w:type="dxa"/>
            <w:tcBorders>
              <w:tl2br w:val="nil"/>
              <w:tr2bl w:val="nil"/>
            </w:tcBorders>
            <w:vAlign w:val="center"/>
          </w:tcPr>
          <w:p w14:paraId="43A296B0">
            <w:pPr>
              <w:snapToGrid w:val="0"/>
              <w:spacing w:line="360" w:lineRule="exact"/>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总大肠菌群</w:t>
            </w:r>
          </w:p>
        </w:tc>
        <w:tc>
          <w:tcPr>
            <w:tcW w:w="2839" w:type="dxa"/>
            <w:tcBorders>
              <w:tl2br w:val="nil"/>
              <w:tr2bl w:val="nil"/>
            </w:tcBorders>
            <w:vAlign w:val="center"/>
          </w:tcPr>
          <w:p w14:paraId="120EEF68">
            <w:pPr>
              <w:snapToGrid w:val="0"/>
              <w:spacing w:line="360" w:lineRule="exact"/>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3.0MPN/100mL</w:t>
            </w:r>
          </w:p>
        </w:tc>
      </w:tr>
      <w:tr w14:paraId="24BF26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8" w:type="dxa"/>
            <w:tcBorders>
              <w:tl2br w:val="nil"/>
              <w:tr2bl w:val="nil"/>
            </w:tcBorders>
            <w:vAlign w:val="center"/>
          </w:tcPr>
          <w:p w14:paraId="79385DEB">
            <w:pPr>
              <w:pStyle w:val="53"/>
              <w:spacing w:line="360" w:lineRule="exact"/>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10</w:t>
            </w:r>
          </w:p>
        </w:tc>
        <w:tc>
          <w:tcPr>
            <w:tcW w:w="3575" w:type="dxa"/>
            <w:tcBorders>
              <w:tl2br w:val="nil"/>
              <w:tr2bl w:val="nil"/>
            </w:tcBorders>
            <w:vAlign w:val="center"/>
          </w:tcPr>
          <w:p w14:paraId="23EFF382">
            <w:pPr>
              <w:snapToGrid w:val="0"/>
              <w:spacing w:line="360" w:lineRule="exact"/>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菌落总数</w:t>
            </w:r>
          </w:p>
        </w:tc>
        <w:tc>
          <w:tcPr>
            <w:tcW w:w="2839" w:type="dxa"/>
            <w:tcBorders>
              <w:tl2br w:val="nil"/>
              <w:tr2bl w:val="nil"/>
            </w:tcBorders>
            <w:vAlign w:val="center"/>
          </w:tcPr>
          <w:p w14:paraId="46330558">
            <w:pPr>
              <w:snapToGrid w:val="0"/>
              <w:spacing w:line="360" w:lineRule="exact"/>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100CFU/mL</w:t>
            </w:r>
          </w:p>
        </w:tc>
      </w:tr>
      <w:tr w14:paraId="02FAEE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8" w:type="dxa"/>
            <w:tcBorders>
              <w:tl2br w:val="nil"/>
              <w:tr2bl w:val="nil"/>
            </w:tcBorders>
            <w:vAlign w:val="center"/>
          </w:tcPr>
          <w:p w14:paraId="4B9D55F9">
            <w:pPr>
              <w:pStyle w:val="53"/>
              <w:spacing w:line="360" w:lineRule="exact"/>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11</w:t>
            </w:r>
          </w:p>
        </w:tc>
        <w:tc>
          <w:tcPr>
            <w:tcW w:w="3575" w:type="dxa"/>
            <w:tcBorders>
              <w:tl2br w:val="nil"/>
              <w:tr2bl w:val="nil"/>
            </w:tcBorders>
            <w:vAlign w:val="center"/>
          </w:tcPr>
          <w:p w14:paraId="289EF13C">
            <w:pPr>
              <w:snapToGrid w:val="0"/>
              <w:spacing w:line="360" w:lineRule="exact"/>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亚硝酸盐</w:t>
            </w:r>
          </w:p>
        </w:tc>
        <w:tc>
          <w:tcPr>
            <w:tcW w:w="2839" w:type="dxa"/>
            <w:tcBorders>
              <w:tl2br w:val="nil"/>
              <w:tr2bl w:val="nil"/>
            </w:tcBorders>
            <w:vAlign w:val="center"/>
          </w:tcPr>
          <w:p w14:paraId="4310FBA0">
            <w:pPr>
              <w:snapToGrid w:val="0"/>
              <w:spacing w:line="360" w:lineRule="exact"/>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w:t>
            </w:r>
          </w:p>
        </w:tc>
      </w:tr>
      <w:tr w14:paraId="7D1F12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8" w:type="dxa"/>
            <w:tcBorders>
              <w:tl2br w:val="nil"/>
              <w:tr2bl w:val="nil"/>
            </w:tcBorders>
            <w:vAlign w:val="center"/>
          </w:tcPr>
          <w:p w14:paraId="4F96DFE2">
            <w:pPr>
              <w:pStyle w:val="53"/>
              <w:spacing w:line="360" w:lineRule="exact"/>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12</w:t>
            </w:r>
          </w:p>
        </w:tc>
        <w:tc>
          <w:tcPr>
            <w:tcW w:w="3575" w:type="dxa"/>
            <w:tcBorders>
              <w:tl2br w:val="nil"/>
              <w:tr2bl w:val="nil"/>
            </w:tcBorders>
            <w:vAlign w:val="center"/>
          </w:tcPr>
          <w:p w14:paraId="6B0D0517">
            <w:pPr>
              <w:snapToGrid w:val="0"/>
              <w:spacing w:line="360" w:lineRule="exact"/>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硝酸盐</w:t>
            </w:r>
          </w:p>
        </w:tc>
        <w:tc>
          <w:tcPr>
            <w:tcW w:w="2839" w:type="dxa"/>
            <w:tcBorders>
              <w:tl2br w:val="nil"/>
              <w:tr2bl w:val="nil"/>
            </w:tcBorders>
            <w:vAlign w:val="center"/>
          </w:tcPr>
          <w:p w14:paraId="5B4E3865">
            <w:pPr>
              <w:snapToGrid w:val="0"/>
              <w:spacing w:line="360" w:lineRule="exact"/>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20.0</w:t>
            </w:r>
          </w:p>
        </w:tc>
      </w:tr>
      <w:tr w14:paraId="23DD69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8" w:type="dxa"/>
            <w:tcBorders>
              <w:tl2br w:val="nil"/>
              <w:tr2bl w:val="nil"/>
            </w:tcBorders>
            <w:vAlign w:val="center"/>
          </w:tcPr>
          <w:p w14:paraId="051D3F1D">
            <w:pPr>
              <w:pStyle w:val="53"/>
              <w:spacing w:line="360" w:lineRule="exact"/>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13</w:t>
            </w:r>
          </w:p>
        </w:tc>
        <w:tc>
          <w:tcPr>
            <w:tcW w:w="3575" w:type="dxa"/>
            <w:tcBorders>
              <w:tl2br w:val="nil"/>
              <w:tr2bl w:val="nil"/>
            </w:tcBorders>
            <w:vAlign w:val="center"/>
          </w:tcPr>
          <w:p w14:paraId="0650C250">
            <w:pPr>
              <w:snapToGrid w:val="0"/>
              <w:spacing w:line="360" w:lineRule="exact"/>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汞</w:t>
            </w:r>
          </w:p>
        </w:tc>
        <w:tc>
          <w:tcPr>
            <w:tcW w:w="2839" w:type="dxa"/>
            <w:tcBorders>
              <w:tl2br w:val="nil"/>
              <w:tr2bl w:val="nil"/>
            </w:tcBorders>
            <w:vAlign w:val="center"/>
          </w:tcPr>
          <w:p w14:paraId="2F7EA87E">
            <w:pPr>
              <w:snapToGrid w:val="0"/>
              <w:spacing w:line="360" w:lineRule="exact"/>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0.001</w:t>
            </w:r>
          </w:p>
        </w:tc>
      </w:tr>
      <w:tr w14:paraId="6AE0CF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8" w:type="dxa"/>
            <w:tcBorders>
              <w:tl2br w:val="nil"/>
              <w:tr2bl w:val="nil"/>
            </w:tcBorders>
            <w:vAlign w:val="center"/>
          </w:tcPr>
          <w:p w14:paraId="1DA00F28">
            <w:pPr>
              <w:pStyle w:val="53"/>
              <w:spacing w:line="360" w:lineRule="exact"/>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14</w:t>
            </w:r>
          </w:p>
        </w:tc>
        <w:tc>
          <w:tcPr>
            <w:tcW w:w="3575" w:type="dxa"/>
            <w:tcBorders>
              <w:tl2br w:val="nil"/>
              <w:tr2bl w:val="nil"/>
            </w:tcBorders>
            <w:vAlign w:val="center"/>
          </w:tcPr>
          <w:p w14:paraId="7205D8CB">
            <w:pPr>
              <w:snapToGrid w:val="0"/>
              <w:spacing w:line="360" w:lineRule="exact"/>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砷</w:t>
            </w:r>
          </w:p>
        </w:tc>
        <w:tc>
          <w:tcPr>
            <w:tcW w:w="2839" w:type="dxa"/>
            <w:tcBorders>
              <w:tl2br w:val="nil"/>
              <w:tr2bl w:val="nil"/>
            </w:tcBorders>
            <w:vAlign w:val="center"/>
          </w:tcPr>
          <w:p w14:paraId="72B4D711">
            <w:pPr>
              <w:snapToGrid w:val="0"/>
              <w:spacing w:line="360" w:lineRule="exact"/>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0.01</w:t>
            </w:r>
          </w:p>
        </w:tc>
      </w:tr>
      <w:tr w14:paraId="0483E0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8" w:type="dxa"/>
            <w:tcBorders>
              <w:tl2br w:val="nil"/>
              <w:tr2bl w:val="nil"/>
            </w:tcBorders>
            <w:vAlign w:val="center"/>
          </w:tcPr>
          <w:p w14:paraId="1D5225FE">
            <w:pPr>
              <w:pStyle w:val="53"/>
              <w:spacing w:line="360" w:lineRule="exact"/>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15</w:t>
            </w:r>
          </w:p>
        </w:tc>
        <w:tc>
          <w:tcPr>
            <w:tcW w:w="3575" w:type="dxa"/>
            <w:tcBorders>
              <w:tl2br w:val="nil"/>
              <w:tr2bl w:val="nil"/>
            </w:tcBorders>
            <w:vAlign w:val="center"/>
          </w:tcPr>
          <w:p w14:paraId="306A8A21">
            <w:pPr>
              <w:snapToGrid w:val="0"/>
              <w:spacing w:line="360" w:lineRule="exact"/>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镉</w:t>
            </w:r>
          </w:p>
        </w:tc>
        <w:tc>
          <w:tcPr>
            <w:tcW w:w="2839" w:type="dxa"/>
            <w:tcBorders>
              <w:tl2br w:val="nil"/>
              <w:tr2bl w:val="nil"/>
            </w:tcBorders>
            <w:vAlign w:val="center"/>
          </w:tcPr>
          <w:p w14:paraId="743FD782">
            <w:pPr>
              <w:snapToGrid w:val="0"/>
              <w:spacing w:line="360" w:lineRule="exact"/>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0.005</w:t>
            </w:r>
          </w:p>
        </w:tc>
      </w:tr>
      <w:tr w14:paraId="56FD56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8" w:type="dxa"/>
            <w:tcBorders>
              <w:tl2br w:val="nil"/>
              <w:tr2bl w:val="nil"/>
            </w:tcBorders>
            <w:vAlign w:val="center"/>
          </w:tcPr>
          <w:p w14:paraId="72EBAA4E">
            <w:pPr>
              <w:pStyle w:val="53"/>
              <w:spacing w:line="360" w:lineRule="exact"/>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16</w:t>
            </w:r>
          </w:p>
        </w:tc>
        <w:tc>
          <w:tcPr>
            <w:tcW w:w="3575" w:type="dxa"/>
            <w:tcBorders>
              <w:tl2br w:val="nil"/>
              <w:tr2bl w:val="nil"/>
            </w:tcBorders>
            <w:vAlign w:val="center"/>
          </w:tcPr>
          <w:p w14:paraId="76E7D227">
            <w:pPr>
              <w:snapToGrid w:val="0"/>
              <w:spacing w:line="360" w:lineRule="exact"/>
              <w:ind w:firstLine="0" w:firstLineChars="0"/>
              <w:contextualSpacing/>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z w:val="21"/>
                <w:szCs w:val="21"/>
                <w:highlight w:val="none"/>
              </w:rPr>
              <w:t>六价铬</w:t>
            </w:r>
          </w:p>
        </w:tc>
        <w:tc>
          <w:tcPr>
            <w:tcW w:w="2839" w:type="dxa"/>
            <w:tcBorders>
              <w:tl2br w:val="nil"/>
              <w:tr2bl w:val="nil"/>
            </w:tcBorders>
            <w:vAlign w:val="center"/>
          </w:tcPr>
          <w:p w14:paraId="670B8276">
            <w:pPr>
              <w:snapToGrid w:val="0"/>
              <w:spacing w:line="360" w:lineRule="exact"/>
              <w:ind w:firstLine="0" w:firstLineChars="0"/>
              <w:contextualSpacing/>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0.05</w:t>
            </w:r>
          </w:p>
        </w:tc>
      </w:tr>
      <w:tr w14:paraId="64C9C8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8" w:type="dxa"/>
            <w:tcBorders>
              <w:tl2br w:val="nil"/>
              <w:tr2bl w:val="nil"/>
            </w:tcBorders>
            <w:vAlign w:val="center"/>
          </w:tcPr>
          <w:p w14:paraId="15661A32">
            <w:pPr>
              <w:pStyle w:val="53"/>
              <w:spacing w:line="360" w:lineRule="exact"/>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17</w:t>
            </w:r>
          </w:p>
        </w:tc>
        <w:tc>
          <w:tcPr>
            <w:tcW w:w="3575" w:type="dxa"/>
            <w:tcBorders>
              <w:tl2br w:val="nil"/>
              <w:tr2bl w:val="nil"/>
            </w:tcBorders>
            <w:vAlign w:val="center"/>
          </w:tcPr>
          <w:p w14:paraId="09A351DB">
            <w:pPr>
              <w:snapToGrid w:val="0"/>
              <w:spacing w:line="360" w:lineRule="exact"/>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铅</w:t>
            </w:r>
          </w:p>
        </w:tc>
        <w:tc>
          <w:tcPr>
            <w:tcW w:w="2839" w:type="dxa"/>
            <w:tcBorders>
              <w:tl2br w:val="nil"/>
              <w:tr2bl w:val="nil"/>
            </w:tcBorders>
            <w:vAlign w:val="center"/>
          </w:tcPr>
          <w:p w14:paraId="4979957E">
            <w:pPr>
              <w:snapToGrid w:val="0"/>
              <w:spacing w:line="360" w:lineRule="exact"/>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0.01</w:t>
            </w:r>
          </w:p>
        </w:tc>
      </w:tr>
      <w:tr w14:paraId="27BDCD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8" w:type="dxa"/>
            <w:tcBorders>
              <w:tl2br w:val="nil"/>
              <w:tr2bl w:val="nil"/>
            </w:tcBorders>
            <w:vAlign w:val="center"/>
          </w:tcPr>
          <w:p w14:paraId="05E799BB">
            <w:pPr>
              <w:pStyle w:val="53"/>
              <w:spacing w:line="360" w:lineRule="exact"/>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18</w:t>
            </w:r>
          </w:p>
        </w:tc>
        <w:tc>
          <w:tcPr>
            <w:tcW w:w="3575" w:type="dxa"/>
            <w:tcBorders>
              <w:tl2br w:val="nil"/>
              <w:tr2bl w:val="nil"/>
            </w:tcBorders>
            <w:vAlign w:val="center"/>
          </w:tcPr>
          <w:p w14:paraId="702E2C16">
            <w:pPr>
              <w:snapToGrid w:val="0"/>
              <w:spacing w:line="360" w:lineRule="exact"/>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氯化物</w:t>
            </w:r>
          </w:p>
        </w:tc>
        <w:tc>
          <w:tcPr>
            <w:tcW w:w="2839" w:type="dxa"/>
            <w:tcBorders>
              <w:tl2br w:val="nil"/>
              <w:tr2bl w:val="nil"/>
            </w:tcBorders>
            <w:vAlign w:val="center"/>
          </w:tcPr>
          <w:p w14:paraId="76531DEC">
            <w:pPr>
              <w:snapToGrid w:val="0"/>
              <w:spacing w:line="360" w:lineRule="exact"/>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250</w:t>
            </w:r>
          </w:p>
        </w:tc>
      </w:tr>
      <w:tr w14:paraId="628CA1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8" w:type="dxa"/>
            <w:tcBorders>
              <w:tl2br w:val="nil"/>
              <w:tr2bl w:val="nil"/>
            </w:tcBorders>
            <w:vAlign w:val="center"/>
          </w:tcPr>
          <w:p w14:paraId="7EB1DC03">
            <w:pPr>
              <w:pStyle w:val="53"/>
              <w:spacing w:line="360" w:lineRule="exact"/>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19</w:t>
            </w:r>
          </w:p>
        </w:tc>
        <w:tc>
          <w:tcPr>
            <w:tcW w:w="3575" w:type="dxa"/>
            <w:tcBorders>
              <w:tl2br w:val="nil"/>
              <w:tr2bl w:val="nil"/>
            </w:tcBorders>
            <w:vAlign w:val="center"/>
          </w:tcPr>
          <w:p w14:paraId="01E8D5EC">
            <w:pPr>
              <w:snapToGrid w:val="0"/>
              <w:spacing w:line="360" w:lineRule="exact"/>
              <w:ind w:firstLine="0" w:firstLineChars="0"/>
              <w:contextualSpacing/>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耗氧量</w:t>
            </w:r>
          </w:p>
        </w:tc>
        <w:tc>
          <w:tcPr>
            <w:tcW w:w="2839" w:type="dxa"/>
            <w:tcBorders>
              <w:tl2br w:val="nil"/>
              <w:tr2bl w:val="nil"/>
            </w:tcBorders>
            <w:vAlign w:val="center"/>
          </w:tcPr>
          <w:p w14:paraId="68A52446">
            <w:pPr>
              <w:snapToGrid w:val="0"/>
              <w:spacing w:line="360" w:lineRule="exact"/>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w:t>
            </w:r>
          </w:p>
        </w:tc>
      </w:tr>
      <w:tr w14:paraId="47B691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8" w:type="dxa"/>
            <w:tcBorders>
              <w:tl2br w:val="nil"/>
              <w:tr2bl w:val="nil"/>
            </w:tcBorders>
            <w:vAlign w:val="center"/>
          </w:tcPr>
          <w:p w14:paraId="6ADDD9DD">
            <w:pPr>
              <w:pStyle w:val="53"/>
              <w:spacing w:line="360" w:lineRule="exact"/>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20</w:t>
            </w:r>
          </w:p>
        </w:tc>
        <w:tc>
          <w:tcPr>
            <w:tcW w:w="3575" w:type="dxa"/>
            <w:tcBorders>
              <w:tl2br w:val="nil"/>
              <w:tr2bl w:val="nil"/>
            </w:tcBorders>
            <w:vAlign w:val="center"/>
          </w:tcPr>
          <w:p w14:paraId="448AACC8">
            <w:pPr>
              <w:snapToGrid w:val="0"/>
              <w:spacing w:line="360" w:lineRule="exact"/>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氟化物</w:t>
            </w:r>
          </w:p>
        </w:tc>
        <w:tc>
          <w:tcPr>
            <w:tcW w:w="2839" w:type="dxa"/>
            <w:tcBorders>
              <w:tl2br w:val="nil"/>
              <w:tr2bl w:val="nil"/>
            </w:tcBorders>
            <w:vAlign w:val="center"/>
          </w:tcPr>
          <w:p w14:paraId="0B770372">
            <w:pPr>
              <w:snapToGrid w:val="0"/>
              <w:spacing w:line="360" w:lineRule="exact"/>
              <w:ind w:firstLine="0" w:firstLineChars="0"/>
              <w:contextualSpacing/>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1.0</w:t>
            </w:r>
          </w:p>
        </w:tc>
      </w:tr>
      <w:tr w14:paraId="4E1133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8" w:type="dxa"/>
            <w:tcBorders>
              <w:tl2br w:val="nil"/>
              <w:tr2bl w:val="nil"/>
            </w:tcBorders>
            <w:vAlign w:val="center"/>
          </w:tcPr>
          <w:p w14:paraId="1E91EFED">
            <w:pPr>
              <w:pStyle w:val="53"/>
              <w:spacing w:line="360" w:lineRule="exac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21</w:t>
            </w:r>
          </w:p>
        </w:tc>
        <w:tc>
          <w:tcPr>
            <w:tcW w:w="3575" w:type="dxa"/>
            <w:tcBorders>
              <w:tl2br w:val="nil"/>
              <w:tr2bl w:val="nil"/>
            </w:tcBorders>
            <w:vAlign w:val="center"/>
          </w:tcPr>
          <w:p w14:paraId="7FDF471D">
            <w:pPr>
              <w:snapToGrid w:val="0"/>
              <w:spacing w:line="360" w:lineRule="exact"/>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氰化物</w:t>
            </w:r>
          </w:p>
        </w:tc>
        <w:tc>
          <w:tcPr>
            <w:tcW w:w="2839" w:type="dxa"/>
            <w:tcBorders>
              <w:tl2br w:val="nil"/>
              <w:tr2bl w:val="nil"/>
            </w:tcBorders>
            <w:vAlign w:val="center"/>
          </w:tcPr>
          <w:p w14:paraId="0D4C4186">
            <w:pPr>
              <w:snapToGrid w:val="0"/>
              <w:spacing w:line="360" w:lineRule="exact"/>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0.05</w:t>
            </w:r>
          </w:p>
        </w:tc>
      </w:tr>
      <w:tr w14:paraId="6FEDC8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8" w:type="dxa"/>
            <w:tcBorders>
              <w:tl2br w:val="nil"/>
              <w:tr2bl w:val="nil"/>
            </w:tcBorders>
            <w:vAlign w:val="center"/>
          </w:tcPr>
          <w:p w14:paraId="6C847429">
            <w:pPr>
              <w:pStyle w:val="53"/>
              <w:spacing w:line="360" w:lineRule="exac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22</w:t>
            </w:r>
          </w:p>
        </w:tc>
        <w:tc>
          <w:tcPr>
            <w:tcW w:w="3575" w:type="dxa"/>
            <w:tcBorders>
              <w:tl2br w:val="nil"/>
              <w:tr2bl w:val="nil"/>
            </w:tcBorders>
            <w:vAlign w:val="center"/>
          </w:tcPr>
          <w:p w14:paraId="1543B49C">
            <w:pPr>
              <w:snapToGrid w:val="0"/>
              <w:spacing w:line="360" w:lineRule="exact"/>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硫酸盐</w:t>
            </w:r>
          </w:p>
        </w:tc>
        <w:tc>
          <w:tcPr>
            <w:tcW w:w="2839" w:type="dxa"/>
            <w:tcBorders>
              <w:tl2br w:val="nil"/>
              <w:tr2bl w:val="nil"/>
            </w:tcBorders>
            <w:vAlign w:val="center"/>
          </w:tcPr>
          <w:p w14:paraId="567029B3">
            <w:pPr>
              <w:snapToGrid w:val="0"/>
              <w:spacing w:line="360" w:lineRule="exact"/>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250</w:t>
            </w:r>
          </w:p>
        </w:tc>
      </w:tr>
      <w:tr w14:paraId="0E6FF7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8" w:type="dxa"/>
            <w:tcBorders>
              <w:tl2br w:val="nil"/>
              <w:tr2bl w:val="nil"/>
            </w:tcBorders>
            <w:vAlign w:val="center"/>
          </w:tcPr>
          <w:p w14:paraId="2DEE9DD7">
            <w:pPr>
              <w:pStyle w:val="53"/>
              <w:spacing w:line="360" w:lineRule="exac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23</w:t>
            </w:r>
          </w:p>
        </w:tc>
        <w:tc>
          <w:tcPr>
            <w:tcW w:w="3575" w:type="dxa"/>
            <w:tcBorders>
              <w:tl2br w:val="nil"/>
              <w:tr2bl w:val="nil"/>
            </w:tcBorders>
            <w:vAlign w:val="center"/>
          </w:tcPr>
          <w:p w14:paraId="04FF0130">
            <w:pPr>
              <w:snapToGrid w:val="0"/>
              <w:spacing w:line="360" w:lineRule="exact"/>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HCO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vertAlign w:val="superscript"/>
              </w:rPr>
              <w:t>-</w:t>
            </w:r>
          </w:p>
        </w:tc>
        <w:tc>
          <w:tcPr>
            <w:tcW w:w="2839" w:type="dxa"/>
            <w:tcBorders>
              <w:tl2br w:val="nil"/>
              <w:tr2bl w:val="nil"/>
            </w:tcBorders>
            <w:vAlign w:val="center"/>
          </w:tcPr>
          <w:p w14:paraId="5AFF874F">
            <w:pPr>
              <w:snapToGrid w:val="0"/>
              <w:spacing w:line="360" w:lineRule="exact"/>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14:paraId="725BCC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8" w:type="dxa"/>
            <w:tcBorders>
              <w:tl2br w:val="nil"/>
              <w:tr2bl w:val="nil"/>
            </w:tcBorders>
            <w:vAlign w:val="center"/>
          </w:tcPr>
          <w:p w14:paraId="2D797F29">
            <w:pPr>
              <w:pStyle w:val="53"/>
              <w:spacing w:line="360" w:lineRule="exact"/>
              <w:rPr>
                <w:rFonts w:hint="eastAsia" w:ascii="Times New Roman" w:hAnsi="Times New Roman" w:eastAsia="宋体" w:cs="Times New Roman"/>
                <w:color w:val="auto"/>
                <w:spacing w:val="-1"/>
                <w:sz w:val="21"/>
                <w:szCs w:val="21"/>
                <w:highlight w:val="none"/>
                <w:lang w:eastAsia="zh-CN"/>
              </w:rPr>
            </w:pPr>
            <w:r>
              <w:rPr>
                <w:rFonts w:hint="default" w:ascii="Times New Roman" w:hAnsi="Times New Roman" w:cs="Times New Roman"/>
                <w:color w:val="auto"/>
                <w:spacing w:val="-1"/>
                <w:sz w:val="21"/>
                <w:szCs w:val="21"/>
                <w:highlight w:val="none"/>
              </w:rPr>
              <w:t>2</w:t>
            </w:r>
            <w:r>
              <w:rPr>
                <w:rFonts w:hint="eastAsia" w:cs="Times New Roman"/>
                <w:color w:val="auto"/>
                <w:spacing w:val="-1"/>
                <w:sz w:val="21"/>
                <w:szCs w:val="21"/>
                <w:highlight w:val="none"/>
                <w:lang w:val="en-US" w:eastAsia="zh-CN"/>
              </w:rPr>
              <w:t>4</w:t>
            </w:r>
          </w:p>
        </w:tc>
        <w:tc>
          <w:tcPr>
            <w:tcW w:w="3575" w:type="dxa"/>
            <w:tcBorders>
              <w:tl2br w:val="nil"/>
              <w:tr2bl w:val="nil"/>
            </w:tcBorders>
            <w:vAlign w:val="center"/>
          </w:tcPr>
          <w:p w14:paraId="00260F12">
            <w:pPr>
              <w:snapToGrid w:val="0"/>
              <w:spacing w:line="360" w:lineRule="exact"/>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Na</w:t>
            </w:r>
            <w:r>
              <w:rPr>
                <w:rFonts w:hint="default" w:ascii="Times New Roman" w:hAnsi="Times New Roman" w:cs="Times New Roman"/>
                <w:color w:val="auto"/>
                <w:sz w:val="21"/>
                <w:szCs w:val="21"/>
                <w:highlight w:val="none"/>
                <w:vertAlign w:val="superscript"/>
              </w:rPr>
              <w:t>+</w:t>
            </w:r>
          </w:p>
        </w:tc>
        <w:tc>
          <w:tcPr>
            <w:tcW w:w="2839" w:type="dxa"/>
            <w:tcBorders>
              <w:tl2br w:val="nil"/>
              <w:tr2bl w:val="nil"/>
            </w:tcBorders>
            <w:vAlign w:val="center"/>
          </w:tcPr>
          <w:p w14:paraId="03BBFCD2">
            <w:pPr>
              <w:snapToGrid w:val="0"/>
              <w:spacing w:line="360" w:lineRule="exact"/>
              <w:ind w:firstLine="0" w:firstLineChars="0"/>
              <w:contextualSpacing/>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200</w:t>
            </w:r>
          </w:p>
        </w:tc>
      </w:tr>
    </w:tbl>
    <w:p w14:paraId="17134AA4">
      <w:pPr>
        <w:pStyle w:val="55"/>
        <w:overflowPunct w:val="0"/>
        <w:topLinePunct/>
        <w:adjustRightInd/>
        <w:ind w:firstLine="476" w:firstLineChars="200"/>
        <w:rPr>
          <w:rFonts w:hint="default" w:ascii="Times New Roman" w:hAnsi="Times New Roman" w:cs="Times New Roman"/>
          <w:color w:val="auto"/>
          <w:spacing w:val="-1"/>
          <w:highlight w:val="none"/>
        </w:rPr>
      </w:pPr>
      <w:r>
        <w:rPr>
          <w:rFonts w:hint="default" w:ascii="Times New Roman" w:hAnsi="Times New Roman" w:cs="Times New Roman"/>
          <w:color w:val="auto"/>
          <w:spacing w:val="-1"/>
          <w:highlight w:val="none"/>
        </w:rPr>
        <w:t>（4）声环境</w:t>
      </w:r>
    </w:p>
    <w:p w14:paraId="149C2A90">
      <w:pPr>
        <w:overflowPunct w:val="0"/>
        <w:topLinePunct/>
        <w:ind w:firstLine="476"/>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项目声环境执行《声环境质量标准》（GB3096-2008）</w:t>
      </w:r>
      <w:r>
        <w:rPr>
          <w:rFonts w:hint="default" w:ascii="Times New Roman" w:hAnsi="Times New Roman" w:cs="Times New Roman"/>
          <w:color w:val="auto"/>
          <w:spacing w:val="-1"/>
          <w:highlight w:val="none"/>
          <w:lang w:val="en-US" w:eastAsia="zh-CN"/>
        </w:rPr>
        <w:t>2</w:t>
      </w:r>
      <w:r>
        <w:rPr>
          <w:rFonts w:hint="default" w:ascii="Times New Roman" w:hAnsi="Times New Roman" w:cs="Times New Roman"/>
          <w:color w:val="auto"/>
          <w:spacing w:val="-1"/>
          <w:highlight w:val="none"/>
        </w:rPr>
        <w:t>类标准，评价标准限值见表2.5-</w:t>
      </w:r>
      <w:r>
        <w:rPr>
          <w:rFonts w:hint="default" w:ascii="Times New Roman" w:hAnsi="Times New Roman" w:cs="Times New Roman"/>
          <w:color w:val="auto"/>
          <w:spacing w:val="-1"/>
          <w:highlight w:val="none"/>
          <w:lang w:val="en-US" w:eastAsia="zh-CN"/>
        </w:rPr>
        <w:t>3</w:t>
      </w:r>
      <w:r>
        <w:rPr>
          <w:rFonts w:hint="default" w:ascii="Times New Roman" w:hAnsi="Times New Roman" w:cs="Times New Roman"/>
          <w:color w:val="auto"/>
          <w:spacing w:val="-1"/>
          <w:highlight w:val="none"/>
        </w:rPr>
        <w:t>。</w:t>
      </w:r>
    </w:p>
    <w:p w14:paraId="489BA2A4">
      <w:pPr>
        <w:ind w:firstLine="0" w:firstLineChars="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表2.5-</w:t>
      </w:r>
      <w:r>
        <w:rPr>
          <w:rFonts w:hint="default" w:ascii="Times New Roman" w:hAnsi="Times New Roman" w:cs="Times New Roman"/>
          <w:b/>
          <w:color w:val="auto"/>
          <w:highlight w:val="none"/>
          <w:lang w:val="en-US" w:eastAsia="zh-CN"/>
        </w:rPr>
        <w:t>3</w:t>
      </w:r>
      <w:r>
        <w:rPr>
          <w:rFonts w:hint="default" w:ascii="Times New Roman" w:hAnsi="Times New Roman" w:cs="Times New Roman"/>
          <w:b/>
          <w:color w:val="auto"/>
          <w:highlight w:val="none"/>
        </w:rPr>
        <w:t xml:space="preserve">    声环境质量标准    单位：dB（A）</w:t>
      </w:r>
    </w:p>
    <w:tbl>
      <w:tblPr>
        <w:tblStyle w:val="33"/>
        <w:tblW w:w="85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078"/>
        <w:gridCol w:w="2345"/>
        <w:gridCol w:w="3097"/>
      </w:tblGrid>
      <w:tr w14:paraId="4ECE23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3078" w:type="dxa"/>
            <w:vAlign w:val="center"/>
          </w:tcPr>
          <w:p w14:paraId="0B549B04">
            <w:pPr>
              <w:pStyle w:val="53"/>
              <w:spacing w:line="360" w:lineRule="exact"/>
              <w:rPr>
                <w:rFonts w:hint="default" w:ascii="Times New Roman" w:hAnsi="Times New Roman" w:cs="Times New Roman"/>
                <w:b/>
                <w:bCs/>
                <w:color w:val="auto"/>
                <w:spacing w:val="-1"/>
                <w:highlight w:val="none"/>
              </w:rPr>
            </w:pPr>
            <w:r>
              <w:rPr>
                <w:rFonts w:hint="default" w:ascii="Times New Roman" w:hAnsi="Times New Roman" w:cs="Times New Roman"/>
                <w:b/>
                <w:bCs/>
                <w:color w:val="auto"/>
                <w:spacing w:val="-1"/>
                <w:highlight w:val="none"/>
              </w:rPr>
              <w:t>类  别</w:t>
            </w:r>
          </w:p>
        </w:tc>
        <w:tc>
          <w:tcPr>
            <w:tcW w:w="2345" w:type="dxa"/>
            <w:vAlign w:val="center"/>
          </w:tcPr>
          <w:p w14:paraId="0D8D1B16">
            <w:pPr>
              <w:pStyle w:val="53"/>
              <w:spacing w:line="360" w:lineRule="exact"/>
              <w:rPr>
                <w:rFonts w:hint="default" w:ascii="Times New Roman" w:hAnsi="Times New Roman" w:cs="Times New Roman"/>
                <w:b/>
                <w:bCs/>
                <w:color w:val="auto"/>
                <w:spacing w:val="-1"/>
                <w:highlight w:val="none"/>
              </w:rPr>
            </w:pPr>
            <w:r>
              <w:rPr>
                <w:rFonts w:hint="default" w:ascii="Times New Roman" w:hAnsi="Times New Roman" w:cs="Times New Roman"/>
                <w:b/>
                <w:bCs/>
                <w:color w:val="auto"/>
                <w:spacing w:val="-1"/>
                <w:highlight w:val="none"/>
              </w:rPr>
              <w:t>昼  间</w:t>
            </w:r>
          </w:p>
        </w:tc>
        <w:tc>
          <w:tcPr>
            <w:tcW w:w="3097" w:type="dxa"/>
            <w:vAlign w:val="center"/>
          </w:tcPr>
          <w:p w14:paraId="2E6A0F67">
            <w:pPr>
              <w:pStyle w:val="53"/>
              <w:spacing w:line="360" w:lineRule="exact"/>
              <w:rPr>
                <w:rFonts w:hint="default" w:ascii="Times New Roman" w:hAnsi="Times New Roman" w:cs="Times New Roman"/>
                <w:b/>
                <w:bCs/>
                <w:color w:val="auto"/>
                <w:spacing w:val="-1"/>
                <w:highlight w:val="none"/>
              </w:rPr>
            </w:pPr>
            <w:r>
              <w:rPr>
                <w:rFonts w:hint="default" w:ascii="Times New Roman" w:hAnsi="Times New Roman" w:cs="Times New Roman"/>
                <w:b/>
                <w:bCs/>
                <w:color w:val="auto"/>
                <w:spacing w:val="-1"/>
                <w:highlight w:val="none"/>
              </w:rPr>
              <w:t>夜  间</w:t>
            </w:r>
          </w:p>
        </w:tc>
      </w:tr>
      <w:tr w14:paraId="755D66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3078" w:type="dxa"/>
            <w:vAlign w:val="center"/>
          </w:tcPr>
          <w:p w14:paraId="2EF55FBA">
            <w:pPr>
              <w:pStyle w:val="53"/>
              <w:spacing w:line="360" w:lineRule="exact"/>
              <w:rPr>
                <w:rFonts w:hint="default" w:ascii="Times New Roman" w:hAnsi="Times New Roman" w:cs="Times New Roman"/>
                <w:color w:val="auto"/>
                <w:spacing w:val="-1"/>
                <w:highlight w:val="none"/>
              </w:rPr>
            </w:pPr>
            <w:r>
              <w:rPr>
                <w:rFonts w:hint="default" w:ascii="Times New Roman" w:hAnsi="Times New Roman" w:cs="Times New Roman"/>
                <w:color w:val="auto"/>
                <w:spacing w:val="-1"/>
                <w:highlight w:val="none"/>
              </w:rPr>
              <w:t>环境噪声</w:t>
            </w:r>
          </w:p>
        </w:tc>
        <w:tc>
          <w:tcPr>
            <w:tcW w:w="2345" w:type="dxa"/>
            <w:vAlign w:val="center"/>
          </w:tcPr>
          <w:p w14:paraId="1AAB7D77">
            <w:pPr>
              <w:pStyle w:val="53"/>
              <w:spacing w:line="360" w:lineRule="exact"/>
              <w:rPr>
                <w:rFonts w:hint="default" w:ascii="Times New Roman" w:hAnsi="Times New Roman" w:eastAsia="宋体" w:cs="Times New Roman"/>
                <w:color w:val="auto"/>
                <w:spacing w:val="-1"/>
                <w:highlight w:val="none"/>
                <w:lang w:eastAsia="zh-CN"/>
              </w:rPr>
            </w:pPr>
            <w:r>
              <w:rPr>
                <w:rFonts w:hint="default" w:ascii="Times New Roman" w:hAnsi="Times New Roman" w:cs="Times New Roman"/>
                <w:color w:val="auto"/>
                <w:spacing w:val="-1"/>
                <w:highlight w:val="none"/>
              </w:rPr>
              <w:t>6</w:t>
            </w:r>
            <w:r>
              <w:rPr>
                <w:rFonts w:hint="default" w:ascii="Times New Roman" w:hAnsi="Times New Roman" w:cs="Times New Roman"/>
                <w:color w:val="auto"/>
                <w:spacing w:val="-1"/>
                <w:highlight w:val="none"/>
                <w:lang w:val="en-US" w:eastAsia="zh-CN"/>
              </w:rPr>
              <w:t>0</w:t>
            </w:r>
          </w:p>
        </w:tc>
        <w:tc>
          <w:tcPr>
            <w:tcW w:w="3097" w:type="dxa"/>
            <w:vAlign w:val="center"/>
          </w:tcPr>
          <w:p w14:paraId="3B026C5F">
            <w:pPr>
              <w:pStyle w:val="53"/>
              <w:spacing w:line="360" w:lineRule="exact"/>
              <w:rPr>
                <w:rFonts w:hint="default" w:ascii="Times New Roman" w:hAnsi="Times New Roman" w:eastAsia="宋体" w:cs="Times New Roman"/>
                <w:color w:val="auto"/>
                <w:spacing w:val="-1"/>
                <w:highlight w:val="none"/>
                <w:lang w:eastAsia="zh-CN"/>
              </w:rPr>
            </w:pPr>
            <w:r>
              <w:rPr>
                <w:rFonts w:hint="default" w:ascii="Times New Roman" w:hAnsi="Times New Roman" w:cs="Times New Roman"/>
                <w:color w:val="auto"/>
                <w:spacing w:val="-1"/>
                <w:highlight w:val="none"/>
              </w:rPr>
              <w:t>5</w:t>
            </w:r>
            <w:r>
              <w:rPr>
                <w:rFonts w:hint="default" w:ascii="Times New Roman" w:hAnsi="Times New Roman" w:cs="Times New Roman"/>
                <w:color w:val="auto"/>
                <w:spacing w:val="-1"/>
                <w:highlight w:val="none"/>
                <w:lang w:val="en-US" w:eastAsia="zh-CN"/>
              </w:rPr>
              <w:t>0</w:t>
            </w:r>
          </w:p>
        </w:tc>
      </w:tr>
    </w:tbl>
    <w:p w14:paraId="5FB61E9B">
      <w:pPr>
        <w:overflowPunct w:val="0"/>
        <w:topLinePunct/>
        <w:ind w:firstLine="476"/>
        <w:rPr>
          <w:rFonts w:hint="default" w:ascii="Times New Roman" w:hAnsi="Times New Roman" w:cs="Times New Roman"/>
          <w:color w:val="auto"/>
          <w:spacing w:val="-1"/>
          <w:highlight w:val="none"/>
        </w:rPr>
      </w:pPr>
      <w:r>
        <w:rPr>
          <w:rFonts w:hint="default" w:ascii="Times New Roman" w:hAnsi="Times New Roman" w:cs="Times New Roman"/>
          <w:color w:val="auto"/>
          <w:spacing w:val="-1"/>
          <w:highlight w:val="none"/>
        </w:rPr>
        <w:t>（5）土壤环境</w:t>
      </w:r>
    </w:p>
    <w:p w14:paraId="0576DEAE">
      <w:pPr>
        <w:overflowPunct w:val="0"/>
        <w:topLinePunct/>
        <w:ind w:firstLine="476"/>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本工程属于《城市用地分类与规划建设用地标准》（GB50137-2011）中规定的二类工业用地（M2），因此土壤环境质量执行《土壤环境质量 建设用地土壤污染风险管控标准（试行）》（GB36600-2018）中的第二类筛选值标准；评价标准限值见表2.5-</w:t>
      </w:r>
      <w:r>
        <w:rPr>
          <w:rFonts w:hint="default" w:ascii="Times New Roman" w:hAnsi="Times New Roman" w:cs="Times New Roman"/>
          <w:color w:val="auto"/>
          <w:spacing w:val="-1"/>
          <w:highlight w:val="none"/>
          <w:lang w:val="en-US" w:eastAsia="zh-CN"/>
        </w:rPr>
        <w:t>4</w:t>
      </w:r>
      <w:r>
        <w:rPr>
          <w:rFonts w:hint="default" w:ascii="Times New Roman" w:hAnsi="Times New Roman" w:cs="Times New Roman"/>
          <w:color w:val="auto"/>
          <w:spacing w:val="-1"/>
          <w:highlight w:val="none"/>
        </w:rPr>
        <w:t>。</w:t>
      </w:r>
    </w:p>
    <w:p w14:paraId="52588914">
      <w:pPr>
        <w:pStyle w:val="49"/>
        <w:widowControl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表2.5-</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zh-CN"/>
        </w:rPr>
        <w:t>建设用地、</w:t>
      </w:r>
      <w:r>
        <w:rPr>
          <w:rFonts w:hint="default" w:ascii="Times New Roman" w:hAnsi="Times New Roman" w:cs="Times New Roman"/>
          <w:color w:val="auto"/>
          <w:highlight w:val="none"/>
        </w:rPr>
        <w:t>农用地</w:t>
      </w:r>
      <w:r>
        <w:rPr>
          <w:rFonts w:hint="default" w:ascii="Times New Roman" w:hAnsi="Times New Roman" w:cs="Times New Roman"/>
          <w:color w:val="auto"/>
          <w:highlight w:val="none"/>
          <w:lang w:val="zh-CN"/>
        </w:rPr>
        <w:t>土壤污染风险管控标准</w:t>
      </w:r>
      <w:r>
        <w:rPr>
          <w:rFonts w:hint="default" w:ascii="Times New Roman" w:hAnsi="Times New Roman" w:cs="Times New Roman"/>
          <w:color w:val="auto"/>
          <w:highlight w:val="none"/>
        </w:rPr>
        <w:t xml:space="preserve">    单位：mg/kg</w:t>
      </w:r>
    </w:p>
    <w:tbl>
      <w:tblPr>
        <w:tblStyle w:val="33"/>
        <w:tblW w:w="836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058"/>
        <w:gridCol w:w="669"/>
        <w:gridCol w:w="2311"/>
        <w:gridCol w:w="2066"/>
        <w:gridCol w:w="2258"/>
      </w:tblGrid>
      <w:tr w14:paraId="1821F9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058" w:type="dxa"/>
            <w:tcBorders>
              <w:tl2br w:val="nil"/>
              <w:tr2bl w:val="nil"/>
            </w:tcBorders>
            <w:vAlign w:val="center"/>
          </w:tcPr>
          <w:p w14:paraId="6979B43A">
            <w:pPr>
              <w:spacing w:line="360" w:lineRule="atLeas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类别</w:t>
            </w:r>
          </w:p>
        </w:tc>
        <w:tc>
          <w:tcPr>
            <w:tcW w:w="669" w:type="dxa"/>
            <w:tcBorders>
              <w:tl2br w:val="nil"/>
              <w:tr2bl w:val="nil"/>
            </w:tcBorders>
            <w:vAlign w:val="center"/>
          </w:tcPr>
          <w:p w14:paraId="58D406BD">
            <w:pPr>
              <w:spacing w:line="360" w:lineRule="atLeas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序号</w:t>
            </w:r>
          </w:p>
        </w:tc>
        <w:tc>
          <w:tcPr>
            <w:tcW w:w="2311" w:type="dxa"/>
            <w:tcBorders>
              <w:tl2br w:val="nil"/>
              <w:tr2bl w:val="nil"/>
            </w:tcBorders>
            <w:vAlign w:val="center"/>
          </w:tcPr>
          <w:p w14:paraId="300A8B0F">
            <w:pPr>
              <w:spacing w:line="360" w:lineRule="atLeas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污染物项目</w:t>
            </w:r>
          </w:p>
        </w:tc>
        <w:tc>
          <w:tcPr>
            <w:tcW w:w="2066" w:type="dxa"/>
            <w:tcBorders>
              <w:tl2br w:val="nil"/>
              <w:tr2bl w:val="nil"/>
            </w:tcBorders>
            <w:vAlign w:val="center"/>
          </w:tcPr>
          <w:p w14:paraId="388EE30B">
            <w:pPr>
              <w:spacing w:line="360" w:lineRule="atLeas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标准值</w:t>
            </w:r>
          </w:p>
        </w:tc>
        <w:tc>
          <w:tcPr>
            <w:tcW w:w="2258" w:type="dxa"/>
            <w:tcBorders>
              <w:tl2br w:val="nil"/>
              <w:tr2bl w:val="nil"/>
            </w:tcBorders>
            <w:vAlign w:val="center"/>
          </w:tcPr>
          <w:p w14:paraId="1864F6BE">
            <w:pPr>
              <w:spacing w:line="360" w:lineRule="atLeas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执行标准</w:t>
            </w:r>
          </w:p>
        </w:tc>
      </w:tr>
      <w:tr w14:paraId="628A29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62" w:type="dxa"/>
            <w:gridSpan w:val="5"/>
            <w:tcBorders>
              <w:tl2br w:val="nil"/>
              <w:tr2bl w:val="nil"/>
            </w:tcBorders>
            <w:vAlign w:val="center"/>
          </w:tcPr>
          <w:p w14:paraId="078ABCA3">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重金属和无机物</w:t>
            </w:r>
          </w:p>
        </w:tc>
      </w:tr>
      <w:tr w14:paraId="43ECBB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restart"/>
            <w:tcBorders>
              <w:tl2br w:val="nil"/>
              <w:tr2bl w:val="nil"/>
            </w:tcBorders>
            <w:vAlign w:val="center"/>
          </w:tcPr>
          <w:p w14:paraId="113E2E21">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第二类用地筛选值</w:t>
            </w:r>
          </w:p>
        </w:tc>
        <w:tc>
          <w:tcPr>
            <w:tcW w:w="669" w:type="dxa"/>
            <w:tcBorders>
              <w:tl2br w:val="nil"/>
              <w:tr2bl w:val="nil"/>
            </w:tcBorders>
            <w:vAlign w:val="center"/>
          </w:tcPr>
          <w:p w14:paraId="363BC4A4">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c>
          <w:tcPr>
            <w:tcW w:w="2311" w:type="dxa"/>
            <w:tcBorders>
              <w:tl2br w:val="nil"/>
              <w:tr2bl w:val="nil"/>
            </w:tcBorders>
            <w:vAlign w:val="center"/>
          </w:tcPr>
          <w:p w14:paraId="4CAEA0FE">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砷</w:t>
            </w:r>
          </w:p>
        </w:tc>
        <w:tc>
          <w:tcPr>
            <w:tcW w:w="2066" w:type="dxa"/>
            <w:tcBorders>
              <w:tl2br w:val="nil"/>
              <w:tr2bl w:val="nil"/>
            </w:tcBorders>
            <w:vAlign w:val="center"/>
          </w:tcPr>
          <w:p w14:paraId="10378837">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60</w:t>
            </w:r>
          </w:p>
        </w:tc>
        <w:tc>
          <w:tcPr>
            <w:tcW w:w="2258" w:type="dxa"/>
            <w:vMerge w:val="restart"/>
            <w:tcBorders>
              <w:tl2br w:val="nil"/>
              <w:tr2bl w:val="nil"/>
            </w:tcBorders>
            <w:vAlign w:val="center"/>
          </w:tcPr>
          <w:p w14:paraId="3A3F4562">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《土壤环境质量 建设用地土壤污染风险管控标准》（GB36600-2018）</w:t>
            </w:r>
          </w:p>
        </w:tc>
      </w:tr>
      <w:tr w14:paraId="080995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07A3A0B2">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643F8BDB">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w:t>
            </w:r>
          </w:p>
        </w:tc>
        <w:tc>
          <w:tcPr>
            <w:tcW w:w="2311" w:type="dxa"/>
            <w:tcBorders>
              <w:tl2br w:val="nil"/>
              <w:tr2bl w:val="nil"/>
            </w:tcBorders>
            <w:vAlign w:val="center"/>
          </w:tcPr>
          <w:p w14:paraId="35BD761C">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镉</w:t>
            </w:r>
          </w:p>
        </w:tc>
        <w:tc>
          <w:tcPr>
            <w:tcW w:w="2066" w:type="dxa"/>
            <w:tcBorders>
              <w:tl2br w:val="nil"/>
              <w:tr2bl w:val="nil"/>
            </w:tcBorders>
            <w:vAlign w:val="center"/>
          </w:tcPr>
          <w:p w14:paraId="292B84F4">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65</w:t>
            </w:r>
          </w:p>
        </w:tc>
        <w:tc>
          <w:tcPr>
            <w:tcW w:w="2258" w:type="dxa"/>
            <w:vMerge w:val="continue"/>
            <w:tcBorders>
              <w:tl2br w:val="nil"/>
              <w:tr2bl w:val="nil"/>
            </w:tcBorders>
            <w:vAlign w:val="center"/>
          </w:tcPr>
          <w:p w14:paraId="1210D619">
            <w:pPr>
              <w:spacing w:line="360" w:lineRule="atLeast"/>
              <w:ind w:firstLine="0" w:firstLineChars="0"/>
              <w:jc w:val="center"/>
              <w:rPr>
                <w:rFonts w:hint="default" w:ascii="Times New Roman" w:hAnsi="Times New Roman" w:cs="Times New Roman"/>
                <w:bCs/>
                <w:color w:val="auto"/>
                <w:sz w:val="21"/>
                <w:szCs w:val="21"/>
                <w:highlight w:val="none"/>
              </w:rPr>
            </w:pPr>
          </w:p>
        </w:tc>
      </w:tr>
      <w:tr w14:paraId="333139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1446AB8B">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69C14BA0">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w:t>
            </w:r>
          </w:p>
        </w:tc>
        <w:tc>
          <w:tcPr>
            <w:tcW w:w="2311" w:type="dxa"/>
            <w:tcBorders>
              <w:tl2br w:val="nil"/>
              <w:tr2bl w:val="nil"/>
            </w:tcBorders>
            <w:vAlign w:val="center"/>
          </w:tcPr>
          <w:p w14:paraId="6F7FE2FB">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铬（六价）</w:t>
            </w:r>
          </w:p>
        </w:tc>
        <w:tc>
          <w:tcPr>
            <w:tcW w:w="2066" w:type="dxa"/>
            <w:tcBorders>
              <w:tl2br w:val="nil"/>
              <w:tr2bl w:val="nil"/>
            </w:tcBorders>
            <w:vAlign w:val="center"/>
          </w:tcPr>
          <w:p w14:paraId="2A5C45F1">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5.7</w:t>
            </w:r>
          </w:p>
        </w:tc>
        <w:tc>
          <w:tcPr>
            <w:tcW w:w="2258" w:type="dxa"/>
            <w:vMerge w:val="continue"/>
            <w:tcBorders>
              <w:tl2br w:val="nil"/>
              <w:tr2bl w:val="nil"/>
            </w:tcBorders>
            <w:vAlign w:val="center"/>
          </w:tcPr>
          <w:p w14:paraId="786DCC8B">
            <w:pPr>
              <w:spacing w:line="360" w:lineRule="atLeast"/>
              <w:ind w:firstLine="0" w:firstLineChars="0"/>
              <w:jc w:val="center"/>
              <w:rPr>
                <w:rFonts w:hint="default" w:ascii="Times New Roman" w:hAnsi="Times New Roman" w:cs="Times New Roman"/>
                <w:bCs/>
                <w:color w:val="auto"/>
                <w:sz w:val="21"/>
                <w:szCs w:val="21"/>
                <w:highlight w:val="none"/>
              </w:rPr>
            </w:pPr>
          </w:p>
        </w:tc>
      </w:tr>
      <w:tr w14:paraId="090B8A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6CB36619">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4DE98085">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w:t>
            </w:r>
          </w:p>
        </w:tc>
        <w:tc>
          <w:tcPr>
            <w:tcW w:w="2311" w:type="dxa"/>
            <w:tcBorders>
              <w:tl2br w:val="nil"/>
              <w:tr2bl w:val="nil"/>
            </w:tcBorders>
            <w:vAlign w:val="center"/>
          </w:tcPr>
          <w:p w14:paraId="38C33584">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铜</w:t>
            </w:r>
          </w:p>
        </w:tc>
        <w:tc>
          <w:tcPr>
            <w:tcW w:w="2066" w:type="dxa"/>
            <w:tcBorders>
              <w:tl2br w:val="nil"/>
              <w:tr2bl w:val="nil"/>
            </w:tcBorders>
            <w:vAlign w:val="center"/>
          </w:tcPr>
          <w:p w14:paraId="51BCD963">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18000</w:t>
            </w:r>
          </w:p>
        </w:tc>
        <w:tc>
          <w:tcPr>
            <w:tcW w:w="2258" w:type="dxa"/>
            <w:vMerge w:val="continue"/>
            <w:tcBorders>
              <w:tl2br w:val="nil"/>
              <w:tr2bl w:val="nil"/>
            </w:tcBorders>
            <w:vAlign w:val="center"/>
          </w:tcPr>
          <w:p w14:paraId="64F6D1DE">
            <w:pPr>
              <w:spacing w:line="360" w:lineRule="atLeast"/>
              <w:ind w:firstLine="0" w:firstLineChars="0"/>
              <w:jc w:val="center"/>
              <w:rPr>
                <w:rFonts w:hint="default" w:ascii="Times New Roman" w:hAnsi="Times New Roman" w:cs="Times New Roman"/>
                <w:bCs/>
                <w:color w:val="auto"/>
                <w:sz w:val="21"/>
                <w:szCs w:val="21"/>
                <w:highlight w:val="none"/>
              </w:rPr>
            </w:pPr>
          </w:p>
        </w:tc>
      </w:tr>
      <w:tr w14:paraId="4AB67E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131B9A35">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14132C2A">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w:t>
            </w:r>
          </w:p>
        </w:tc>
        <w:tc>
          <w:tcPr>
            <w:tcW w:w="2311" w:type="dxa"/>
            <w:tcBorders>
              <w:tl2br w:val="nil"/>
              <w:tr2bl w:val="nil"/>
            </w:tcBorders>
            <w:vAlign w:val="center"/>
          </w:tcPr>
          <w:p w14:paraId="2E0FDF50">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铅</w:t>
            </w:r>
          </w:p>
        </w:tc>
        <w:tc>
          <w:tcPr>
            <w:tcW w:w="2066" w:type="dxa"/>
            <w:tcBorders>
              <w:tl2br w:val="nil"/>
              <w:tr2bl w:val="nil"/>
            </w:tcBorders>
            <w:vAlign w:val="center"/>
          </w:tcPr>
          <w:p w14:paraId="40CCD918">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800</w:t>
            </w:r>
          </w:p>
        </w:tc>
        <w:tc>
          <w:tcPr>
            <w:tcW w:w="2258" w:type="dxa"/>
            <w:vMerge w:val="continue"/>
            <w:tcBorders>
              <w:tl2br w:val="nil"/>
              <w:tr2bl w:val="nil"/>
            </w:tcBorders>
            <w:vAlign w:val="center"/>
          </w:tcPr>
          <w:p w14:paraId="1E8CF85E">
            <w:pPr>
              <w:spacing w:line="360" w:lineRule="atLeast"/>
              <w:ind w:firstLine="0" w:firstLineChars="0"/>
              <w:jc w:val="center"/>
              <w:rPr>
                <w:rFonts w:hint="default" w:ascii="Times New Roman" w:hAnsi="Times New Roman" w:cs="Times New Roman"/>
                <w:bCs/>
                <w:color w:val="auto"/>
                <w:sz w:val="21"/>
                <w:szCs w:val="21"/>
                <w:highlight w:val="none"/>
              </w:rPr>
            </w:pPr>
          </w:p>
        </w:tc>
      </w:tr>
      <w:tr w14:paraId="554AAF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5C0A9490">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3104731C">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w:t>
            </w:r>
          </w:p>
        </w:tc>
        <w:tc>
          <w:tcPr>
            <w:tcW w:w="2311" w:type="dxa"/>
            <w:tcBorders>
              <w:tl2br w:val="nil"/>
              <w:tr2bl w:val="nil"/>
            </w:tcBorders>
            <w:vAlign w:val="center"/>
          </w:tcPr>
          <w:p w14:paraId="4C2C67B4">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汞</w:t>
            </w:r>
          </w:p>
        </w:tc>
        <w:tc>
          <w:tcPr>
            <w:tcW w:w="2066" w:type="dxa"/>
            <w:tcBorders>
              <w:tl2br w:val="nil"/>
              <w:tr2bl w:val="nil"/>
            </w:tcBorders>
            <w:vAlign w:val="center"/>
          </w:tcPr>
          <w:p w14:paraId="29F5288E">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38</w:t>
            </w:r>
          </w:p>
        </w:tc>
        <w:tc>
          <w:tcPr>
            <w:tcW w:w="2258" w:type="dxa"/>
            <w:vMerge w:val="continue"/>
            <w:tcBorders>
              <w:tl2br w:val="nil"/>
              <w:tr2bl w:val="nil"/>
            </w:tcBorders>
            <w:vAlign w:val="center"/>
          </w:tcPr>
          <w:p w14:paraId="2CD1BBEA">
            <w:pPr>
              <w:spacing w:line="360" w:lineRule="atLeast"/>
              <w:ind w:firstLine="0" w:firstLineChars="0"/>
              <w:jc w:val="center"/>
              <w:rPr>
                <w:rFonts w:hint="default" w:ascii="Times New Roman" w:hAnsi="Times New Roman" w:cs="Times New Roman"/>
                <w:bCs/>
                <w:color w:val="auto"/>
                <w:sz w:val="21"/>
                <w:szCs w:val="21"/>
                <w:highlight w:val="none"/>
              </w:rPr>
            </w:pPr>
          </w:p>
        </w:tc>
      </w:tr>
      <w:tr w14:paraId="421504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63EBCE6E">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6EE8BF9C">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w:t>
            </w:r>
          </w:p>
        </w:tc>
        <w:tc>
          <w:tcPr>
            <w:tcW w:w="2311" w:type="dxa"/>
            <w:tcBorders>
              <w:tl2br w:val="nil"/>
              <w:tr2bl w:val="nil"/>
            </w:tcBorders>
            <w:vAlign w:val="center"/>
          </w:tcPr>
          <w:p w14:paraId="2F78BC62">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镍</w:t>
            </w:r>
          </w:p>
        </w:tc>
        <w:tc>
          <w:tcPr>
            <w:tcW w:w="2066" w:type="dxa"/>
            <w:tcBorders>
              <w:tl2br w:val="nil"/>
              <w:tr2bl w:val="nil"/>
            </w:tcBorders>
            <w:vAlign w:val="center"/>
          </w:tcPr>
          <w:p w14:paraId="7C228209">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900</w:t>
            </w:r>
          </w:p>
        </w:tc>
        <w:tc>
          <w:tcPr>
            <w:tcW w:w="2258" w:type="dxa"/>
            <w:vMerge w:val="continue"/>
            <w:tcBorders>
              <w:tl2br w:val="nil"/>
              <w:tr2bl w:val="nil"/>
            </w:tcBorders>
            <w:vAlign w:val="center"/>
          </w:tcPr>
          <w:p w14:paraId="73710245">
            <w:pPr>
              <w:spacing w:line="360" w:lineRule="atLeast"/>
              <w:ind w:firstLine="0" w:firstLineChars="0"/>
              <w:jc w:val="center"/>
              <w:rPr>
                <w:rFonts w:hint="default" w:ascii="Times New Roman" w:hAnsi="Times New Roman" w:cs="Times New Roman"/>
                <w:bCs/>
                <w:color w:val="auto"/>
                <w:sz w:val="21"/>
                <w:szCs w:val="21"/>
                <w:highlight w:val="none"/>
              </w:rPr>
            </w:pPr>
          </w:p>
        </w:tc>
      </w:tr>
      <w:tr w14:paraId="6EC23E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62" w:type="dxa"/>
            <w:gridSpan w:val="5"/>
            <w:tcBorders>
              <w:tl2br w:val="nil"/>
              <w:tr2bl w:val="nil"/>
            </w:tcBorders>
            <w:vAlign w:val="center"/>
          </w:tcPr>
          <w:p w14:paraId="4D7E6B32">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挥发性有机物</w:t>
            </w:r>
          </w:p>
        </w:tc>
      </w:tr>
      <w:tr w14:paraId="7938CD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restart"/>
            <w:tcBorders>
              <w:tl2br w:val="nil"/>
              <w:tr2bl w:val="nil"/>
            </w:tcBorders>
            <w:vAlign w:val="center"/>
          </w:tcPr>
          <w:p w14:paraId="4E22350F">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第二类用地筛选值</w:t>
            </w:r>
          </w:p>
        </w:tc>
        <w:tc>
          <w:tcPr>
            <w:tcW w:w="669" w:type="dxa"/>
            <w:tcBorders>
              <w:tl2br w:val="nil"/>
              <w:tr2bl w:val="nil"/>
            </w:tcBorders>
            <w:vAlign w:val="center"/>
          </w:tcPr>
          <w:p w14:paraId="55F7B021">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w:t>
            </w:r>
          </w:p>
        </w:tc>
        <w:tc>
          <w:tcPr>
            <w:tcW w:w="2311" w:type="dxa"/>
            <w:tcBorders>
              <w:tl2br w:val="nil"/>
              <w:tr2bl w:val="nil"/>
            </w:tcBorders>
            <w:vAlign w:val="center"/>
          </w:tcPr>
          <w:p w14:paraId="31F7B713">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四氯化碳</w:t>
            </w:r>
          </w:p>
        </w:tc>
        <w:tc>
          <w:tcPr>
            <w:tcW w:w="2066" w:type="dxa"/>
            <w:tcBorders>
              <w:tl2br w:val="nil"/>
              <w:tr2bl w:val="nil"/>
            </w:tcBorders>
            <w:vAlign w:val="center"/>
          </w:tcPr>
          <w:p w14:paraId="155B0E96">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w:t>
            </w:r>
          </w:p>
        </w:tc>
        <w:tc>
          <w:tcPr>
            <w:tcW w:w="2258" w:type="dxa"/>
            <w:vMerge w:val="restart"/>
            <w:tcBorders>
              <w:tl2br w:val="nil"/>
              <w:tr2bl w:val="nil"/>
            </w:tcBorders>
            <w:vAlign w:val="center"/>
          </w:tcPr>
          <w:p w14:paraId="31191FFA">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《土壤环境质量 建设用地土壤污染风险管控标准》（GB36600-2018）</w:t>
            </w:r>
          </w:p>
        </w:tc>
      </w:tr>
      <w:tr w14:paraId="251F6D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21D9DE41">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23CB377C">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w:t>
            </w:r>
          </w:p>
        </w:tc>
        <w:tc>
          <w:tcPr>
            <w:tcW w:w="2311" w:type="dxa"/>
            <w:tcBorders>
              <w:tl2br w:val="nil"/>
              <w:tr2bl w:val="nil"/>
            </w:tcBorders>
            <w:vAlign w:val="center"/>
          </w:tcPr>
          <w:p w14:paraId="7F637C04">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氯仿</w:t>
            </w:r>
          </w:p>
        </w:tc>
        <w:tc>
          <w:tcPr>
            <w:tcW w:w="2066" w:type="dxa"/>
            <w:tcBorders>
              <w:tl2br w:val="nil"/>
              <w:tr2bl w:val="nil"/>
            </w:tcBorders>
            <w:vAlign w:val="center"/>
          </w:tcPr>
          <w:p w14:paraId="2345A8DA">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0.9</w:t>
            </w:r>
          </w:p>
        </w:tc>
        <w:tc>
          <w:tcPr>
            <w:tcW w:w="2258" w:type="dxa"/>
            <w:vMerge w:val="continue"/>
            <w:tcBorders>
              <w:tl2br w:val="nil"/>
              <w:tr2bl w:val="nil"/>
            </w:tcBorders>
            <w:vAlign w:val="center"/>
          </w:tcPr>
          <w:p w14:paraId="54139EF3">
            <w:pPr>
              <w:spacing w:line="360" w:lineRule="atLeast"/>
              <w:ind w:firstLine="0" w:firstLineChars="0"/>
              <w:jc w:val="center"/>
              <w:rPr>
                <w:rFonts w:hint="default" w:ascii="Times New Roman" w:hAnsi="Times New Roman" w:cs="Times New Roman"/>
                <w:bCs/>
                <w:color w:val="auto"/>
                <w:sz w:val="21"/>
                <w:szCs w:val="21"/>
                <w:highlight w:val="none"/>
              </w:rPr>
            </w:pPr>
          </w:p>
        </w:tc>
      </w:tr>
      <w:tr w14:paraId="3A045B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648679A2">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154632B5">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w:t>
            </w:r>
          </w:p>
        </w:tc>
        <w:tc>
          <w:tcPr>
            <w:tcW w:w="2311" w:type="dxa"/>
            <w:tcBorders>
              <w:tl2br w:val="nil"/>
              <w:tr2bl w:val="nil"/>
            </w:tcBorders>
            <w:vAlign w:val="center"/>
          </w:tcPr>
          <w:p w14:paraId="2E2F11A4">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氯甲烷</w:t>
            </w:r>
          </w:p>
        </w:tc>
        <w:tc>
          <w:tcPr>
            <w:tcW w:w="2066" w:type="dxa"/>
            <w:tcBorders>
              <w:tl2br w:val="nil"/>
              <w:tr2bl w:val="nil"/>
            </w:tcBorders>
            <w:vAlign w:val="center"/>
          </w:tcPr>
          <w:p w14:paraId="5F022B06">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37</w:t>
            </w:r>
          </w:p>
        </w:tc>
        <w:tc>
          <w:tcPr>
            <w:tcW w:w="2258" w:type="dxa"/>
            <w:vMerge w:val="continue"/>
            <w:tcBorders>
              <w:tl2br w:val="nil"/>
              <w:tr2bl w:val="nil"/>
            </w:tcBorders>
            <w:vAlign w:val="center"/>
          </w:tcPr>
          <w:p w14:paraId="4527587E">
            <w:pPr>
              <w:spacing w:line="360" w:lineRule="atLeast"/>
              <w:ind w:firstLine="0" w:firstLineChars="0"/>
              <w:jc w:val="center"/>
              <w:rPr>
                <w:rFonts w:hint="default" w:ascii="Times New Roman" w:hAnsi="Times New Roman" w:cs="Times New Roman"/>
                <w:bCs/>
                <w:color w:val="auto"/>
                <w:sz w:val="21"/>
                <w:szCs w:val="21"/>
                <w:highlight w:val="none"/>
              </w:rPr>
            </w:pPr>
          </w:p>
        </w:tc>
      </w:tr>
      <w:tr w14:paraId="08A204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7E892436">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53FD668F">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w:t>
            </w:r>
          </w:p>
        </w:tc>
        <w:tc>
          <w:tcPr>
            <w:tcW w:w="2311" w:type="dxa"/>
            <w:tcBorders>
              <w:tl2br w:val="nil"/>
              <w:tr2bl w:val="nil"/>
            </w:tcBorders>
            <w:vAlign w:val="center"/>
          </w:tcPr>
          <w:p w14:paraId="324B3395">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1，1-二氯乙烷</w:t>
            </w:r>
          </w:p>
        </w:tc>
        <w:tc>
          <w:tcPr>
            <w:tcW w:w="2066" w:type="dxa"/>
            <w:tcBorders>
              <w:tl2br w:val="nil"/>
              <w:tr2bl w:val="nil"/>
            </w:tcBorders>
            <w:vAlign w:val="center"/>
          </w:tcPr>
          <w:p w14:paraId="6ADE4AC7">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w:t>
            </w:r>
          </w:p>
        </w:tc>
        <w:tc>
          <w:tcPr>
            <w:tcW w:w="2258" w:type="dxa"/>
            <w:vMerge w:val="continue"/>
            <w:tcBorders>
              <w:tl2br w:val="nil"/>
              <w:tr2bl w:val="nil"/>
            </w:tcBorders>
            <w:vAlign w:val="center"/>
          </w:tcPr>
          <w:p w14:paraId="09A3BDB8">
            <w:pPr>
              <w:spacing w:line="360" w:lineRule="atLeast"/>
              <w:ind w:firstLine="0" w:firstLineChars="0"/>
              <w:jc w:val="center"/>
              <w:rPr>
                <w:rFonts w:hint="default" w:ascii="Times New Roman" w:hAnsi="Times New Roman" w:cs="Times New Roman"/>
                <w:bCs/>
                <w:color w:val="auto"/>
                <w:sz w:val="21"/>
                <w:szCs w:val="21"/>
                <w:highlight w:val="none"/>
              </w:rPr>
            </w:pPr>
          </w:p>
        </w:tc>
      </w:tr>
      <w:tr w14:paraId="718268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027C4A78">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3E7FB8A0">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w:t>
            </w:r>
          </w:p>
        </w:tc>
        <w:tc>
          <w:tcPr>
            <w:tcW w:w="2311" w:type="dxa"/>
            <w:tcBorders>
              <w:tl2br w:val="nil"/>
              <w:tr2bl w:val="nil"/>
            </w:tcBorders>
            <w:vAlign w:val="center"/>
          </w:tcPr>
          <w:p w14:paraId="55FB6AD0">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1.2-二氯乙烷</w:t>
            </w:r>
          </w:p>
        </w:tc>
        <w:tc>
          <w:tcPr>
            <w:tcW w:w="2066" w:type="dxa"/>
            <w:tcBorders>
              <w:tl2br w:val="nil"/>
              <w:tr2bl w:val="nil"/>
            </w:tcBorders>
            <w:vAlign w:val="center"/>
          </w:tcPr>
          <w:p w14:paraId="6C19F106">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w:t>
            </w:r>
          </w:p>
        </w:tc>
        <w:tc>
          <w:tcPr>
            <w:tcW w:w="2258" w:type="dxa"/>
            <w:vMerge w:val="continue"/>
            <w:tcBorders>
              <w:tl2br w:val="nil"/>
              <w:tr2bl w:val="nil"/>
            </w:tcBorders>
            <w:vAlign w:val="center"/>
          </w:tcPr>
          <w:p w14:paraId="07490FF3">
            <w:pPr>
              <w:spacing w:line="360" w:lineRule="atLeast"/>
              <w:ind w:firstLine="0" w:firstLineChars="0"/>
              <w:jc w:val="center"/>
              <w:rPr>
                <w:rFonts w:hint="default" w:ascii="Times New Roman" w:hAnsi="Times New Roman" w:cs="Times New Roman"/>
                <w:bCs/>
                <w:color w:val="auto"/>
                <w:sz w:val="21"/>
                <w:szCs w:val="21"/>
                <w:highlight w:val="none"/>
              </w:rPr>
            </w:pPr>
          </w:p>
        </w:tc>
      </w:tr>
      <w:tr w14:paraId="53700E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2D58680A">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0C29551B">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13</w:t>
            </w:r>
          </w:p>
        </w:tc>
        <w:tc>
          <w:tcPr>
            <w:tcW w:w="2311" w:type="dxa"/>
            <w:tcBorders>
              <w:tl2br w:val="nil"/>
              <w:tr2bl w:val="nil"/>
            </w:tcBorders>
            <w:vAlign w:val="center"/>
          </w:tcPr>
          <w:p w14:paraId="6347D7CC">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1，1-二氯乙烯</w:t>
            </w:r>
          </w:p>
        </w:tc>
        <w:tc>
          <w:tcPr>
            <w:tcW w:w="2066" w:type="dxa"/>
            <w:tcBorders>
              <w:tl2br w:val="nil"/>
              <w:tr2bl w:val="nil"/>
            </w:tcBorders>
            <w:vAlign w:val="center"/>
          </w:tcPr>
          <w:p w14:paraId="6DEBA4ED">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66</w:t>
            </w:r>
          </w:p>
        </w:tc>
        <w:tc>
          <w:tcPr>
            <w:tcW w:w="2258" w:type="dxa"/>
            <w:vMerge w:val="continue"/>
            <w:tcBorders>
              <w:tl2br w:val="nil"/>
              <w:tr2bl w:val="nil"/>
            </w:tcBorders>
            <w:vAlign w:val="center"/>
          </w:tcPr>
          <w:p w14:paraId="52B60A28">
            <w:pPr>
              <w:spacing w:line="360" w:lineRule="atLeast"/>
              <w:ind w:firstLine="0" w:firstLineChars="0"/>
              <w:jc w:val="center"/>
              <w:rPr>
                <w:rFonts w:hint="default" w:ascii="Times New Roman" w:hAnsi="Times New Roman" w:cs="Times New Roman"/>
                <w:bCs/>
                <w:color w:val="auto"/>
                <w:sz w:val="21"/>
                <w:szCs w:val="21"/>
                <w:highlight w:val="none"/>
              </w:rPr>
            </w:pPr>
          </w:p>
        </w:tc>
      </w:tr>
      <w:tr w14:paraId="452143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0AEEBC33">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2BB27819">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w:t>
            </w:r>
          </w:p>
        </w:tc>
        <w:tc>
          <w:tcPr>
            <w:tcW w:w="2311" w:type="dxa"/>
            <w:tcBorders>
              <w:tl2br w:val="nil"/>
              <w:tr2bl w:val="nil"/>
            </w:tcBorders>
            <w:vAlign w:val="center"/>
          </w:tcPr>
          <w:p w14:paraId="271E5046">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顺-1，2-二氯乙烯</w:t>
            </w:r>
          </w:p>
        </w:tc>
        <w:tc>
          <w:tcPr>
            <w:tcW w:w="2066" w:type="dxa"/>
            <w:tcBorders>
              <w:tl2br w:val="nil"/>
              <w:tr2bl w:val="nil"/>
            </w:tcBorders>
            <w:vAlign w:val="center"/>
          </w:tcPr>
          <w:p w14:paraId="610B6345">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596</w:t>
            </w:r>
          </w:p>
        </w:tc>
        <w:tc>
          <w:tcPr>
            <w:tcW w:w="2258" w:type="dxa"/>
            <w:vMerge w:val="continue"/>
            <w:tcBorders>
              <w:tl2br w:val="nil"/>
              <w:tr2bl w:val="nil"/>
            </w:tcBorders>
            <w:vAlign w:val="center"/>
          </w:tcPr>
          <w:p w14:paraId="0DD0EC29">
            <w:pPr>
              <w:spacing w:line="360" w:lineRule="atLeast"/>
              <w:ind w:firstLine="0" w:firstLineChars="0"/>
              <w:jc w:val="center"/>
              <w:rPr>
                <w:rFonts w:hint="default" w:ascii="Times New Roman" w:hAnsi="Times New Roman" w:cs="Times New Roman"/>
                <w:bCs/>
                <w:color w:val="auto"/>
                <w:sz w:val="21"/>
                <w:szCs w:val="21"/>
                <w:highlight w:val="none"/>
              </w:rPr>
            </w:pPr>
          </w:p>
        </w:tc>
      </w:tr>
      <w:tr w14:paraId="5CBC98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365D82A1">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49A67FB0">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c>
          <w:tcPr>
            <w:tcW w:w="2311" w:type="dxa"/>
            <w:tcBorders>
              <w:tl2br w:val="nil"/>
              <w:tr2bl w:val="nil"/>
            </w:tcBorders>
            <w:vAlign w:val="center"/>
          </w:tcPr>
          <w:p w14:paraId="6B6404C8">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反-1.2-二氯乙烯</w:t>
            </w:r>
          </w:p>
        </w:tc>
        <w:tc>
          <w:tcPr>
            <w:tcW w:w="2066" w:type="dxa"/>
            <w:tcBorders>
              <w:tl2br w:val="nil"/>
              <w:tr2bl w:val="nil"/>
            </w:tcBorders>
            <w:vAlign w:val="center"/>
          </w:tcPr>
          <w:p w14:paraId="23472FB8">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54</w:t>
            </w:r>
          </w:p>
        </w:tc>
        <w:tc>
          <w:tcPr>
            <w:tcW w:w="2258" w:type="dxa"/>
            <w:vMerge w:val="continue"/>
            <w:tcBorders>
              <w:tl2br w:val="nil"/>
              <w:tr2bl w:val="nil"/>
            </w:tcBorders>
            <w:vAlign w:val="center"/>
          </w:tcPr>
          <w:p w14:paraId="37CCA389">
            <w:pPr>
              <w:spacing w:line="360" w:lineRule="atLeast"/>
              <w:ind w:firstLine="0" w:firstLineChars="0"/>
              <w:jc w:val="center"/>
              <w:rPr>
                <w:rFonts w:hint="default" w:ascii="Times New Roman" w:hAnsi="Times New Roman" w:cs="Times New Roman"/>
                <w:bCs/>
                <w:color w:val="auto"/>
                <w:sz w:val="21"/>
                <w:szCs w:val="21"/>
                <w:highlight w:val="none"/>
              </w:rPr>
            </w:pPr>
          </w:p>
        </w:tc>
      </w:tr>
      <w:tr w14:paraId="2056A5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21222CB6">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0C6034F3">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w:t>
            </w:r>
          </w:p>
        </w:tc>
        <w:tc>
          <w:tcPr>
            <w:tcW w:w="2311" w:type="dxa"/>
            <w:tcBorders>
              <w:tl2br w:val="nil"/>
              <w:tr2bl w:val="nil"/>
            </w:tcBorders>
            <w:vAlign w:val="center"/>
          </w:tcPr>
          <w:p w14:paraId="32D06A30">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二氯甲烷</w:t>
            </w:r>
          </w:p>
        </w:tc>
        <w:tc>
          <w:tcPr>
            <w:tcW w:w="2066" w:type="dxa"/>
            <w:tcBorders>
              <w:tl2br w:val="nil"/>
              <w:tr2bl w:val="nil"/>
            </w:tcBorders>
            <w:vAlign w:val="center"/>
          </w:tcPr>
          <w:p w14:paraId="291BD471">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616</w:t>
            </w:r>
          </w:p>
        </w:tc>
        <w:tc>
          <w:tcPr>
            <w:tcW w:w="2258" w:type="dxa"/>
            <w:vMerge w:val="continue"/>
            <w:tcBorders>
              <w:tl2br w:val="nil"/>
              <w:tr2bl w:val="nil"/>
            </w:tcBorders>
            <w:vAlign w:val="center"/>
          </w:tcPr>
          <w:p w14:paraId="2F9DD65A">
            <w:pPr>
              <w:spacing w:line="360" w:lineRule="atLeast"/>
              <w:ind w:firstLine="0" w:firstLineChars="0"/>
              <w:jc w:val="center"/>
              <w:rPr>
                <w:rFonts w:hint="default" w:ascii="Times New Roman" w:hAnsi="Times New Roman" w:cs="Times New Roman"/>
                <w:bCs/>
                <w:color w:val="auto"/>
                <w:sz w:val="21"/>
                <w:szCs w:val="21"/>
                <w:highlight w:val="none"/>
              </w:rPr>
            </w:pPr>
          </w:p>
        </w:tc>
      </w:tr>
      <w:tr w14:paraId="764225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152A8695">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3248F5E6">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w:t>
            </w:r>
          </w:p>
        </w:tc>
        <w:tc>
          <w:tcPr>
            <w:tcW w:w="2311" w:type="dxa"/>
            <w:tcBorders>
              <w:tl2br w:val="nil"/>
              <w:tr2bl w:val="nil"/>
            </w:tcBorders>
            <w:vAlign w:val="center"/>
          </w:tcPr>
          <w:p w14:paraId="726AC933">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1，2-二氯丙烷</w:t>
            </w:r>
          </w:p>
        </w:tc>
        <w:tc>
          <w:tcPr>
            <w:tcW w:w="2066" w:type="dxa"/>
            <w:tcBorders>
              <w:tl2br w:val="nil"/>
              <w:tr2bl w:val="nil"/>
            </w:tcBorders>
            <w:vAlign w:val="center"/>
          </w:tcPr>
          <w:p w14:paraId="44FE3E02">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w:t>
            </w:r>
          </w:p>
        </w:tc>
        <w:tc>
          <w:tcPr>
            <w:tcW w:w="2258" w:type="dxa"/>
            <w:vMerge w:val="continue"/>
            <w:tcBorders>
              <w:tl2br w:val="nil"/>
              <w:tr2bl w:val="nil"/>
            </w:tcBorders>
            <w:vAlign w:val="center"/>
          </w:tcPr>
          <w:p w14:paraId="7DFA9BDB">
            <w:pPr>
              <w:spacing w:line="360" w:lineRule="atLeast"/>
              <w:ind w:firstLine="0" w:firstLineChars="0"/>
              <w:jc w:val="center"/>
              <w:rPr>
                <w:rFonts w:hint="default" w:ascii="Times New Roman" w:hAnsi="Times New Roman" w:cs="Times New Roman"/>
                <w:bCs/>
                <w:color w:val="auto"/>
                <w:sz w:val="21"/>
                <w:szCs w:val="21"/>
                <w:highlight w:val="none"/>
              </w:rPr>
            </w:pPr>
          </w:p>
        </w:tc>
      </w:tr>
      <w:tr w14:paraId="4C72B0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1FA2FFB8">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74EEA8CA">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18</w:t>
            </w:r>
          </w:p>
        </w:tc>
        <w:tc>
          <w:tcPr>
            <w:tcW w:w="2311" w:type="dxa"/>
            <w:tcBorders>
              <w:tl2br w:val="nil"/>
              <w:tr2bl w:val="nil"/>
            </w:tcBorders>
            <w:vAlign w:val="center"/>
          </w:tcPr>
          <w:p w14:paraId="25A82F27">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1，1，1，2-四氯乙烷</w:t>
            </w:r>
          </w:p>
        </w:tc>
        <w:tc>
          <w:tcPr>
            <w:tcW w:w="2066" w:type="dxa"/>
            <w:tcBorders>
              <w:tl2br w:val="nil"/>
              <w:tr2bl w:val="nil"/>
            </w:tcBorders>
            <w:vAlign w:val="center"/>
          </w:tcPr>
          <w:p w14:paraId="1C38BD25">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w:t>
            </w:r>
          </w:p>
        </w:tc>
        <w:tc>
          <w:tcPr>
            <w:tcW w:w="2258" w:type="dxa"/>
            <w:vMerge w:val="continue"/>
            <w:tcBorders>
              <w:tl2br w:val="nil"/>
              <w:tr2bl w:val="nil"/>
            </w:tcBorders>
            <w:vAlign w:val="center"/>
          </w:tcPr>
          <w:p w14:paraId="54F83695">
            <w:pPr>
              <w:spacing w:line="360" w:lineRule="atLeast"/>
              <w:ind w:firstLine="0" w:firstLineChars="0"/>
              <w:jc w:val="center"/>
              <w:rPr>
                <w:rFonts w:hint="default" w:ascii="Times New Roman" w:hAnsi="Times New Roman" w:cs="Times New Roman"/>
                <w:bCs/>
                <w:color w:val="auto"/>
                <w:sz w:val="21"/>
                <w:szCs w:val="21"/>
                <w:highlight w:val="none"/>
              </w:rPr>
            </w:pPr>
          </w:p>
        </w:tc>
      </w:tr>
      <w:tr w14:paraId="619DDA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7C8D8F25">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107705C9">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w:t>
            </w:r>
          </w:p>
        </w:tc>
        <w:tc>
          <w:tcPr>
            <w:tcW w:w="2311" w:type="dxa"/>
            <w:tcBorders>
              <w:tl2br w:val="nil"/>
              <w:tr2bl w:val="nil"/>
            </w:tcBorders>
            <w:vAlign w:val="center"/>
          </w:tcPr>
          <w:p w14:paraId="09941028">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1，1，2，2-四氯乙烷</w:t>
            </w:r>
          </w:p>
        </w:tc>
        <w:tc>
          <w:tcPr>
            <w:tcW w:w="2066" w:type="dxa"/>
            <w:tcBorders>
              <w:tl2br w:val="nil"/>
              <w:tr2bl w:val="nil"/>
            </w:tcBorders>
            <w:vAlign w:val="center"/>
          </w:tcPr>
          <w:p w14:paraId="540DBDF1">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6.8</w:t>
            </w:r>
          </w:p>
        </w:tc>
        <w:tc>
          <w:tcPr>
            <w:tcW w:w="2258" w:type="dxa"/>
            <w:vMerge w:val="continue"/>
            <w:tcBorders>
              <w:tl2br w:val="nil"/>
              <w:tr2bl w:val="nil"/>
            </w:tcBorders>
            <w:vAlign w:val="center"/>
          </w:tcPr>
          <w:p w14:paraId="34F9443A">
            <w:pPr>
              <w:spacing w:line="360" w:lineRule="atLeast"/>
              <w:ind w:firstLine="0" w:firstLineChars="0"/>
              <w:jc w:val="center"/>
              <w:rPr>
                <w:rFonts w:hint="default" w:ascii="Times New Roman" w:hAnsi="Times New Roman" w:cs="Times New Roman"/>
                <w:bCs/>
                <w:color w:val="auto"/>
                <w:sz w:val="21"/>
                <w:szCs w:val="21"/>
                <w:highlight w:val="none"/>
              </w:rPr>
            </w:pPr>
          </w:p>
        </w:tc>
      </w:tr>
      <w:tr w14:paraId="36161D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58EFEB38">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321D9655">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w:t>
            </w:r>
          </w:p>
        </w:tc>
        <w:tc>
          <w:tcPr>
            <w:tcW w:w="2311" w:type="dxa"/>
            <w:tcBorders>
              <w:tl2br w:val="nil"/>
              <w:tr2bl w:val="nil"/>
            </w:tcBorders>
            <w:vAlign w:val="center"/>
          </w:tcPr>
          <w:p w14:paraId="712C85F5">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四氯乙烯</w:t>
            </w:r>
          </w:p>
        </w:tc>
        <w:tc>
          <w:tcPr>
            <w:tcW w:w="2066" w:type="dxa"/>
            <w:tcBorders>
              <w:tl2br w:val="nil"/>
              <w:tr2bl w:val="nil"/>
            </w:tcBorders>
            <w:vAlign w:val="center"/>
          </w:tcPr>
          <w:p w14:paraId="2B8B9CB7">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53</w:t>
            </w:r>
          </w:p>
        </w:tc>
        <w:tc>
          <w:tcPr>
            <w:tcW w:w="2258" w:type="dxa"/>
            <w:vMerge w:val="continue"/>
            <w:tcBorders>
              <w:tl2br w:val="nil"/>
              <w:tr2bl w:val="nil"/>
            </w:tcBorders>
            <w:vAlign w:val="center"/>
          </w:tcPr>
          <w:p w14:paraId="43BC4C19">
            <w:pPr>
              <w:spacing w:line="360" w:lineRule="atLeast"/>
              <w:ind w:firstLine="0" w:firstLineChars="0"/>
              <w:jc w:val="center"/>
              <w:rPr>
                <w:rFonts w:hint="default" w:ascii="Times New Roman" w:hAnsi="Times New Roman" w:cs="Times New Roman"/>
                <w:bCs/>
                <w:color w:val="auto"/>
                <w:sz w:val="21"/>
                <w:szCs w:val="21"/>
                <w:highlight w:val="none"/>
              </w:rPr>
            </w:pPr>
          </w:p>
        </w:tc>
      </w:tr>
      <w:tr w14:paraId="2164D2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522A2802">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4FED1091">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w:t>
            </w:r>
          </w:p>
        </w:tc>
        <w:tc>
          <w:tcPr>
            <w:tcW w:w="2311" w:type="dxa"/>
            <w:tcBorders>
              <w:tl2br w:val="nil"/>
              <w:tr2bl w:val="nil"/>
            </w:tcBorders>
            <w:vAlign w:val="center"/>
          </w:tcPr>
          <w:p w14:paraId="72A99B1E">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1，1，1-三氯乙烷</w:t>
            </w:r>
          </w:p>
        </w:tc>
        <w:tc>
          <w:tcPr>
            <w:tcW w:w="2066" w:type="dxa"/>
            <w:tcBorders>
              <w:tl2br w:val="nil"/>
              <w:tr2bl w:val="nil"/>
            </w:tcBorders>
            <w:vAlign w:val="center"/>
          </w:tcPr>
          <w:p w14:paraId="3F35A152">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840</w:t>
            </w:r>
          </w:p>
        </w:tc>
        <w:tc>
          <w:tcPr>
            <w:tcW w:w="2258" w:type="dxa"/>
            <w:vMerge w:val="continue"/>
            <w:tcBorders>
              <w:tl2br w:val="nil"/>
              <w:tr2bl w:val="nil"/>
            </w:tcBorders>
            <w:vAlign w:val="center"/>
          </w:tcPr>
          <w:p w14:paraId="094A71D7">
            <w:pPr>
              <w:spacing w:line="360" w:lineRule="atLeast"/>
              <w:ind w:firstLine="0" w:firstLineChars="0"/>
              <w:jc w:val="center"/>
              <w:rPr>
                <w:rFonts w:hint="default" w:ascii="Times New Roman" w:hAnsi="Times New Roman" w:cs="Times New Roman"/>
                <w:bCs/>
                <w:color w:val="auto"/>
                <w:sz w:val="21"/>
                <w:szCs w:val="21"/>
                <w:highlight w:val="none"/>
              </w:rPr>
            </w:pPr>
          </w:p>
        </w:tc>
      </w:tr>
      <w:tr w14:paraId="18B770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1315247A">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4590DEE8">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w:t>
            </w:r>
          </w:p>
        </w:tc>
        <w:tc>
          <w:tcPr>
            <w:tcW w:w="2311" w:type="dxa"/>
            <w:tcBorders>
              <w:tl2br w:val="nil"/>
              <w:tr2bl w:val="nil"/>
            </w:tcBorders>
            <w:vAlign w:val="center"/>
          </w:tcPr>
          <w:p w14:paraId="77105008">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1，1，2-三氯乙烷</w:t>
            </w:r>
          </w:p>
        </w:tc>
        <w:tc>
          <w:tcPr>
            <w:tcW w:w="2066" w:type="dxa"/>
            <w:tcBorders>
              <w:tl2br w:val="nil"/>
              <w:tr2bl w:val="nil"/>
            </w:tcBorders>
            <w:vAlign w:val="center"/>
          </w:tcPr>
          <w:p w14:paraId="77F32518">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w:t>
            </w:r>
          </w:p>
        </w:tc>
        <w:tc>
          <w:tcPr>
            <w:tcW w:w="2258" w:type="dxa"/>
            <w:vMerge w:val="continue"/>
            <w:tcBorders>
              <w:tl2br w:val="nil"/>
              <w:tr2bl w:val="nil"/>
            </w:tcBorders>
            <w:vAlign w:val="center"/>
          </w:tcPr>
          <w:p w14:paraId="497A1E87">
            <w:pPr>
              <w:spacing w:line="360" w:lineRule="atLeast"/>
              <w:ind w:firstLine="0" w:firstLineChars="0"/>
              <w:jc w:val="center"/>
              <w:rPr>
                <w:rFonts w:hint="default" w:ascii="Times New Roman" w:hAnsi="Times New Roman" w:cs="Times New Roman"/>
                <w:bCs/>
                <w:color w:val="auto"/>
                <w:sz w:val="21"/>
                <w:szCs w:val="21"/>
                <w:highlight w:val="none"/>
              </w:rPr>
            </w:pPr>
          </w:p>
        </w:tc>
      </w:tr>
      <w:tr w14:paraId="5C0433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1A3BA9FA">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3DF16B8F">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23</w:t>
            </w:r>
          </w:p>
        </w:tc>
        <w:tc>
          <w:tcPr>
            <w:tcW w:w="2311" w:type="dxa"/>
            <w:tcBorders>
              <w:tl2br w:val="nil"/>
              <w:tr2bl w:val="nil"/>
            </w:tcBorders>
            <w:vAlign w:val="center"/>
          </w:tcPr>
          <w:p w14:paraId="2A39BFF6">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三氯乙烯</w:t>
            </w:r>
          </w:p>
        </w:tc>
        <w:tc>
          <w:tcPr>
            <w:tcW w:w="2066" w:type="dxa"/>
            <w:tcBorders>
              <w:tl2br w:val="nil"/>
              <w:tr2bl w:val="nil"/>
            </w:tcBorders>
            <w:vAlign w:val="center"/>
          </w:tcPr>
          <w:p w14:paraId="526E810A">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w:t>
            </w:r>
          </w:p>
        </w:tc>
        <w:tc>
          <w:tcPr>
            <w:tcW w:w="2258" w:type="dxa"/>
            <w:vMerge w:val="continue"/>
            <w:tcBorders>
              <w:tl2br w:val="nil"/>
              <w:tr2bl w:val="nil"/>
            </w:tcBorders>
            <w:vAlign w:val="center"/>
          </w:tcPr>
          <w:p w14:paraId="38EC7F03">
            <w:pPr>
              <w:spacing w:line="360" w:lineRule="atLeast"/>
              <w:ind w:firstLine="0" w:firstLineChars="0"/>
              <w:jc w:val="center"/>
              <w:rPr>
                <w:rFonts w:hint="default" w:ascii="Times New Roman" w:hAnsi="Times New Roman" w:cs="Times New Roman"/>
                <w:bCs/>
                <w:color w:val="auto"/>
                <w:sz w:val="21"/>
                <w:szCs w:val="21"/>
                <w:highlight w:val="none"/>
              </w:rPr>
            </w:pPr>
          </w:p>
        </w:tc>
      </w:tr>
      <w:tr w14:paraId="0451F3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4B223EE5">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2A7126C3">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24</w:t>
            </w:r>
          </w:p>
        </w:tc>
        <w:tc>
          <w:tcPr>
            <w:tcW w:w="2311" w:type="dxa"/>
            <w:tcBorders>
              <w:tl2br w:val="nil"/>
              <w:tr2bl w:val="nil"/>
            </w:tcBorders>
            <w:vAlign w:val="center"/>
          </w:tcPr>
          <w:p w14:paraId="138B9099">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1，2，3-三氯丙烷</w:t>
            </w:r>
          </w:p>
        </w:tc>
        <w:tc>
          <w:tcPr>
            <w:tcW w:w="2066" w:type="dxa"/>
            <w:tcBorders>
              <w:tl2br w:val="nil"/>
              <w:tr2bl w:val="nil"/>
            </w:tcBorders>
            <w:vAlign w:val="center"/>
          </w:tcPr>
          <w:p w14:paraId="7E0C5B99">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w:t>
            </w:r>
          </w:p>
        </w:tc>
        <w:tc>
          <w:tcPr>
            <w:tcW w:w="2258" w:type="dxa"/>
            <w:vMerge w:val="continue"/>
            <w:tcBorders>
              <w:tl2br w:val="nil"/>
              <w:tr2bl w:val="nil"/>
            </w:tcBorders>
            <w:vAlign w:val="center"/>
          </w:tcPr>
          <w:p w14:paraId="114ACDD7">
            <w:pPr>
              <w:spacing w:line="360" w:lineRule="atLeast"/>
              <w:ind w:firstLine="0" w:firstLineChars="0"/>
              <w:jc w:val="center"/>
              <w:rPr>
                <w:rFonts w:hint="default" w:ascii="Times New Roman" w:hAnsi="Times New Roman" w:cs="Times New Roman"/>
                <w:bCs/>
                <w:color w:val="auto"/>
                <w:sz w:val="21"/>
                <w:szCs w:val="21"/>
                <w:highlight w:val="none"/>
              </w:rPr>
            </w:pPr>
          </w:p>
        </w:tc>
      </w:tr>
      <w:tr w14:paraId="022081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4D69FDD4">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74C349C7">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25</w:t>
            </w:r>
          </w:p>
        </w:tc>
        <w:tc>
          <w:tcPr>
            <w:tcW w:w="2311" w:type="dxa"/>
            <w:tcBorders>
              <w:tl2br w:val="nil"/>
              <w:tr2bl w:val="nil"/>
            </w:tcBorders>
            <w:vAlign w:val="center"/>
          </w:tcPr>
          <w:p w14:paraId="413D8DD7">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氯乙烯</w:t>
            </w:r>
          </w:p>
        </w:tc>
        <w:tc>
          <w:tcPr>
            <w:tcW w:w="2066" w:type="dxa"/>
            <w:tcBorders>
              <w:tl2br w:val="nil"/>
              <w:tr2bl w:val="nil"/>
            </w:tcBorders>
            <w:vAlign w:val="center"/>
          </w:tcPr>
          <w:p w14:paraId="5236B802">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0.43</w:t>
            </w:r>
          </w:p>
        </w:tc>
        <w:tc>
          <w:tcPr>
            <w:tcW w:w="2258" w:type="dxa"/>
            <w:vMerge w:val="continue"/>
            <w:tcBorders>
              <w:tl2br w:val="nil"/>
              <w:tr2bl w:val="nil"/>
            </w:tcBorders>
            <w:vAlign w:val="center"/>
          </w:tcPr>
          <w:p w14:paraId="13B7B573">
            <w:pPr>
              <w:spacing w:line="360" w:lineRule="atLeast"/>
              <w:ind w:firstLine="0" w:firstLineChars="0"/>
              <w:jc w:val="center"/>
              <w:rPr>
                <w:rFonts w:hint="default" w:ascii="Times New Roman" w:hAnsi="Times New Roman" w:cs="Times New Roman"/>
                <w:bCs/>
                <w:color w:val="auto"/>
                <w:sz w:val="21"/>
                <w:szCs w:val="21"/>
                <w:highlight w:val="none"/>
              </w:rPr>
            </w:pPr>
          </w:p>
        </w:tc>
      </w:tr>
      <w:tr w14:paraId="2D9341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22540B89">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35017853">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26</w:t>
            </w:r>
          </w:p>
        </w:tc>
        <w:tc>
          <w:tcPr>
            <w:tcW w:w="2311" w:type="dxa"/>
            <w:tcBorders>
              <w:tl2br w:val="nil"/>
              <w:tr2bl w:val="nil"/>
            </w:tcBorders>
            <w:vAlign w:val="center"/>
          </w:tcPr>
          <w:p w14:paraId="564C6351">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苯</w:t>
            </w:r>
          </w:p>
        </w:tc>
        <w:tc>
          <w:tcPr>
            <w:tcW w:w="2066" w:type="dxa"/>
            <w:tcBorders>
              <w:tl2br w:val="nil"/>
              <w:tr2bl w:val="nil"/>
            </w:tcBorders>
            <w:vAlign w:val="center"/>
          </w:tcPr>
          <w:p w14:paraId="72BBB693">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w:t>
            </w:r>
          </w:p>
        </w:tc>
        <w:tc>
          <w:tcPr>
            <w:tcW w:w="2258" w:type="dxa"/>
            <w:vMerge w:val="continue"/>
            <w:tcBorders>
              <w:tl2br w:val="nil"/>
              <w:tr2bl w:val="nil"/>
            </w:tcBorders>
            <w:vAlign w:val="center"/>
          </w:tcPr>
          <w:p w14:paraId="7F2FD055">
            <w:pPr>
              <w:spacing w:line="360" w:lineRule="atLeast"/>
              <w:ind w:firstLine="0" w:firstLineChars="0"/>
              <w:jc w:val="center"/>
              <w:rPr>
                <w:rFonts w:hint="default" w:ascii="Times New Roman" w:hAnsi="Times New Roman" w:cs="Times New Roman"/>
                <w:bCs/>
                <w:color w:val="auto"/>
                <w:sz w:val="21"/>
                <w:szCs w:val="21"/>
                <w:highlight w:val="none"/>
              </w:rPr>
            </w:pPr>
          </w:p>
        </w:tc>
      </w:tr>
      <w:tr w14:paraId="33DDC0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2593BEEE">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41738ABD">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27</w:t>
            </w:r>
          </w:p>
        </w:tc>
        <w:tc>
          <w:tcPr>
            <w:tcW w:w="2311" w:type="dxa"/>
            <w:tcBorders>
              <w:tl2br w:val="nil"/>
              <w:tr2bl w:val="nil"/>
            </w:tcBorders>
            <w:vAlign w:val="center"/>
          </w:tcPr>
          <w:p w14:paraId="76DD8D97">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氯苯</w:t>
            </w:r>
          </w:p>
        </w:tc>
        <w:tc>
          <w:tcPr>
            <w:tcW w:w="2066" w:type="dxa"/>
            <w:tcBorders>
              <w:tl2br w:val="nil"/>
              <w:tr2bl w:val="nil"/>
            </w:tcBorders>
            <w:vAlign w:val="center"/>
          </w:tcPr>
          <w:p w14:paraId="31EB0C4B">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270</w:t>
            </w:r>
          </w:p>
        </w:tc>
        <w:tc>
          <w:tcPr>
            <w:tcW w:w="2258" w:type="dxa"/>
            <w:vMerge w:val="continue"/>
            <w:tcBorders>
              <w:tl2br w:val="nil"/>
              <w:tr2bl w:val="nil"/>
            </w:tcBorders>
            <w:vAlign w:val="center"/>
          </w:tcPr>
          <w:p w14:paraId="18491D24">
            <w:pPr>
              <w:spacing w:line="360" w:lineRule="atLeast"/>
              <w:ind w:firstLine="0" w:firstLineChars="0"/>
              <w:jc w:val="center"/>
              <w:rPr>
                <w:rFonts w:hint="default" w:ascii="Times New Roman" w:hAnsi="Times New Roman" w:cs="Times New Roman"/>
                <w:bCs/>
                <w:color w:val="auto"/>
                <w:sz w:val="21"/>
                <w:szCs w:val="21"/>
                <w:highlight w:val="none"/>
              </w:rPr>
            </w:pPr>
          </w:p>
        </w:tc>
      </w:tr>
      <w:tr w14:paraId="3810F7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7543A79E">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2E9A80CD">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w:t>
            </w:r>
          </w:p>
        </w:tc>
        <w:tc>
          <w:tcPr>
            <w:tcW w:w="2311" w:type="dxa"/>
            <w:tcBorders>
              <w:tl2br w:val="nil"/>
              <w:tr2bl w:val="nil"/>
            </w:tcBorders>
            <w:vAlign w:val="center"/>
          </w:tcPr>
          <w:p w14:paraId="49879E9D">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1，2-二氯苯</w:t>
            </w:r>
          </w:p>
        </w:tc>
        <w:tc>
          <w:tcPr>
            <w:tcW w:w="2066" w:type="dxa"/>
            <w:tcBorders>
              <w:tl2br w:val="nil"/>
              <w:tr2bl w:val="nil"/>
            </w:tcBorders>
            <w:vAlign w:val="center"/>
          </w:tcPr>
          <w:p w14:paraId="70228A27">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560</w:t>
            </w:r>
          </w:p>
        </w:tc>
        <w:tc>
          <w:tcPr>
            <w:tcW w:w="2258" w:type="dxa"/>
            <w:vMerge w:val="continue"/>
            <w:tcBorders>
              <w:tl2br w:val="nil"/>
              <w:tr2bl w:val="nil"/>
            </w:tcBorders>
            <w:vAlign w:val="center"/>
          </w:tcPr>
          <w:p w14:paraId="2A742098">
            <w:pPr>
              <w:spacing w:line="360" w:lineRule="atLeast"/>
              <w:ind w:firstLine="0" w:firstLineChars="0"/>
              <w:jc w:val="center"/>
              <w:rPr>
                <w:rFonts w:hint="default" w:ascii="Times New Roman" w:hAnsi="Times New Roman" w:cs="Times New Roman"/>
                <w:bCs/>
                <w:color w:val="auto"/>
                <w:sz w:val="21"/>
                <w:szCs w:val="21"/>
                <w:highlight w:val="none"/>
              </w:rPr>
            </w:pPr>
          </w:p>
        </w:tc>
      </w:tr>
      <w:tr w14:paraId="3B9384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70F93878">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572E5CC0">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29</w:t>
            </w:r>
          </w:p>
        </w:tc>
        <w:tc>
          <w:tcPr>
            <w:tcW w:w="2311" w:type="dxa"/>
            <w:tcBorders>
              <w:tl2br w:val="nil"/>
              <w:tr2bl w:val="nil"/>
            </w:tcBorders>
            <w:vAlign w:val="center"/>
          </w:tcPr>
          <w:p w14:paraId="4AAF83E9">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1，4-二氯苯</w:t>
            </w:r>
          </w:p>
        </w:tc>
        <w:tc>
          <w:tcPr>
            <w:tcW w:w="2066" w:type="dxa"/>
            <w:tcBorders>
              <w:tl2br w:val="nil"/>
              <w:tr2bl w:val="nil"/>
            </w:tcBorders>
            <w:vAlign w:val="center"/>
          </w:tcPr>
          <w:p w14:paraId="1FCFD6EF">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w:t>
            </w:r>
          </w:p>
        </w:tc>
        <w:tc>
          <w:tcPr>
            <w:tcW w:w="2258" w:type="dxa"/>
            <w:vMerge w:val="continue"/>
            <w:tcBorders>
              <w:tl2br w:val="nil"/>
              <w:tr2bl w:val="nil"/>
            </w:tcBorders>
            <w:vAlign w:val="center"/>
          </w:tcPr>
          <w:p w14:paraId="6AC97817">
            <w:pPr>
              <w:spacing w:line="360" w:lineRule="atLeast"/>
              <w:ind w:firstLine="0" w:firstLineChars="0"/>
              <w:jc w:val="center"/>
              <w:rPr>
                <w:rFonts w:hint="default" w:ascii="Times New Roman" w:hAnsi="Times New Roman" w:cs="Times New Roman"/>
                <w:bCs/>
                <w:color w:val="auto"/>
                <w:sz w:val="21"/>
                <w:szCs w:val="21"/>
                <w:highlight w:val="none"/>
              </w:rPr>
            </w:pPr>
          </w:p>
        </w:tc>
      </w:tr>
      <w:tr w14:paraId="2654AB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4C5CC358">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0FB45FC5">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w:t>
            </w:r>
          </w:p>
        </w:tc>
        <w:tc>
          <w:tcPr>
            <w:tcW w:w="2311" w:type="dxa"/>
            <w:tcBorders>
              <w:tl2br w:val="nil"/>
              <w:tr2bl w:val="nil"/>
            </w:tcBorders>
            <w:vAlign w:val="center"/>
          </w:tcPr>
          <w:p w14:paraId="54327B80">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乙苯</w:t>
            </w:r>
          </w:p>
        </w:tc>
        <w:tc>
          <w:tcPr>
            <w:tcW w:w="2066" w:type="dxa"/>
            <w:tcBorders>
              <w:tl2br w:val="nil"/>
              <w:tr2bl w:val="nil"/>
            </w:tcBorders>
            <w:vAlign w:val="center"/>
          </w:tcPr>
          <w:p w14:paraId="3CAF6C8A">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w:t>
            </w:r>
          </w:p>
        </w:tc>
        <w:tc>
          <w:tcPr>
            <w:tcW w:w="2258" w:type="dxa"/>
            <w:vMerge w:val="continue"/>
            <w:tcBorders>
              <w:tl2br w:val="nil"/>
              <w:tr2bl w:val="nil"/>
            </w:tcBorders>
            <w:vAlign w:val="center"/>
          </w:tcPr>
          <w:p w14:paraId="0A5108F5">
            <w:pPr>
              <w:spacing w:line="360" w:lineRule="atLeast"/>
              <w:ind w:firstLine="0" w:firstLineChars="0"/>
              <w:jc w:val="center"/>
              <w:rPr>
                <w:rFonts w:hint="default" w:ascii="Times New Roman" w:hAnsi="Times New Roman" w:cs="Times New Roman"/>
                <w:bCs/>
                <w:color w:val="auto"/>
                <w:sz w:val="21"/>
                <w:szCs w:val="21"/>
                <w:highlight w:val="none"/>
              </w:rPr>
            </w:pPr>
          </w:p>
        </w:tc>
      </w:tr>
      <w:tr w14:paraId="5F8D80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7A02A540">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5B3C315D">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31</w:t>
            </w:r>
          </w:p>
        </w:tc>
        <w:tc>
          <w:tcPr>
            <w:tcW w:w="2311" w:type="dxa"/>
            <w:tcBorders>
              <w:tl2br w:val="nil"/>
              <w:tr2bl w:val="nil"/>
            </w:tcBorders>
            <w:vAlign w:val="center"/>
          </w:tcPr>
          <w:p w14:paraId="30660164">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苯乙烯</w:t>
            </w:r>
          </w:p>
        </w:tc>
        <w:tc>
          <w:tcPr>
            <w:tcW w:w="2066" w:type="dxa"/>
            <w:tcBorders>
              <w:tl2br w:val="nil"/>
              <w:tr2bl w:val="nil"/>
            </w:tcBorders>
            <w:vAlign w:val="center"/>
          </w:tcPr>
          <w:p w14:paraId="668717D4">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1290</w:t>
            </w:r>
          </w:p>
        </w:tc>
        <w:tc>
          <w:tcPr>
            <w:tcW w:w="2258" w:type="dxa"/>
            <w:vMerge w:val="continue"/>
            <w:tcBorders>
              <w:tl2br w:val="nil"/>
              <w:tr2bl w:val="nil"/>
            </w:tcBorders>
            <w:vAlign w:val="center"/>
          </w:tcPr>
          <w:p w14:paraId="608A0385">
            <w:pPr>
              <w:spacing w:line="360" w:lineRule="atLeast"/>
              <w:ind w:firstLine="0" w:firstLineChars="0"/>
              <w:jc w:val="center"/>
              <w:rPr>
                <w:rFonts w:hint="default" w:ascii="Times New Roman" w:hAnsi="Times New Roman" w:cs="Times New Roman"/>
                <w:bCs/>
                <w:color w:val="auto"/>
                <w:sz w:val="21"/>
                <w:szCs w:val="21"/>
                <w:highlight w:val="none"/>
              </w:rPr>
            </w:pPr>
          </w:p>
        </w:tc>
      </w:tr>
      <w:tr w14:paraId="6E70DD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232BF9DB">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63BE00C4">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32</w:t>
            </w:r>
          </w:p>
        </w:tc>
        <w:tc>
          <w:tcPr>
            <w:tcW w:w="2311" w:type="dxa"/>
            <w:tcBorders>
              <w:tl2br w:val="nil"/>
              <w:tr2bl w:val="nil"/>
            </w:tcBorders>
            <w:vAlign w:val="center"/>
          </w:tcPr>
          <w:p w14:paraId="6351F377">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甲苯</w:t>
            </w:r>
          </w:p>
        </w:tc>
        <w:tc>
          <w:tcPr>
            <w:tcW w:w="2066" w:type="dxa"/>
            <w:tcBorders>
              <w:tl2br w:val="nil"/>
              <w:tr2bl w:val="nil"/>
            </w:tcBorders>
            <w:vAlign w:val="center"/>
          </w:tcPr>
          <w:p w14:paraId="5D5586D8">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1200</w:t>
            </w:r>
          </w:p>
        </w:tc>
        <w:tc>
          <w:tcPr>
            <w:tcW w:w="2258" w:type="dxa"/>
            <w:vMerge w:val="continue"/>
            <w:tcBorders>
              <w:tl2br w:val="nil"/>
              <w:tr2bl w:val="nil"/>
            </w:tcBorders>
            <w:vAlign w:val="center"/>
          </w:tcPr>
          <w:p w14:paraId="28D2C285">
            <w:pPr>
              <w:spacing w:line="360" w:lineRule="atLeast"/>
              <w:ind w:firstLine="0" w:firstLineChars="0"/>
              <w:jc w:val="center"/>
              <w:rPr>
                <w:rFonts w:hint="default" w:ascii="Times New Roman" w:hAnsi="Times New Roman" w:cs="Times New Roman"/>
                <w:bCs/>
                <w:color w:val="auto"/>
                <w:sz w:val="21"/>
                <w:szCs w:val="21"/>
                <w:highlight w:val="none"/>
              </w:rPr>
            </w:pPr>
          </w:p>
        </w:tc>
      </w:tr>
      <w:tr w14:paraId="656B6F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11631BE3">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53381610">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33</w:t>
            </w:r>
          </w:p>
        </w:tc>
        <w:tc>
          <w:tcPr>
            <w:tcW w:w="2311" w:type="dxa"/>
            <w:tcBorders>
              <w:tl2br w:val="nil"/>
              <w:tr2bl w:val="nil"/>
            </w:tcBorders>
            <w:vAlign w:val="center"/>
          </w:tcPr>
          <w:p w14:paraId="194C54C7">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间二甲苯+对二甲苯</w:t>
            </w:r>
          </w:p>
        </w:tc>
        <w:tc>
          <w:tcPr>
            <w:tcW w:w="2066" w:type="dxa"/>
            <w:tcBorders>
              <w:tl2br w:val="nil"/>
              <w:tr2bl w:val="nil"/>
            </w:tcBorders>
            <w:vAlign w:val="center"/>
          </w:tcPr>
          <w:p w14:paraId="7ABE569C">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570</w:t>
            </w:r>
          </w:p>
        </w:tc>
        <w:tc>
          <w:tcPr>
            <w:tcW w:w="2258" w:type="dxa"/>
            <w:vMerge w:val="continue"/>
            <w:tcBorders>
              <w:tl2br w:val="nil"/>
              <w:tr2bl w:val="nil"/>
            </w:tcBorders>
            <w:vAlign w:val="center"/>
          </w:tcPr>
          <w:p w14:paraId="1F7250A5">
            <w:pPr>
              <w:spacing w:line="360" w:lineRule="atLeast"/>
              <w:ind w:firstLine="0" w:firstLineChars="0"/>
              <w:jc w:val="center"/>
              <w:rPr>
                <w:rFonts w:hint="default" w:ascii="Times New Roman" w:hAnsi="Times New Roman" w:cs="Times New Roman"/>
                <w:bCs/>
                <w:color w:val="auto"/>
                <w:sz w:val="21"/>
                <w:szCs w:val="21"/>
                <w:highlight w:val="none"/>
              </w:rPr>
            </w:pPr>
          </w:p>
        </w:tc>
      </w:tr>
      <w:tr w14:paraId="3E0BFC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26820A44">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3A77AF6D">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34</w:t>
            </w:r>
          </w:p>
        </w:tc>
        <w:tc>
          <w:tcPr>
            <w:tcW w:w="2311" w:type="dxa"/>
            <w:tcBorders>
              <w:tl2br w:val="nil"/>
              <w:tr2bl w:val="nil"/>
            </w:tcBorders>
            <w:vAlign w:val="center"/>
          </w:tcPr>
          <w:p w14:paraId="4BA89F45">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邻二甲苯</w:t>
            </w:r>
          </w:p>
        </w:tc>
        <w:tc>
          <w:tcPr>
            <w:tcW w:w="2066" w:type="dxa"/>
            <w:tcBorders>
              <w:tl2br w:val="nil"/>
              <w:tr2bl w:val="nil"/>
            </w:tcBorders>
            <w:vAlign w:val="center"/>
          </w:tcPr>
          <w:p w14:paraId="7EEF9DBE">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640</w:t>
            </w:r>
          </w:p>
        </w:tc>
        <w:tc>
          <w:tcPr>
            <w:tcW w:w="2258" w:type="dxa"/>
            <w:vMerge w:val="continue"/>
            <w:tcBorders>
              <w:tl2br w:val="nil"/>
              <w:tr2bl w:val="nil"/>
            </w:tcBorders>
            <w:vAlign w:val="center"/>
          </w:tcPr>
          <w:p w14:paraId="465EEB98">
            <w:pPr>
              <w:spacing w:line="360" w:lineRule="atLeast"/>
              <w:ind w:firstLine="0" w:firstLineChars="0"/>
              <w:jc w:val="center"/>
              <w:rPr>
                <w:rFonts w:hint="default" w:ascii="Times New Roman" w:hAnsi="Times New Roman" w:cs="Times New Roman"/>
                <w:bCs/>
                <w:color w:val="auto"/>
                <w:sz w:val="21"/>
                <w:szCs w:val="21"/>
                <w:highlight w:val="none"/>
              </w:rPr>
            </w:pPr>
          </w:p>
        </w:tc>
      </w:tr>
      <w:tr w14:paraId="25C24E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8362" w:type="dxa"/>
            <w:gridSpan w:val="5"/>
            <w:tcBorders>
              <w:tl2br w:val="nil"/>
              <w:tr2bl w:val="nil"/>
            </w:tcBorders>
            <w:vAlign w:val="center"/>
          </w:tcPr>
          <w:p w14:paraId="18057F39">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半挥发性有机物</w:t>
            </w:r>
          </w:p>
        </w:tc>
      </w:tr>
      <w:tr w14:paraId="426FD6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restart"/>
            <w:tcBorders>
              <w:tl2br w:val="nil"/>
              <w:tr2bl w:val="nil"/>
            </w:tcBorders>
            <w:vAlign w:val="center"/>
          </w:tcPr>
          <w:p w14:paraId="07F023B9">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第二类用地筛选值</w:t>
            </w:r>
          </w:p>
        </w:tc>
        <w:tc>
          <w:tcPr>
            <w:tcW w:w="669" w:type="dxa"/>
            <w:tcBorders>
              <w:tl2br w:val="nil"/>
              <w:tr2bl w:val="nil"/>
            </w:tcBorders>
            <w:vAlign w:val="center"/>
          </w:tcPr>
          <w:p w14:paraId="30193363">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35</w:t>
            </w:r>
          </w:p>
        </w:tc>
        <w:tc>
          <w:tcPr>
            <w:tcW w:w="2311" w:type="dxa"/>
            <w:tcBorders>
              <w:tl2br w:val="nil"/>
              <w:tr2bl w:val="nil"/>
            </w:tcBorders>
            <w:vAlign w:val="center"/>
          </w:tcPr>
          <w:p w14:paraId="3B923080">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硝基苯</w:t>
            </w:r>
          </w:p>
        </w:tc>
        <w:tc>
          <w:tcPr>
            <w:tcW w:w="2066" w:type="dxa"/>
            <w:tcBorders>
              <w:tl2br w:val="nil"/>
              <w:tr2bl w:val="nil"/>
            </w:tcBorders>
            <w:vAlign w:val="center"/>
          </w:tcPr>
          <w:p w14:paraId="042BD319">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76</w:t>
            </w:r>
          </w:p>
        </w:tc>
        <w:tc>
          <w:tcPr>
            <w:tcW w:w="2258" w:type="dxa"/>
            <w:vMerge w:val="restart"/>
            <w:tcBorders>
              <w:tl2br w:val="nil"/>
              <w:tr2bl w:val="nil"/>
            </w:tcBorders>
            <w:vAlign w:val="center"/>
          </w:tcPr>
          <w:p w14:paraId="15EBB356">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《土壤环境质量 建设用地土壤污染风险管控标准》（GB36600-2018）</w:t>
            </w:r>
          </w:p>
        </w:tc>
      </w:tr>
      <w:tr w14:paraId="4EC020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2E04638B">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75C96319">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36</w:t>
            </w:r>
          </w:p>
        </w:tc>
        <w:tc>
          <w:tcPr>
            <w:tcW w:w="2311" w:type="dxa"/>
            <w:tcBorders>
              <w:tl2br w:val="nil"/>
              <w:tr2bl w:val="nil"/>
            </w:tcBorders>
            <w:vAlign w:val="center"/>
          </w:tcPr>
          <w:p w14:paraId="4C614EDD">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苯胺</w:t>
            </w:r>
          </w:p>
        </w:tc>
        <w:tc>
          <w:tcPr>
            <w:tcW w:w="2066" w:type="dxa"/>
            <w:tcBorders>
              <w:tl2br w:val="nil"/>
              <w:tr2bl w:val="nil"/>
            </w:tcBorders>
            <w:vAlign w:val="center"/>
          </w:tcPr>
          <w:p w14:paraId="676694A9">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260</w:t>
            </w:r>
          </w:p>
        </w:tc>
        <w:tc>
          <w:tcPr>
            <w:tcW w:w="2258" w:type="dxa"/>
            <w:vMerge w:val="continue"/>
            <w:tcBorders>
              <w:tl2br w:val="nil"/>
              <w:tr2bl w:val="nil"/>
            </w:tcBorders>
            <w:vAlign w:val="center"/>
          </w:tcPr>
          <w:p w14:paraId="2FDDB99A">
            <w:pPr>
              <w:spacing w:line="360" w:lineRule="atLeast"/>
              <w:ind w:firstLine="0" w:firstLineChars="0"/>
              <w:jc w:val="center"/>
              <w:rPr>
                <w:rFonts w:hint="default" w:ascii="Times New Roman" w:hAnsi="Times New Roman" w:cs="Times New Roman"/>
                <w:bCs/>
                <w:color w:val="auto"/>
                <w:sz w:val="21"/>
                <w:szCs w:val="21"/>
                <w:highlight w:val="none"/>
              </w:rPr>
            </w:pPr>
          </w:p>
        </w:tc>
      </w:tr>
      <w:tr w14:paraId="1C4656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77323B60">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521C55A7">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37</w:t>
            </w:r>
          </w:p>
        </w:tc>
        <w:tc>
          <w:tcPr>
            <w:tcW w:w="2311" w:type="dxa"/>
            <w:tcBorders>
              <w:tl2br w:val="nil"/>
              <w:tr2bl w:val="nil"/>
            </w:tcBorders>
            <w:vAlign w:val="center"/>
          </w:tcPr>
          <w:p w14:paraId="5DC5D018">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2-氯酚</w:t>
            </w:r>
          </w:p>
        </w:tc>
        <w:tc>
          <w:tcPr>
            <w:tcW w:w="2066" w:type="dxa"/>
            <w:tcBorders>
              <w:tl2br w:val="nil"/>
              <w:tr2bl w:val="nil"/>
            </w:tcBorders>
            <w:vAlign w:val="center"/>
          </w:tcPr>
          <w:p w14:paraId="3C31AFB3">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2256</w:t>
            </w:r>
          </w:p>
        </w:tc>
        <w:tc>
          <w:tcPr>
            <w:tcW w:w="2258" w:type="dxa"/>
            <w:vMerge w:val="continue"/>
            <w:tcBorders>
              <w:tl2br w:val="nil"/>
              <w:tr2bl w:val="nil"/>
            </w:tcBorders>
            <w:vAlign w:val="center"/>
          </w:tcPr>
          <w:p w14:paraId="335EB44F">
            <w:pPr>
              <w:spacing w:line="360" w:lineRule="atLeast"/>
              <w:ind w:firstLine="0" w:firstLineChars="0"/>
              <w:jc w:val="center"/>
              <w:rPr>
                <w:rFonts w:hint="default" w:ascii="Times New Roman" w:hAnsi="Times New Roman" w:cs="Times New Roman"/>
                <w:bCs/>
                <w:color w:val="auto"/>
                <w:sz w:val="21"/>
                <w:szCs w:val="21"/>
                <w:highlight w:val="none"/>
              </w:rPr>
            </w:pPr>
          </w:p>
        </w:tc>
      </w:tr>
      <w:tr w14:paraId="5086A3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6D40B97A">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784DBC5A">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38</w:t>
            </w:r>
          </w:p>
        </w:tc>
        <w:tc>
          <w:tcPr>
            <w:tcW w:w="2311" w:type="dxa"/>
            <w:tcBorders>
              <w:tl2br w:val="nil"/>
              <w:tr2bl w:val="nil"/>
            </w:tcBorders>
            <w:vAlign w:val="center"/>
          </w:tcPr>
          <w:p w14:paraId="75FDEAFD">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苯并[a]蒽</w:t>
            </w:r>
          </w:p>
        </w:tc>
        <w:tc>
          <w:tcPr>
            <w:tcW w:w="2066" w:type="dxa"/>
            <w:tcBorders>
              <w:tl2br w:val="nil"/>
              <w:tr2bl w:val="nil"/>
            </w:tcBorders>
            <w:vAlign w:val="center"/>
          </w:tcPr>
          <w:p w14:paraId="26F83C05">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c>
          <w:tcPr>
            <w:tcW w:w="2258" w:type="dxa"/>
            <w:vMerge w:val="continue"/>
            <w:tcBorders>
              <w:tl2br w:val="nil"/>
              <w:tr2bl w:val="nil"/>
            </w:tcBorders>
            <w:vAlign w:val="center"/>
          </w:tcPr>
          <w:p w14:paraId="1BD73D63">
            <w:pPr>
              <w:spacing w:line="360" w:lineRule="atLeast"/>
              <w:ind w:firstLine="0" w:firstLineChars="0"/>
              <w:jc w:val="center"/>
              <w:rPr>
                <w:rFonts w:hint="default" w:ascii="Times New Roman" w:hAnsi="Times New Roman" w:cs="Times New Roman"/>
                <w:bCs/>
                <w:color w:val="auto"/>
                <w:sz w:val="21"/>
                <w:szCs w:val="21"/>
                <w:highlight w:val="none"/>
              </w:rPr>
            </w:pPr>
          </w:p>
        </w:tc>
      </w:tr>
      <w:tr w14:paraId="423F1B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5A772DBF">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6D163284">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39</w:t>
            </w:r>
          </w:p>
        </w:tc>
        <w:tc>
          <w:tcPr>
            <w:tcW w:w="2311" w:type="dxa"/>
            <w:tcBorders>
              <w:tl2br w:val="nil"/>
              <w:tr2bl w:val="nil"/>
            </w:tcBorders>
            <w:vAlign w:val="center"/>
          </w:tcPr>
          <w:p w14:paraId="39001ABA">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苯并[a]芘</w:t>
            </w:r>
          </w:p>
        </w:tc>
        <w:tc>
          <w:tcPr>
            <w:tcW w:w="2066" w:type="dxa"/>
            <w:tcBorders>
              <w:tl2br w:val="nil"/>
              <w:tr2bl w:val="nil"/>
            </w:tcBorders>
            <w:vAlign w:val="center"/>
          </w:tcPr>
          <w:p w14:paraId="5FE77344">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c>
          <w:tcPr>
            <w:tcW w:w="2258" w:type="dxa"/>
            <w:vMerge w:val="continue"/>
            <w:tcBorders>
              <w:tl2br w:val="nil"/>
              <w:tr2bl w:val="nil"/>
            </w:tcBorders>
            <w:vAlign w:val="center"/>
          </w:tcPr>
          <w:p w14:paraId="27431DE8">
            <w:pPr>
              <w:spacing w:line="360" w:lineRule="atLeast"/>
              <w:ind w:firstLine="0" w:firstLineChars="0"/>
              <w:jc w:val="center"/>
              <w:rPr>
                <w:rFonts w:hint="default" w:ascii="Times New Roman" w:hAnsi="Times New Roman" w:cs="Times New Roman"/>
                <w:bCs/>
                <w:color w:val="auto"/>
                <w:sz w:val="21"/>
                <w:szCs w:val="21"/>
                <w:highlight w:val="none"/>
              </w:rPr>
            </w:pPr>
          </w:p>
        </w:tc>
      </w:tr>
      <w:tr w14:paraId="6DA8F6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171508FD">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5C4AA649">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40</w:t>
            </w:r>
          </w:p>
        </w:tc>
        <w:tc>
          <w:tcPr>
            <w:tcW w:w="2311" w:type="dxa"/>
            <w:tcBorders>
              <w:tl2br w:val="nil"/>
              <w:tr2bl w:val="nil"/>
            </w:tcBorders>
            <w:vAlign w:val="center"/>
          </w:tcPr>
          <w:p w14:paraId="29D3E202">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苯并[b]荧蒽</w:t>
            </w:r>
          </w:p>
        </w:tc>
        <w:tc>
          <w:tcPr>
            <w:tcW w:w="2066" w:type="dxa"/>
            <w:tcBorders>
              <w:tl2br w:val="nil"/>
              <w:tr2bl w:val="nil"/>
            </w:tcBorders>
            <w:vAlign w:val="center"/>
          </w:tcPr>
          <w:p w14:paraId="399D5E3C">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c>
          <w:tcPr>
            <w:tcW w:w="2258" w:type="dxa"/>
            <w:vMerge w:val="continue"/>
            <w:tcBorders>
              <w:tl2br w:val="nil"/>
              <w:tr2bl w:val="nil"/>
            </w:tcBorders>
            <w:vAlign w:val="center"/>
          </w:tcPr>
          <w:p w14:paraId="79D92AF6">
            <w:pPr>
              <w:spacing w:line="360" w:lineRule="atLeast"/>
              <w:ind w:firstLine="0" w:firstLineChars="0"/>
              <w:jc w:val="center"/>
              <w:rPr>
                <w:rFonts w:hint="default" w:ascii="Times New Roman" w:hAnsi="Times New Roman" w:cs="Times New Roman"/>
                <w:bCs/>
                <w:color w:val="auto"/>
                <w:sz w:val="21"/>
                <w:szCs w:val="21"/>
                <w:highlight w:val="none"/>
              </w:rPr>
            </w:pPr>
          </w:p>
        </w:tc>
      </w:tr>
      <w:tr w14:paraId="5A5DE5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297687FC">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1B0058D6">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41</w:t>
            </w:r>
          </w:p>
        </w:tc>
        <w:tc>
          <w:tcPr>
            <w:tcW w:w="2311" w:type="dxa"/>
            <w:tcBorders>
              <w:tl2br w:val="nil"/>
              <w:tr2bl w:val="nil"/>
            </w:tcBorders>
            <w:vAlign w:val="center"/>
          </w:tcPr>
          <w:p w14:paraId="5436EDB7">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苯并[k]荧蒽</w:t>
            </w:r>
          </w:p>
        </w:tc>
        <w:tc>
          <w:tcPr>
            <w:tcW w:w="2066" w:type="dxa"/>
            <w:tcBorders>
              <w:tl2br w:val="nil"/>
              <w:tr2bl w:val="nil"/>
            </w:tcBorders>
            <w:vAlign w:val="center"/>
          </w:tcPr>
          <w:p w14:paraId="6EB5A522">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151</w:t>
            </w:r>
          </w:p>
        </w:tc>
        <w:tc>
          <w:tcPr>
            <w:tcW w:w="2258" w:type="dxa"/>
            <w:vMerge w:val="continue"/>
            <w:tcBorders>
              <w:tl2br w:val="nil"/>
              <w:tr2bl w:val="nil"/>
            </w:tcBorders>
            <w:vAlign w:val="center"/>
          </w:tcPr>
          <w:p w14:paraId="009D96B1">
            <w:pPr>
              <w:spacing w:line="360" w:lineRule="atLeast"/>
              <w:ind w:firstLine="0" w:firstLineChars="0"/>
              <w:jc w:val="center"/>
              <w:rPr>
                <w:rFonts w:hint="default" w:ascii="Times New Roman" w:hAnsi="Times New Roman" w:cs="Times New Roman"/>
                <w:bCs/>
                <w:color w:val="auto"/>
                <w:sz w:val="21"/>
                <w:szCs w:val="21"/>
                <w:highlight w:val="none"/>
              </w:rPr>
            </w:pPr>
          </w:p>
        </w:tc>
      </w:tr>
      <w:tr w14:paraId="21D585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6EE2B667">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5BF861C9">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42</w:t>
            </w:r>
          </w:p>
        </w:tc>
        <w:tc>
          <w:tcPr>
            <w:tcW w:w="2311" w:type="dxa"/>
            <w:tcBorders>
              <w:tl2br w:val="nil"/>
              <w:tr2bl w:val="nil"/>
            </w:tcBorders>
            <w:vAlign w:val="center"/>
          </w:tcPr>
          <w:p w14:paraId="1E88BC03">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䓛</w:t>
            </w:r>
          </w:p>
        </w:tc>
        <w:tc>
          <w:tcPr>
            <w:tcW w:w="2066" w:type="dxa"/>
            <w:tcBorders>
              <w:tl2br w:val="nil"/>
              <w:tr2bl w:val="nil"/>
            </w:tcBorders>
            <w:vAlign w:val="center"/>
          </w:tcPr>
          <w:p w14:paraId="350FB894">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1293</w:t>
            </w:r>
          </w:p>
        </w:tc>
        <w:tc>
          <w:tcPr>
            <w:tcW w:w="2258" w:type="dxa"/>
            <w:vMerge w:val="continue"/>
            <w:tcBorders>
              <w:tl2br w:val="nil"/>
              <w:tr2bl w:val="nil"/>
            </w:tcBorders>
            <w:vAlign w:val="center"/>
          </w:tcPr>
          <w:p w14:paraId="5A5C9405">
            <w:pPr>
              <w:spacing w:line="360" w:lineRule="atLeast"/>
              <w:ind w:firstLine="0" w:firstLineChars="0"/>
              <w:jc w:val="center"/>
              <w:rPr>
                <w:rFonts w:hint="default" w:ascii="Times New Roman" w:hAnsi="Times New Roman" w:cs="Times New Roman"/>
                <w:bCs/>
                <w:color w:val="auto"/>
                <w:sz w:val="21"/>
                <w:szCs w:val="21"/>
                <w:highlight w:val="none"/>
              </w:rPr>
            </w:pPr>
          </w:p>
        </w:tc>
      </w:tr>
      <w:tr w14:paraId="69DCB1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4CC36F1C">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7BA91CB2">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43</w:t>
            </w:r>
          </w:p>
        </w:tc>
        <w:tc>
          <w:tcPr>
            <w:tcW w:w="2311" w:type="dxa"/>
            <w:tcBorders>
              <w:tl2br w:val="nil"/>
              <w:tr2bl w:val="nil"/>
            </w:tcBorders>
            <w:vAlign w:val="center"/>
          </w:tcPr>
          <w:p w14:paraId="2F46A808">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二苯并[a，h]蒽</w:t>
            </w:r>
          </w:p>
        </w:tc>
        <w:tc>
          <w:tcPr>
            <w:tcW w:w="2066" w:type="dxa"/>
            <w:tcBorders>
              <w:tl2br w:val="nil"/>
              <w:tr2bl w:val="nil"/>
            </w:tcBorders>
            <w:vAlign w:val="center"/>
          </w:tcPr>
          <w:p w14:paraId="2AF3BB40">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c>
          <w:tcPr>
            <w:tcW w:w="2258" w:type="dxa"/>
            <w:vMerge w:val="continue"/>
            <w:tcBorders>
              <w:tl2br w:val="nil"/>
              <w:tr2bl w:val="nil"/>
            </w:tcBorders>
            <w:vAlign w:val="center"/>
          </w:tcPr>
          <w:p w14:paraId="2BC9486E">
            <w:pPr>
              <w:spacing w:line="360" w:lineRule="atLeast"/>
              <w:ind w:firstLine="0" w:firstLineChars="0"/>
              <w:jc w:val="center"/>
              <w:rPr>
                <w:rFonts w:hint="default" w:ascii="Times New Roman" w:hAnsi="Times New Roman" w:cs="Times New Roman"/>
                <w:bCs/>
                <w:color w:val="auto"/>
                <w:sz w:val="21"/>
                <w:szCs w:val="21"/>
                <w:highlight w:val="none"/>
              </w:rPr>
            </w:pPr>
          </w:p>
        </w:tc>
      </w:tr>
      <w:tr w14:paraId="73D851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1D72F0D0">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1767F723">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44</w:t>
            </w:r>
          </w:p>
        </w:tc>
        <w:tc>
          <w:tcPr>
            <w:tcW w:w="2311" w:type="dxa"/>
            <w:tcBorders>
              <w:tl2br w:val="nil"/>
              <w:tr2bl w:val="nil"/>
            </w:tcBorders>
            <w:vAlign w:val="center"/>
          </w:tcPr>
          <w:p w14:paraId="3A303230">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茚并[1，2，3-cd]芘</w:t>
            </w:r>
          </w:p>
        </w:tc>
        <w:tc>
          <w:tcPr>
            <w:tcW w:w="2066" w:type="dxa"/>
            <w:tcBorders>
              <w:tl2br w:val="nil"/>
              <w:tr2bl w:val="nil"/>
            </w:tcBorders>
            <w:vAlign w:val="center"/>
          </w:tcPr>
          <w:p w14:paraId="287EF35E">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c>
          <w:tcPr>
            <w:tcW w:w="2258" w:type="dxa"/>
            <w:vMerge w:val="continue"/>
            <w:tcBorders>
              <w:tl2br w:val="nil"/>
              <w:tr2bl w:val="nil"/>
            </w:tcBorders>
            <w:vAlign w:val="center"/>
          </w:tcPr>
          <w:p w14:paraId="1FE6DDCF">
            <w:pPr>
              <w:spacing w:line="360" w:lineRule="atLeast"/>
              <w:ind w:firstLine="0" w:firstLineChars="0"/>
              <w:jc w:val="center"/>
              <w:rPr>
                <w:rFonts w:hint="default" w:ascii="Times New Roman" w:hAnsi="Times New Roman" w:cs="Times New Roman"/>
                <w:bCs/>
                <w:color w:val="auto"/>
                <w:sz w:val="21"/>
                <w:szCs w:val="21"/>
                <w:highlight w:val="none"/>
              </w:rPr>
            </w:pPr>
          </w:p>
        </w:tc>
      </w:tr>
      <w:tr w14:paraId="76471C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058" w:type="dxa"/>
            <w:vMerge w:val="continue"/>
            <w:tcBorders>
              <w:tl2br w:val="nil"/>
              <w:tr2bl w:val="nil"/>
            </w:tcBorders>
            <w:vAlign w:val="center"/>
          </w:tcPr>
          <w:p w14:paraId="4179A3F9">
            <w:pPr>
              <w:spacing w:line="360" w:lineRule="atLeast"/>
              <w:ind w:firstLine="0" w:firstLineChars="0"/>
              <w:jc w:val="center"/>
              <w:rPr>
                <w:rFonts w:hint="default" w:ascii="Times New Roman" w:hAnsi="Times New Roman" w:cs="Times New Roman"/>
                <w:bCs/>
                <w:color w:val="auto"/>
                <w:sz w:val="21"/>
                <w:szCs w:val="21"/>
                <w:highlight w:val="none"/>
              </w:rPr>
            </w:pPr>
          </w:p>
        </w:tc>
        <w:tc>
          <w:tcPr>
            <w:tcW w:w="669" w:type="dxa"/>
            <w:tcBorders>
              <w:tl2br w:val="nil"/>
              <w:tr2bl w:val="nil"/>
            </w:tcBorders>
            <w:vAlign w:val="center"/>
          </w:tcPr>
          <w:p w14:paraId="17B78EF9">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45</w:t>
            </w:r>
          </w:p>
        </w:tc>
        <w:tc>
          <w:tcPr>
            <w:tcW w:w="2311" w:type="dxa"/>
            <w:tcBorders>
              <w:tl2br w:val="nil"/>
              <w:tr2bl w:val="nil"/>
            </w:tcBorders>
            <w:vAlign w:val="center"/>
          </w:tcPr>
          <w:p w14:paraId="4C293A51">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萘</w:t>
            </w:r>
          </w:p>
        </w:tc>
        <w:tc>
          <w:tcPr>
            <w:tcW w:w="2066" w:type="dxa"/>
            <w:tcBorders>
              <w:tl2br w:val="nil"/>
              <w:tr2bl w:val="nil"/>
            </w:tcBorders>
            <w:vAlign w:val="center"/>
          </w:tcPr>
          <w:p w14:paraId="455F963B">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70</w:t>
            </w:r>
          </w:p>
        </w:tc>
        <w:tc>
          <w:tcPr>
            <w:tcW w:w="2258" w:type="dxa"/>
            <w:vMerge w:val="continue"/>
            <w:tcBorders>
              <w:tl2br w:val="nil"/>
              <w:tr2bl w:val="nil"/>
            </w:tcBorders>
            <w:vAlign w:val="center"/>
          </w:tcPr>
          <w:p w14:paraId="7DCF18E9">
            <w:pPr>
              <w:spacing w:line="360" w:lineRule="atLeast"/>
              <w:ind w:firstLine="0" w:firstLineChars="0"/>
              <w:jc w:val="center"/>
              <w:rPr>
                <w:rFonts w:hint="default" w:ascii="Times New Roman" w:hAnsi="Times New Roman" w:cs="Times New Roman"/>
                <w:bCs/>
                <w:color w:val="auto"/>
                <w:sz w:val="21"/>
                <w:szCs w:val="21"/>
                <w:highlight w:val="none"/>
              </w:rPr>
            </w:pPr>
          </w:p>
        </w:tc>
      </w:tr>
    </w:tbl>
    <w:p w14:paraId="0BF00084">
      <w:pPr>
        <w:pStyle w:val="5"/>
        <w:tabs>
          <w:tab w:val="left" w:pos="2041"/>
          <w:tab w:val="left" w:pos="3402"/>
        </w:tabs>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2.5.2.2污染物排放标准</w:t>
      </w:r>
    </w:p>
    <w:p w14:paraId="2B126F5C">
      <w:pPr>
        <w:pStyle w:val="55"/>
        <w:overflowPunct w:val="0"/>
        <w:topLinePunct/>
        <w:adjustRightInd/>
        <w:ind w:firstLine="476" w:firstLineChars="200"/>
        <w:rPr>
          <w:rFonts w:hint="default" w:ascii="Times New Roman" w:hAnsi="Times New Roman" w:cs="Times New Roman"/>
          <w:color w:val="auto"/>
          <w:spacing w:val="-1"/>
          <w:highlight w:val="none"/>
        </w:rPr>
      </w:pPr>
      <w:r>
        <w:rPr>
          <w:rFonts w:hint="default" w:ascii="Times New Roman" w:hAnsi="Times New Roman" w:cs="Times New Roman"/>
          <w:color w:val="auto"/>
          <w:spacing w:val="-1"/>
          <w:highlight w:val="none"/>
        </w:rPr>
        <w:t>（1）废气</w:t>
      </w:r>
    </w:p>
    <w:p w14:paraId="0019B2BD">
      <w:pPr>
        <w:overflowPunct w:val="0"/>
        <w:topLinePunct/>
        <w:ind w:firstLine="476"/>
        <w:rPr>
          <w:rFonts w:hint="default" w:ascii="Times New Roman" w:hAnsi="Times New Roman" w:cs="Times New Roman"/>
          <w:color w:val="auto"/>
          <w:highlight w:val="none"/>
        </w:rPr>
      </w:pPr>
      <w:r>
        <w:rPr>
          <w:rFonts w:hint="default" w:ascii="Times New Roman" w:hAnsi="Times New Roman" w:cs="Times New Roman"/>
          <w:color w:val="auto"/>
          <w:spacing w:val="-1"/>
          <w:highlight w:val="none"/>
        </w:rPr>
        <w:t>施工期</w:t>
      </w:r>
      <w:r>
        <w:rPr>
          <w:rFonts w:hint="default" w:ascii="Times New Roman" w:hAnsi="Times New Roman" w:cs="Times New Roman"/>
          <w:color w:val="auto"/>
          <w:spacing w:val="-1"/>
          <w:highlight w:val="none"/>
          <w:lang w:eastAsia="zh-CN"/>
        </w:rPr>
        <w:t>及运营期</w:t>
      </w:r>
      <w:r>
        <w:rPr>
          <w:rFonts w:hint="default" w:ascii="Times New Roman" w:hAnsi="Times New Roman" w:cs="Times New Roman"/>
          <w:color w:val="auto"/>
          <w:spacing w:val="-1"/>
          <w:highlight w:val="none"/>
        </w:rPr>
        <w:t>产生的粉尘有关标准限值见表2.5-</w:t>
      </w:r>
      <w:r>
        <w:rPr>
          <w:rFonts w:hint="default" w:ascii="Times New Roman" w:hAnsi="Times New Roman" w:cs="Times New Roman"/>
          <w:color w:val="auto"/>
          <w:spacing w:val="-1"/>
          <w:highlight w:val="none"/>
          <w:lang w:val="en-US" w:eastAsia="zh-CN"/>
        </w:rPr>
        <w:t>5</w:t>
      </w:r>
      <w:r>
        <w:rPr>
          <w:rFonts w:hint="default" w:ascii="Times New Roman" w:hAnsi="Times New Roman" w:cs="Times New Roman"/>
          <w:color w:val="auto"/>
          <w:spacing w:val="-1"/>
          <w:highlight w:val="none"/>
        </w:rPr>
        <w:t>。</w:t>
      </w:r>
    </w:p>
    <w:p w14:paraId="6DB3CCC2">
      <w:pPr>
        <w:ind w:firstLine="0" w:firstLineChars="0"/>
        <w:jc w:val="center"/>
        <w:rPr>
          <w:rFonts w:hint="default" w:ascii="Times New Roman" w:hAnsi="Times New Roman" w:cs="Times New Roman"/>
          <w:color w:val="auto"/>
          <w:highlight w:val="none"/>
        </w:rPr>
      </w:pPr>
      <w:r>
        <w:rPr>
          <w:rFonts w:hint="default" w:ascii="Times New Roman" w:hAnsi="Times New Roman" w:cs="Times New Roman"/>
          <w:b/>
          <w:bCs/>
          <w:color w:val="auto"/>
          <w:kern w:val="0"/>
          <w:highlight w:val="none"/>
        </w:rPr>
        <w:t>表2.5-</w:t>
      </w:r>
      <w:r>
        <w:rPr>
          <w:rFonts w:hint="default" w:ascii="Times New Roman" w:hAnsi="Times New Roman" w:cs="Times New Roman"/>
          <w:b/>
          <w:bCs/>
          <w:color w:val="auto"/>
          <w:kern w:val="0"/>
          <w:highlight w:val="none"/>
          <w:lang w:val="en-US" w:eastAsia="zh-CN"/>
        </w:rPr>
        <w:t>5</w:t>
      </w:r>
      <w:r>
        <w:rPr>
          <w:rFonts w:hint="default" w:ascii="Times New Roman" w:hAnsi="Times New Roman" w:cs="Times New Roman"/>
          <w:b/>
          <w:bCs/>
          <w:color w:val="auto"/>
          <w:kern w:val="0"/>
          <w:highlight w:val="none"/>
        </w:rPr>
        <w:t xml:space="preserve">    大气污染物综合排放标准</w:t>
      </w:r>
    </w:p>
    <w:tbl>
      <w:tblPr>
        <w:tblStyle w:val="33"/>
        <w:tblW w:w="85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6"/>
        <w:gridCol w:w="1503"/>
        <w:gridCol w:w="1416"/>
        <w:gridCol w:w="1100"/>
        <w:gridCol w:w="1817"/>
        <w:gridCol w:w="1767"/>
      </w:tblGrid>
      <w:tr w14:paraId="7C63A0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916" w:type="dxa"/>
            <w:tcBorders>
              <w:tl2br w:val="nil"/>
              <w:tr2bl w:val="nil"/>
            </w:tcBorders>
            <w:vAlign w:val="center"/>
          </w:tcPr>
          <w:p w14:paraId="2C4AADC6">
            <w:pPr>
              <w:spacing w:line="360" w:lineRule="atLeast"/>
              <w:ind w:firstLine="0" w:firstLineChars="0"/>
              <w:jc w:val="center"/>
              <w:rPr>
                <w:rFonts w:hint="default" w:ascii="Times New Roman" w:hAnsi="Times New Roman" w:cs="Times New Roman"/>
                <w:b/>
                <w:bCs/>
                <w:color w:val="auto"/>
                <w:kern w:val="0"/>
                <w:sz w:val="21"/>
                <w:szCs w:val="21"/>
                <w:highlight w:val="none"/>
                <w:lang w:val="zh-CN"/>
              </w:rPr>
            </w:pPr>
            <w:r>
              <w:rPr>
                <w:rFonts w:hint="default" w:ascii="Times New Roman" w:hAnsi="Times New Roman" w:cs="Times New Roman"/>
                <w:b/>
                <w:bCs/>
                <w:color w:val="auto"/>
                <w:kern w:val="0"/>
                <w:sz w:val="21"/>
                <w:szCs w:val="21"/>
                <w:highlight w:val="none"/>
                <w:lang w:val="zh-CN"/>
              </w:rPr>
              <w:t>污染源</w:t>
            </w:r>
          </w:p>
        </w:tc>
        <w:tc>
          <w:tcPr>
            <w:tcW w:w="1503" w:type="dxa"/>
            <w:tcBorders>
              <w:tl2br w:val="nil"/>
              <w:tr2bl w:val="nil"/>
            </w:tcBorders>
            <w:vAlign w:val="center"/>
          </w:tcPr>
          <w:p w14:paraId="6588DCE8">
            <w:pPr>
              <w:spacing w:line="360" w:lineRule="atLeast"/>
              <w:ind w:firstLine="0" w:firstLineChars="0"/>
              <w:jc w:val="center"/>
              <w:rPr>
                <w:rFonts w:hint="default" w:ascii="Times New Roman" w:hAnsi="Times New Roman" w:cs="Times New Roman"/>
                <w:b/>
                <w:bCs/>
                <w:color w:val="auto"/>
                <w:kern w:val="0"/>
                <w:sz w:val="21"/>
                <w:szCs w:val="21"/>
                <w:highlight w:val="none"/>
                <w:lang w:val="zh-CN"/>
              </w:rPr>
            </w:pPr>
            <w:r>
              <w:rPr>
                <w:rFonts w:hint="default" w:ascii="Times New Roman" w:hAnsi="Times New Roman" w:cs="Times New Roman"/>
                <w:b/>
                <w:bCs/>
                <w:color w:val="auto"/>
                <w:kern w:val="0"/>
                <w:sz w:val="21"/>
                <w:szCs w:val="21"/>
                <w:highlight w:val="none"/>
                <w:lang w:val="zh-CN"/>
              </w:rPr>
              <w:t>污染物类型</w:t>
            </w:r>
          </w:p>
        </w:tc>
        <w:tc>
          <w:tcPr>
            <w:tcW w:w="4333" w:type="dxa"/>
            <w:gridSpan w:val="3"/>
            <w:tcBorders>
              <w:tl2br w:val="nil"/>
              <w:tr2bl w:val="nil"/>
            </w:tcBorders>
            <w:vAlign w:val="center"/>
          </w:tcPr>
          <w:p w14:paraId="23B5AA8B">
            <w:pPr>
              <w:spacing w:line="360" w:lineRule="atLeast"/>
              <w:ind w:firstLine="0" w:firstLineChars="0"/>
              <w:jc w:val="center"/>
              <w:rPr>
                <w:rFonts w:hint="default" w:ascii="Times New Roman" w:hAnsi="Times New Roman" w:cs="Times New Roman"/>
                <w:b/>
                <w:bCs/>
                <w:color w:val="auto"/>
                <w:kern w:val="0"/>
                <w:sz w:val="21"/>
                <w:szCs w:val="21"/>
                <w:highlight w:val="none"/>
                <w:lang w:val="zh-CN"/>
              </w:rPr>
            </w:pPr>
            <w:r>
              <w:rPr>
                <w:rFonts w:hint="default" w:ascii="Times New Roman" w:hAnsi="Times New Roman" w:cs="Times New Roman"/>
                <w:b/>
                <w:bCs/>
                <w:color w:val="auto"/>
                <w:sz w:val="21"/>
                <w:szCs w:val="21"/>
                <w:highlight w:val="none"/>
              </w:rPr>
              <w:t>污染物排放浓度限值</w:t>
            </w:r>
          </w:p>
        </w:tc>
        <w:tc>
          <w:tcPr>
            <w:tcW w:w="1767" w:type="dxa"/>
            <w:tcBorders>
              <w:tl2br w:val="nil"/>
              <w:tr2bl w:val="nil"/>
            </w:tcBorders>
            <w:vAlign w:val="center"/>
          </w:tcPr>
          <w:p w14:paraId="1A746F7E">
            <w:pPr>
              <w:spacing w:line="360" w:lineRule="atLeast"/>
              <w:ind w:firstLine="0" w:firstLineChars="0"/>
              <w:jc w:val="center"/>
              <w:rPr>
                <w:rFonts w:hint="default" w:ascii="Times New Roman" w:hAnsi="Times New Roman" w:cs="Times New Roman"/>
                <w:b/>
                <w:bCs/>
                <w:color w:val="auto"/>
                <w:kern w:val="0"/>
                <w:sz w:val="21"/>
                <w:szCs w:val="21"/>
                <w:highlight w:val="none"/>
                <w:lang w:val="zh-CN"/>
              </w:rPr>
            </w:pPr>
            <w:r>
              <w:rPr>
                <w:rFonts w:hint="default" w:ascii="Times New Roman" w:hAnsi="Times New Roman" w:cs="Times New Roman"/>
                <w:b/>
                <w:bCs/>
                <w:color w:val="auto"/>
                <w:sz w:val="21"/>
                <w:szCs w:val="21"/>
                <w:highlight w:val="none"/>
              </w:rPr>
              <w:t>标准来源</w:t>
            </w:r>
          </w:p>
        </w:tc>
      </w:tr>
      <w:tr w14:paraId="411B81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6" w:type="dxa"/>
            <w:vMerge w:val="restart"/>
            <w:tcBorders>
              <w:tl2br w:val="nil"/>
              <w:tr2bl w:val="nil"/>
            </w:tcBorders>
            <w:vAlign w:val="center"/>
          </w:tcPr>
          <w:p w14:paraId="71A7836F">
            <w:pPr>
              <w:spacing w:line="360" w:lineRule="atLeas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无组织</w:t>
            </w:r>
          </w:p>
        </w:tc>
        <w:tc>
          <w:tcPr>
            <w:tcW w:w="1503" w:type="dxa"/>
            <w:tcBorders>
              <w:tl2br w:val="nil"/>
              <w:tr2bl w:val="nil"/>
            </w:tcBorders>
            <w:vAlign w:val="center"/>
          </w:tcPr>
          <w:p w14:paraId="18C51B38">
            <w:pPr>
              <w:adjustRightInd w:val="0"/>
              <w:spacing w:line="360" w:lineRule="atLeas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4333" w:type="dxa"/>
            <w:gridSpan w:val="3"/>
            <w:tcBorders>
              <w:tl2br w:val="nil"/>
              <w:tr2bl w:val="nil"/>
            </w:tcBorders>
            <w:vAlign w:val="center"/>
          </w:tcPr>
          <w:p w14:paraId="356B0754">
            <w:pPr>
              <w:adjustRightInd w:val="0"/>
              <w:spacing w:line="360" w:lineRule="atLeas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r>
              <w:rPr>
                <w:rFonts w:hint="default" w:ascii="Times New Roman" w:hAnsi="Times New Roman" w:cs="Times New Roman"/>
                <w:color w:val="auto"/>
                <w:kern w:val="0"/>
                <w:sz w:val="21"/>
                <w:szCs w:val="21"/>
                <w:highlight w:val="none"/>
                <w:lang w:val="zh-CN"/>
              </w:rPr>
              <w:t>mg/m</w:t>
            </w:r>
            <w:r>
              <w:rPr>
                <w:rFonts w:hint="default" w:ascii="Times New Roman" w:hAnsi="Times New Roman" w:cs="Times New Roman"/>
                <w:color w:val="auto"/>
                <w:kern w:val="0"/>
                <w:sz w:val="21"/>
                <w:szCs w:val="21"/>
                <w:highlight w:val="none"/>
                <w:vertAlign w:val="superscript"/>
                <w:lang w:val="zh-CN"/>
              </w:rPr>
              <w:t>3</w:t>
            </w:r>
          </w:p>
        </w:tc>
        <w:tc>
          <w:tcPr>
            <w:tcW w:w="1767" w:type="dxa"/>
            <w:vMerge w:val="restart"/>
            <w:tcBorders>
              <w:tl2br w:val="nil"/>
              <w:tr2bl w:val="nil"/>
            </w:tcBorders>
            <w:vAlign w:val="center"/>
          </w:tcPr>
          <w:p w14:paraId="334F72D8">
            <w:pPr>
              <w:spacing w:line="360" w:lineRule="atLeas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6"/>
                <w:sz w:val="21"/>
                <w:szCs w:val="21"/>
                <w:highlight w:val="none"/>
              </w:rPr>
              <w:t>《大气污染物综合排放标准》（GB16297-1996）</w:t>
            </w:r>
          </w:p>
        </w:tc>
      </w:tr>
      <w:tr w14:paraId="0CE39F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6" w:type="dxa"/>
            <w:vMerge w:val="continue"/>
            <w:tcBorders>
              <w:tl2br w:val="nil"/>
              <w:tr2bl w:val="nil"/>
            </w:tcBorders>
            <w:vAlign w:val="center"/>
          </w:tcPr>
          <w:p w14:paraId="4F1F4533">
            <w:pPr>
              <w:spacing w:line="360" w:lineRule="atLeast"/>
              <w:ind w:firstLine="0" w:firstLineChars="0"/>
              <w:jc w:val="center"/>
              <w:rPr>
                <w:rFonts w:hint="default" w:ascii="Times New Roman" w:hAnsi="Times New Roman" w:cs="Times New Roman"/>
                <w:color w:val="auto"/>
                <w:sz w:val="21"/>
                <w:szCs w:val="21"/>
                <w:highlight w:val="none"/>
              </w:rPr>
            </w:pPr>
          </w:p>
        </w:tc>
        <w:tc>
          <w:tcPr>
            <w:tcW w:w="1503" w:type="dxa"/>
            <w:tcBorders>
              <w:tl2br w:val="nil"/>
              <w:tr2bl w:val="nil"/>
            </w:tcBorders>
            <w:vAlign w:val="center"/>
          </w:tcPr>
          <w:p w14:paraId="7C938F75">
            <w:pPr>
              <w:adjustRightInd w:val="0"/>
              <w:spacing w:line="36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氟化物</w:t>
            </w:r>
          </w:p>
        </w:tc>
        <w:tc>
          <w:tcPr>
            <w:tcW w:w="4333" w:type="dxa"/>
            <w:gridSpan w:val="3"/>
            <w:tcBorders>
              <w:tl2br w:val="nil"/>
              <w:tr2bl w:val="nil"/>
            </w:tcBorders>
            <w:vAlign w:val="center"/>
          </w:tcPr>
          <w:p w14:paraId="7BFCB103">
            <w:pPr>
              <w:adjustRightInd w:val="0"/>
              <w:spacing w:line="36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r>
              <w:rPr>
                <w:rFonts w:hint="default" w:ascii="Times New Roman" w:hAnsi="Times New Roman" w:cs="Times New Roman"/>
                <w:color w:val="auto"/>
                <w:kern w:val="0"/>
                <w:sz w:val="21"/>
                <w:szCs w:val="21"/>
                <w:highlight w:val="none"/>
                <w:lang w:val="zh-CN"/>
              </w:rPr>
              <w:t>μg/m</w:t>
            </w:r>
            <w:r>
              <w:rPr>
                <w:rFonts w:hint="default" w:ascii="Times New Roman" w:hAnsi="Times New Roman" w:cs="Times New Roman"/>
                <w:color w:val="auto"/>
                <w:kern w:val="0"/>
                <w:sz w:val="21"/>
                <w:szCs w:val="21"/>
                <w:highlight w:val="none"/>
                <w:vertAlign w:val="superscript"/>
                <w:lang w:val="zh-CN"/>
              </w:rPr>
              <w:t>3</w:t>
            </w:r>
          </w:p>
        </w:tc>
        <w:tc>
          <w:tcPr>
            <w:tcW w:w="1767" w:type="dxa"/>
            <w:vMerge w:val="continue"/>
            <w:tcBorders>
              <w:tl2br w:val="nil"/>
              <w:tr2bl w:val="nil"/>
            </w:tcBorders>
            <w:vAlign w:val="center"/>
          </w:tcPr>
          <w:p w14:paraId="4047C8CB">
            <w:pPr>
              <w:spacing w:line="360" w:lineRule="atLeast"/>
              <w:ind w:firstLine="0" w:firstLineChars="0"/>
              <w:jc w:val="center"/>
              <w:rPr>
                <w:rFonts w:hint="default" w:ascii="Times New Roman" w:hAnsi="Times New Roman" w:cs="Times New Roman"/>
                <w:color w:val="auto"/>
                <w:spacing w:val="-6"/>
                <w:sz w:val="21"/>
                <w:szCs w:val="21"/>
                <w:highlight w:val="none"/>
              </w:rPr>
            </w:pPr>
          </w:p>
        </w:tc>
      </w:tr>
      <w:tr w14:paraId="308534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916" w:type="dxa"/>
            <w:vMerge w:val="restart"/>
            <w:tcBorders>
              <w:tl2br w:val="nil"/>
              <w:tr2bl w:val="nil"/>
            </w:tcBorders>
            <w:vAlign w:val="center"/>
          </w:tcPr>
          <w:p w14:paraId="1B330E01">
            <w:pPr>
              <w:spacing w:line="360" w:lineRule="atLeas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有组织</w:t>
            </w:r>
          </w:p>
        </w:tc>
        <w:tc>
          <w:tcPr>
            <w:tcW w:w="1503" w:type="dxa"/>
            <w:vMerge w:val="restart"/>
            <w:tcBorders>
              <w:tl2br w:val="nil"/>
              <w:tr2bl w:val="nil"/>
            </w:tcBorders>
            <w:vAlign w:val="center"/>
          </w:tcPr>
          <w:p w14:paraId="1CB1BBFC">
            <w:pPr>
              <w:adjustRightInd w:val="0"/>
              <w:spacing w:line="360" w:lineRule="atLeas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颗粒物</w:t>
            </w:r>
          </w:p>
        </w:tc>
        <w:tc>
          <w:tcPr>
            <w:tcW w:w="1416" w:type="dxa"/>
            <w:tcBorders>
              <w:tl2br w:val="nil"/>
              <w:tr2bl w:val="nil"/>
            </w:tcBorders>
            <w:vAlign w:val="center"/>
          </w:tcPr>
          <w:p w14:paraId="5059102D">
            <w:pPr>
              <w:adjustRightInd w:val="0"/>
              <w:spacing w:line="360" w:lineRule="atLeas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最高允许排放浓度</w:t>
            </w:r>
          </w:p>
        </w:tc>
        <w:tc>
          <w:tcPr>
            <w:tcW w:w="1100" w:type="dxa"/>
            <w:tcBorders>
              <w:tl2br w:val="nil"/>
              <w:tr2bl w:val="nil"/>
            </w:tcBorders>
            <w:vAlign w:val="center"/>
          </w:tcPr>
          <w:p w14:paraId="40AC3F1E">
            <w:pPr>
              <w:adjustRightInd w:val="0"/>
              <w:spacing w:line="360" w:lineRule="atLeas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排气筒高度</w:t>
            </w:r>
          </w:p>
        </w:tc>
        <w:tc>
          <w:tcPr>
            <w:tcW w:w="1817" w:type="dxa"/>
            <w:tcBorders>
              <w:tl2br w:val="nil"/>
              <w:tr2bl w:val="nil"/>
            </w:tcBorders>
            <w:vAlign w:val="center"/>
          </w:tcPr>
          <w:p w14:paraId="36956388">
            <w:pPr>
              <w:adjustRightInd w:val="0"/>
              <w:spacing w:line="360" w:lineRule="atLeas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最高允许排放速率</w:t>
            </w:r>
          </w:p>
        </w:tc>
        <w:tc>
          <w:tcPr>
            <w:tcW w:w="1767" w:type="dxa"/>
            <w:vMerge w:val="continue"/>
            <w:tcBorders>
              <w:tl2br w:val="nil"/>
              <w:tr2bl w:val="nil"/>
            </w:tcBorders>
            <w:vAlign w:val="center"/>
          </w:tcPr>
          <w:p w14:paraId="708C1219">
            <w:pPr>
              <w:spacing w:line="360" w:lineRule="atLeast"/>
              <w:ind w:firstLine="0" w:firstLineChars="0"/>
              <w:jc w:val="center"/>
              <w:rPr>
                <w:rFonts w:hint="default" w:ascii="Times New Roman" w:hAnsi="Times New Roman" w:cs="Times New Roman"/>
                <w:color w:val="auto"/>
                <w:spacing w:val="-6"/>
                <w:sz w:val="21"/>
                <w:szCs w:val="21"/>
                <w:highlight w:val="none"/>
              </w:rPr>
            </w:pPr>
          </w:p>
        </w:tc>
      </w:tr>
      <w:tr w14:paraId="5E865C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916" w:type="dxa"/>
            <w:vMerge w:val="continue"/>
            <w:tcBorders>
              <w:tl2br w:val="nil"/>
              <w:tr2bl w:val="nil"/>
            </w:tcBorders>
            <w:vAlign w:val="center"/>
          </w:tcPr>
          <w:p w14:paraId="29DDC487">
            <w:pPr>
              <w:adjustRightInd w:val="0"/>
              <w:spacing w:line="360" w:lineRule="atLeast"/>
              <w:ind w:firstLine="0" w:firstLineChars="0"/>
              <w:jc w:val="center"/>
              <w:rPr>
                <w:rFonts w:hint="default" w:ascii="Times New Roman" w:hAnsi="Times New Roman" w:cs="Times New Roman"/>
                <w:color w:val="auto"/>
                <w:highlight w:val="none"/>
              </w:rPr>
            </w:pPr>
          </w:p>
        </w:tc>
        <w:tc>
          <w:tcPr>
            <w:tcW w:w="1503" w:type="dxa"/>
            <w:vMerge w:val="continue"/>
            <w:tcBorders>
              <w:tl2br w:val="nil"/>
              <w:tr2bl w:val="nil"/>
            </w:tcBorders>
            <w:vAlign w:val="center"/>
          </w:tcPr>
          <w:p w14:paraId="12721E1F">
            <w:pPr>
              <w:adjustRightInd w:val="0"/>
              <w:spacing w:line="360" w:lineRule="atLeast"/>
              <w:ind w:firstLine="0" w:firstLineChars="0"/>
              <w:jc w:val="center"/>
              <w:rPr>
                <w:rFonts w:hint="default" w:ascii="Times New Roman" w:hAnsi="Times New Roman" w:cs="Times New Roman"/>
                <w:color w:val="auto"/>
                <w:sz w:val="21"/>
                <w:szCs w:val="21"/>
                <w:highlight w:val="none"/>
              </w:rPr>
            </w:pPr>
          </w:p>
        </w:tc>
        <w:tc>
          <w:tcPr>
            <w:tcW w:w="1416" w:type="dxa"/>
            <w:tcBorders>
              <w:tl2br w:val="nil"/>
              <w:tr2bl w:val="nil"/>
            </w:tcBorders>
            <w:vAlign w:val="center"/>
          </w:tcPr>
          <w:p w14:paraId="042C82EC">
            <w:pPr>
              <w:adjustRightInd w:val="0"/>
              <w:spacing w:line="36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60</w:t>
            </w:r>
            <w:r>
              <w:rPr>
                <w:rFonts w:hint="default" w:ascii="Times New Roman" w:hAnsi="Times New Roman" w:cs="Times New Roman"/>
                <w:color w:val="auto"/>
                <w:kern w:val="0"/>
                <w:sz w:val="21"/>
                <w:szCs w:val="21"/>
                <w:highlight w:val="none"/>
                <w:lang w:val="zh-CN"/>
              </w:rPr>
              <w:t>mg/m</w:t>
            </w:r>
            <w:r>
              <w:rPr>
                <w:rFonts w:hint="default" w:ascii="Times New Roman" w:hAnsi="Times New Roman" w:cs="Times New Roman"/>
                <w:color w:val="auto"/>
                <w:kern w:val="0"/>
                <w:sz w:val="21"/>
                <w:szCs w:val="21"/>
                <w:highlight w:val="none"/>
                <w:vertAlign w:val="superscript"/>
                <w:lang w:val="zh-CN"/>
              </w:rPr>
              <w:t>3</w:t>
            </w:r>
          </w:p>
        </w:tc>
        <w:tc>
          <w:tcPr>
            <w:tcW w:w="1100" w:type="dxa"/>
            <w:tcBorders>
              <w:tl2br w:val="nil"/>
              <w:tr2bl w:val="nil"/>
            </w:tcBorders>
            <w:vAlign w:val="center"/>
          </w:tcPr>
          <w:p w14:paraId="2640FA21">
            <w:pPr>
              <w:adjustRightInd w:val="0"/>
              <w:spacing w:line="360" w:lineRule="atLeas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15m</w:t>
            </w:r>
          </w:p>
        </w:tc>
        <w:tc>
          <w:tcPr>
            <w:tcW w:w="1817" w:type="dxa"/>
            <w:tcBorders>
              <w:tl2br w:val="nil"/>
              <w:tr2bl w:val="nil"/>
            </w:tcBorders>
            <w:vAlign w:val="center"/>
          </w:tcPr>
          <w:p w14:paraId="75DDB42C">
            <w:pPr>
              <w:adjustRightInd w:val="0"/>
              <w:spacing w:line="360" w:lineRule="atLeas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1.9kg/h</w:t>
            </w:r>
          </w:p>
        </w:tc>
        <w:tc>
          <w:tcPr>
            <w:tcW w:w="1767" w:type="dxa"/>
            <w:vMerge w:val="continue"/>
            <w:tcBorders>
              <w:tl2br w:val="nil"/>
              <w:tr2bl w:val="nil"/>
            </w:tcBorders>
            <w:vAlign w:val="center"/>
          </w:tcPr>
          <w:p w14:paraId="18035720">
            <w:pPr>
              <w:adjustRightInd w:val="0"/>
              <w:spacing w:line="360" w:lineRule="atLeast"/>
              <w:ind w:firstLine="0" w:firstLineChars="0"/>
              <w:jc w:val="center"/>
              <w:rPr>
                <w:rFonts w:hint="default" w:ascii="Times New Roman" w:hAnsi="Times New Roman" w:cs="Times New Roman"/>
                <w:color w:val="auto"/>
                <w:highlight w:val="none"/>
              </w:rPr>
            </w:pPr>
          </w:p>
        </w:tc>
      </w:tr>
      <w:tr w14:paraId="2933D1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916" w:type="dxa"/>
            <w:vMerge w:val="continue"/>
            <w:tcBorders>
              <w:tl2br w:val="nil"/>
              <w:tr2bl w:val="nil"/>
            </w:tcBorders>
            <w:vAlign w:val="center"/>
          </w:tcPr>
          <w:p w14:paraId="487BF58B">
            <w:pPr>
              <w:adjustRightInd w:val="0"/>
              <w:spacing w:line="360" w:lineRule="atLeast"/>
              <w:ind w:firstLine="0" w:firstLineChars="0"/>
              <w:jc w:val="center"/>
              <w:rPr>
                <w:rFonts w:hint="default" w:ascii="Times New Roman" w:hAnsi="Times New Roman" w:cs="Times New Roman"/>
                <w:color w:val="auto"/>
                <w:highlight w:val="none"/>
              </w:rPr>
            </w:pPr>
          </w:p>
        </w:tc>
        <w:tc>
          <w:tcPr>
            <w:tcW w:w="1503" w:type="dxa"/>
            <w:tcBorders>
              <w:tl2br w:val="nil"/>
              <w:tr2bl w:val="nil"/>
            </w:tcBorders>
            <w:vAlign w:val="center"/>
          </w:tcPr>
          <w:p w14:paraId="718C8524">
            <w:pPr>
              <w:adjustRightInd w:val="0"/>
              <w:spacing w:line="360" w:lineRule="atLeas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氟化物</w:t>
            </w:r>
          </w:p>
        </w:tc>
        <w:tc>
          <w:tcPr>
            <w:tcW w:w="1416" w:type="dxa"/>
            <w:tcBorders>
              <w:tl2br w:val="nil"/>
              <w:tr2bl w:val="nil"/>
            </w:tcBorders>
            <w:vAlign w:val="center"/>
          </w:tcPr>
          <w:p w14:paraId="1D10E117">
            <w:pPr>
              <w:adjustRightInd w:val="0"/>
              <w:spacing w:line="360" w:lineRule="atLeast"/>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9.0</w:t>
            </w:r>
            <w:r>
              <w:rPr>
                <w:rFonts w:hint="default" w:ascii="Times New Roman" w:hAnsi="Times New Roman" w:cs="Times New Roman"/>
                <w:color w:val="auto"/>
                <w:kern w:val="0"/>
                <w:sz w:val="21"/>
                <w:szCs w:val="21"/>
                <w:highlight w:val="none"/>
                <w:lang w:val="zh-CN"/>
              </w:rPr>
              <w:t>mg/m</w:t>
            </w:r>
            <w:r>
              <w:rPr>
                <w:rFonts w:hint="default" w:ascii="Times New Roman" w:hAnsi="Times New Roman" w:cs="Times New Roman"/>
                <w:color w:val="auto"/>
                <w:kern w:val="0"/>
                <w:sz w:val="21"/>
                <w:szCs w:val="21"/>
                <w:highlight w:val="none"/>
                <w:vertAlign w:val="superscript"/>
                <w:lang w:val="zh-CN"/>
              </w:rPr>
              <w:t>3</w:t>
            </w:r>
          </w:p>
        </w:tc>
        <w:tc>
          <w:tcPr>
            <w:tcW w:w="1100" w:type="dxa"/>
            <w:tcBorders>
              <w:tl2br w:val="nil"/>
              <w:tr2bl w:val="nil"/>
            </w:tcBorders>
            <w:vAlign w:val="center"/>
          </w:tcPr>
          <w:p w14:paraId="3DC1A6BC">
            <w:pPr>
              <w:adjustRightInd w:val="0"/>
              <w:spacing w:line="360" w:lineRule="atLeast"/>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15m</w:t>
            </w:r>
          </w:p>
        </w:tc>
        <w:tc>
          <w:tcPr>
            <w:tcW w:w="1817" w:type="dxa"/>
            <w:tcBorders>
              <w:tl2br w:val="nil"/>
              <w:tr2bl w:val="nil"/>
            </w:tcBorders>
            <w:vAlign w:val="center"/>
          </w:tcPr>
          <w:p w14:paraId="1941A6B7">
            <w:pPr>
              <w:adjustRightInd w:val="0"/>
              <w:spacing w:line="360" w:lineRule="atLeast"/>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0.10kg/h</w:t>
            </w:r>
          </w:p>
        </w:tc>
        <w:tc>
          <w:tcPr>
            <w:tcW w:w="1767" w:type="dxa"/>
            <w:vMerge w:val="continue"/>
            <w:tcBorders>
              <w:tl2br w:val="nil"/>
              <w:tr2bl w:val="nil"/>
            </w:tcBorders>
            <w:vAlign w:val="center"/>
          </w:tcPr>
          <w:p w14:paraId="602DDA12">
            <w:pPr>
              <w:adjustRightInd w:val="0"/>
              <w:spacing w:line="360" w:lineRule="atLeast"/>
              <w:ind w:firstLine="0" w:firstLineChars="0"/>
              <w:jc w:val="center"/>
              <w:rPr>
                <w:rFonts w:hint="default" w:ascii="Times New Roman" w:hAnsi="Times New Roman" w:cs="Times New Roman"/>
                <w:color w:val="auto"/>
                <w:highlight w:val="none"/>
              </w:rPr>
            </w:pPr>
          </w:p>
        </w:tc>
      </w:tr>
      <w:tr w14:paraId="0803DB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916" w:type="dxa"/>
            <w:vMerge w:val="continue"/>
            <w:tcBorders>
              <w:tl2br w:val="nil"/>
              <w:tr2bl w:val="nil"/>
            </w:tcBorders>
            <w:vAlign w:val="center"/>
          </w:tcPr>
          <w:p w14:paraId="658C0814">
            <w:pPr>
              <w:spacing w:line="360" w:lineRule="atLeast"/>
              <w:ind w:firstLine="0" w:firstLineChars="0"/>
              <w:jc w:val="center"/>
              <w:rPr>
                <w:rFonts w:hint="default" w:ascii="Times New Roman" w:hAnsi="Times New Roman" w:eastAsia="宋体" w:cs="Times New Roman"/>
                <w:color w:val="auto"/>
                <w:spacing w:val="-6"/>
                <w:sz w:val="21"/>
                <w:szCs w:val="21"/>
                <w:highlight w:val="none"/>
              </w:rPr>
            </w:pPr>
          </w:p>
        </w:tc>
        <w:tc>
          <w:tcPr>
            <w:tcW w:w="1503" w:type="dxa"/>
            <w:tcBorders>
              <w:tl2br w:val="nil"/>
              <w:tr2bl w:val="nil"/>
            </w:tcBorders>
            <w:vAlign w:val="center"/>
          </w:tcPr>
          <w:p w14:paraId="1B4CD9D9">
            <w:pPr>
              <w:spacing w:line="360" w:lineRule="atLeast"/>
              <w:ind w:firstLine="0" w:firstLineChars="0"/>
              <w:jc w:val="center"/>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颗粒物</w:t>
            </w:r>
          </w:p>
        </w:tc>
        <w:tc>
          <w:tcPr>
            <w:tcW w:w="1416" w:type="dxa"/>
            <w:tcBorders>
              <w:tl2br w:val="nil"/>
              <w:tr2bl w:val="nil"/>
            </w:tcBorders>
            <w:vAlign w:val="center"/>
          </w:tcPr>
          <w:p w14:paraId="28CB0D15">
            <w:pPr>
              <w:spacing w:line="360" w:lineRule="atLeast"/>
              <w:ind w:firstLine="0" w:firstLineChars="0"/>
              <w:jc w:val="center"/>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50</w:t>
            </w:r>
            <w:r>
              <w:rPr>
                <w:rFonts w:hint="default" w:ascii="Times New Roman" w:hAnsi="Times New Roman" w:cs="Times New Roman"/>
                <w:color w:val="auto"/>
                <w:kern w:val="0"/>
                <w:sz w:val="21"/>
                <w:szCs w:val="21"/>
                <w:highlight w:val="none"/>
                <w:lang w:val="zh-CN"/>
              </w:rPr>
              <w:t>mg/m</w:t>
            </w:r>
            <w:r>
              <w:rPr>
                <w:rFonts w:hint="default" w:ascii="Times New Roman" w:hAnsi="Times New Roman" w:cs="Times New Roman"/>
                <w:color w:val="auto"/>
                <w:kern w:val="0"/>
                <w:sz w:val="21"/>
                <w:szCs w:val="21"/>
                <w:highlight w:val="none"/>
                <w:vertAlign w:val="superscript"/>
                <w:lang w:val="zh-CN"/>
              </w:rPr>
              <w:t>3</w:t>
            </w:r>
          </w:p>
        </w:tc>
        <w:tc>
          <w:tcPr>
            <w:tcW w:w="1100" w:type="dxa"/>
            <w:tcBorders>
              <w:tl2br w:val="nil"/>
              <w:tr2bl w:val="nil"/>
            </w:tcBorders>
            <w:vAlign w:val="center"/>
          </w:tcPr>
          <w:p w14:paraId="30E7CE5E">
            <w:pPr>
              <w:spacing w:line="360" w:lineRule="atLeast"/>
              <w:ind w:firstLine="0" w:firstLineChars="0"/>
              <w:jc w:val="center"/>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40m</w:t>
            </w:r>
          </w:p>
        </w:tc>
        <w:tc>
          <w:tcPr>
            <w:tcW w:w="1817" w:type="dxa"/>
            <w:tcBorders>
              <w:tl2br w:val="nil"/>
              <w:tr2bl w:val="nil"/>
            </w:tcBorders>
            <w:vAlign w:val="center"/>
          </w:tcPr>
          <w:p w14:paraId="3036A11E">
            <w:pPr>
              <w:spacing w:line="360" w:lineRule="atLeast"/>
              <w:ind w:firstLine="0" w:firstLineChars="0"/>
              <w:jc w:val="center"/>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w:t>
            </w:r>
          </w:p>
        </w:tc>
        <w:tc>
          <w:tcPr>
            <w:tcW w:w="1767" w:type="dxa"/>
            <w:vMerge w:val="restart"/>
            <w:tcBorders>
              <w:tl2br w:val="nil"/>
              <w:tr2bl w:val="nil"/>
            </w:tcBorders>
            <w:vAlign w:val="center"/>
          </w:tcPr>
          <w:p w14:paraId="4D90F4A2">
            <w:pPr>
              <w:spacing w:line="360" w:lineRule="atLeast"/>
              <w:ind w:firstLine="0" w:firstLineChars="0"/>
              <w:jc w:val="center"/>
              <w:rPr>
                <w:rFonts w:hint="default" w:ascii="Times New Roman" w:hAnsi="Times New Roman" w:eastAsia="宋体" w:cs="Times New Roman"/>
                <w:color w:val="auto"/>
                <w:spacing w:val="-6"/>
                <w:sz w:val="21"/>
                <w:szCs w:val="21"/>
                <w:highlight w:val="none"/>
                <w:lang w:eastAsia="zh-CN"/>
              </w:rPr>
            </w:pPr>
            <w:r>
              <w:rPr>
                <w:rFonts w:hint="default" w:ascii="Times New Roman" w:hAnsi="Times New Roman" w:eastAsia="宋体" w:cs="Times New Roman"/>
                <w:color w:val="auto"/>
                <w:spacing w:val="-6"/>
                <w:sz w:val="21"/>
                <w:szCs w:val="21"/>
                <w:highlight w:val="none"/>
                <w:lang w:eastAsia="zh-CN"/>
              </w:rPr>
              <w:t>《锅炉大气污染物排放标准》（GB 13271-2014）</w:t>
            </w:r>
          </w:p>
        </w:tc>
      </w:tr>
      <w:tr w14:paraId="3420DE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916" w:type="dxa"/>
            <w:vMerge w:val="continue"/>
            <w:tcBorders>
              <w:tl2br w:val="nil"/>
              <w:tr2bl w:val="nil"/>
            </w:tcBorders>
            <w:vAlign w:val="center"/>
          </w:tcPr>
          <w:p w14:paraId="1FC0DDE9">
            <w:pPr>
              <w:spacing w:line="360" w:lineRule="atLeast"/>
              <w:ind w:firstLine="0" w:firstLineChars="0"/>
              <w:jc w:val="center"/>
              <w:rPr>
                <w:rFonts w:hint="default" w:ascii="Times New Roman" w:hAnsi="Times New Roman" w:eastAsia="宋体" w:cs="Times New Roman"/>
                <w:color w:val="auto"/>
                <w:spacing w:val="-6"/>
                <w:sz w:val="21"/>
                <w:szCs w:val="21"/>
                <w:highlight w:val="none"/>
              </w:rPr>
            </w:pPr>
          </w:p>
        </w:tc>
        <w:tc>
          <w:tcPr>
            <w:tcW w:w="1503" w:type="dxa"/>
            <w:tcBorders>
              <w:tl2br w:val="nil"/>
              <w:tr2bl w:val="nil"/>
            </w:tcBorders>
            <w:vAlign w:val="center"/>
          </w:tcPr>
          <w:p w14:paraId="2055356A">
            <w:pPr>
              <w:spacing w:line="360" w:lineRule="atLeast"/>
              <w:ind w:firstLine="0" w:firstLineChars="0"/>
              <w:jc w:val="center"/>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二氧化硫</w:t>
            </w:r>
          </w:p>
        </w:tc>
        <w:tc>
          <w:tcPr>
            <w:tcW w:w="1416" w:type="dxa"/>
            <w:tcBorders>
              <w:tl2br w:val="nil"/>
              <w:tr2bl w:val="nil"/>
            </w:tcBorders>
            <w:vAlign w:val="center"/>
          </w:tcPr>
          <w:p w14:paraId="284FF65C">
            <w:pPr>
              <w:spacing w:line="360" w:lineRule="atLeast"/>
              <w:ind w:firstLine="0" w:firstLineChars="0"/>
              <w:jc w:val="center"/>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300</w:t>
            </w:r>
            <w:r>
              <w:rPr>
                <w:rFonts w:hint="default" w:ascii="Times New Roman" w:hAnsi="Times New Roman" w:cs="Times New Roman"/>
                <w:color w:val="auto"/>
                <w:kern w:val="0"/>
                <w:sz w:val="21"/>
                <w:szCs w:val="21"/>
                <w:highlight w:val="none"/>
                <w:lang w:val="zh-CN"/>
              </w:rPr>
              <w:t>mg/m</w:t>
            </w:r>
            <w:r>
              <w:rPr>
                <w:rFonts w:hint="default" w:ascii="Times New Roman" w:hAnsi="Times New Roman" w:cs="Times New Roman"/>
                <w:color w:val="auto"/>
                <w:kern w:val="0"/>
                <w:sz w:val="21"/>
                <w:szCs w:val="21"/>
                <w:highlight w:val="none"/>
                <w:vertAlign w:val="superscript"/>
                <w:lang w:val="zh-CN"/>
              </w:rPr>
              <w:t>3</w:t>
            </w:r>
          </w:p>
        </w:tc>
        <w:tc>
          <w:tcPr>
            <w:tcW w:w="1100" w:type="dxa"/>
            <w:tcBorders>
              <w:tl2br w:val="nil"/>
              <w:tr2bl w:val="nil"/>
            </w:tcBorders>
            <w:vAlign w:val="center"/>
          </w:tcPr>
          <w:p w14:paraId="295B57DD">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40m</w:t>
            </w:r>
          </w:p>
        </w:tc>
        <w:tc>
          <w:tcPr>
            <w:tcW w:w="1817" w:type="dxa"/>
            <w:tcBorders>
              <w:tl2br w:val="nil"/>
              <w:tr2bl w:val="nil"/>
            </w:tcBorders>
            <w:vAlign w:val="center"/>
          </w:tcPr>
          <w:p w14:paraId="793B98C2">
            <w:pPr>
              <w:spacing w:line="360" w:lineRule="atLeast"/>
              <w:ind w:firstLine="0" w:firstLineChars="0"/>
              <w:jc w:val="center"/>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w:t>
            </w:r>
          </w:p>
        </w:tc>
        <w:tc>
          <w:tcPr>
            <w:tcW w:w="1767" w:type="dxa"/>
            <w:vMerge w:val="continue"/>
            <w:tcBorders>
              <w:tl2br w:val="nil"/>
              <w:tr2bl w:val="nil"/>
            </w:tcBorders>
            <w:vAlign w:val="center"/>
          </w:tcPr>
          <w:p w14:paraId="70C64DD6">
            <w:pPr>
              <w:spacing w:line="360" w:lineRule="atLeast"/>
              <w:ind w:firstLine="0" w:firstLineChars="0"/>
              <w:jc w:val="center"/>
              <w:rPr>
                <w:rFonts w:hint="default" w:ascii="Times New Roman" w:hAnsi="Times New Roman" w:eastAsia="宋体" w:cs="Times New Roman"/>
                <w:color w:val="auto"/>
                <w:spacing w:val="-6"/>
                <w:sz w:val="21"/>
                <w:szCs w:val="21"/>
                <w:highlight w:val="none"/>
                <w:lang w:eastAsia="zh-CN"/>
              </w:rPr>
            </w:pPr>
          </w:p>
        </w:tc>
      </w:tr>
      <w:tr w14:paraId="78D68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916" w:type="dxa"/>
            <w:vMerge w:val="continue"/>
            <w:tcBorders>
              <w:tl2br w:val="nil"/>
              <w:tr2bl w:val="nil"/>
            </w:tcBorders>
            <w:vAlign w:val="center"/>
          </w:tcPr>
          <w:p w14:paraId="180641C2">
            <w:pPr>
              <w:spacing w:line="360" w:lineRule="atLeast"/>
              <w:ind w:firstLine="0" w:firstLineChars="0"/>
              <w:jc w:val="center"/>
              <w:rPr>
                <w:rFonts w:hint="default" w:ascii="Times New Roman" w:hAnsi="Times New Roman" w:eastAsia="宋体" w:cs="Times New Roman"/>
                <w:color w:val="auto"/>
                <w:spacing w:val="-6"/>
                <w:sz w:val="21"/>
                <w:szCs w:val="21"/>
                <w:highlight w:val="none"/>
              </w:rPr>
            </w:pPr>
          </w:p>
        </w:tc>
        <w:tc>
          <w:tcPr>
            <w:tcW w:w="1503" w:type="dxa"/>
            <w:tcBorders>
              <w:tl2br w:val="nil"/>
              <w:tr2bl w:val="nil"/>
            </w:tcBorders>
            <w:vAlign w:val="center"/>
          </w:tcPr>
          <w:p w14:paraId="4F74FE2F">
            <w:pPr>
              <w:spacing w:line="360" w:lineRule="atLeast"/>
              <w:ind w:firstLine="0" w:firstLineChars="0"/>
              <w:jc w:val="center"/>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氮氧化物</w:t>
            </w:r>
          </w:p>
        </w:tc>
        <w:tc>
          <w:tcPr>
            <w:tcW w:w="1416" w:type="dxa"/>
            <w:tcBorders>
              <w:tl2br w:val="nil"/>
              <w:tr2bl w:val="nil"/>
            </w:tcBorders>
            <w:vAlign w:val="center"/>
          </w:tcPr>
          <w:p w14:paraId="6478D787">
            <w:pPr>
              <w:spacing w:line="360" w:lineRule="atLeast"/>
              <w:ind w:firstLine="0" w:firstLineChars="0"/>
              <w:jc w:val="center"/>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300</w:t>
            </w:r>
            <w:r>
              <w:rPr>
                <w:rFonts w:hint="default" w:ascii="Times New Roman" w:hAnsi="Times New Roman" w:cs="Times New Roman"/>
                <w:color w:val="auto"/>
                <w:kern w:val="0"/>
                <w:sz w:val="21"/>
                <w:szCs w:val="21"/>
                <w:highlight w:val="none"/>
                <w:lang w:val="zh-CN"/>
              </w:rPr>
              <w:t>mg/m</w:t>
            </w:r>
            <w:r>
              <w:rPr>
                <w:rFonts w:hint="default" w:ascii="Times New Roman" w:hAnsi="Times New Roman" w:cs="Times New Roman"/>
                <w:color w:val="auto"/>
                <w:kern w:val="0"/>
                <w:sz w:val="21"/>
                <w:szCs w:val="21"/>
                <w:highlight w:val="none"/>
                <w:vertAlign w:val="superscript"/>
                <w:lang w:val="zh-CN"/>
              </w:rPr>
              <w:t>3</w:t>
            </w:r>
          </w:p>
        </w:tc>
        <w:tc>
          <w:tcPr>
            <w:tcW w:w="1100" w:type="dxa"/>
            <w:tcBorders>
              <w:tl2br w:val="nil"/>
              <w:tr2bl w:val="nil"/>
            </w:tcBorders>
            <w:vAlign w:val="center"/>
          </w:tcPr>
          <w:p w14:paraId="3A97C94E">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40m</w:t>
            </w:r>
          </w:p>
        </w:tc>
        <w:tc>
          <w:tcPr>
            <w:tcW w:w="1817" w:type="dxa"/>
            <w:tcBorders>
              <w:tl2br w:val="nil"/>
              <w:tr2bl w:val="nil"/>
            </w:tcBorders>
            <w:vAlign w:val="center"/>
          </w:tcPr>
          <w:p w14:paraId="0C5E58EF">
            <w:pPr>
              <w:spacing w:line="360" w:lineRule="atLeast"/>
              <w:ind w:firstLine="0" w:firstLineChars="0"/>
              <w:jc w:val="center"/>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w:t>
            </w:r>
          </w:p>
        </w:tc>
        <w:tc>
          <w:tcPr>
            <w:tcW w:w="1767" w:type="dxa"/>
            <w:vMerge w:val="continue"/>
            <w:tcBorders>
              <w:tl2br w:val="nil"/>
              <w:tr2bl w:val="nil"/>
            </w:tcBorders>
            <w:vAlign w:val="center"/>
          </w:tcPr>
          <w:p w14:paraId="48FBE0E0">
            <w:pPr>
              <w:spacing w:line="360" w:lineRule="atLeast"/>
              <w:ind w:firstLine="0" w:firstLineChars="0"/>
              <w:jc w:val="center"/>
              <w:rPr>
                <w:rFonts w:hint="default" w:ascii="Times New Roman" w:hAnsi="Times New Roman" w:eastAsia="宋体" w:cs="Times New Roman"/>
                <w:color w:val="auto"/>
                <w:spacing w:val="-6"/>
                <w:sz w:val="21"/>
                <w:szCs w:val="21"/>
                <w:highlight w:val="none"/>
                <w:lang w:eastAsia="zh-CN"/>
              </w:rPr>
            </w:pPr>
          </w:p>
        </w:tc>
      </w:tr>
      <w:tr w14:paraId="2BD224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916" w:type="dxa"/>
            <w:vMerge w:val="continue"/>
            <w:tcBorders>
              <w:tl2br w:val="nil"/>
              <w:tr2bl w:val="nil"/>
            </w:tcBorders>
            <w:vAlign w:val="center"/>
          </w:tcPr>
          <w:p w14:paraId="2772BE8F">
            <w:pPr>
              <w:spacing w:line="360" w:lineRule="atLeast"/>
              <w:ind w:firstLine="0" w:firstLineChars="0"/>
              <w:jc w:val="center"/>
              <w:rPr>
                <w:rFonts w:hint="default" w:ascii="Times New Roman" w:hAnsi="Times New Roman" w:eastAsia="宋体" w:cs="Times New Roman"/>
                <w:color w:val="auto"/>
                <w:spacing w:val="-6"/>
                <w:sz w:val="21"/>
                <w:szCs w:val="21"/>
                <w:highlight w:val="none"/>
              </w:rPr>
            </w:pPr>
          </w:p>
        </w:tc>
        <w:tc>
          <w:tcPr>
            <w:tcW w:w="1503" w:type="dxa"/>
            <w:tcBorders>
              <w:tl2br w:val="nil"/>
              <w:tr2bl w:val="nil"/>
            </w:tcBorders>
            <w:vAlign w:val="center"/>
          </w:tcPr>
          <w:p w14:paraId="1343541A">
            <w:pPr>
              <w:spacing w:line="360" w:lineRule="atLeast"/>
              <w:ind w:firstLine="0" w:firstLineChars="0"/>
              <w:jc w:val="center"/>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汞及其化合物</w:t>
            </w:r>
          </w:p>
        </w:tc>
        <w:tc>
          <w:tcPr>
            <w:tcW w:w="1416" w:type="dxa"/>
            <w:tcBorders>
              <w:tl2br w:val="nil"/>
              <w:tr2bl w:val="nil"/>
            </w:tcBorders>
            <w:vAlign w:val="center"/>
          </w:tcPr>
          <w:p w14:paraId="1CBA0FBF">
            <w:pPr>
              <w:spacing w:line="360" w:lineRule="atLeast"/>
              <w:ind w:firstLine="0" w:firstLineChars="0"/>
              <w:jc w:val="center"/>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0.05</w:t>
            </w:r>
            <w:r>
              <w:rPr>
                <w:rFonts w:hint="default" w:ascii="Times New Roman" w:hAnsi="Times New Roman" w:cs="Times New Roman"/>
                <w:color w:val="auto"/>
                <w:kern w:val="0"/>
                <w:sz w:val="21"/>
                <w:szCs w:val="21"/>
                <w:highlight w:val="none"/>
                <w:lang w:val="zh-CN"/>
              </w:rPr>
              <w:t>mg/m</w:t>
            </w:r>
            <w:r>
              <w:rPr>
                <w:rFonts w:hint="default" w:ascii="Times New Roman" w:hAnsi="Times New Roman" w:cs="Times New Roman"/>
                <w:color w:val="auto"/>
                <w:kern w:val="0"/>
                <w:sz w:val="21"/>
                <w:szCs w:val="21"/>
                <w:highlight w:val="none"/>
                <w:vertAlign w:val="superscript"/>
                <w:lang w:val="zh-CN"/>
              </w:rPr>
              <w:t>3</w:t>
            </w:r>
          </w:p>
        </w:tc>
        <w:tc>
          <w:tcPr>
            <w:tcW w:w="1100" w:type="dxa"/>
            <w:tcBorders>
              <w:tl2br w:val="nil"/>
              <w:tr2bl w:val="nil"/>
            </w:tcBorders>
            <w:vAlign w:val="center"/>
          </w:tcPr>
          <w:p w14:paraId="2BDCB245">
            <w:pPr>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40m</w:t>
            </w:r>
          </w:p>
        </w:tc>
        <w:tc>
          <w:tcPr>
            <w:tcW w:w="1817" w:type="dxa"/>
            <w:tcBorders>
              <w:tl2br w:val="nil"/>
              <w:tr2bl w:val="nil"/>
            </w:tcBorders>
            <w:vAlign w:val="center"/>
          </w:tcPr>
          <w:p w14:paraId="3ABF9B52">
            <w:pPr>
              <w:spacing w:line="360" w:lineRule="atLeast"/>
              <w:ind w:firstLine="0" w:firstLineChars="0"/>
              <w:jc w:val="center"/>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w:t>
            </w:r>
          </w:p>
        </w:tc>
        <w:tc>
          <w:tcPr>
            <w:tcW w:w="1767" w:type="dxa"/>
            <w:vMerge w:val="continue"/>
            <w:tcBorders>
              <w:tl2br w:val="nil"/>
              <w:tr2bl w:val="nil"/>
            </w:tcBorders>
            <w:vAlign w:val="center"/>
          </w:tcPr>
          <w:p w14:paraId="36AEC19D">
            <w:pPr>
              <w:spacing w:line="360" w:lineRule="atLeast"/>
              <w:ind w:firstLine="0" w:firstLineChars="0"/>
              <w:jc w:val="center"/>
              <w:rPr>
                <w:rFonts w:hint="default" w:ascii="Times New Roman" w:hAnsi="Times New Roman" w:eastAsia="宋体" w:cs="Times New Roman"/>
                <w:color w:val="auto"/>
                <w:spacing w:val="-6"/>
                <w:sz w:val="21"/>
                <w:szCs w:val="21"/>
                <w:highlight w:val="none"/>
                <w:lang w:eastAsia="zh-CN"/>
              </w:rPr>
            </w:pPr>
          </w:p>
        </w:tc>
      </w:tr>
    </w:tbl>
    <w:p w14:paraId="31084B27">
      <w:pPr>
        <w:overflowPunct w:val="0"/>
        <w:topLinePunct/>
        <w:ind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（2）废水</w:t>
      </w:r>
    </w:p>
    <w:p w14:paraId="2011CD35">
      <w:pPr>
        <w:pStyle w:val="10"/>
        <w:overflowPunct w:val="0"/>
        <w:topLinePunct/>
        <w:spacing w:after="0"/>
        <w:ind w:firstLine="480"/>
        <w:jc w:val="both"/>
        <w:rPr>
          <w:color w:val="auto"/>
          <w:highlight w:val="none"/>
        </w:rPr>
      </w:pPr>
      <w:r>
        <w:rPr>
          <w:rFonts w:hint="default" w:ascii="Times New Roman" w:hAnsi="Times New Roman" w:cs="Times New Roman"/>
          <w:color w:val="auto"/>
          <w:highlight w:val="none"/>
        </w:rPr>
        <w:t>选矿工艺废水</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闭路循环</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正常工况下不外排，满足《污水综合排放标准》（GB8978-1996）中一级标准中规定的水污染物排放限值要求；非正常工况下，选矿水溢出，立即停止生产，溢出水排入车间排水沟，最终由车间回水泵排入防渗循环水池，保证不外排；生活污水经</w:t>
      </w:r>
      <w:r>
        <w:rPr>
          <w:rFonts w:hint="eastAsia" w:ascii="Times New Roman" w:hAnsi="Times New Roman" w:cs="Times New Roman"/>
          <w:color w:val="auto"/>
          <w:highlight w:val="none"/>
          <w:lang w:val="en-US" w:eastAsia="zh-CN"/>
        </w:rPr>
        <w:t>防渗</w:t>
      </w:r>
      <w:r>
        <w:rPr>
          <w:rFonts w:hint="default" w:ascii="Times New Roman" w:hAnsi="Times New Roman" w:cs="Times New Roman"/>
          <w:color w:val="auto"/>
          <w:highlight w:val="none"/>
        </w:rPr>
        <w:t>化粪池处理后由吸污车定期抽运至哈密市污水处理厂</w:t>
      </w:r>
      <w:r>
        <w:rPr>
          <w:rFonts w:hint="eastAsia" w:ascii="Times New Roman" w:hAnsi="Times New Roman" w:cs="Times New Roman"/>
          <w:color w:val="auto"/>
          <w:highlight w:val="none"/>
          <w:lang w:eastAsia="zh-CN"/>
        </w:rPr>
        <w:t>。</w:t>
      </w:r>
    </w:p>
    <w:p w14:paraId="43E8DD59">
      <w:pPr>
        <w:overflowPunct w:val="0"/>
        <w:topLinePunct/>
        <w:ind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（3）噪声</w:t>
      </w:r>
    </w:p>
    <w:p w14:paraId="1407D0E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项目施工期厂界噪声执行《</w:t>
      </w:r>
      <w:r>
        <w:rPr>
          <w:rFonts w:hint="default" w:ascii="Times New Roman" w:hAnsi="Times New Roman" w:cs="Times New Roman"/>
          <w:color w:val="auto"/>
          <w:highlight w:val="none"/>
          <w:lang w:eastAsia="zh-CN"/>
        </w:rPr>
        <w:t>建筑施工噪声排放标准</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GB12523-2025</w:t>
      </w:r>
      <w:r>
        <w:rPr>
          <w:rFonts w:hint="default" w:ascii="Times New Roman" w:hAnsi="Times New Roman" w:cs="Times New Roman"/>
          <w:color w:val="auto"/>
          <w:highlight w:val="none"/>
        </w:rPr>
        <w:t>）的有关规定。具体见表2.5-</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w:t>
      </w:r>
    </w:p>
    <w:p w14:paraId="32D5EB49">
      <w:pPr>
        <w:pStyle w:val="49"/>
        <w:widowControl w:val="0"/>
        <w:rPr>
          <w:rFonts w:hint="default" w:ascii="Times New Roman" w:hAnsi="Times New Roman" w:cs="Times New Roman"/>
          <w:color w:val="auto"/>
          <w:szCs w:val="32"/>
          <w:highlight w:val="none"/>
          <w:lang w:val="zh-CN"/>
        </w:rPr>
      </w:pPr>
      <w:r>
        <w:rPr>
          <w:rFonts w:hint="default" w:ascii="Times New Roman" w:hAnsi="Times New Roman" w:cs="Times New Roman"/>
          <w:color w:val="auto"/>
          <w:szCs w:val="32"/>
          <w:highlight w:val="none"/>
          <w:lang w:val="zh-CN"/>
        </w:rPr>
        <w:t>表2.5-</w:t>
      </w:r>
      <w:r>
        <w:rPr>
          <w:rFonts w:hint="default" w:ascii="Times New Roman" w:hAnsi="Times New Roman" w:cs="Times New Roman"/>
          <w:color w:val="auto"/>
          <w:szCs w:val="32"/>
          <w:highlight w:val="none"/>
          <w:lang w:val="en-US" w:eastAsia="zh-CN"/>
        </w:rPr>
        <w:t>8</w:t>
      </w:r>
      <w:r>
        <w:rPr>
          <w:rFonts w:hint="default" w:ascii="Times New Roman" w:hAnsi="Times New Roman" w:cs="Times New Roman"/>
          <w:color w:val="auto"/>
          <w:szCs w:val="32"/>
          <w:highlight w:val="none"/>
          <w:lang w:val="zh-CN"/>
        </w:rPr>
        <w:t xml:space="preserve">    建筑施工噪声排放标准    单位：dB（A）</w:t>
      </w:r>
    </w:p>
    <w:tbl>
      <w:tblPr>
        <w:tblStyle w:val="33"/>
        <w:tblW w:w="833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022"/>
        <w:gridCol w:w="2633"/>
        <w:gridCol w:w="2679"/>
      </w:tblGrid>
      <w:tr w14:paraId="75CF28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22" w:type="dxa"/>
            <w:vMerge w:val="restart"/>
            <w:tcBorders>
              <w:tl2br w:val="nil"/>
              <w:tr2bl w:val="nil"/>
            </w:tcBorders>
            <w:vAlign w:val="center"/>
          </w:tcPr>
          <w:p w14:paraId="0EE7E283">
            <w:pPr>
              <w:spacing w:line="360" w:lineRule="exact"/>
              <w:ind w:firstLine="0" w:firstLineChars="0"/>
              <w:jc w:val="center"/>
              <w:rPr>
                <w:rFonts w:hint="default" w:ascii="Times New Roman" w:hAnsi="Times New Roman" w:cs="Times New Roman"/>
                <w:b/>
                <w:bCs/>
                <w:color w:val="auto"/>
                <w:sz w:val="21"/>
                <w:szCs w:val="21"/>
                <w:highlight w:val="none"/>
                <w:lang w:val="zh-CN"/>
              </w:rPr>
            </w:pPr>
            <w:bookmarkStart w:id="181" w:name="_Toc22126168"/>
            <w:bookmarkStart w:id="182" w:name="_Toc22408"/>
            <w:r>
              <w:rPr>
                <w:rFonts w:hint="default" w:ascii="Times New Roman" w:hAnsi="Times New Roman" w:cs="Times New Roman"/>
                <w:b/>
                <w:bCs/>
                <w:color w:val="auto"/>
                <w:sz w:val="21"/>
                <w:szCs w:val="21"/>
                <w:highlight w:val="none"/>
                <w:lang w:val="zh-CN"/>
              </w:rPr>
              <w:t>实施阶段</w:t>
            </w:r>
            <w:bookmarkEnd w:id="181"/>
            <w:bookmarkEnd w:id="182"/>
          </w:p>
        </w:tc>
        <w:tc>
          <w:tcPr>
            <w:tcW w:w="5312" w:type="dxa"/>
            <w:gridSpan w:val="2"/>
            <w:tcBorders>
              <w:tl2br w:val="nil"/>
              <w:tr2bl w:val="nil"/>
            </w:tcBorders>
            <w:vAlign w:val="center"/>
          </w:tcPr>
          <w:p w14:paraId="5CE9C567">
            <w:pPr>
              <w:spacing w:line="360" w:lineRule="exact"/>
              <w:ind w:firstLine="0" w:firstLineChars="0"/>
              <w:jc w:val="center"/>
              <w:rPr>
                <w:rFonts w:hint="default" w:ascii="Times New Roman" w:hAnsi="Times New Roman" w:cs="Times New Roman"/>
                <w:b/>
                <w:bCs/>
                <w:color w:val="auto"/>
                <w:sz w:val="21"/>
                <w:szCs w:val="21"/>
                <w:highlight w:val="none"/>
                <w:lang w:val="zh-CN"/>
              </w:rPr>
            </w:pPr>
            <w:bookmarkStart w:id="183" w:name="_Toc22126169"/>
            <w:bookmarkStart w:id="184" w:name="_Toc11178"/>
            <w:r>
              <w:rPr>
                <w:rFonts w:hint="default" w:ascii="Times New Roman" w:hAnsi="Times New Roman" w:cs="Times New Roman"/>
                <w:b/>
                <w:bCs/>
                <w:color w:val="auto"/>
                <w:sz w:val="21"/>
                <w:szCs w:val="21"/>
                <w:highlight w:val="none"/>
                <w:lang w:val="zh-CN"/>
              </w:rPr>
              <w:t>噪声排放限值dB（A）</w:t>
            </w:r>
            <w:bookmarkEnd w:id="183"/>
            <w:bookmarkEnd w:id="184"/>
          </w:p>
        </w:tc>
      </w:tr>
      <w:tr w14:paraId="27F72F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22" w:type="dxa"/>
            <w:vMerge w:val="continue"/>
            <w:tcBorders>
              <w:tl2br w:val="nil"/>
              <w:tr2bl w:val="nil"/>
            </w:tcBorders>
            <w:vAlign w:val="center"/>
          </w:tcPr>
          <w:p w14:paraId="5345956C">
            <w:pPr>
              <w:spacing w:line="360" w:lineRule="exact"/>
              <w:ind w:firstLine="0" w:firstLineChars="0"/>
              <w:jc w:val="center"/>
              <w:rPr>
                <w:rFonts w:hint="default" w:ascii="Times New Roman" w:hAnsi="Times New Roman" w:cs="Times New Roman"/>
                <w:b/>
                <w:bCs/>
                <w:color w:val="auto"/>
                <w:sz w:val="21"/>
                <w:szCs w:val="21"/>
                <w:highlight w:val="none"/>
                <w:lang w:val="zh-CN"/>
              </w:rPr>
            </w:pPr>
          </w:p>
        </w:tc>
        <w:tc>
          <w:tcPr>
            <w:tcW w:w="2633" w:type="dxa"/>
            <w:tcBorders>
              <w:tl2br w:val="nil"/>
              <w:tr2bl w:val="nil"/>
            </w:tcBorders>
            <w:vAlign w:val="center"/>
          </w:tcPr>
          <w:p w14:paraId="32396C4F">
            <w:pPr>
              <w:spacing w:line="360" w:lineRule="exact"/>
              <w:ind w:firstLine="0" w:firstLineChars="0"/>
              <w:jc w:val="center"/>
              <w:rPr>
                <w:rFonts w:hint="default" w:ascii="Times New Roman" w:hAnsi="Times New Roman" w:cs="Times New Roman"/>
                <w:b/>
                <w:bCs/>
                <w:color w:val="auto"/>
                <w:sz w:val="21"/>
                <w:szCs w:val="21"/>
                <w:highlight w:val="none"/>
                <w:lang w:val="zh-CN"/>
              </w:rPr>
            </w:pPr>
            <w:bookmarkStart w:id="185" w:name="_Toc22126170"/>
            <w:bookmarkStart w:id="186" w:name="_Toc32038"/>
            <w:r>
              <w:rPr>
                <w:rFonts w:hint="default" w:ascii="Times New Roman" w:hAnsi="Times New Roman" w:cs="Times New Roman"/>
                <w:b/>
                <w:bCs/>
                <w:color w:val="auto"/>
                <w:sz w:val="21"/>
                <w:szCs w:val="21"/>
                <w:highlight w:val="none"/>
                <w:lang w:val="zh-CN"/>
              </w:rPr>
              <w:t>昼间</w:t>
            </w:r>
            <w:bookmarkEnd w:id="185"/>
            <w:bookmarkEnd w:id="186"/>
          </w:p>
        </w:tc>
        <w:tc>
          <w:tcPr>
            <w:tcW w:w="2679" w:type="dxa"/>
            <w:tcBorders>
              <w:tl2br w:val="nil"/>
              <w:tr2bl w:val="nil"/>
            </w:tcBorders>
            <w:vAlign w:val="center"/>
          </w:tcPr>
          <w:p w14:paraId="15F6B45F">
            <w:pPr>
              <w:spacing w:line="360" w:lineRule="exact"/>
              <w:ind w:firstLine="0" w:firstLineChars="0"/>
              <w:jc w:val="center"/>
              <w:rPr>
                <w:rFonts w:hint="default" w:ascii="Times New Roman" w:hAnsi="Times New Roman" w:cs="Times New Roman"/>
                <w:b/>
                <w:bCs/>
                <w:color w:val="auto"/>
                <w:sz w:val="21"/>
                <w:szCs w:val="21"/>
                <w:highlight w:val="none"/>
                <w:lang w:val="zh-CN"/>
              </w:rPr>
            </w:pPr>
            <w:bookmarkStart w:id="187" w:name="_Toc10682"/>
            <w:bookmarkStart w:id="188" w:name="_Toc22126171"/>
            <w:r>
              <w:rPr>
                <w:rFonts w:hint="default" w:ascii="Times New Roman" w:hAnsi="Times New Roman" w:cs="Times New Roman"/>
                <w:b/>
                <w:bCs/>
                <w:color w:val="auto"/>
                <w:sz w:val="21"/>
                <w:szCs w:val="21"/>
                <w:highlight w:val="none"/>
                <w:lang w:val="zh-CN"/>
              </w:rPr>
              <w:t>夜间</w:t>
            </w:r>
            <w:bookmarkEnd w:id="187"/>
            <w:bookmarkEnd w:id="188"/>
          </w:p>
        </w:tc>
      </w:tr>
      <w:tr w14:paraId="6FC652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22" w:type="dxa"/>
            <w:tcBorders>
              <w:tl2br w:val="nil"/>
              <w:tr2bl w:val="nil"/>
            </w:tcBorders>
            <w:vAlign w:val="center"/>
          </w:tcPr>
          <w:p w14:paraId="389C0291">
            <w:pPr>
              <w:spacing w:line="360" w:lineRule="exact"/>
              <w:ind w:firstLine="0" w:firstLineChars="0"/>
              <w:jc w:val="center"/>
              <w:rPr>
                <w:rFonts w:hint="default" w:ascii="Times New Roman" w:hAnsi="Times New Roman" w:cs="Times New Roman"/>
                <w:color w:val="auto"/>
                <w:sz w:val="21"/>
                <w:szCs w:val="21"/>
                <w:highlight w:val="none"/>
                <w:lang w:val="zh-CN"/>
              </w:rPr>
            </w:pPr>
            <w:bookmarkStart w:id="189" w:name="_Toc22126172"/>
            <w:bookmarkStart w:id="190" w:name="_Toc24792"/>
            <w:r>
              <w:rPr>
                <w:rFonts w:hint="default" w:ascii="Times New Roman" w:hAnsi="Times New Roman" w:cs="Times New Roman"/>
                <w:color w:val="auto"/>
                <w:sz w:val="21"/>
                <w:szCs w:val="21"/>
                <w:highlight w:val="none"/>
                <w:lang w:val="zh-CN"/>
              </w:rPr>
              <w:t>建筑施工</w:t>
            </w:r>
            <w:bookmarkEnd w:id="189"/>
            <w:bookmarkEnd w:id="190"/>
          </w:p>
        </w:tc>
        <w:tc>
          <w:tcPr>
            <w:tcW w:w="2633" w:type="dxa"/>
            <w:tcBorders>
              <w:tl2br w:val="nil"/>
              <w:tr2bl w:val="nil"/>
            </w:tcBorders>
            <w:vAlign w:val="center"/>
          </w:tcPr>
          <w:p w14:paraId="1ADB822E">
            <w:pPr>
              <w:spacing w:line="360" w:lineRule="exact"/>
              <w:ind w:firstLine="0" w:firstLineChars="0"/>
              <w:jc w:val="center"/>
              <w:rPr>
                <w:rFonts w:hint="default" w:ascii="Times New Roman" w:hAnsi="Times New Roman" w:cs="Times New Roman"/>
                <w:color w:val="auto"/>
                <w:sz w:val="21"/>
                <w:szCs w:val="21"/>
                <w:highlight w:val="none"/>
                <w:lang w:val="zh-CN"/>
              </w:rPr>
            </w:pPr>
            <w:bookmarkStart w:id="191" w:name="_Toc22126173"/>
            <w:bookmarkStart w:id="192" w:name="_Toc25886"/>
            <w:r>
              <w:rPr>
                <w:rFonts w:hint="default" w:ascii="Times New Roman" w:hAnsi="Times New Roman" w:cs="Times New Roman"/>
                <w:color w:val="auto"/>
                <w:sz w:val="21"/>
                <w:szCs w:val="21"/>
                <w:highlight w:val="none"/>
                <w:lang w:val="zh-CN"/>
              </w:rPr>
              <w:t>70</w:t>
            </w:r>
            <w:bookmarkEnd w:id="191"/>
            <w:bookmarkEnd w:id="192"/>
          </w:p>
        </w:tc>
        <w:tc>
          <w:tcPr>
            <w:tcW w:w="2679" w:type="dxa"/>
            <w:tcBorders>
              <w:tl2br w:val="nil"/>
              <w:tr2bl w:val="nil"/>
            </w:tcBorders>
            <w:vAlign w:val="center"/>
          </w:tcPr>
          <w:p w14:paraId="1901B0FB">
            <w:pPr>
              <w:spacing w:line="360" w:lineRule="exact"/>
              <w:ind w:firstLine="0" w:firstLineChars="0"/>
              <w:jc w:val="center"/>
              <w:rPr>
                <w:rFonts w:hint="default" w:ascii="Times New Roman" w:hAnsi="Times New Roman" w:cs="Times New Roman"/>
                <w:color w:val="auto"/>
                <w:sz w:val="21"/>
                <w:szCs w:val="21"/>
                <w:highlight w:val="none"/>
                <w:lang w:val="zh-CN"/>
              </w:rPr>
            </w:pPr>
            <w:bookmarkStart w:id="193" w:name="_Toc22126174"/>
            <w:bookmarkStart w:id="194" w:name="_Toc31449"/>
            <w:r>
              <w:rPr>
                <w:rFonts w:hint="default" w:ascii="Times New Roman" w:hAnsi="Times New Roman" w:cs="Times New Roman"/>
                <w:color w:val="auto"/>
                <w:sz w:val="21"/>
                <w:szCs w:val="21"/>
                <w:highlight w:val="none"/>
                <w:lang w:val="zh-CN"/>
              </w:rPr>
              <w:t>55</w:t>
            </w:r>
            <w:bookmarkEnd w:id="193"/>
            <w:bookmarkEnd w:id="194"/>
          </w:p>
        </w:tc>
      </w:tr>
    </w:tbl>
    <w:p w14:paraId="0B83E755">
      <w:pPr>
        <w:overflowPunct w:val="0"/>
        <w:topLinePunct/>
        <w:ind w:firstLine="476"/>
        <w:rPr>
          <w:rFonts w:hint="default" w:ascii="Times New Roman" w:hAnsi="Times New Roman" w:cs="Times New Roman"/>
          <w:color w:val="auto"/>
          <w:spacing w:val="-1"/>
          <w:szCs w:val="32"/>
          <w:highlight w:val="none"/>
        </w:rPr>
      </w:pPr>
      <w:r>
        <w:rPr>
          <w:rFonts w:hint="default" w:ascii="Times New Roman" w:hAnsi="Times New Roman" w:cs="Times New Roman"/>
          <w:color w:val="auto"/>
          <w:spacing w:val="-1"/>
          <w:szCs w:val="32"/>
          <w:highlight w:val="none"/>
        </w:rPr>
        <w:t>运营期噪声执行《工业企业厂界环境噪声排放标准》（GB12348-2008）中</w:t>
      </w:r>
      <w:r>
        <w:rPr>
          <w:rFonts w:hint="default" w:ascii="Times New Roman" w:hAnsi="Times New Roman" w:cs="Times New Roman"/>
          <w:color w:val="auto"/>
          <w:spacing w:val="-1"/>
          <w:szCs w:val="32"/>
          <w:highlight w:val="none"/>
          <w:lang w:val="en-US" w:eastAsia="zh-CN"/>
        </w:rPr>
        <w:t>2</w:t>
      </w:r>
      <w:r>
        <w:rPr>
          <w:rFonts w:hint="default" w:ascii="Times New Roman" w:hAnsi="Times New Roman" w:cs="Times New Roman"/>
          <w:color w:val="auto"/>
          <w:spacing w:val="-1"/>
          <w:szCs w:val="32"/>
          <w:highlight w:val="none"/>
        </w:rPr>
        <w:t>类标准。详见表2.5-</w:t>
      </w:r>
      <w:r>
        <w:rPr>
          <w:rFonts w:hint="default" w:ascii="Times New Roman" w:hAnsi="Times New Roman" w:cs="Times New Roman"/>
          <w:color w:val="auto"/>
          <w:spacing w:val="-1"/>
          <w:szCs w:val="32"/>
          <w:highlight w:val="none"/>
          <w:lang w:val="en-US" w:eastAsia="zh-CN"/>
        </w:rPr>
        <w:t>9</w:t>
      </w:r>
      <w:r>
        <w:rPr>
          <w:rFonts w:hint="default" w:ascii="Times New Roman" w:hAnsi="Times New Roman" w:cs="Times New Roman"/>
          <w:color w:val="auto"/>
          <w:spacing w:val="-1"/>
          <w:szCs w:val="32"/>
          <w:highlight w:val="none"/>
        </w:rPr>
        <w:t>。</w:t>
      </w:r>
    </w:p>
    <w:p w14:paraId="0920B039">
      <w:pPr>
        <w:pStyle w:val="49"/>
        <w:widowControl w:val="0"/>
        <w:rPr>
          <w:rFonts w:hint="default" w:ascii="Times New Roman" w:hAnsi="Times New Roman" w:eastAsia="宋体" w:cs="Times New Roman"/>
          <w:color w:val="auto"/>
          <w:szCs w:val="32"/>
          <w:highlight w:val="none"/>
          <w:lang w:eastAsia="zh-CN"/>
        </w:rPr>
      </w:pPr>
      <w:r>
        <w:rPr>
          <w:rFonts w:hint="default" w:ascii="Times New Roman" w:hAnsi="Times New Roman" w:cs="Times New Roman"/>
          <w:color w:val="auto"/>
          <w:szCs w:val="32"/>
          <w:highlight w:val="none"/>
        </w:rPr>
        <w:t>表2.5-</w:t>
      </w:r>
      <w:r>
        <w:rPr>
          <w:rFonts w:hint="default" w:ascii="Times New Roman" w:hAnsi="Times New Roman" w:cs="Times New Roman"/>
          <w:color w:val="auto"/>
          <w:szCs w:val="32"/>
          <w:highlight w:val="none"/>
          <w:lang w:val="en-US" w:eastAsia="zh-CN"/>
        </w:rPr>
        <w:t>9</w:t>
      </w:r>
      <w:r>
        <w:rPr>
          <w:rFonts w:hint="default" w:ascii="Times New Roman" w:hAnsi="Times New Roman" w:cs="Times New Roman"/>
          <w:color w:val="auto"/>
          <w:szCs w:val="32"/>
          <w:highlight w:val="none"/>
        </w:rPr>
        <w:t xml:space="preserve">    工业企业厂界环境噪声排放标准    单位：dB</w:t>
      </w:r>
      <w:r>
        <w:rPr>
          <w:rFonts w:hint="default" w:ascii="Times New Roman" w:hAnsi="Times New Roman" w:cs="Times New Roman"/>
          <w:color w:val="auto"/>
          <w:szCs w:val="32"/>
          <w:highlight w:val="none"/>
          <w:lang w:eastAsia="zh-CN"/>
        </w:rPr>
        <w:t>（</w:t>
      </w:r>
      <w:r>
        <w:rPr>
          <w:rFonts w:hint="default" w:ascii="Times New Roman" w:hAnsi="Times New Roman" w:cs="Times New Roman"/>
          <w:color w:val="auto"/>
          <w:szCs w:val="32"/>
          <w:highlight w:val="none"/>
        </w:rPr>
        <w:t>A</w:t>
      </w:r>
      <w:r>
        <w:rPr>
          <w:rFonts w:hint="default" w:ascii="Times New Roman" w:hAnsi="Times New Roman" w:cs="Times New Roman"/>
          <w:color w:val="auto"/>
          <w:szCs w:val="32"/>
          <w:highlight w:val="none"/>
          <w:lang w:eastAsia="zh-CN"/>
        </w:rPr>
        <w:t>）</w:t>
      </w:r>
    </w:p>
    <w:tbl>
      <w:tblPr>
        <w:tblStyle w:val="33"/>
        <w:tblW w:w="8334" w:type="dxa"/>
        <w:jc w:val="center"/>
        <w:tblLayout w:type="fixed"/>
        <w:tblCellMar>
          <w:top w:w="0" w:type="dxa"/>
          <w:left w:w="0" w:type="dxa"/>
          <w:bottom w:w="0" w:type="dxa"/>
          <w:right w:w="0" w:type="dxa"/>
        </w:tblCellMar>
      </w:tblPr>
      <w:tblGrid>
        <w:gridCol w:w="3022"/>
        <w:gridCol w:w="2633"/>
        <w:gridCol w:w="2679"/>
      </w:tblGrid>
      <w:tr w14:paraId="3D790421">
        <w:trPr>
          <w:trHeight w:val="340" w:hRule="atLeast"/>
          <w:jc w:val="center"/>
        </w:trPr>
        <w:tc>
          <w:tcPr>
            <w:tcW w:w="3022" w:type="dxa"/>
            <w:vMerge w:val="restart"/>
            <w:tcBorders>
              <w:top w:val="single" w:color="000000" w:sz="12" w:space="0"/>
              <w:left w:val="single" w:color="000000" w:sz="12" w:space="0"/>
              <w:bottom w:val="single" w:color="000000" w:sz="4" w:space="0"/>
              <w:right w:val="single" w:color="000000" w:sz="4" w:space="0"/>
            </w:tcBorders>
            <w:vAlign w:val="center"/>
          </w:tcPr>
          <w:p w14:paraId="352E8291">
            <w:pPr>
              <w:pStyle w:val="54"/>
              <w:spacing w:after="0" w:line="360" w:lineRule="exact"/>
              <w:ind w:firstLine="0" w:firstLineChars="0"/>
              <w:rPr>
                <w:rFonts w:hint="default" w:ascii="Times New Roman" w:hAnsi="Times New Roman" w:eastAsia="宋体" w:cs="Times New Roman"/>
                <w:bCs/>
                <w:color w:val="auto"/>
                <w:sz w:val="21"/>
                <w:highlight w:val="none"/>
              </w:rPr>
            </w:pPr>
            <w:bookmarkStart w:id="195" w:name="_Toc3399"/>
            <w:bookmarkStart w:id="196" w:name="_Toc10644"/>
            <w:bookmarkStart w:id="197" w:name="_Toc15161"/>
            <w:r>
              <w:rPr>
                <w:rFonts w:hint="default" w:ascii="Times New Roman" w:hAnsi="Times New Roman" w:eastAsia="宋体" w:cs="Times New Roman"/>
                <w:bCs/>
                <w:color w:val="auto"/>
                <w:sz w:val="21"/>
                <w:highlight w:val="none"/>
              </w:rPr>
              <w:t>声环境功能区类别</w:t>
            </w:r>
            <w:bookmarkEnd w:id="195"/>
            <w:bookmarkEnd w:id="196"/>
            <w:bookmarkEnd w:id="197"/>
          </w:p>
        </w:tc>
        <w:tc>
          <w:tcPr>
            <w:tcW w:w="5312" w:type="dxa"/>
            <w:gridSpan w:val="2"/>
            <w:tcBorders>
              <w:top w:val="single" w:color="000000" w:sz="12" w:space="0"/>
              <w:left w:val="single" w:color="000000" w:sz="4" w:space="0"/>
              <w:bottom w:val="single" w:color="000000" w:sz="4" w:space="0"/>
              <w:right w:val="single" w:color="000000" w:sz="12" w:space="0"/>
            </w:tcBorders>
            <w:vAlign w:val="center"/>
          </w:tcPr>
          <w:p w14:paraId="09085EB7">
            <w:pPr>
              <w:pStyle w:val="54"/>
              <w:spacing w:after="0" w:line="360" w:lineRule="exact"/>
              <w:ind w:firstLine="0" w:firstLineChars="0"/>
              <w:rPr>
                <w:rFonts w:hint="default" w:ascii="Times New Roman" w:hAnsi="Times New Roman" w:eastAsia="宋体" w:cs="Times New Roman"/>
                <w:bCs/>
                <w:color w:val="auto"/>
                <w:sz w:val="21"/>
                <w:highlight w:val="none"/>
              </w:rPr>
            </w:pPr>
            <w:bookmarkStart w:id="198" w:name="_Toc17925"/>
            <w:bookmarkStart w:id="199" w:name="_Toc23131"/>
            <w:bookmarkStart w:id="200" w:name="_Toc9852"/>
            <w:r>
              <w:rPr>
                <w:rFonts w:hint="default" w:ascii="Times New Roman" w:hAnsi="Times New Roman" w:eastAsia="宋体" w:cs="Times New Roman"/>
                <w:bCs/>
                <w:color w:val="auto"/>
                <w:sz w:val="21"/>
                <w:highlight w:val="none"/>
              </w:rPr>
              <w:t>时段</w:t>
            </w:r>
            <w:bookmarkEnd w:id="198"/>
            <w:bookmarkEnd w:id="199"/>
            <w:bookmarkEnd w:id="200"/>
          </w:p>
        </w:tc>
      </w:tr>
      <w:tr w14:paraId="4DECDE5B">
        <w:tblPrEx>
          <w:tblCellMar>
            <w:top w:w="0" w:type="dxa"/>
            <w:left w:w="0" w:type="dxa"/>
            <w:bottom w:w="0" w:type="dxa"/>
            <w:right w:w="0" w:type="dxa"/>
          </w:tblCellMar>
        </w:tblPrEx>
        <w:trPr>
          <w:trHeight w:val="340" w:hRule="atLeast"/>
          <w:jc w:val="center"/>
        </w:trPr>
        <w:tc>
          <w:tcPr>
            <w:tcW w:w="3022" w:type="dxa"/>
            <w:vMerge w:val="continue"/>
            <w:tcBorders>
              <w:top w:val="single" w:color="000000" w:sz="4" w:space="0"/>
              <w:left w:val="single" w:color="000000" w:sz="12" w:space="0"/>
              <w:bottom w:val="single" w:color="000000" w:sz="4" w:space="0"/>
              <w:right w:val="single" w:color="000000" w:sz="4" w:space="0"/>
            </w:tcBorders>
            <w:vAlign w:val="center"/>
          </w:tcPr>
          <w:p w14:paraId="78FE613D">
            <w:pPr>
              <w:pStyle w:val="54"/>
              <w:spacing w:after="0" w:line="360" w:lineRule="exact"/>
              <w:ind w:firstLine="0" w:firstLineChars="0"/>
              <w:rPr>
                <w:rFonts w:hint="default" w:ascii="Times New Roman" w:hAnsi="Times New Roman" w:eastAsia="宋体" w:cs="Times New Roman"/>
                <w:bCs/>
                <w:color w:val="auto"/>
                <w:sz w:val="21"/>
                <w:highlight w:val="none"/>
              </w:rPr>
            </w:pPr>
          </w:p>
        </w:tc>
        <w:tc>
          <w:tcPr>
            <w:tcW w:w="2633" w:type="dxa"/>
            <w:tcBorders>
              <w:top w:val="single" w:color="000000" w:sz="4" w:space="0"/>
              <w:left w:val="single" w:color="000000" w:sz="4" w:space="0"/>
              <w:bottom w:val="single" w:color="000000" w:sz="4" w:space="0"/>
              <w:right w:val="single" w:color="000000" w:sz="4" w:space="0"/>
            </w:tcBorders>
            <w:vAlign w:val="center"/>
          </w:tcPr>
          <w:p w14:paraId="55540D5D">
            <w:pPr>
              <w:pStyle w:val="54"/>
              <w:spacing w:after="0" w:line="360" w:lineRule="exact"/>
              <w:ind w:firstLine="0" w:firstLineChars="0"/>
              <w:rPr>
                <w:rFonts w:hint="default" w:ascii="Times New Roman" w:hAnsi="Times New Roman" w:eastAsia="宋体" w:cs="Times New Roman"/>
                <w:bCs/>
                <w:color w:val="auto"/>
                <w:sz w:val="21"/>
                <w:highlight w:val="none"/>
              </w:rPr>
            </w:pPr>
            <w:bookmarkStart w:id="201" w:name="_Toc32714"/>
            <w:bookmarkStart w:id="202" w:name="_Toc4263"/>
            <w:bookmarkStart w:id="203" w:name="_Toc12601"/>
            <w:r>
              <w:rPr>
                <w:rFonts w:hint="default" w:ascii="Times New Roman" w:hAnsi="Times New Roman" w:eastAsia="宋体" w:cs="Times New Roman"/>
                <w:bCs/>
                <w:color w:val="auto"/>
                <w:sz w:val="21"/>
                <w:highlight w:val="none"/>
              </w:rPr>
              <w:t>昼间</w:t>
            </w:r>
            <w:bookmarkEnd w:id="201"/>
            <w:bookmarkEnd w:id="202"/>
            <w:bookmarkEnd w:id="203"/>
          </w:p>
        </w:tc>
        <w:tc>
          <w:tcPr>
            <w:tcW w:w="2679" w:type="dxa"/>
            <w:tcBorders>
              <w:top w:val="single" w:color="000000" w:sz="4" w:space="0"/>
              <w:left w:val="single" w:color="000000" w:sz="4" w:space="0"/>
              <w:bottom w:val="single" w:color="000000" w:sz="4" w:space="0"/>
              <w:right w:val="single" w:color="000000" w:sz="12" w:space="0"/>
            </w:tcBorders>
            <w:vAlign w:val="center"/>
          </w:tcPr>
          <w:p w14:paraId="211FE6E3">
            <w:pPr>
              <w:pStyle w:val="54"/>
              <w:spacing w:after="0" w:line="360" w:lineRule="exact"/>
              <w:ind w:firstLine="0" w:firstLineChars="0"/>
              <w:rPr>
                <w:rFonts w:hint="default" w:ascii="Times New Roman" w:hAnsi="Times New Roman" w:eastAsia="宋体" w:cs="Times New Roman"/>
                <w:bCs/>
                <w:color w:val="auto"/>
                <w:sz w:val="21"/>
                <w:highlight w:val="none"/>
              </w:rPr>
            </w:pPr>
            <w:bookmarkStart w:id="204" w:name="_Toc11999"/>
            <w:bookmarkStart w:id="205" w:name="_Toc31272"/>
            <w:bookmarkStart w:id="206" w:name="_Toc31120"/>
            <w:r>
              <w:rPr>
                <w:rFonts w:hint="default" w:ascii="Times New Roman" w:hAnsi="Times New Roman" w:eastAsia="宋体" w:cs="Times New Roman"/>
                <w:bCs/>
                <w:color w:val="auto"/>
                <w:sz w:val="21"/>
                <w:highlight w:val="none"/>
              </w:rPr>
              <w:t>夜间</w:t>
            </w:r>
            <w:bookmarkEnd w:id="204"/>
            <w:bookmarkEnd w:id="205"/>
            <w:bookmarkEnd w:id="206"/>
          </w:p>
        </w:tc>
      </w:tr>
      <w:tr w14:paraId="4D51B0A3">
        <w:tblPrEx>
          <w:tblCellMar>
            <w:top w:w="0" w:type="dxa"/>
            <w:left w:w="0" w:type="dxa"/>
            <w:bottom w:w="0" w:type="dxa"/>
            <w:right w:w="0" w:type="dxa"/>
          </w:tblCellMar>
        </w:tblPrEx>
        <w:trPr>
          <w:trHeight w:val="340" w:hRule="atLeast"/>
          <w:jc w:val="center"/>
        </w:trPr>
        <w:tc>
          <w:tcPr>
            <w:tcW w:w="3022" w:type="dxa"/>
            <w:tcBorders>
              <w:top w:val="single" w:color="000000" w:sz="4" w:space="0"/>
              <w:left w:val="single" w:color="000000" w:sz="12" w:space="0"/>
              <w:bottom w:val="single" w:color="000000" w:sz="12" w:space="0"/>
              <w:right w:val="single" w:color="000000" w:sz="4" w:space="0"/>
            </w:tcBorders>
            <w:vAlign w:val="center"/>
          </w:tcPr>
          <w:p w14:paraId="30E63988">
            <w:pPr>
              <w:pStyle w:val="54"/>
              <w:spacing w:after="0" w:line="360" w:lineRule="exact"/>
              <w:ind w:firstLine="0" w:firstLineChars="0"/>
              <w:rPr>
                <w:rFonts w:hint="default" w:ascii="Times New Roman" w:hAnsi="Times New Roman" w:eastAsia="宋体" w:cs="Times New Roman"/>
                <w:b w:val="0"/>
                <w:color w:val="auto"/>
                <w:sz w:val="21"/>
                <w:highlight w:val="none"/>
              </w:rPr>
            </w:pPr>
            <w:bookmarkStart w:id="207" w:name="_Toc24599"/>
            <w:bookmarkStart w:id="208" w:name="_Toc23629"/>
            <w:bookmarkStart w:id="209" w:name="_Toc22781"/>
            <w:r>
              <w:rPr>
                <w:rFonts w:hint="default" w:ascii="Times New Roman" w:hAnsi="Times New Roman" w:eastAsia="宋体" w:cs="Times New Roman"/>
                <w:b w:val="0"/>
                <w:color w:val="auto"/>
                <w:sz w:val="21"/>
                <w:highlight w:val="none"/>
                <w:lang w:val="en-US" w:eastAsia="zh-CN"/>
              </w:rPr>
              <w:t>2</w:t>
            </w:r>
            <w:r>
              <w:rPr>
                <w:rFonts w:hint="default" w:ascii="Times New Roman" w:hAnsi="Times New Roman" w:eastAsia="宋体" w:cs="Times New Roman"/>
                <w:b w:val="0"/>
                <w:color w:val="auto"/>
                <w:sz w:val="21"/>
                <w:highlight w:val="none"/>
              </w:rPr>
              <w:t>类</w:t>
            </w:r>
            <w:bookmarkEnd w:id="207"/>
            <w:bookmarkEnd w:id="208"/>
            <w:bookmarkEnd w:id="209"/>
          </w:p>
        </w:tc>
        <w:tc>
          <w:tcPr>
            <w:tcW w:w="2633" w:type="dxa"/>
            <w:tcBorders>
              <w:top w:val="single" w:color="000000" w:sz="4" w:space="0"/>
              <w:left w:val="single" w:color="000000" w:sz="4" w:space="0"/>
              <w:bottom w:val="single" w:color="000000" w:sz="12" w:space="0"/>
              <w:right w:val="single" w:color="000000" w:sz="4" w:space="0"/>
            </w:tcBorders>
            <w:vAlign w:val="center"/>
          </w:tcPr>
          <w:p w14:paraId="0E74FF4E">
            <w:pPr>
              <w:pStyle w:val="54"/>
              <w:spacing w:after="0" w:line="360" w:lineRule="exact"/>
              <w:ind w:firstLine="0" w:firstLineChars="0"/>
              <w:rPr>
                <w:rFonts w:hint="default" w:ascii="Times New Roman" w:hAnsi="Times New Roman" w:eastAsia="宋体" w:cs="Times New Roman"/>
                <w:b w:val="0"/>
                <w:color w:val="auto"/>
                <w:sz w:val="21"/>
                <w:highlight w:val="none"/>
                <w:lang w:eastAsia="zh-CN"/>
              </w:rPr>
            </w:pPr>
            <w:bookmarkStart w:id="210" w:name="_Toc26847"/>
            <w:bookmarkStart w:id="211" w:name="_Toc7392"/>
            <w:bookmarkStart w:id="212" w:name="_Toc29809"/>
            <w:r>
              <w:rPr>
                <w:rFonts w:hint="default" w:ascii="Times New Roman" w:hAnsi="Times New Roman" w:eastAsia="宋体" w:cs="Times New Roman"/>
                <w:b w:val="0"/>
                <w:color w:val="auto"/>
                <w:sz w:val="21"/>
                <w:highlight w:val="none"/>
              </w:rPr>
              <w:t>6</w:t>
            </w:r>
            <w:bookmarkEnd w:id="210"/>
            <w:bookmarkEnd w:id="211"/>
            <w:bookmarkEnd w:id="212"/>
            <w:r>
              <w:rPr>
                <w:rFonts w:hint="default" w:ascii="Times New Roman" w:hAnsi="Times New Roman" w:eastAsia="宋体" w:cs="Times New Roman"/>
                <w:b w:val="0"/>
                <w:color w:val="auto"/>
                <w:sz w:val="21"/>
                <w:highlight w:val="none"/>
                <w:lang w:val="en-US" w:eastAsia="zh-CN"/>
              </w:rPr>
              <w:t>0</w:t>
            </w:r>
          </w:p>
        </w:tc>
        <w:tc>
          <w:tcPr>
            <w:tcW w:w="2679" w:type="dxa"/>
            <w:tcBorders>
              <w:top w:val="single" w:color="000000" w:sz="4" w:space="0"/>
              <w:left w:val="single" w:color="000000" w:sz="4" w:space="0"/>
              <w:bottom w:val="single" w:color="000000" w:sz="12" w:space="0"/>
              <w:right w:val="single" w:color="000000" w:sz="12" w:space="0"/>
            </w:tcBorders>
            <w:vAlign w:val="center"/>
          </w:tcPr>
          <w:p w14:paraId="43E86D3C">
            <w:pPr>
              <w:pStyle w:val="54"/>
              <w:spacing w:after="0" w:line="360" w:lineRule="exact"/>
              <w:ind w:firstLine="0" w:firstLineChars="0"/>
              <w:rPr>
                <w:rFonts w:hint="default" w:ascii="Times New Roman" w:hAnsi="Times New Roman" w:eastAsia="宋体" w:cs="Times New Roman"/>
                <w:b w:val="0"/>
                <w:color w:val="auto"/>
                <w:sz w:val="21"/>
                <w:highlight w:val="none"/>
                <w:lang w:eastAsia="zh-CN"/>
              </w:rPr>
            </w:pPr>
            <w:bookmarkStart w:id="213" w:name="_Toc365"/>
            <w:bookmarkStart w:id="214" w:name="_Toc13905"/>
            <w:bookmarkStart w:id="215" w:name="_Toc24749"/>
            <w:r>
              <w:rPr>
                <w:rFonts w:hint="default" w:ascii="Times New Roman" w:hAnsi="Times New Roman" w:eastAsia="宋体" w:cs="Times New Roman"/>
                <w:b w:val="0"/>
                <w:color w:val="auto"/>
                <w:sz w:val="21"/>
                <w:highlight w:val="none"/>
              </w:rPr>
              <w:t>5</w:t>
            </w:r>
            <w:bookmarkEnd w:id="213"/>
            <w:bookmarkEnd w:id="214"/>
            <w:bookmarkEnd w:id="215"/>
            <w:r>
              <w:rPr>
                <w:rFonts w:hint="default" w:ascii="Times New Roman" w:hAnsi="Times New Roman" w:eastAsia="宋体" w:cs="Times New Roman"/>
                <w:b w:val="0"/>
                <w:color w:val="auto"/>
                <w:sz w:val="21"/>
                <w:highlight w:val="none"/>
                <w:lang w:val="en-US" w:eastAsia="zh-CN"/>
              </w:rPr>
              <w:t>0</w:t>
            </w:r>
          </w:p>
        </w:tc>
      </w:tr>
    </w:tbl>
    <w:p w14:paraId="7D7FB1DD">
      <w:pPr>
        <w:overflowPunct w:val="0"/>
        <w:topLinePunct/>
        <w:ind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（4）固体废物</w:t>
      </w:r>
    </w:p>
    <w:p w14:paraId="54817F4A">
      <w:pPr>
        <w:overflowPunct w:val="0"/>
        <w:topLinePunct/>
        <w:ind w:firstLine="480"/>
        <w:rPr>
          <w:rFonts w:hint="default" w:ascii="Times New Roman" w:hAnsi="Times New Roman" w:cs="Times New Roman"/>
          <w:b/>
          <w:color w:val="auto"/>
          <w:kern w:val="0"/>
          <w:highlight w:val="none"/>
        </w:rPr>
      </w:pPr>
      <w:r>
        <w:rPr>
          <w:rFonts w:hint="default" w:ascii="Times New Roman" w:hAnsi="Times New Roman" w:cs="Times New Roman"/>
          <w:color w:val="auto"/>
          <w:kern w:val="0"/>
          <w:highlight w:val="none"/>
        </w:rPr>
        <w:t>项目主要固体废物包括尾矿砂、除尘灰、废药剂包装物、废离子交换树脂、废布袋、循环水池底泥、生活垃圾及少量废机油、废油桶等。一般固体废物执行《一般工业固体废物贮存和填埋污染控制标准》（GB18599-2020）中的固体废物执行标准，尾矿砂鉴别执行《危险废物鉴别标准-腐蚀性鉴别》（GB5085.1-2007）和《危险废物鉴别标准-浸出毒性鉴别》（GB5085.3-2007）（浸出液最高允许浓度）标准有关标准限值见表2.5-1</w:t>
      </w:r>
      <w:r>
        <w:rPr>
          <w:rFonts w:hint="default" w:ascii="Times New Roman" w:hAnsi="Times New Roman" w:cs="Times New Roman"/>
          <w:color w:val="auto"/>
          <w:kern w:val="0"/>
          <w:highlight w:val="none"/>
          <w:lang w:val="en-US" w:eastAsia="zh-CN"/>
        </w:rPr>
        <w:t>0</w:t>
      </w:r>
      <w:r>
        <w:rPr>
          <w:rFonts w:hint="default" w:ascii="Times New Roman" w:hAnsi="Times New Roman" w:cs="Times New Roman"/>
          <w:color w:val="auto"/>
          <w:kern w:val="0"/>
          <w:highlight w:val="none"/>
        </w:rPr>
        <w:t>。</w:t>
      </w:r>
    </w:p>
    <w:p w14:paraId="3A37DCEC">
      <w:pPr>
        <w:ind w:firstLine="0" w:firstLineChars="0"/>
        <w:jc w:val="center"/>
        <w:rPr>
          <w:rFonts w:hint="default" w:ascii="Times New Roman" w:hAnsi="Times New Roman" w:cs="Times New Roman"/>
          <w:b/>
          <w:color w:val="auto"/>
          <w:highlight w:val="none"/>
        </w:rPr>
      </w:pPr>
      <w:r>
        <w:rPr>
          <w:rFonts w:hint="default" w:ascii="Times New Roman" w:hAnsi="Times New Roman" w:cs="Times New Roman"/>
          <w:b/>
          <w:color w:val="auto"/>
          <w:kern w:val="0"/>
          <w:highlight w:val="none"/>
        </w:rPr>
        <w:t>表2.5-1</w:t>
      </w:r>
      <w:r>
        <w:rPr>
          <w:rFonts w:hint="default" w:ascii="Times New Roman" w:hAnsi="Times New Roman" w:cs="Times New Roman"/>
          <w:b/>
          <w:color w:val="auto"/>
          <w:kern w:val="0"/>
          <w:highlight w:val="none"/>
          <w:lang w:val="en-US" w:eastAsia="zh-CN"/>
        </w:rPr>
        <w:t>0</w:t>
      </w:r>
      <w:r>
        <w:rPr>
          <w:rFonts w:hint="default" w:ascii="Times New Roman" w:hAnsi="Times New Roman" w:cs="Times New Roman"/>
          <w:b/>
          <w:color w:val="auto"/>
          <w:kern w:val="0"/>
          <w:highlight w:val="none"/>
        </w:rPr>
        <w:t xml:space="preserve">    项目危险固体废物鉴别标准    单位：mg/L</w:t>
      </w:r>
    </w:p>
    <w:tbl>
      <w:tblPr>
        <w:tblStyle w:val="33"/>
        <w:tblW w:w="85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79"/>
        <w:gridCol w:w="1377"/>
        <w:gridCol w:w="2937"/>
        <w:gridCol w:w="1827"/>
      </w:tblGrid>
      <w:tr w14:paraId="71144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379" w:type="dxa"/>
            <w:vAlign w:val="center"/>
          </w:tcPr>
          <w:p w14:paraId="6811E1A2">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GB5085.1-2007</w:t>
            </w:r>
          </w:p>
          <w:p w14:paraId="5FEED513">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腐蚀性鉴别</w:t>
            </w:r>
          </w:p>
        </w:tc>
        <w:tc>
          <w:tcPr>
            <w:tcW w:w="6141" w:type="dxa"/>
            <w:gridSpan w:val="3"/>
            <w:vAlign w:val="center"/>
          </w:tcPr>
          <w:p w14:paraId="2AA4A95E">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按照GB/T15555.12-1995制备的浸出液，pH≥12.5或pH≤2.0时，该废物是具有腐蚀性的危险物</w:t>
            </w:r>
          </w:p>
        </w:tc>
      </w:tr>
      <w:tr w14:paraId="6C4B13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9" w:type="dxa"/>
            <w:vMerge w:val="restart"/>
            <w:vAlign w:val="center"/>
          </w:tcPr>
          <w:p w14:paraId="2C96D9FC">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val="0"/>
                <w:bCs w:val="0"/>
                <w:color w:val="auto"/>
                <w:sz w:val="21"/>
                <w:szCs w:val="21"/>
                <w:highlight w:val="none"/>
              </w:rPr>
              <w:t>GB5085.3-2007浸出毒性鉴别标准</w:t>
            </w:r>
          </w:p>
        </w:tc>
        <w:tc>
          <w:tcPr>
            <w:tcW w:w="6141" w:type="dxa"/>
            <w:gridSpan w:val="3"/>
            <w:vAlign w:val="center"/>
          </w:tcPr>
          <w:p w14:paraId="4D9573E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浸出液中任何一种危险成分的浓度超过下列浓度值，则该废物是具有浸出毒性的危险废物。</w:t>
            </w:r>
          </w:p>
        </w:tc>
      </w:tr>
      <w:tr w14:paraId="0777A0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9" w:type="dxa"/>
            <w:vMerge w:val="continue"/>
            <w:vAlign w:val="center"/>
          </w:tcPr>
          <w:p w14:paraId="1699B891">
            <w:pPr>
              <w:spacing w:line="360" w:lineRule="exact"/>
              <w:ind w:firstLine="420"/>
              <w:jc w:val="center"/>
              <w:rPr>
                <w:rFonts w:hint="default" w:ascii="Times New Roman" w:hAnsi="Times New Roman" w:cs="Times New Roman"/>
                <w:color w:val="auto"/>
                <w:sz w:val="21"/>
                <w:szCs w:val="21"/>
                <w:highlight w:val="none"/>
              </w:rPr>
            </w:pPr>
          </w:p>
        </w:tc>
        <w:tc>
          <w:tcPr>
            <w:tcW w:w="1377" w:type="dxa"/>
            <w:vAlign w:val="center"/>
          </w:tcPr>
          <w:p w14:paraId="3CD75B5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2937" w:type="dxa"/>
            <w:vAlign w:val="center"/>
          </w:tcPr>
          <w:p w14:paraId="4F6E630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汞及其化合物（以总汞计）</w:t>
            </w:r>
          </w:p>
        </w:tc>
        <w:tc>
          <w:tcPr>
            <w:tcW w:w="1827" w:type="dxa"/>
            <w:vAlign w:val="center"/>
          </w:tcPr>
          <w:p w14:paraId="6C7CD29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w:t>
            </w:r>
          </w:p>
        </w:tc>
      </w:tr>
      <w:tr w14:paraId="518913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9" w:type="dxa"/>
            <w:vMerge w:val="continue"/>
            <w:vAlign w:val="center"/>
          </w:tcPr>
          <w:p w14:paraId="45522BFE">
            <w:pPr>
              <w:spacing w:line="360" w:lineRule="exact"/>
              <w:ind w:firstLine="420"/>
              <w:jc w:val="center"/>
              <w:rPr>
                <w:rFonts w:hint="default" w:ascii="Times New Roman" w:hAnsi="Times New Roman" w:cs="Times New Roman"/>
                <w:color w:val="auto"/>
                <w:sz w:val="21"/>
                <w:szCs w:val="21"/>
                <w:highlight w:val="none"/>
              </w:rPr>
            </w:pPr>
          </w:p>
        </w:tc>
        <w:tc>
          <w:tcPr>
            <w:tcW w:w="1377" w:type="dxa"/>
            <w:vAlign w:val="center"/>
          </w:tcPr>
          <w:p w14:paraId="69E8E94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2937" w:type="dxa"/>
            <w:vAlign w:val="center"/>
          </w:tcPr>
          <w:p w14:paraId="5D402A5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铅（以总铅计）</w:t>
            </w:r>
          </w:p>
        </w:tc>
        <w:tc>
          <w:tcPr>
            <w:tcW w:w="1827" w:type="dxa"/>
            <w:vAlign w:val="center"/>
          </w:tcPr>
          <w:p w14:paraId="18458BA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r>
      <w:tr w14:paraId="313840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9" w:type="dxa"/>
            <w:vMerge w:val="continue"/>
            <w:vAlign w:val="center"/>
          </w:tcPr>
          <w:p w14:paraId="2DCFCBF9">
            <w:pPr>
              <w:spacing w:line="360" w:lineRule="exact"/>
              <w:ind w:firstLine="420"/>
              <w:jc w:val="center"/>
              <w:rPr>
                <w:rFonts w:hint="default" w:ascii="Times New Roman" w:hAnsi="Times New Roman" w:cs="Times New Roman"/>
                <w:color w:val="auto"/>
                <w:sz w:val="21"/>
                <w:szCs w:val="21"/>
                <w:highlight w:val="none"/>
              </w:rPr>
            </w:pPr>
          </w:p>
        </w:tc>
        <w:tc>
          <w:tcPr>
            <w:tcW w:w="1377" w:type="dxa"/>
            <w:vAlign w:val="center"/>
          </w:tcPr>
          <w:p w14:paraId="734D3A4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2937" w:type="dxa"/>
            <w:vAlign w:val="center"/>
          </w:tcPr>
          <w:p w14:paraId="60F212B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镉（以总隔计）</w:t>
            </w:r>
          </w:p>
        </w:tc>
        <w:tc>
          <w:tcPr>
            <w:tcW w:w="1827" w:type="dxa"/>
            <w:vAlign w:val="center"/>
          </w:tcPr>
          <w:p w14:paraId="363F198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r>
      <w:tr w14:paraId="3117D2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9" w:type="dxa"/>
            <w:vMerge w:val="continue"/>
            <w:vAlign w:val="center"/>
          </w:tcPr>
          <w:p w14:paraId="73CE85B3">
            <w:pPr>
              <w:spacing w:line="360" w:lineRule="exact"/>
              <w:ind w:firstLine="420"/>
              <w:jc w:val="center"/>
              <w:rPr>
                <w:rFonts w:hint="default" w:ascii="Times New Roman" w:hAnsi="Times New Roman" w:cs="Times New Roman"/>
                <w:color w:val="auto"/>
                <w:sz w:val="21"/>
                <w:szCs w:val="21"/>
                <w:highlight w:val="none"/>
              </w:rPr>
            </w:pPr>
          </w:p>
        </w:tc>
        <w:tc>
          <w:tcPr>
            <w:tcW w:w="1377" w:type="dxa"/>
            <w:vAlign w:val="center"/>
          </w:tcPr>
          <w:p w14:paraId="6E80FE4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2937" w:type="dxa"/>
            <w:vAlign w:val="center"/>
          </w:tcPr>
          <w:p w14:paraId="0998BF93">
            <w:pPr>
              <w:tabs>
                <w:tab w:val="center" w:pos="1413"/>
              </w:tabs>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总铬</w:t>
            </w:r>
          </w:p>
        </w:tc>
        <w:tc>
          <w:tcPr>
            <w:tcW w:w="1827" w:type="dxa"/>
            <w:vAlign w:val="center"/>
          </w:tcPr>
          <w:p w14:paraId="4F45CE7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r>
      <w:tr w14:paraId="6E43E6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9" w:type="dxa"/>
            <w:vMerge w:val="continue"/>
            <w:vAlign w:val="center"/>
          </w:tcPr>
          <w:p w14:paraId="3E3CA80C">
            <w:pPr>
              <w:spacing w:line="360" w:lineRule="exact"/>
              <w:ind w:firstLine="420"/>
              <w:jc w:val="center"/>
              <w:rPr>
                <w:rFonts w:hint="default" w:ascii="Times New Roman" w:hAnsi="Times New Roman" w:cs="Times New Roman"/>
                <w:color w:val="auto"/>
                <w:sz w:val="21"/>
                <w:szCs w:val="21"/>
                <w:highlight w:val="none"/>
              </w:rPr>
            </w:pPr>
          </w:p>
        </w:tc>
        <w:tc>
          <w:tcPr>
            <w:tcW w:w="1377" w:type="dxa"/>
            <w:vAlign w:val="center"/>
          </w:tcPr>
          <w:p w14:paraId="041E48B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2937" w:type="dxa"/>
            <w:vAlign w:val="center"/>
          </w:tcPr>
          <w:p w14:paraId="1A6C78D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六价铬</w:t>
            </w:r>
          </w:p>
        </w:tc>
        <w:tc>
          <w:tcPr>
            <w:tcW w:w="1827" w:type="dxa"/>
            <w:vAlign w:val="center"/>
          </w:tcPr>
          <w:p w14:paraId="4B421F6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r>
      <w:tr w14:paraId="1E4D0E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9" w:type="dxa"/>
            <w:vMerge w:val="continue"/>
            <w:vAlign w:val="center"/>
          </w:tcPr>
          <w:p w14:paraId="66341514">
            <w:pPr>
              <w:spacing w:line="360" w:lineRule="exact"/>
              <w:ind w:firstLine="420"/>
              <w:jc w:val="center"/>
              <w:rPr>
                <w:rFonts w:hint="default" w:ascii="Times New Roman" w:hAnsi="Times New Roman" w:cs="Times New Roman"/>
                <w:color w:val="auto"/>
                <w:sz w:val="21"/>
                <w:szCs w:val="21"/>
                <w:highlight w:val="none"/>
              </w:rPr>
            </w:pPr>
          </w:p>
        </w:tc>
        <w:tc>
          <w:tcPr>
            <w:tcW w:w="1377" w:type="dxa"/>
            <w:vAlign w:val="center"/>
          </w:tcPr>
          <w:p w14:paraId="17D4FA8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p>
        </w:tc>
        <w:tc>
          <w:tcPr>
            <w:tcW w:w="2937" w:type="dxa"/>
            <w:vAlign w:val="center"/>
          </w:tcPr>
          <w:p w14:paraId="1EEAAA9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铜（以总铜计）</w:t>
            </w:r>
          </w:p>
        </w:tc>
        <w:tc>
          <w:tcPr>
            <w:tcW w:w="1827" w:type="dxa"/>
            <w:vAlign w:val="center"/>
          </w:tcPr>
          <w:p w14:paraId="5B90C1B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w:t>
            </w:r>
          </w:p>
        </w:tc>
      </w:tr>
      <w:tr w14:paraId="1C37AA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9" w:type="dxa"/>
            <w:vMerge w:val="continue"/>
            <w:vAlign w:val="center"/>
          </w:tcPr>
          <w:p w14:paraId="7E3C9E40">
            <w:pPr>
              <w:spacing w:line="360" w:lineRule="exact"/>
              <w:ind w:firstLine="420"/>
              <w:jc w:val="center"/>
              <w:rPr>
                <w:rFonts w:hint="default" w:ascii="Times New Roman" w:hAnsi="Times New Roman" w:cs="Times New Roman"/>
                <w:color w:val="auto"/>
                <w:sz w:val="21"/>
                <w:szCs w:val="21"/>
                <w:highlight w:val="none"/>
              </w:rPr>
            </w:pPr>
          </w:p>
        </w:tc>
        <w:tc>
          <w:tcPr>
            <w:tcW w:w="1377" w:type="dxa"/>
            <w:vAlign w:val="center"/>
          </w:tcPr>
          <w:p w14:paraId="7509D85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w:t>
            </w:r>
          </w:p>
        </w:tc>
        <w:tc>
          <w:tcPr>
            <w:tcW w:w="2937" w:type="dxa"/>
            <w:vAlign w:val="center"/>
          </w:tcPr>
          <w:p w14:paraId="1C64B5D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锌（以总锌计）</w:t>
            </w:r>
          </w:p>
        </w:tc>
        <w:tc>
          <w:tcPr>
            <w:tcW w:w="1827" w:type="dxa"/>
            <w:vAlign w:val="center"/>
          </w:tcPr>
          <w:p w14:paraId="44F9193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w:t>
            </w:r>
          </w:p>
        </w:tc>
      </w:tr>
      <w:tr w14:paraId="28FD48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9" w:type="dxa"/>
            <w:vMerge w:val="continue"/>
            <w:vAlign w:val="center"/>
          </w:tcPr>
          <w:p w14:paraId="63E57652">
            <w:pPr>
              <w:spacing w:line="360" w:lineRule="exact"/>
              <w:ind w:firstLine="420"/>
              <w:jc w:val="center"/>
              <w:rPr>
                <w:rFonts w:hint="default" w:ascii="Times New Roman" w:hAnsi="Times New Roman" w:cs="Times New Roman"/>
                <w:color w:val="auto"/>
                <w:sz w:val="21"/>
                <w:szCs w:val="21"/>
                <w:highlight w:val="none"/>
              </w:rPr>
            </w:pPr>
          </w:p>
        </w:tc>
        <w:tc>
          <w:tcPr>
            <w:tcW w:w="1377" w:type="dxa"/>
            <w:vAlign w:val="center"/>
          </w:tcPr>
          <w:p w14:paraId="296042C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c>
          <w:tcPr>
            <w:tcW w:w="2937" w:type="dxa"/>
            <w:vAlign w:val="center"/>
          </w:tcPr>
          <w:p w14:paraId="7862A9F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镍（以总镍计）</w:t>
            </w:r>
          </w:p>
        </w:tc>
        <w:tc>
          <w:tcPr>
            <w:tcW w:w="1827" w:type="dxa"/>
            <w:vAlign w:val="center"/>
          </w:tcPr>
          <w:p w14:paraId="1710670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r>
      <w:tr w14:paraId="7DD294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9" w:type="dxa"/>
            <w:vMerge w:val="continue"/>
            <w:vAlign w:val="center"/>
          </w:tcPr>
          <w:p w14:paraId="17EAEAAC">
            <w:pPr>
              <w:spacing w:line="360" w:lineRule="exact"/>
              <w:ind w:firstLine="420"/>
              <w:jc w:val="center"/>
              <w:rPr>
                <w:rFonts w:hint="default" w:ascii="Times New Roman" w:hAnsi="Times New Roman" w:cs="Times New Roman"/>
                <w:color w:val="auto"/>
                <w:sz w:val="21"/>
                <w:szCs w:val="21"/>
                <w:highlight w:val="none"/>
              </w:rPr>
            </w:pPr>
          </w:p>
        </w:tc>
        <w:tc>
          <w:tcPr>
            <w:tcW w:w="1377" w:type="dxa"/>
            <w:vAlign w:val="center"/>
          </w:tcPr>
          <w:p w14:paraId="1A1DCEA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w:t>
            </w:r>
          </w:p>
        </w:tc>
        <w:tc>
          <w:tcPr>
            <w:tcW w:w="2937" w:type="dxa"/>
            <w:vAlign w:val="center"/>
          </w:tcPr>
          <w:p w14:paraId="1217D88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砷（以总砷计）</w:t>
            </w:r>
          </w:p>
        </w:tc>
        <w:tc>
          <w:tcPr>
            <w:tcW w:w="1827" w:type="dxa"/>
            <w:vAlign w:val="center"/>
          </w:tcPr>
          <w:p w14:paraId="1FD9138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r>
      <w:tr w14:paraId="2D21F0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9" w:type="dxa"/>
            <w:vMerge w:val="continue"/>
            <w:vAlign w:val="center"/>
          </w:tcPr>
          <w:p w14:paraId="408C03BE">
            <w:pPr>
              <w:spacing w:line="360" w:lineRule="exact"/>
              <w:ind w:firstLine="420"/>
              <w:jc w:val="center"/>
              <w:rPr>
                <w:rFonts w:hint="default" w:ascii="Times New Roman" w:hAnsi="Times New Roman" w:cs="Times New Roman"/>
                <w:color w:val="auto"/>
                <w:sz w:val="21"/>
                <w:szCs w:val="21"/>
                <w:highlight w:val="none"/>
              </w:rPr>
            </w:pPr>
          </w:p>
        </w:tc>
        <w:tc>
          <w:tcPr>
            <w:tcW w:w="1377" w:type="dxa"/>
            <w:vAlign w:val="center"/>
          </w:tcPr>
          <w:p w14:paraId="10F955C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2937" w:type="dxa"/>
            <w:vAlign w:val="center"/>
          </w:tcPr>
          <w:p w14:paraId="6E2918E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铍（以总铍计）</w:t>
            </w:r>
          </w:p>
        </w:tc>
        <w:tc>
          <w:tcPr>
            <w:tcW w:w="1827" w:type="dxa"/>
            <w:vAlign w:val="center"/>
          </w:tcPr>
          <w:p w14:paraId="0140477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0.02</w:t>
            </w:r>
          </w:p>
        </w:tc>
      </w:tr>
      <w:tr w14:paraId="309BCA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9" w:type="dxa"/>
            <w:vMerge w:val="continue"/>
            <w:vAlign w:val="center"/>
          </w:tcPr>
          <w:p w14:paraId="51D0A72D">
            <w:pPr>
              <w:spacing w:line="360" w:lineRule="exact"/>
              <w:ind w:firstLine="420"/>
              <w:jc w:val="center"/>
              <w:rPr>
                <w:rFonts w:hint="default" w:ascii="Times New Roman" w:hAnsi="Times New Roman" w:cs="Times New Roman"/>
                <w:color w:val="auto"/>
                <w:sz w:val="21"/>
                <w:szCs w:val="21"/>
                <w:highlight w:val="none"/>
              </w:rPr>
            </w:pPr>
          </w:p>
        </w:tc>
        <w:tc>
          <w:tcPr>
            <w:tcW w:w="1377" w:type="dxa"/>
            <w:vAlign w:val="center"/>
          </w:tcPr>
          <w:p w14:paraId="7FDF7D3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w:t>
            </w:r>
          </w:p>
        </w:tc>
        <w:tc>
          <w:tcPr>
            <w:tcW w:w="2937" w:type="dxa"/>
            <w:vAlign w:val="center"/>
          </w:tcPr>
          <w:p w14:paraId="5E9AC3D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钡（以总钡计）</w:t>
            </w:r>
          </w:p>
        </w:tc>
        <w:tc>
          <w:tcPr>
            <w:tcW w:w="1827" w:type="dxa"/>
            <w:vAlign w:val="center"/>
          </w:tcPr>
          <w:p w14:paraId="0814EF7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w:t>
            </w:r>
          </w:p>
        </w:tc>
      </w:tr>
      <w:tr w14:paraId="7D61B6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9" w:type="dxa"/>
            <w:vMerge w:val="continue"/>
            <w:vAlign w:val="center"/>
          </w:tcPr>
          <w:p w14:paraId="065F0D37">
            <w:pPr>
              <w:spacing w:line="360" w:lineRule="exact"/>
              <w:ind w:firstLine="420"/>
              <w:jc w:val="center"/>
              <w:rPr>
                <w:rFonts w:hint="default" w:ascii="Times New Roman" w:hAnsi="Times New Roman" w:cs="Times New Roman"/>
                <w:color w:val="auto"/>
                <w:sz w:val="21"/>
                <w:szCs w:val="21"/>
                <w:highlight w:val="none"/>
              </w:rPr>
            </w:pPr>
          </w:p>
        </w:tc>
        <w:tc>
          <w:tcPr>
            <w:tcW w:w="1377" w:type="dxa"/>
            <w:vAlign w:val="center"/>
          </w:tcPr>
          <w:p w14:paraId="2A51F2C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w:t>
            </w:r>
          </w:p>
        </w:tc>
        <w:tc>
          <w:tcPr>
            <w:tcW w:w="2937" w:type="dxa"/>
            <w:vAlign w:val="center"/>
          </w:tcPr>
          <w:p w14:paraId="45FB84F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总银</w:t>
            </w:r>
          </w:p>
        </w:tc>
        <w:tc>
          <w:tcPr>
            <w:tcW w:w="1827" w:type="dxa"/>
            <w:vAlign w:val="center"/>
          </w:tcPr>
          <w:p w14:paraId="614B0B3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r>
      <w:tr w14:paraId="5896B3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9" w:type="dxa"/>
            <w:vMerge w:val="continue"/>
            <w:vAlign w:val="center"/>
          </w:tcPr>
          <w:p w14:paraId="0F88DF9B">
            <w:pPr>
              <w:spacing w:line="360" w:lineRule="exact"/>
              <w:ind w:firstLine="420"/>
              <w:jc w:val="center"/>
              <w:rPr>
                <w:rFonts w:hint="default" w:ascii="Times New Roman" w:hAnsi="Times New Roman" w:cs="Times New Roman"/>
                <w:color w:val="auto"/>
                <w:sz w:val="21"/>
                <w:szCs w:val="21"/>
                <w:highlight w:val="none"/>
              </w:rPr>
            </w:pPr>
          </w:p>
        </w:tc>
        <w:tc>
          <w:tcPr>
            <w:tcW w:w="1377" w:type="dxa"/>
            <w:vAlign w:val="center"/>
          </w:tcPr>
          <w:p w14:paraId="7BD76DB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w:t>
            </w:r>
          </w:p>
        </w:tc>
        <w:tc>
          <w:tcPr>
            <w:tcW w:w="2937" w:type="dxa"/>
            <w:vAlign w:val="center"/>
          </w:tcPr>
          <w:p w14:paraId="28318E6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硒（以总硒计）</w:t>
            </w:r>
          </w:p>
        </w:tc>
        <w:tc>
          <w:tcPr>
            <w:tcW w:w="1827" w:type="dxa"/>
            <w:vAlign w:val="center"/>
          </w:tcPr>
          <w:p w14:paraId="4C3A76A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r>
    </w:tbl>
    <w:p w14:paraId="596FE851">
      <w:pPr>
        <w:pStyle w:val="10"/>
        <w:overflowPunct w:val="0"/>
        <w:topLinePunct/>
        <w:spacing w:after="0"/>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一般工业固体废物类别鉴别方法：按照GB5086规定方法进行浸出实验而获得的浸出液中，任何一种污染物的浓度均未超过《污水综合排放标准》（GB8978-1996）的最高允许排放浓度，且pH值在6～9范围之内的一般工业固体废物。</w:t>
      </w:r>
    </w:p>
    <w:p w14:paraId="116C1AE5">
      <w:pPr>
        <w:overflowPunct w:val="0"/>
        <w:topLinePunct/>
        <w:ind w:firstLine="480"/>
        <w:rPr>
          <w:rFonts w:hint="default" w:ascii="Times New Roman" w:hAnsi="Times New Roman" w:cs="Times New Roman"/>
          <w:bCs/>
          <w:color w:val="auto"/>
          <w:highlight w:val="none"/>
        </w:rPr>
      </w:pPr>
      <w:r>
        <w:rPr>
          <w:rFonts w:hint="default" w:ascii="Times New Roman" w:hAnsi="Times New Roman" w:cs="Times New Roman"/>
          <w:color w:val="auto"/>
          <w:highlight w:val="none"/>
        </w:rPr>
        <w:t>项目产生少量的废机油</w:t>
      </w:r>
      <w:r>
        <w:rPr>
          <w:rFonts w:hint="eastAsia" w:cs="Times New Roman"/>
          <w:color w:val="auto"/>
          <w:highlight w:val="none"/>
          <w:lang w:val="en-US" w:eastAsia="zh-CN"/>
        </w:rPr>
        <w:t>及废油桶</w:t>
      </w:r>
      <w:r>
        <w:rPr>
          <w:rFonts w:hint="default" w:ascii="Times New Roman" w:hAnsi="Times New Roman" w:cs="Times New Roman"/>
          <w:color w:val="auto"/>
          <w:highlight w:val="none"/>
        </w:rPr>
        <w:t>，属于危险废物</w:t>
      </w:r>
      <w:r>
        <w:rPr>
          <w:rFonts w:hint="default" w:ascii="Times New Roman" w:hAnsi="Times New Roman" w:cs="Times New Roman"/>
          <w:color w:val="auto"/>
          <w:kern w:val="0"/>
          <w:highlight w:val="none"/>
        </w:rPr>
        <w:t>（HW08</w:t>
      </w:r>
      <w:r>
        <w:rPr>
          <w:rFonts w:hint="eastAsia" w:cs="Times New Roman"/>
          <w:color w:val="auto"/>
          <w:kern w:val="0"/>
          <w:highlight w:val="none"/>
          <w:lang w:val="en-US" w:eastAsia="zh-CN"/>
        </w:rPr>
        <w:t xml:space="preserve"> </w:t>
      </w:r>
      <w:r>
        <w:rPr>
          <w:rFonts w:hint="default" w:ascii="Times New Roman" w:hAnsi="Times New Roman" w:cs="Times New Roman"/>
          <w:color w:val="auto"/>
          <w:kern w:val="0"/>
          <w:highlight w:val="none"/>
        </w:rPr>
        <w:t>900-217-08）</w:t>
      </w:r>
      <w:r>
        <w:rPr>
          <w:rFonts w:hint="default" w:ascii="Times New Roman" w:hAnsi="Times New Roman" w:cs="Times New Roman"/>
          <w:color w:val="auto"/>
          <w:highlight w:val="none"/>
        </w:rPr>
        <w:t>，执行</w:t>
      </w:r>
      <w:r>
        <w:rPr>
          <w:rFonts w:hint="default" w:ascii="Times New Roman" w:hAnsi="Times New Roman" w:cs="Times New Roman"/>
          <w:bCs/>
          <w:color w:val="auto"/>
          <w:highlight w:val="none"/>
        </w:rPr>
        <w:t>《危险废物贮存污染控制标准》（</w:t>
      </w:r>
      <w:r>
        <w:rPr>
          <w:rFonts w:hint="default" w:ascii="Times New Roman" w:hAnsi="Times New Roman" w:cs="Times New Roman"/>
          <w:bCs/>
          <w:color w:val="auto"/>
          <w:highlight w:val="none"/>
          <w:lang w:eastAsia="zh-CN"/>
        </w:rPr>
        <w:t>GB18597-2023</w:t>
      </w:r>
      <w:r>
        <w:rPr>
          <w:rFonts w:hint="default" w:ascii="Times New Roman" w:hAnsi="Times New Roman" w:cs="Times New Roman"/>
          <w:bCs/>
          <w:color w:val="auto"/>
          <w:highlight w:val="none"/>
        </w:rPr>
        <w:t>）。</w:t>
      </w:r>
    </w:p>
    <w:p w14:paraId="1F4FA43E">
      <w:pPr>
        <w:pStyle w:val="3"/>
        <w:rPr>
          <w:rFonts w:hint="default" w:ascii="Times New Roman" w:hAnsi="Times New Roman" w:cs="Times New Roman"/>
          <w:color w:val="auto"/>
          <w:highlight w:val="none"/>
        </w:rPr>
      </w:pPr>
      <w:bookmarkStart w:id="216" w:name="_Toc29847"/>
      <w:bookmarkStart w:id="217" w:name="_Toc218485490"/>
      <w:bookmarkStart w:id="218" w:name="_Toc21779"/>
      <w:bookmarkStart w:id="219" w:name="_Toc10208"/>
      <w:bookmarkStart w:id="220" w:name="_Toc107413882"/>
      <w:bookmarkStart w:id="221" w:name="_Toc21624"/>
      <w:bookmarkStart w:id="222" w:name="_Toc3507"/>
      <w:bookmarkStart w:id="223" w:name="_Toc9312"/>
      <w:bookmarkStart w:id="224" w:name="_Toc22368"/>
      <w:bookmarkStart w:id="225" w:name="_Toc20103"/>
      <w:bookmarkStart w:id="226" w:name="_Toc107414649"/>
      <w:bookmarkStart w:id="227" w:name="_Toc25028"/>
      <w:bookmarkStart w:id="228" w:name="_Toc191903738"/>
      <w:bookmarkStart w:id="229" w:name="_Toc312318138"/>
      <w:bookmarkStart w:id="230" w:name="_Toc30637"/>
      <w:bookmarkStart w:id="231" w:name="_Toc20548"/>
      <w:bookmarkStart w:id="232" w:name="_Toc9923"/>
      <w:bookmarkStart w:id="233" w:name="_Toc286827182"/>
      <w:bookmarkStart w:id="234" w:name="_Toc190909896"/>
      <w:bookmarkStart w:id="235" w:name="_Toc13885"/>
      <w:bookmarkStart w:id="236" w:name="_Toc474747835"/>
      <w:bookmarkStart w:id="237" w:name="_Toc266374523"/>
      <w:bookmarkStart w:id="238" w:name="_Toc15246"/>
      <w:bookmarkStart w:id="239" w:name="_Toc20299"/>
      <w:bookmarkStart w:id="240" w:name="_Toc28742"/>
      <w:bookmarkStart w:id="241" w:name="_Toc7705"/>
      <w:bookmarkStart w:id="242" w:name="_Toc273372167"/>
      <w:bookmarkStart w:id="243" w:name="_Toc366104786"/>
      <w:bookmarkStart w:id="244" w:name="_Toc273373252"/>
      <w:bookmarkStart w:id="245" w:name="_Toc276469897"/>
      <w:bookmarkStart w:id="246" w:name="_Toc12636"/>
      <w:r>
        <w:rPr>
          <w:rFonts w:hint="default" w:ascii="Times New Roman" w:hAnsi="Times New Roman" w:cs="Times New Roman"/>
          <w:color w:val="auto"/>
          <w:highlight w:val="none"/>
        </w:rPr>
        <w:t>2.6评价等级和评价范围</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3453E031">
      <w:pPr>
        <w:pStyle w:val="4"/>
        <w:rPr>
          <w:rFonts w:hint="default" w:ascii="Times New Roman" w:hAnsi="Times New Roman" w:cs="Times New Roman"/>
          <w:color w:val="auto"/>
          <w:highlight w:val="none"/>
        </w:rPr>
      </w:pPr>
      <w:bookmarkStart w:id="247" w:name="_Toc22807"/>
      <w:bookmarkStart w:id="248" w:name="_Toc22686"/>
      <w:bookmarkStart w:id="249" w:name="_Toc4802"/>
      <w:bookmarkStart w:id="250" w:name="_Toc3723"/>
      <w:bookmarkStart w:id="251" w:name="_Toc17294"/>
      <w:bookmarkStart w:id="252" w:name="_Toc31271"/>
      <w:bookmarkStart w:id="253" w:name="_Toc10891"/>
      <w:bookmarkStart w:id="254" w:name="_Toc27015"/>
      <w:bookmarkStart w:id="255" w:name="_Toc29002"/>
      <w:r>
        <w:rPr>
          <w:rFonts w:hint="default" w:ascii="Times New Roman" w:hAnsi="Times New Roman" w:cs="Times New Roman"/>
          <w:color w:val="auto"/>
          <w:highlight w:val="none"/>
        </w:rPr>
        <w:t>2.6.1评价等级</w:t>
      </w:r>
      <w:bookmarkEnd w:id="247"/>
      <w:bookmarkEnd w:id="248"/>
      <w:bookmarkEnd w:id="249"/>
      <w:bookmarkEnd w:id="250"/>
      <w:bookmarkEnd w:id="251"/>
      <w:bookmarkEnd w:id="252"/>
      <w:bookmarkEnd w:id="253"/>
      <w:bookmarkEnd w:id="254"/>
      <w:bookmarkEnd w:id="255"/>
    </w:p>
    <w:p w14:paraId="3300A737">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2.6.1.1大气环境影响评价等级</w:t>
      </w:r>
    </w:p>
    <w:p w14:paraId="49150A3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（1）判定依据</w:t>
      </w:r>
    </w:p>
    <w:p w14:paraId="37B8830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 大气环境》（HJ2.2-2018）中的推荐模式AERSCREEN，选择</w:t>
      </w:r>
      <w:r>
        <w:rPr>
          <w:rFonts w:hint="eastAsia" w:cs="Times New Roman"/>
          <w:color w:val="auto"/>
          <w:highlight w:val="none"/>
          <w:lang w:val="en-US" w:eastAsia="zh-CN"/>
        </w:rPr>
        <w:t>颗粒物</w:t>
      </w:r>
      <w:r>
        <w:rPr>
          <w:rFonts w:hint="eastAsia"/>
          <w:color w:val="auto"/>
          <w:highlight w:val="none"/>
          <w:lang w:eastAsia="zh-CN"/>
        </w:rPr>
        <w:t>、</w:t>
      </w:r>
      <w:r>
        <w:rPr>
          <w:rFonts w:hint="eastAsia"/>
          <w:color w:val="auto"/>
          <w:highlight w:val="none"/>
          <w:lang w:val="en-US" w:eastAsia="zh-CN"/>
        </w:rPr>
        <w:t>氟化物、二氧化硫、氮氧化物、汞及其化合物</w:t>
      </w:r>
      <w:r>
        <w:rPr>
          <w:rFonts w:hint="default" w:ascii="Times New Roman" w:hAnsi="Times New Roman" w:cs="Times New Roman"/>
          <w:color w:val="auto"/>
          <w:highlight w:val="none"/>
        </w:rPr>
        <w:t>作为主要污染物，计算颗粒物、氟化物、二氧化硫、氮氧化物、汞及其化合物的最大地面空气质量浓度占标率</w:t>
      </w:r>
      <w:r>
        <w:rPr>
          <w:rFonts w:hint="default" w:ascii="Times New Roman" w:hAnsi="Times New Roman" w:cs="Times New Roman"/>
          <w:i/>
          <w:color w:val="auto"/>
          <w:highlight w:val="none"/>
        </w:rPr>
        <w:t>P</w:t>
      </w:r>
      <w:r>
        <w:rPr>
          <w:rFonts w:hint="default" w:ascii="Times New Roman" w:hAnsi="Times New Roman" w:cs="Times New Roman"/>
          <w:i/>
          <w:color w:val="auto"/>
          <w:highlight w:val="none"/>
          <w:vertAlign w:val="subscript"/>
        </w:rPr>
        <w:t>i</w:t>
      </w:r>
      <w:r>
        <w:rPr>
          <w:rFonts w:hint="default" w:ascii="Times New Roman" w:hAnsi="Times New Roman" w:cs="Times New Roman"/>
          <w:color w:val="auto"/>
          <w:highlight w:val="none"/>
        </w:rPr>
        <w:t>（第i个污染物）</w:t>
      </w:r>
      <w:r>
        <w:rPr>
          <w:rFonts w:hint="eastAsia" w:cs="Times New Roman"/>
          <w:color w:val="auto"/>
          <w:highlight w:val="none"/>
          <w:lang w:eastAsia="zh-CN"/>
        </w:rPr>
        <w:t>，以</w:t>
      </w:r>
      <w:r>
        <w:rPr>
          <w:rFonts w:hint="default" w:ascii="Times New Roman" w:hAnsi="Times New Roman" w:cs="Times New Roman"/>
          <w:color w:val="auto"/>
          <w:highlight w:val="none"/>
        </w:rPr>
        <w:t>及第i个污染物的地面空气质量浓度达标值10%时所对应的最远距离D</w:t>
      </w:r>
      <w:r>
        <w:rPr>
          <w:rFonts w:hint="default" w:ascii="Times New Roman" w:hAnsi="Times New Roman" w:cs="Times New Roman"/>
          <w:color w:val="auto"/>
          <w:highlight w:val="none"/>
          <w:vertAlign w:val="subscript"/>
        </w:rPr>
        <w:t>10%</w:t>
      </w:r>
      <w:r>
        <w:rPr>
          <w:rFonts w:hint="default" w:ascii="Times New Roman" w:hAnsi="Times New Roman" w:cs="Times New Roman"/>
          <w:color w:val="auto"/>
          <w:highlight w:val="none"/>
        </w:rPr>
        <w:t>，其中</w:t>
      </w:r>
      <w:r>
        <w:rPr>
          <w:rFonts w:hint="default" w:ascii="Times New Roman" w:hAnsi="Times New Roman" w:cs="Times New Roman"/>
          <w:i/>
          <w:color w:val="auto"/>
          <w:highlight w:val="none"/>
        </w:rPr>
        <w:t>P</w:t>
      </w:r>
      <w:r>
        <w:rPr>
          <w:rFonts w:hint="default" w:ascii="Times New Roman" w:hAnsi="Times New Roman" w:cs="Times New Roman"/>
          <w:i/>
          <w:color w:val="auto"/>
          <w:highlight w:val="none"/>
          <w:vertAlign w:val="subscript"/>
        </w:rPr>
        <w:t>i</w:t>
      </w:r>
      <w:r>
        <w:rPr>
          <w:rFonts w:hint="default" w:ascii="Times New Roman" w:hAnsi="Times New Roman" w:cs="Times New Roman"/>
          <w:color w:val="auto"/>
          <w:highlight w:val="none"/>
        </w:rPr>
        <w:t>定义为：</w:t>
      </w:r>
    </w:p>
    <w:p w14:paraId="23A40A80">
      <w:pPr>
        <w:overflowPunct w:val="0"/>
        <w:topLinePun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P</w:t>
      </w:r>
      <w:r>
        <w:rPr>
          <w:rFonts w:hint="default" w:ascii="Times New Roman" w:hAnsi="Times New Roman" w:cs="Times New Roman"/>
          <w:color w:val="auto"/>
          <w:highlight w:val="none"/>
          <w:vertAlign w:val="subscript"/>
        </w:rPr>
        <w:t>i</w:t>
      </w:r>
      <w:r>
        <w:rPr>
          <w:rFonts w:hint="default" w:ascii="Times New Roman" w:hAnsi="Times New Roman" w:cs="Times New Roman"/>
          <w:color w:val="auto"/>
          <w:highlight w:val="none"/>
        </w:rPr>
        <w:t>=C</w:t>
      </w:r>
      <w:r>
        <w:rPr>
          <w:rFonts w:hint="default" w:ascii="Times New Roman" w:hAnsi="Times New Roman" w:cs="Times New Roman"/>
          <w:color w:val="auto"/>
          <w:highlight w:val="none"/>
          <w:vertAlign w:val="subscript"/>
        </w:rPr>
        <w:t>i</w:t>
      </w:r>
      <w:r>
        <w:rPr>
          <w:rFonts w:hint="default" w:ascii="Times New Roman" w:hAnsi="Times New Roman" w:cs="Times New Roman"/>
          <w:color w:val="auto"/>
          <w:highlight w:val="none"/>
        </w:rPr>
        <w:t>/C</w:t>
      </w:r>
      <w:r>
        <w:rPr>
          <w:rFonts w:hint="default" w:ascii="Times New Roman" w:hAnsi="Times New Roman" w:cs="Times New Roman"/>
          <w:color w:val="auto"/>
          <w:highlight w:val="none"/>
          <w:vertAlign w:val="subscript"/>
        </w:rPr>
        <w:t>oi</w:t>
      </w:r>
      <w:r>
        <w:rPr>
          <w:rFonts w:hint="default" w:ascii="Times New Roman" w:hAnsi="Times New Roman" w:cs="Times New Roman"/>
          <w:color w:val="auto"/>
          <w:highlight w:val="none"/>
        </w:rPr>
        <w:t>×100%</w:t>
      </w:r>
    </w:p>
    <w:p w14:paraId="198EA18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式中：P</w:t>
      </w:r>
      <w:r>
        <w:rPr>
          <w:rFonts w:hint="default" w:ascii="Times New Roman" w:hAnsi="Times New Roman" w:cs="Times New Roman"/>
          <w:color w:val="auto"/>
          <w:highlight w:val="none"/>
          <w:vertAlign w:val="subscript"/>
        </w:rPr>
        <w:t>i</w:t>
      </w:r>
      <w:r>
        <w:rPr>
          <w:rFonts w:hint="default" w:ascii="Times New Roman" w:hAnsi="Times New Roman" w:cs="Times New Roman"/>
          <w:color w:val="auto"/>
          <w:highlight w:val="none"/>
        </w:rPr>
        <w:t>—第i个污染物的最大地面空气质量浓度占标率，%；</w:t>
      </w:r>
    </w:p>
    <w:p w14:paraId="204C4C2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C</w:t>
      </w:r>
      <w:r>
        <w:rPr>
          <w:rFonts w:hint="default" w:ascii="Times New Roman" w:hAnsi="Times New Roman" w:cs="Times New Roman"/>
          <w:color w:val="auto"/>
          <w:highlight w:val="none"/>
          <w:vertAlign w:val="subscript"/>
        </w:rPr>
        <w:t>i</w:t>
      </w:r>
      <w:r>
        <w:rPr>
          <w:rFonts w:hint="default" w:ascii="Times New Roman" w:hAnsi="Times New Roman" w:cs="Times New Roman"/>
          <w:color w:val="auto"/>
          <w:highlight w:val="none"/>
        </w:rPr>
        <w:t>—采用估算模式计算出的第i个污染物的最大1h地面空气质量浓度，mg/m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p>
    <w:p w14:paraId="0E423A4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C</w:t>
      </w:r>
      <w:r>
        <w:rPr>
          <w:rFonts w:hint="default" w:ascii="Times New Roman" w:hAnsi="Times New Roman" w:cs="Times New Roman"/>
          <w:color w:val="auto"/>
          <w:highlight w:val="none"/>
          <w:vertAlign w:val="subscript"/>
        </w:rPr>
        <w:t>oi</w:t>
      </w:r>
      <w:r>
        <w:rPr>
          <w:rFonts w:hint="default" w:ascii="Times New Roman" w:hAnsi="Times New Roman" w:cs="Times New Roman"/>
          <w:color w:val="auto"/>
          <w:highlight w:val="none"/>
        </w:rPr>
        <w:t>—第i个污染物的环境空气质量标准，</w:t>
      </w:r>
      <w:r>
        <w:rPr>
          <w:rFonts w:hint="default" w:cs="Times New Roman"/>
          <w:color w:val="auto"/>
          <w:highlight w:val="none"/>
          <w:lang w:eastAsia="zh-CN"/>
        </w:rPr>
        <w:t>μ</w:t>
      </w:r>
      <w:r>
        <w:rPr>
          <w:rFonts w:hint="eastAsia" w:cs="Times New Roman"/>
          <w:color w:val="auto"/>
          <w:highlight w:val="none"/>
          <w:lang w:eastAsia="zh-CN"/>
        </w:rPr>
        <w:t>g/m</w:t>
      </w:r>
      <w:r>
        <w:rPr>
          <w:rFonts w:hint="eastAsia" w:cs="Times New Roman"/>
          <w:color w:val="auto"/>
          <w:highlight w:val="none"/>
          <w:vertAlign w:val="superscript"/>
          <w:lang w:eastAsia="zh-CN"/>
        </w:rPr>
        <w:t>3</w:t>
      </w:r>
      <w:r>
        <w:rPr>
          <w:rFonts w:hint="default" w:ascii="Times New Roman" w:hAnsi="Times New Roman" w:cs="Times New Roman"/>
          <w:color w:val="auto"/>
          <w:highlight w:val="none"/>
        </w:rPr>
        <w:t>；一般选用GB3095中1小时平均质量浓度的二级浓度限值。</w:t>
      </w:r>
    </w:p>
    <w:p w14:paraId="63BBE9C0">
      <w:pPr>
        <w:overflowPunct w:val="0"/>
        <w:topLinePunct/>
        <w:ind w:firstLine="470" w:firstLineChars="196"/>
        <w:rPr>
          <w:rFonts w:hint="default" w:ascii="Times New Roman" w:hAnsi="Times New Roman" w:cs="Times New Roman"/>
          <w:color w:val="auto"/>
          <w:highlight w:val="none"/>
        </w:rPr>
      </w:pPr>
      <w:r>
        <w:rPr>
          <w:rFonts w:hint="default" w:ascii="Times New Roman" w:hAnsi="Times New Roman" w:cs="Times New Roman"/>
          <w:color w:val="auto"/>
          <w:highlight w:val="none"/>
        </w:rPr>
        <w:t>大气环境影响评价工作等级判据见表2.6-1、2.6-2。</w:t>
      </w:r>
    </w:p>
    <w:p w14:paraId="5046AFAE">
      <w:pPr>
        <w:ind w:firstLine="0" w:firstLineChars="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表2.6-1    大气环境影响评价工作等级</w:t>
      </w:r>
    </w:p>
    <w:tbl>
      <w:tblPr>
        <w:tblStyle w:val="33"/>
        <w:tblW w:w="8520" w:type="dxa"/>
        <w:jc w:val="center"/>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fixed"/>
        <w:tblCellMar>
          <w:top w:w="0" w:type="dxa"/>
          <w:left w:w="108" w:type="dxa"/>
          <w:bottom w:w="0" w:type="dxa"/>
          <w:right w:w="108" w:type="dxa"/>
        </w:tblCellMar>
      </w:tblPr>
      <w:tblGrid>
        <w:gridCol w:w="1546"/>
        <w:gridCol w:w="6974"/>
      </w:tblGrid>
      <w:tr w14:paraId="2EC33AE9">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546" w:type="dxa"/>
            <w:vAlign w:val="center"/>
          </w:tcPr>
          <w:p w14:paraId="0B8505DE">
            <w:pPr>
              <w:adjustRightInd w:val="0"/>
              <w:snapToGrid w:val="0"/>
              <w:spacing w:line="360" w:lineRule="exact"/>
              <w:ind w:firstLine="0" w:firstLineChars="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评价工作等级</w:t>
            </w:r>
          </w:p>
        </w:tc>
        <w:tc>
          <w:tcPr>
            <w:tcW w:w="6974" w:type="dxa"/>
            <w:vAlign w:val="center"/>
          </w:tcPr>
          <w:p w14:paraId="2EC02314">
            <w:pPr>
              <w:adjustRightInd w:val="0"/>
              <w:snapToGrid w:val="0"/>
              <w:spacing w:line="360" w:lineRule="exact"/>
              <w:ind w:firstLine="0" w:firstLineChars="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评价工作分级判据</w:t>
            </w:r>
          </w:p>
        </w:tc>
      </w:tr>
      <w:tr w14:paraId="65032CD3">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546" w:type="dxa"/>
            <w:vAlign w:val="center"/>
          </w:tcPr>
          <w:p w14:paraId="650CDB15">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一级</w:t>
            </w:r>
          </w:p>
        </w:tc>
        <w:tc>
          <w:tcPr>
            <w:tcW w:w="6974" w:type="dxa"/>
            <w:vAlign w:val="center"/>
          </w:tcPr>
          <w:p w14:paraId="09FC825A">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P</w:t>
            </w:r>
            <w:r>
              <w:rPr>
                <w:rFonts w:hint="default" w:ascii="Times New Roman" w:hAnsi="Times New Roman" w:cs="Times New Roman"/>
                <w:color w:val="auto"/>
                <w:kern w:val="0"/>
                <w:sz w:val="21"/>
                <w:szCs w:val="21"/>
                <w:highlight w:val="none"/>
                <w:vertAlign w:val="subscript"/>
              </w:rPr>
              <w:t>max</w:t>
            </w:r>
            <w:r>
              <w:rPr>
                <w:rFonts w:hint="default" w:ascii="Times New Roman" w:hAnsi="Times New Roman" w:cs="Times New Roman"/>
                <w:color w:val="auto"/>
                <w:kern w:val="0"/>
                <w:sz w:val="21"/>
                <w:szCs w:val="21"/>
                <w:highlight w:val="none"/>
              </w:rPr>
              <w:t>≥10%</w:t>
            </w:r>
          </w:p>
        </w:tc>
      </w:tr>
      <w:tr w14:paraId="4BCE180F">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546" w:type="dxa"/>
            <w:vAlign w:val="center"/>
          </w:tcPr>
          <w:p w14:paraId="71C48BDD">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二级</w:t>
            </w:r>
          </w:p>
        </w:tc>
        <w:tc>
          <w:tcPr>
            <w:tcW w:w="6974" w:type="dxa"/>
            <w:vAlign w:val="center"/>
          </w:tcPr>
          <w:p w14:paraId="4C5C72F0">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1%≤P</w:t>
            </w:r>
            <w:r>
              <w:rPr>
                <w:rFonts w:hint="default" w:ascii="Times New Roman" w:hAnsi="Times New Roman" w:cs="Times New Roman"/>
                <w:color w:val="auto"/>
                <w:kern w:val="0"/>
                <w:sz w:val="21"/>
                <w:szCs w:val="21"/>
                <w:highlight w:val="none"/>
                <w:vertAlign w:val="subscript"/>
              </w:rPr>
              <w:t>max</w:t>
            </w:r>
            <w:r>
              <w:rPr>
                <w:rFonts w:hint="default" w:ascii="Times New Roman" w:hAnsi="Times New Roman" w:cs="Times New Roman"/>
                <w:color w:val="auto"/>
                <w:kern w:val="0"/>
                <w:sz w:val="21"/>
                <w:szCs w:val="21"/>
                <w:highlight w:val="none"/>
              </w:rPr>
              <w:t>＜10%</w:t>
            </w:r>
          </w:p>
        </w:tc>
      </w:tr>
      <w:tr w14:paraId="13FC0D2E">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1546" w:type="dxa"/>
            <w:vAlign w:val="center"/>
          </w:tcPr>
          <w:p w14:paraId="77144E78">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三级</w:t>
            </w:r>
          </w:p>
        </w:tc>
        <w:tc>
          <w:tcPr>
            <w:tcW w:w="6974" w:type="dxa"/>
            <w:vAlign w:val="center"/>
          </w:tcPr>
          <w:p w14:paraId="2238AB5F">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P</w:t>
            </w:r>
            <w:r>
              <w:rPr>
                <w:rFonts w:hint="default" w:ascii="Times New Roman" w:hAnsi="Times New Roman" w:cs="Times New Roman"/>
                <w:color w:val="auto"/>
                <w:kern w:val="0"/>
                <w:sz w:val="21"/>
                <w:szCs w:val="21"/>
                <w:highlight w:val="none"/>
                <w:vertAlign w:val="subscript"/>
              </w:rPr>
              <w:t>max</w:t>
            </w:r>
            <w:r>
              <w:rPr>
                <w:rFonts w:hint="default" w:ascii="Times New Roman" w:hAnsi="Times New Roman" w:cs="Times New Roman"/>
                <w:color w:val="auto"/>
                <w:kern w:val="0"/>
                <w:sz w:val="21"/>
                <w:szCs w:val="21"/>
                <w:highlight w:val="none"/>
              </w:rPr>
              <w:t>&lt;1%</w:t>
            </w:r>
          </w:p>
        </w:tc>
      </w:tr>
    </w:tbl>
    <w:p w14:paraId="425DDBE5">
      <w:pPr>
        <w:overflowPunct w:val="0"/>
        <w:topLinePunct/>
        <w:ind w:firstLine="480"/>
        <w:rPr>
          <w:rFonts w:hint="default" w:ascii="Times New Roman" w:hAnsi="Times New Roman" w:cs="Times New Roman"/>
          <w:color w:val="auto"/>
          <w:kern w:val="0"/>
          <w:szCs w:val="22"/>
          <w:highlight w:val="none"/>
        </w:rPr>
      </w:pPr>
      <w:r>
        <w:rPr>
          <w:rFonts w:hint="default" w:ascii="Times New Roman" w:hAnsi="Times New Roman" w:cs="Times New Roman"/>
          <w:color w:val="auto"/>
          <w:kern w:val="0"/>
          <w:szCs w:val="22"/>
          <w:highlight w:val="none"/>
        </w:rPr>
        <w:t>（2）采用数据及评价结果</w:t>
      </w:r>
    </w:p>
    <w:p w14:paraId="5700F628">
      <w:pPr>
        <w:overflowPunct w:val="0"/>
        <w:topLinePunct/>
        <w:ind w:firstLine="480"/>
        <w:rPr>
          <w:rFonts w:hint="default" w:ascii="Times New Roman" w:hAnsi="Times New Roman" w:cs="Times New Roman"/>
          <w:color w:val="auto"/>
          <w:kern w:val="0"/>
          <w:szCs w:val="20"/>
          <w:highlight w:val="none"/>
        </w:rPr>
      </w:pPr>
      <w:r>
        <w:rPr>
          <w:rFonts w:hint="default" w:ascii="Times New Roman" w:hAnsi="Times New Roman" w:cs="Times New Roman"/>
          <w:color w:val="auto"/>
          <w:kern w:val="0"/>
          <w:szCs w:val="22"/>
          <w:highlight w:val="none"/>
        </w:rPr>
        <w:t>根据项目初步工</w:t>
      </w:r>
      <w:r>
        <w:rPr>
          <w:rFonts w:hint="default" w:ascii="Times New Roman" w:hAnsi="Times New Roman" w:cs="Times New Roman"/>
          <w:color w:val="auto"/>
          <w:kern w:val="0"/>
          <w:szCs w:val="20"/>
          <w:highlight w:val="none"/>
        </w:rPr>
        <w:t>程分析，选取了</w:t>
      </w:r>
      <w:r>
        <w:rPr>
          <w:rFonts w:hint="eastAsia" w:cs="Times New Roman"/>
          <w:color w:val="auto"/>
          <w:kern w:val="0"/>
          <w:szCs w:val="20"/>
          <w:highlight w:val="none"/>
          <w:lang w:val="en-US" w:eastAsia="zh-CN"/>
        </w:rPr>
        <w:t>破碎筛分车间</w:t>
      </w:r>
      <w:r>
        <w:rPr>
          <w:rFonts w:hint="default" w:ascii="Times New Roman" w:hAnsi="Times New Roman" w:cs="Times New Roman"/>
          <w:color w:val="auto"/>
          <w:kern w:val="0"/>
          <w:szCs w:val="20"/>
          <w:highlight w:val="none"/>
        </w:rPr>
        <w:t>有组织</w:t>
      </w:r>
      <w:r>
        <w:rPr>
          <w:rFonts w:hint="eastAsia" w:cs="Times New Roman"/>
          <w:color w:val="auto"/>
          <w:kern w:val="0"/>
          <w:szCs w:val="20"/>
          <w:highlight w:val="none"/>
          <w:lang w:val="en-US" w:eastAsia="zh-CN"/>
        </w:rPr>
        <w:t>PM</w:t>
      </w:r>
      <w:r>
        <w:rPr>
          <w:rFonts w:hint="eastAsia" w:cs="Times New Roman"/>
          <w:color w:val="auto"/>
          <w:kern w:val="0"/>
          <w:szCs w:val="20"/>
          <w:highlight w:val="none"/>
          <w:vertAlign w:val="subscript"/>
          <w:lang w:val="en-US" w:eastAsia="zh-CN"/>
        </w:rPr>
        <w:t>10</w:t>
      </w:r>
      <w:r>
        <w:rPr>
          <w:rFonts w:hint="eastAsia" w:cs="Times New Roman"/>
          <w:color w:val="auto"/>
          <w:kern w:val="0"/>
          <w:szCs w:val="20"/>
          <w:highlight w:val="none"/>
          <w:lang w:val="en-US" w:eastAsia="zh-CN"/>
        </w:rPr>
        <w:t>、氟化物</w:t>
      </w:r>
      <w:r>
        <w:rPr>
          <w:rFonts w:hint="eastAsia" w:cs="Times New Roman"/>
          <w:color w:val="auto"/>
          <w:kern w:val="0"/>
          <w:szCs w:val="20"/>
          <w:highlight w:val="none"/>
          <w:lang w:eastAsia="zh-CN"/>
        </w:rPr>
        <w:t>；</w:t>
      </w:r>
      <w:r>
        <w:rPr>
          <w:rFonts w:hint="eastAsia" w:cs="Times New Roman"/>
          <w:color w:val="auto"/>
          <w:kern w:val="0"/>
          <w:szCs w:val="20"/>
          <w:highlight w:val="none"/>
          <w:lang w:val="en-US" w:eastAsia="zh-CN"/>
        </w:rPr>
        <w:t>燃煤锅炉有组织PM</w:t>
      </w:r>
      <w:r>
        <w:rPr>
          <w:rFonts w:hint="eastAsia" w:cs="Times New Roman"/>
          <w:color w:val="auto"/>
          <w:kern w:val="0"/>
          <w:szCs w:val="20"/>
          <w:highlight w:val="none"/>
          <w:vertAlign w:val="subscript"/>
          <w:lang w:val="en-US" w:eastAsia="zh-CN"/>
        </w:rPr>
        <w:t>10</w:t>
      </w:r>
      <w:r>
        <w:rPr>
          <w:rFonts w:hint="eastAsia" w:cs="Times New Roman"/>
          <w:color w:val="auto"/>
          <w:kern w:val="0"/>
          <w:szCs w:val="20"/>
          <w:highlight w:val="none"/>
          <w:lang w:val="en-US" w:eastAsia="zh-CN"/>
        </w:rPr>
        <w:t>、二氧化硫、氮氧化物、汞及其化合物；选矿厂及</w:t>
      </w:r>
      <w:r>
        <w:rPr>
          <w:rFonts w:hint="default" w:ascii="Times New Roman" w:hAnsi="Times New Roman" w:cs="Times New Roman"/>
          <w:color w:val="auto"/>
          <w:kern w:val="0"/>
          <w:szCs w:val="20"/>
          <w:highlight w:val="none"/>
        </w:rPr>
        <w:t>尾矿库无组织</w:t>
      </w:r>
      <w:r>
        <w:rPr>
          <w:rFonts w:hint="eastAsia" w:cs="Times New Roman"/>
          <w:color w:val="auto"/>
          <w:kern w:val="0"/>
          <w:szCs w:val="20"/>
          <w:highlight w:val="none"/>
          <w:lang w:val="en-US" w:eastAsia="zh-CN"/>
        </w:rPr>
        <w:t>颗粒物</w:t>
      </w:r>
      <w:r>
        <w:rPr>
          <w:rFonts w:hint="default" w:ascii="Times New Roman" w:hAnsi="Times New Roman" w:cs="Times New Roman"/>
          <w:color w:val="auto"/>
          <w:kern w:val="0"/>
          <w:szCs w:val="20"/>
          <w:highlight w:val="none"/>
        </w:rPr>
        <w:t>进行预测，污染因子为PM</w:t>
      </w:r>
      <w:r>
        <w:rPr>
          <w:rFonts w:hint="default" w:ascii="Times New Roman" w:hAnsi="Times New Roman" w:cs="Times New Roman"/>
          <w:color w:val="auto"/>
          <w:kern w:val="0"/>
          <w:szCs w:val="20"/>
          <w:highlight w:val="none"/>
          <w:vertAlign w:val="subscript"/>
        </w:rPr>
        <w:t>10</w:t>
      </w:r>
      <w:r>
        <w:rPr>
          <w:rFonts w:hint="default" w:ascii="Times New Roman" w:hAnsi="Times New Roman" w:cs="Times New Roman"/>
          <w:color w:val="auto"/>
          <w:kern w:val="0"/>
          <w:szCs w:val="20"/>
          <w:highlight w:val="none"/>
        </w:rPr>
        <w:t>、</w:t>
      </w:r>
      <w:r>
        <w:rPr>
          <w:rFonts w:hint="eastAsia" w:cs="Times New Roman"/>
          <w:color w:val="auto"/>
          <w:kern w:val="0"/>
          <w:szCs w:val="20"/>
          <w:highlight w:val="none"/>
          <w:lang w:val="en-US" w:eastAsia="zh-CN"/>
        </w:rPr>
        <w:t>颗粒物</w:t>
      </w:r>
      <w:r>
        <w:rPr>
          <w:rFonts w:hint="default" w:ascii="Times New Roman" w:hAnsi="Times New Roman" w:cs="Times New Roman"/>
          <w:color w:val="auto"/>
          <w:kern w:val="0"/>
          <w:szCs w:val="20"/>
          <w:highlight w:val="none"/>
          <w:lang w:eastAsia="zh-CN"/>
        </w:rPr>
        <w:t>、氟化物</w:t>
      </w:r>
      <w:r>
        <w:rPr>
          <w:rFonts w:hint="eastAsia" w:cs="Times New Roman"/>
          <w:color w:val="auto"/>
          <w:kern w:val="0"/>
          <w:szCs w:val="20"/>
          <w:highlight w:val="none"/>
          <w:lang w:eastAsia="zh-CN"/>
        </w:rPr>
        <w:t>、</w:t>
      </w:r>
      <w:r>
        <w:rPr>
          <w:rFonts w:hint="eastAsia" w:cs="Times New Roman"/>
          <w:color w:val="auto"/>
          <w:kern w:val="0"/>
          <w:szCs w:val="20"/>
          <w:highlight w:val="none"/>
          <w:lang w:val="en-US" w:eastAsia="zh-CN"/>
        </w:rPr>
        <w:t>二氧化硫、氮氧化物、汞及其化合物</w:t>
      </w:r>
      <w:r>
        <w:rPr>
          <w:rFonts w:hint="default" w:ascii="Times New Roman" w:hAnsi="Times New Roman" w:cs="Times New Roman"/>
          <w:color w:val="auto"/>
          <w:kern w:val="0"/>
          <w:szCs w:val="20"/>
          <w:highlight w:val="none"/>
        </w:rPr>
        <w:t>，预测因子为PM</w:t>
      </w:r>
      <w:r>
        <w:rPr>
          <w:rFonts w:hint="default" w:ascii="Times New Roman" w:hAnsi="Times New Roman" w:cs="Times New Roman"/>
          <w:color w:val="auto"/>
          <w:kern w:val="0"/>
          <w:szCs w:val="20"/>
          <w:highlight w:val="none"/>
          <w:vertAlign w:val="subscript"/>
        </w:rPr>
        <w:t>10</w:t>
      </w:r>
      <w:r>
        <w:rPr>
          <w:rFonts w:hint="default" w:ascii="Times New Roman" w:hAnsi="Times New Roman" w:cs="Times New Roman"/>
          <w:color w:val="auto"/>
          <w:kern w:val="0"/>
          <w:szCs w:val="20"/>
          <w:highlight w:val="none"/>
        </w:rPr>
        <w:t>、</w:t>
      </w:r>
      <w:r>
        <w:rPr>
          <w:rFonts w:hint="default" w:ascii="Times New Roman" w:hAnsi="Times New Roman" w:cs="Times New Roman"/>
          <w:color w:val="auto"/>
          <w:kern w:val="0"/>
          <w:szCs w:val="20"/>
          <w:highlight w:val="none"/>
          <w:lang w:eastAsia="zh-CN"/>
        </w:rPr>
        <w:t>氟化物</w:t>
      </w:r>
      <w:r>
        <w:rPr>
          <w:rFonts w:hint="eastAsia" w:cs="Times New Roman"/>
          <w:color w:val="auto"/>
          <w:kern w:val="0"/>
          <w:szCs w:val="20"/>
          <w:highlight w:val="none"/>
          <w:lang w:eastAsia="zh-CN"/>
        </w:rPr>
        <w:t>、</w:t>
      </w:r>
      <w:r>
        <w:rPr>
          <w:rFonts w:hint="default" w:ascii="Times New Roman" w:hAnsi="Times New Roman" w:cs="Times New Roman"/>
          <w:color w:val="auto"/>
          <w:kern w:val="0"/>
          <w:szCs w:val="20"/>
          <w:highlight w:val="none"/>
          <w:lang w:eastAsia="zh-CN"/>
        </w:rPr>
        <w:t>颗粒物</w:t>
      </w:r>
      <w:r>
        <w:rPr>
          <w:rFonts w:hint="eastAsia" w:cs="Times New Roman"/>
          <w:color w:val="auto"/>
          <w:kern w:val="0"/>
          <w:szCs w:val="20"/>
          <w:highlight w:val="none"/>
          <w:lang w:eastAsia="zh-CN"/>
        </w:rPr>
        <w:t>、</w:t>
      </w:r>
      <w:r>
        <w:rPr>
          <w:rFonts w:hint="default" w:ascii="Times New Roman" w:hAnsi="Times New Roman" w:cs="Times New Roman"/>
          <w:color w:val="auto"/>
          <w:kern w:val="0"/>
          <w:szCs w:val="20"/>
          <w:highlight w:val="none"/>
          <w:lang w:eastAsia="zh-CN"/>
        </w:rPr>
        <w:t>二氧化硫、氮氧化物、汞及其化合物</w:t>
      </w:r>
      <w:r>
        <w:rPr>
          <w:rFonts w:hint="default" w:ascii="Times New Roman" w:hAnsi="Times New Roman" w:cs="Times New Roman"/>
          <w:color w:val="auto"/>
          <w:kern w:val="0"/>
          <w:szCs w:val="20"/>
          <w:highlight w:val="none"/>
        </w:rPr>
        <w:t>。本评价根据其排放污染物源强，利用导则推荐的估算模式AERSCREEN，对上述污染源进行预测，计算P</w:t>
      </w:r>
      <w:r>
        <w:rPr>
          <w:rFonts w:hint="default" w:ascii="Times New Roman" w:hAnsi="Times New Roman" w:cs="Times New Roman"/>
          <w:color w:val="auto"/>
          <w:kern w:val="0"/>
          <w:szCs w:val="20"/>
          <w:highlight w:val="none"/>
          <w:vertAlign w:val="subscript"/>
        </w:rPr>
        <w:t>max</w:t>
      </w:r>
      <w:r>
        <w:rPr>
          <w:rFonts w:hint="default" w:ascii="Times New Roman" w:hAnsi="Times New Roman" w:cs="Times New Roman"/>
          <w:color w:val="auto"/>
          <w:kern w:val="0"/>
          <w:szCs w:val="20"/>
          <w:highlight w:val="none"/>
        </w:rPr>
        <w:t>（P</w:t>
      </w:r>
      <w:r>
        <w:rPr>
          <w:rFonts w:hint="default" w:ascii="Times New Roman" w:hAnsi="Times New Roman" w:cs="Times New Roman"/>
          <w:color w:val="auto"/>
          <w:kern w:val="0"/>
          <w:szCs w:val="20"/>
          <w:highlight w:val="none"/>
          <w:vertAlign w:val="subscript"/>
        </w:rPr>
        <w:t>i</w:t>
      </w:r>
      <w:r>
        <w:rPr>
          <w:rFonts w:hint="default" w:ascii="Times New Roman" w:hAnsi="Times New Roman" w:cs="Times New Roman"/>
          <w:color w:val="auto"/>
          <w:kern w:val="0"/>
          <w:szCs w:val="20"/>
          <w:highlight w:val="none"/>
        </w:rPr>
        <w:t>值中最大者）和D</w:t>
      </w:r>
      <w:r>
        <w:rPr>
          <w:rFonts w:hint="default" w:ascii="Times New Roman" w:hAnsi="Times New Roman" w:cs="Times New Roman"/>
          <w:color w:val="auto"/>
          <w:kern w:val="0"/>
          <w:szCs w:val="20"/>
          <w:highlight w:val="none"/>
          <w:vertAlign w:val="subscript"/>
        </w:rPr>
        <w:t>10%</w:t>
      </w:r>
      <w:r>
        <w:rPr>
          <w:rFonts w:hint="default" w:ascii="Times New Roman" w:hAnsi="Times New Roman" w:cs="Times New Roman"/>
          <w:color w:val="auto"/>
          <w:kern w:val="0"/>
          <w:szCs w:val="20"/>
          <w:highlight w:val="none"/>
        </w:rPr>
        <w:t>（占标率为10%时所对应的最远距离）。</w:t>
      </w:r>
    </w:p>
    <w:p w14:paraId="320DC781">
      <w:pPr>
        <w:ind w:firstLine="0" w:firstLineChars="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表2.6-2    估算模型参数表</w:t>
      </w:r>
    </w:p>
    <w:tbl>
      <w:tblPr>
        <w:tblStyle w:val="33"/>
        <w:tblW w:w="85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197"/>
        <w:gridCol w:w="2149"/>
        <w:gridCol w:w="3173"/>
      </w:tblGrid>
      <w:tr w14:paraId="48F8C2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346" w:type="dxa"/>
            <w:gridSpan w:val="2"/>
            <w:tcBorders>
              <w:tl2br w:val="nil"/>
              <w:tr2bl w:val="nil"/>
            </w:tcBorders>
            <w:vAlign w:val="center"/>
          </w:tcPr>
          <w:p w14:paraId="1E2FFB35">
            <w:pPr>
              <w:adjustRightInd w:val="0"/>
              <w:snapToGrid w:val="0"/>
              <w:spacing w:line="360" w:lineRule="exact"/>
              <w:ind w:firstLine="0" w:firstLineChars="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参数</w:t>
            </w:r>
          </w:p>
        </w:tc>
        <w:tc>
          <w:tcPr>
            <w:tcW w:w="3173" w:type="dxa"/>
            <w:tcBorders>
              <w:tl2br w:val="nil"/>
              <w:tr2bl w:val="nil"/>
            </w:tcBorders>
            <w:vAlign w:val="center"/>
          </w:tcPr>
          <w:p w14:paraId="31282CD8">
            <w:pPr>
              <w:adjustRightInd w:val="0"/>
              <w:snapToGrid w:val="0"/>
              <w:spacing w:line="360" w:lineRule="exact"/>
              <w:ind w:firstLine="0" w:firstLineChars="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取值</w:t>
            </w:r>
          </w:p>
        </w:tc>
      </w:tr>
      <w:tr w14:paraId="4DDFDE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7" w:type="dxa"/>
            <w:vMerge w:val="restart"/>
            <w:tcBorders>
              <w:tl2br w:val="nil"/>
              <w:tr2bl w:val="nil"/>
            </w:tcBorders>
            <w:vAlign w:val="center"/>
          </w:tcPr>
          <w:p w14:paraId="5AD32E2E">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城市/农村选项</w:t>
            </w:r>
          </w:p>
        </w:tc>
        <w:tc>
          <w:tcPr>
            <w:tcW w:w="2149" w:type="dxa"/>
            <w:tcBorders>
              <w:tl2br w:val="nil"/>
              <w:tr2bl w:val="nil"/>
            </w:tcBorders>
            <w:vAlign w:val="center"/>
          </w:tcPr>
          <w:p w14:paraId="0488A090">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城市/农村</w:t>
            </w:r>
          </w:p>
        </w:tc>
        <w:tc>
          <w:tcPr>
            <w:tcW w:w="3173" w:type="dxa"/>
            <w:tcBorders>
              <w:tl2br w:val="nil"/>
              <w:tr2bl w:val="nil"/>
            </w:tcBorders>
            <w:vAlign w:val="center"/>
          </w:tcPr>
          <w:p w14:paraId="09D91F79">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农村</w:t>
            </w:r>
          </w:p>
        </w:tc>
      </w:tr>
      <w:tr w14:paraId="192368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7" w:type="dxa"/>
            <w:vMerge w:val="continue"/>
            <w:tcBorders>
              <w:tl2br w:val="nil"/>
              <w:tr2bl w:val="nil"/>
            </w:tcBorders>
            <w:vAlign w:val="center"/>
          </w:tcPr>
          <w:p w14:paraId="6677F376">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2149" w:type="dxa"/>
            <w:tcBorders>
              <w:tl2br w:val="nil"/>
              <w:tr2bl w:val="nil"/>
            </w:tcBorders>
            <w:vAlign w:val="center"/>
          </w:tcPr>
          <w:p w14:paraId="0EAAEA82">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人口数（城市选项时）</w:t>
            </w:r>
          </w:p>
        </w:tc>
        <w:tc>
          <w:tcPr>
            <w:tcW w:w="3173" w:type="dxa"/>
            <w:tcBorders>
              <w:tl2br w:val="nil"/>
              <w:tr2bl w:val="nil"/>
            </w:tcBorders>
            <w:vAlign w:val="center"/>
          </w:tcPr>
          <w:p w14:paraId="190056AE">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r>
      <w:tr w14:paraId="01C24C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6" w:type="dxa"/>
            <w:gridSpan w:val="2"/>
            <w:tcBorders>
              <w:tl2br w:val="nil"/>
              <w:tr2bl w:val="nil"/>
            </w:tcBorders>
            <w:vAlign w:val="center"/>
          </w:tcPr>
          <w:p w14:paraId="033666CB">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最高环境温度/℃</w:t>
            </w:r>
          </w:p>
        </w:tc>
        <w:tc>
          <w:tcPr>
            <w:tcW w:w="3173" w:type="dxa"/>
            <w:tcBorders>
              <w:tl2br w:val="nil"/>
              <w:tr2bl w:val="nil"/>
            </w:tcBorders>
            <w:vAlign w:val="center"/>
          </w:tcPr>
          <w:p w14:paraId="25163D2A">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rPr>
            </w:pPr>
            <w:r>
              <w:rPr>
                <w:rFonts w:hint="default" w:ascii="Times New Roman" w:hAnsi="Times New Roman" w:cs="Times New Roman"/>
                <w:color w:val="auto"/>
                <w:kern w:val="0"/>
                <w:sz w:val="21"/>
                <w:szCs w:val="21"/>
                <w:highlight w:val="none"/>
                <w:lang w:val="en-US" w:eastAsia="zh-CN"/>
              </w:rPr>
              <w:t>45</w:t>
            </w:r>
          </w:p>
        </w:tc>
      </w:tr>
      <w:tr w14:paraId="0132A5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6" w:type="dxa"/>
            <w:gridSpan w:val="2"/>
            <w:tcBorders>
              <w:tl2br w:val="nil"/>
              <w:tr2bl w:val="nil"/>
            </w:tcBorders>
            <w:vAlign w:val="center"/>
          </w:tcPr>
          <w:p w14:paraId="7B8BDF91">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最低环境温度/℃</w:t>
            </w:r>
          </w:p>
        </w:tc>
        <w:tc>
          <w:tcPr>
            <w:tcW w:w="3173" w:type="dxa"/>
            <w:tcBorders>
              <w:tl2br w:val="nil"/>
              <w:tr2bl w:val="nil"/>
            </w:tcBorders>
            <w:vAlign w:val="center"/>
          </w:tcPr>
          <w:p w14:paraId="366CD9E8">
            <w:pPr>
              <w:adjustRightInd w:val="0"/>
              <w:snapToGri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color w:val="auto"/>
                <w:kern w:val="0"/>
                <w:sz w:val="21"/>
                <w:szCs w:val="21"/>
                <w:highlight w:val="none"/>
              </w:rPr>
              <w:t>-</w:t>
            </w:r>
            <w:r>
              <w:rPr>
                <w:rFonts w:hint="default" w:ascii="Times New Roman" w:hAnsi="Times New Roman" w:cs="Times New Roman"/>
                <w:color w:val="auto"/>
                <w:kern w:val="0"/>
                <w:sz w:val="21"/>
                <w:szCs w:val="21"/>
                <w:highlight w:val="none"/>
                <w:lang w:val="en-US" w:eastAsia="zh-CN"/>
              </w:rPr>
              <w:t>20</w:t>
            </w:r>
          </w:p>
        </w:tc>
      </w:tr>
      <w:tr w14:paraId="7CC377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6" w:type="dxa"/>
            <w:gridSpan w:val="2"/>
            <w:tcBorders>
              <w:tl2br w:val="nil"/>
              <w:tr2bl w:val="nil"/>
            </w:tcBorders>
            <w:vAlign w:val="center"/>
          </w:tcPr>
          <w:p w14:paraId="41FF27F3">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土地利用类型</w:t>
            </w:r>
          </w:p>
        </w:tc>
        <w:tc>
          <w:tcPr>
            <w:tcW w:w="3173" w:type="dxa"/>
            <w:tcBorders>
              <w:tl2br w:val="nil"/>
              <w:tr2bl w:val="nil"/>
            </w:tcBorders>
            <w:vAlign w:val="center"/>
          </w:tcPr>
          <w:p w14:paraId="69411215">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裸岩石砾地</w:t>
            </w:r>
          </w:p>
        </w:tc>
      </w:tr>
      <w:tr w14:paraId="51B5A2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46" w:type="dxa"/>
            <w:gridSpan w:val="2"/>
            <w:tcBorders>
              <w:tl2br w:val="nil"/>
              <w:tr2bl w:val="nil"/>
            </w:tcBorders>
            <w:vAlign w:val="center"/>
          </w:tcPr>
          <w:p w14:paraId="69E60B1E">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区域湿度条件</w:t>
            </w:r>
          </w:p>
        </w:tc>
        <w:tc>
          <w:tcPr>
            <w:tcW w:w="3173" w:type="dxa"/>
            <w:tcBorders>
              <w:tl2br w:val="nil"/>
              <w:tr2bl w:val="nil"/>
            </w:tcBorders>
            <w:vAlign w:val="center"/>
          </w:tcPr>
          <w:p w14:paraId="2BCD64DA">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干燥气候</w:t>
            </w:r>
          </w:p>
        </w:tc>
      </w:tr>
      <w:tr w14:paraId="65F7B4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7" w:type="dxa"/>
            <w:vMerge w:val="restart"/>
            <w:tcBorders>
              <w:tl2br w:val="nil"/>
              <w:tr2bl w:val="nil"/>
            </w:tcBorders>
            <w:vAlign w:val="center"/>
          </w:tcPr>
          <w:p w14:paraId="3930A0BA">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是否考虑地形</w:t>
            </w:r>
          </w:p>
        </w:tc>
        <w:tc>
          <w:tcPr>
            <w:tcW w:w="2149" w:type="dxa"/>
            <w:tcBorders>
              <w:tl2br w:val="nil"/>
              <w:tr2bl w:val="nil"/>
            </w:tcBorders>
            <w:vAlign w:val="center"/>
          </w:tcPr>
          <w:p w14:paraId="494160D6">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考虑地形</w:t>
            </w:r>
          </w:p>
        </w:tc>
        <w:tc>
          <w:tcPr>
            <w:tcW w:w="3173" w:type="dxa"/>
            <w:tcBorders>
              <w:tl2br w:val="nil"/>
              <w:tr2bl w:val="nil"/>
            </w:tcBorders>
            <w:vAlign w:val="center"/>
          </w:tcPr>
          <w:p w14:paraId="0AD8F48A">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是</w:t>
            </w:r>
          </w:p>
        </w:tc>
      </w:tr>
      <w:tr w14:paraId="48C3AE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7" w:type="dxa"/>
            <w:vMerge w:val="continue"/>
            <w:tcBorders>
              <w:tl2br w:val="nil"/>
              <w:tr2bl w:val="nil"/>
            </w:tcBorders>
            <w:vAlign w:val="center"/>
          </w:tcPr>
          <w:p w14:paraId="1DD06EE5">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2149" w:type="dxa"/>
            <w:tcBorders>
              <w:tl2br w:val="nil"/>
              <w:tr2bl w:val="nil"/>
            </w:tcBorders>
            <w:vAlign w:val="center"/>
          </w:tcPr>
          <w:p w14:paraId="3C1381F4">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地形数据分辨率/m</w:t>
            </w:r>
          </w:p>
        </w:tc>
        <w:tc>
          <w:tcPr>
            <w:tcW w:w="3173" w:type="dxa"/>
            <w:tcBorders>
              <w:tl2br w:val="nil"/>
              <w:tr2bl w:val="nil"/>
            </w:tcBorders>
            <w:vAlign w:val="center"/>
          </w:tcPr>
          <w:p w14:paraId="78A47AE8">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90</w:t>
            </w:r>
          </w:p>
        </w:tc>
      </w:tr>
      <w:tr w14:paraId="73113B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7" w:type="dxa"/>
            <w:vMerge w:val="restart"/>
            <w:tcBorders>
              <w:tl2br w:val="nil"/>
              <w:tr2bl w:val="nil"/>
            </w:tcBorders>
            <w:vAlign w:val="center"/>
          </w:tcPr>
          <w:p w14:paraId="4E64E6F3">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是否考虑岸线熏烟</w:t>
            </w:r>
          </w:p>
        </w:tc>
        <w:tc>
          <w:tcPr>
            <w:tcW w:w="2149" w:type="dxa"/>
            <w:tcBorders>
              <w:tl2br w:val="nil"/>
              <w:tr2bl w:val="nil"/>
            </w:tcBorders>
            <w:vAlign w:val="center"/>
          </w:tcPr>
          <w:p w14:paraId="72414395">
            <w:pPr>
              <w:pStyle w:val="53"/>
              <w:kinsoku w:val="0"/>
              <w:overflowPunct w:val="0"/>
              <w:autoSpaceDE w:val="0"/>
              <w:autoSpaceDN w:val="0"/>
              <w:adjustRightInd w:val="0"/>
              <w:snapToGrid w:val="0"/>
              <w:spacing w:line="36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highlight w:val="none"/>
              </w:rPr>
              <w:t>考虑岸线熏烟</w:t>
            </w:r>
          </w:p>
        </w:tc>
        <w:tc>
          <w:tcPr>
            <w:tcW w:w="3173" w:type="dxa"/>
            <w:tcBorders>
              <w:tl2br w:val="nil"/>
              <w:tr2bl w:val="nil"/>
            </w:tcBorders>
            <w:vAlign w:val="center"/>
          </w:tcPr>
          <w:p w14:paraId="3A7339F0">
            <w:pPr>
              <w:pStyle w:val="53"/>
              <w:kinsoku w:val="0"/>
              <w:overflowPunct w:val="0"/>
              <w:autoSpaceDE w:val="0"/>
              <w:autoSpaceDN w:val="0"/>
              <w:adjustRightInd w:val="0"/>
              <w:snapToGrid w:val="0"/>
              <w:spacing w:line="360" w:lineRule="exact"/>
              <w:rPr>
                <w:rFonts w:hint="default" w:ascii="Times New Roman" w:hAnsi="Times New Roman" w:cs="Times New Roman"/>
                <w:color w:val="auto"/>
                <w:kern w:val="0"/>
                <w:szCs w:val="21"/>
                <w:highlight w:val="none"/>
              </w:rPr>
            </w:pPr>
            <w:r>
              <w:rPr>
                <w:rFonts w:hint="eastAsia" w:cs="Times New Roman"/>
                <w:color w:val="auto"/>
                <w:kern w:val="0"/>
                <w:highlight w:val="none"/>
                <w:lang w:eastAsia="zh-CN"/>
              </w:rPr>
              <w:t>□</w:t>
            </w:r>
            <w:r>
              <w:rPr>
                <w:rFonts w:hint="default" w:ascii="Times New Roman" w:hAnsi="Times New Roman" w:cs="Times New Roman"/>
                <w:color w:val="auto"/>
                <w:kern w:val="0"/>
                <w:highlight w:val="none"/>
              </w:rPr>
              <w:t>是  ☑否</w:t>
            </w:r>
          </w:p>
        </w:tc>
      </w:tr>
      <w:tr w14:paraId="419764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7" w:type="dxa"/>
            <w:vMerge w:val="continue"/>
            <w:tcBorders>
              <w:tl2br w:val="nil"/>
              <w:tr2bl w:val="nil"/>
            </w:tcBorders>
            <w:vAlign w:val="center"/>
          </w:tcPr>
          <w:p w14:paraId="3B6762C5">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2149" w:type="dxa"/>
            <w:tcBorders>
              <w:tl2br w:val="nil"/>
              <w:tr2bl w:val="nil"/>
            </w:tcBorders>
            <w:vAlign w:val="center"/>
          </w:tcPr>
          <w:p w14:paraId="3AF78B87">
            <w:pPr>
              <w:pStyle w:val="53"/>
              <w:kinsoku w:val="0"/>
              <w:overflowPunct w:val="0"/>
              <w:autoSpaceDE w:val="0"/>
              <w:autoSpaceDN w:val="0"/>
              <w:adjustRightInd w:val="0"/>
              <w:snapToGrid w:val="0"/>
              <w:spacing w:line="36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highlight w:val="none"/>
              </w:rPr>
              <w:t>岸线距离/km</w:t>
            </w:r>
          </w:p>
        </w:tc>
        <w:tc>
          <w:tcPr>
            <w:tcW w:w="3173" w:type="dxa"/>
            <w:tcBorders>
              <w:tl2br w:val="nil"/>
              <w:tr2bl w:val="nil"/>
            </w:tcBorders>
            <w:vAlign w:val="center"/>
          </w:tcPr>
          <w:p w14:paraId="780BF3BA">
            <w:pPr>
              <w:pStyle w:val="53"/>
              <w:kinsoku w:val="0"/>
              <w:overflowPunct w:val="0"/>
              <w:autoSpaceDE w:val="0"/>
              <w:autoSpaceDN w:val="0"/>
              <w:adjustRightInd w:val="0"/>
              <w:snapToGrid w:val="0"/>
              <w:spacing w:line="36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highlight w:val="none"/>
              </w:rPr>
              <w:t>/</w:t>
            </w:r>
          </w:p>
        </w:tc>
      </w:tr>
      <w:tr w14:paraId="2649FD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7" w:type="dxa"/>
            <w:vMerge w:val="continue"/>
            <w:tcBorders>
              <w:tl2br w:val="nil"/>
              <w:tr2bl w:val="nil"/>
            </w:tcBorders>
            <w:vAlign w:val="center"/>
          </w:tcPr>
          <w:p w14:paraId="6CD04E20">
            <w:pPr>
              <w:adjustRightInd w:val="0"/>
              <w:snapToGri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2149" w:type="dxa"/>
            <w:tcBorders>
              <w:tl2br w:val="nil"/>
              <w:tr2bl w:val="nil"/>
            </w:tcBorders>
            <w:vAlign w:val="center"/>
          </w:tcPr>
          <w:p w14:paraId="48AD4BA4">
            <w:pPr>
              <w:pStyle w:val="53"/>
              <w:kinsoku w:val="0"/>
              <w:overflowPunct w:val="0"/>
              <w:autoSpaceDE w:val="0"/>
              <w:autoSpaceDN w:val="0"/>
              <w:adjustRightInd w:val="0"/>
              <w:snapToGrid w:val="0"/>
              <w:spacing w:line="36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highlight w:val="none"/>
              </w:rPr>
              <w:t>岸线方向/°</w:t>
            </w:r>
          </w:p>
        </w:tc>
        <w:tc>
          <w:tcPr>
            <w:tcW w:w="3173" w:type="dxa"/>
            <w:tcBorders>
              <w:tl2br w:val="nil"/>
              <w:tr2bl w:val="nil"/>
            </w:tcBorders>
            <w:vAlign w:val="center"/>
          </w:tcPr>
          <w:p w14:paraId="15C95B4B">
            <w:pPr>
              <w:pStyle w:val="53"/>
              <w:kinsoku w:val="0"/>
              <w:overflowPunct w:val="0"/>
              <w:autoSpaceDE w:val="0"/>
              <w:autoSpaceDN w:val="0"/>
              <w:adjustRightInd w:val="0"/>
              <w:snapToGrid w:val="0"/>
              <w:spacing w:line="360" w:lineRule="exac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highlight w:val="none"/>
              </w:rPr>
              <w:t>/</w:t>
            </w:r>
          </w:p>
        </w:tc>
      </w:tr>
    </w:tbl>
    <w:p w14:paraId="5676D6BF">
      <w:pPr>
        <w:ind w:firstLine="0" w:firstLineChars="0"/>
        <w:jc w:val="center"/>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表2.6</w:t>
      </w:r>
      <w:r>
        <w:rPr>
          <w:rFonts w:hint="default" w:ascii="Times New Roman" w:hAnsi="Times New Roman" w:cs="Times New Roman"/>
          <w:b/>
          <w:color w:val="auto"/>
          <w:kern w:val="0"/>
          <w:highlight w:val="none"/>
        </w:rPr>
        <w:noBreakHyphen/>
      </w:r>
      <w:r>
        <w:rPr>
          <w:rFonts w:hint="default" w:ascii="Times New Roman" w:hAnsi="Times New Roman" w:cs="Times New Roman"/>
          <w:b/>
          <w:color w:val="auto"/>
          <w:kern w:val="0"/>
          <w:highlight w:val="none"/>
        </w:rPr>
        <w:t>3</w:t>
      </w:r>
      <w:r>
        <w:rPr>
          <w:rFonts w:hint="default" w:ascii="Times New Roman" w:hAnsi="Times New Roman" w:cs="Times New Roman"/>
          <w:color w:val="auto"/>
          <w:highlight w:val="none"/>
        </w:rPr>
        <w:t xml:space="preserve">    </w:t>
      </w:r>
      <w:r>
        <w:rPr>
          <w:rFonts w:hint="eastAsia" w:ascii="Times New Roman" w:hAnsi="Times New Roman" w:cs="Times New Roman"/>
          <w:b/>
          <w:color w:val="auto"/>
          <w:kern w:val="0"/>
          <w:highlight w:val="none"/>
          <w:lang w:val="en-US" w:eastAsia="zh-CN"/>
        </w:rPr>
        <w:t>点源</w:t>
      </w:r>
      <w:r>
        <w:rPr>
          <w:rFonts w:hint="default" w:ascii="Times New Roman" w:hAnsi="Times New Roman" w:cs="Times New Roman"/>
          <w:b/>
          <w:color w:val="auto"/>
          <w:kern w:val="0"/>
          <w:highlight w:val="none"/>
        </w:rPr>
        <w:t>估算模式主要计算参数一览表</w:t>
      </w:r>
    </w:p>
    <w:tbl>
      <w:tblPr>
        <w:tblStyle w:val="3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49"/>
        <w:gridCol w:w="1457"/>
        <w:gridCol w:w="1871"/>
        <w:gridCol w:w="1871"/>
        <w:gridCol w:w="1871"/>
      </w:tblGrid>
      <w:tr w14:paraId="79ACF7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05" w:type="pct"/>
            <w:gridSpan w:val="2"/>
            <w:tcBorders>
              <w:tl2br w:val="nil"/>
              <w:tr2bl w:val="nil"/>
            </w:tcBorders>
            <w:vAlign w:val="center"/>
          </w:tcPr>
          <w:p w14:paraId="3EC1D66E">
            <w:pPr>
              <w:pStyle w:val="13"/>
              <w:keepNext w:val="0"/>
              <w:keepLines w:val="0"/>
              <w:pageBreakBefore w:val="0"/>
              <w:widowControl w:val="0"/>
              <w:kinsoku/>
              <w:wordWrap/>
              <w:overflowPunct/>
              <w:topLinePunct w:val="0"/>
              <w:bidi w:val="0"/>
              <w:adjustRightInd/>
              <w:snapToGrid/>
              <w:spacing w:line="360" w:lineRule="exact"/>
              <w:ind w:left="0" w:leftChars="0" w:right="0" w:firstLine="0" w:firstLineChars="0"/>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编号</w:t>
            </w:r>
          </w:p>
        </w:tc>
        <w:tc>
          <w:tcPr>
            <w:tcW w:w="1098" w:type="pct"/>
            <w:tcBorders>
              <w:tl2br w:val="nil"/>
              <w:tr2bl w:val="nil"/>
            </w:tcBorders>
            <w:vAlign w:val="center"/>
          </w:tcPr>
          <w:p w14:paraId="04AE152D">
            <w:pPr>
              <w:keepNext w:val="0"/>
              <w:keepLines w:val="0"/>
              <w:pageBreakBefore w:val="0"/>
              <w:widowControl w:val="0"/>
              <w:kinsoku/>
              <w:wordWrap/>
              <w:overflowPunct/>
              <w:topLinePunct w:val="0"/>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DA001</w:t>
            </w:r>
          </w:p>
        </w:tc>
        <w:tc>
          <w:tcPr>
            <w:tcW w:w="1098" w:type="pct"/>
            <w:tcBorders>
              <w:tl2br w:val="nil"/>
              <w:tr2bl w:val="nil"/>
            </w:tcBorders>
            <w:vAlign w:val="center"/>
          </w:tcPr>
          <w:p w14:paraId="455F8B0B">
            <w:pPr>
              <w:keepNext w:val="0"/>
              <w:keepLines w:val="0"/>
              <w:pageBreakBefore w:val="0"/>
              <w:widowControl w:val="0"/>
              <w:kinsoku/>
              <w:wordWrap/>
              <w:overflowPunct/>
              <w:topLinePunct w:val="0"/>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DA002</w:t>
            </w:r>
          </w:p>
        </w:tc>
        <w:tc>
          <w:tcPr>
            <w:tcW w:w="1098" w:type="pct"/>
            <w:tcBorders>
              <w:tl2br w:val="nil"/>
              <w:tr2bl w:val="nil"/>
            </w:tcBorders>
            <w:vAlign w:val="center"/>
          </w:tcPr>
          <w:p w14:paraId="5766618A">
            <w:pPr>
              <w:keepNext w:val="0"/>
              <w:keepLines w:val="0"/>
              <w:pageBreakBefore w:val="0"/>
              <w:widowControl w:val="0"/>
              <w:kinsoku/>
              <w:wordWrap/>
              <w:overflowPunct/>
              <w:topLinePunct w:val="0"/>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DA003</w:t>
            </w:r>
          </w:p>
        </w:tc>
      </w:tr>
      <w:tr w14:paraId="0BF761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05" w:type="pct"/>
            <w:gridSpan w:val="2"/>
            <w:tcBorders>
              <w:tl2br w:val="nil"/>
              <w:tr2bl w:val="nil"/>
            </w:tcBorders>
            <w:vAlign w:val="center"/>
          </w:tcPr>
          <w:p w14:paraId="4F996578">
            <w:pPr>
              <w:pStyle w:val="13"/>
              <w:keepNext w:val="0"/>
              <w:keepLines w:val="0"/>
              <w:pageBreakBefore w:val="0"/>
              <w:widowControl w:val="0"/>
              <w:kinsoku/>
              <w:wordWrap/>
              <w:overflowPunct/>
              <w:topLinePunct w:val="0"/>
              <w:bidi w:val="0"/>
              <w:adjustRightInd/>
              <w:snapToGrid/>
              <w:spacing w:line="360" w:lineRule="exact"/>
              <w:ind w:left="0" w:leftChars="0" w:right="0" w:firstLine="0" w:firstLineChars="0"/>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名称</w:t>
            </w:r>
          </w:p>
        </w:tc>
        <w:tc>
          <w:tcPr>
            <w:tcW w:w="1098" w:type="pct"/>
            <w:tcBorders>
              <w:tl2br w:val="nil"/>
              <w:tr2bl w:val="nil"/>
            </w:tcBorders>
            <w:vAlign w:val="center"/>
          </w:tcPr>
          <w:p w14:paraId="473E82F7">
            <w:pPr>
              <w:keepNext w:val="0"/>
              <w:keepLines w:val="0"/>
              <w:pageBreakBefore w:val="0"/>
              <w:widowControl w:val="0"/>
              <w:kinsoku/>
              <w:wordWrap/>
              <w:overflowPunct/>
              <w:topLinePunct w:val="0"/>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破碎</w:t>
            </w:r>
            <w:r>
              <w:rPr>
                <w:rFonts w:hint="default" w:ascii="Times New Roman" w:hAnsi="Times New Roman" w:eastAsia="宋体" w:cs="Times New Roman"/>
                <w:color w:val="auto"/>
                <w:sz w:val="21"/>
                <w:szCs w:val="21"/>
                <w:highlight w:val="none"/>
                <w:lang w:eastAsia="zh-CN"/>
              </w:rPr>
              <w:t>车间</w:t>
            </w:r>
            <w:r>
              <w:rPr>
                <w:rFonts w:hint="default" w:ascii="Times New Roman" w:hAnsi="Times New Roman" w:eastAsia="宋体" w:cs="Times New Roman"/>
                <w:color w:val="auto"/>
                <w:sz w:val="21"/>
                <w:szCs w:val="21"/>
                <w:highlight w:val="none"/>
              </w:rPr>
              <w:t>排气筒</w:t>
            </w:r>
          </w:p>
        </w:tc>
        <w:tc>
          <w:tcPr>
            <w:tcW w:w="1098" w:type="pct"/>
            <w:tcBorders>
              <w:tl2br w:val="nil"/>
              <w:tr2bl w:val="nil"/>
            </w:tcBorders>
            <w:vAlign w:val="center"/>
          </w:tcPr>
          <w:p w14:paraId="04135B94">
            <w:pPr>
              <w:keepNext w:val="0"/>
              <w:keepLines w:val="0"/>
              <w:pageBreakBefore w:val="0"/>
              <w:widowControl w:val="0"/>
              <w:kinsoku/>
              <w:wordWrap/>
              <w:overflowPunct/>
              <w:topLinePunct w:val="0"/>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筛分</w:t>
            </w:r>
            <w:r>
              <w:rPr>
                <w:rFonts w:hint="default" w:ascii="Times New Roman" w:hAnsi="Times New Roman" w:eastAsia="宋体" w:cs="Times New Roman"/>
                <w:color w:val="auto"/>
                <w:sz w:val="21"/>
                <w:szCs w:val="21"/>
                <w:highlight w:val="none"/>
                <w:lang w:eastAsia="zh-CN"/>
              </w:rPr>
              <w:t>车间</w:t>
            </w:r>
            <w:r>
              <w:rPr>
                <w:rFonts w:hint="default" w:ascii="Times New Roman" w:hAnsi="Times New Roman" w:eastAsia="宋体" w:cs="Times New Roman"/>
                <w:color w:val="auto"/>
                <w:sz w:val="21"/>
                <w:szCs w:val="21"/>
                <w:highlight w:val="none"/>
              </w:rPr>
              <w:t>排气筒</w:t>
            </w:r>
          </w:p>
        </w:tc>
        <w:tc>
          <w:tcPr>
            <w:tcW w:w="1098" w:type="pct"/>
            <w:tcBorders>
              <w:tl2br w:val="nil"/>
              <w:tr2bl w:val="nil"/>
            </w:tcBorders>
            <w:vAlign w:val="center"/>
          </w:tcPr>
          <w:p w14:paraId="6B044498">
            <w:pPr>
              <w:keepNext w:val="0"/>
              <w:keepLines w:val="0"/>
              <w:pageBreakBefore w:val="0"/>
              <w:widowControl w:val="0"/>
              <w:kinsoku/>
              <w:wordWrap/>
              <w:overflowPunct/>
              <w:topLinePunct w:val="0"/>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锅炉房</w:t>
            </w:r>
            <w:r>
              <w:rPr>
                <w:rFonts w:hint="default" w:ascii="Times New Roman" w:hAnsi="Times New Roman" w:eastAsia="宋体" w:cs="Times New Roman"/>
                <w:color w:val="auto"/>
                <w:sz w:val="21"/>
                <w:szCs w:val="21"/>
                <w:highlight w:val="none"/>
              </w:rPr>
              <w:t>排气筒</w:t>
            </w:r>
          </w:p>
        </w:tc>
      </w:tr>
      <w:tr w14:paraId="332D3D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0" w:type="pct"/>
            <w:vMerge w:val="restart"/>
            <w:tcBorders>
              <w:tl2br w:val="nil"/>
              <w:tr2bl w:val="nil"/>
            </w:tcBorders>
            <w:vAlign w:val="center"/>
          </w:tcPr>
          <w:p w14:paraId="02EE7A90">
            <w:pPr>
              <w:pStyle w:val="13"/>
              <w:keepNext w:val="0"/>
              <w:keepLines w:val="0"/>
              <w:pageBreakBefore w:val="0"/>
              <w:widowControl w:val="0"/>
              <w:kinsoku/>
              <w:wordWrap/>
              <w:overflowPunct/>
              <w:topLinePunct w:val="0"/>
              <w:bidi w:val="0"/>
              <w:adjustRightInd/>
              <w:snapToGrid/>
              <w:spacing w:line="360" w:lineRule="exact"/>
              <w:ind w:left="0" w:leftChars="0" w:right="0" w:firstLine="0" w:firstLineChars="0"/>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排气筒底部中心坐标</w:t>
            </w:r>
          </w:p>
        </w:tc>
        <w:tc>
          <w:tcPr>
            <w:tcW w:w="854" w:type="pct"/>
            <w:tcBorders>
              <w:tl2br w:val="nil"/>
              <w:tr2bl w:val="nil"/>
            </w:tcBorders>
            <w:vAlign w:val="center"/>
          </w:tcPr>
          <w:p w14:paraId="589CB6E9">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X</w:t>
            </w:r>
          </w:p>
        </w:tc>
        <w:tc>
          <w:tcPr>
            <w:tcW w:w="1098" w:type="pct"/>
            <w:tcBorders>
              <w:tl2br w:val="nil"/>
              <w:tr2bl w:val="nil"/>
            </w:tcBorders>
            <w:vAlign w:val="center"/>
          </w:tcPr>
          <w:p w14:paraId="7C509A52">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-9</w:t>
            </w:r>
          </w:p>
        </w:tc>
        <w:tc>
          <w:tcPr>
            <w:tcW w:w="1098" w:type="pct"/>
            <w:tcBorders>
              <w:tl2br w:val="nil"/>
              <w:tr2bl w:val="nil"/>
            </w:tcBorders>
            <w:vAlign w:val="center"/>
          </w:tcPr>
          <w:p w14:paraId="23D225A6">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110</w:t>
            </w:r>
          </w:p>
        </w:tc>
        <w:tc>
          <w:tcPr>
            <w:tcW w:w="1098" w:type="pct"/>
            <w:tcBorders>
              <w:tl2br w:val="nil"/>
              <w:tr2bl w:val="nil"/>
            </w:tcBorders>
            <w:vAlign w:val="center"/>
          </w:tcPr>
          <w:p w14:paraId="1EA24876">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124</w:t>
            </w:r>
          </w:p>
        </w:tc>
      </w:tr>
      <w:tr w14:paraId="043AFC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0" w:type="pct"/>
            <w:vMerge w:val="continue"/>
            <w:tcBorders>
              <w:tl2br w:val="nil"/>
              <w:tr2bl w:val="nil"/>
            </w:tcBorders>
            <w:vAlign w:val="center"/>
          </w:tcPr>
          <w:p w14:paraId="4D36900D">
            <w:pPr>
              <w:pStyle w:val="13"/>
              <w:keepNext w:val="0"/>
              <w:keepLines w:val="0"/>
              <w:pageBreakBefore w:val="0"/>
              <w:widowControl w:val="0"/>
              <w:kinsoku/>
              <w:wordWrap/>
              <w:overflowPunct/>
              <w:topLinePunct w:val="0"/>
              <w:bidi w:val="0"/>
              <w:adjustRightInd/>
              <w:snapToGrid/>
              <w:spacing w:line="360" w:lineRule="exact"/>
              <w:ind w:left="0" w:leftChars="0" w:right="0" w:firstLine="0" w:firstLineChars="0"/>
              <w:textAlignment w:val="auto"/>
              <w:rPr>
                <w:rFonts w:hint="default" w:ascii="Times New Roman" w:hAnsi="Times New Roman" w:eastAsia="宋体" w:cs="Times New Roman"/>
                <w:b/>
                <w:bCs/>
                <w:color w:val="auto"/>
                <w:spacing w:val="0"/>
                <w:sz w:val="21"/>
                <w:szCs w:val="21"/>
                <w:highlight w:val="none"/>
              </w:rPr>
            </w:pPr>
          </w:p>
        </w:tc>
        <w:tc>
          <w:tcPr>
            <w:tcW w:w="854" w:type="pct"/>
            <w:tcBorders>
              <w:tl2br w:val="nil"/>
              <w:tr2bl w:val="nil"/>
            </w:tcBorders>
            <w:vAlign w:val="center"/>
          </w:tcPr>
          <w:p w14:paraId="25F9B95A">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Y</w:t>
            </w:r>
          </w:p>
        </w:tc>
        <w:tc>
          <w:tcPr>
            <w:tcW w:w="1098" w:type="pct"/>
            <w:tcBorders>
              <w:tl2br w:val="nil"/>
              <w:tr2bl w:val="nil"/>
            </w:tcBorders>
            <w:vAlign w:val="center"/>
          </w:tcPr>
          <w:p w14:paraId="6BCA29DC">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7</w:t>
            </w:r>
          </w:p>
        </w:tc>
        <w:tc>
          <w:tcPr>
            <w:tcW w:w="1098" w:type="pct"/>
            <w:tcBorders>
              <w:tl2br w:val="nil"/>
              <w:tr2bl w:val="nil"/>
            </w:tcBorders>
            <w:vAlign w:val="center"/>
          </w:tcPr>
          <w:p w14:paraId="144000D3">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-50</w:t>
            </w:r>
          </w:p>
        </w:tc>
        <w:tc>
          <w:tcPr>
            <w:tcW w:w="1098" w:type="pct"/>
            <w:tcBorders>
              <w:tl2br w:val="nil"/>
              <w:tr2bl w:val="nil"/>
            </w:tcBorders>
            <w:vAlign w:val="center"/>
          </w:tcPr>
          <w:p w14:paraId="375A77F5">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-84</w:t>
            </w:r>
          </w:p>
        </w:tc>
      </w:tr>
      <w:tr w14:paraId="61D9EA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05" w:type="pct"/>
            <w:gridSpan w:val="2"/>
            <w:tcBorders>
              <w:tl2br w:val="nil"/>
              <w:tr2bl w:val="nil"/>
            </w:tcBorders>
            <w:vAlign w:val="center"/>
          </w:tcPr>
          <w:p w14:paraId="32108AB3">
            <w:pPr>
              <w:pStyle w:val="13"/>
              <w:keepNext w:val="0"/>
              <w:keepLines w:val="0"/>
              <w:pageBreakBefore w:val="0"/>
              <w:widowControl w:val="0"/>
              <w:kinsoku/>
              <w:wordWrap/>
              <w:overflowPunct/>
              <w:topLinePunct w:val="0"/>
              <w:bidi w:val="0"/>
              <w:adjustRightInd/>
              <w:snapToGrid/>
              <w:spacing w:line="360" w:lineRule="exact"/>
              <w:ind w:left="0" w:leftChars="0" w:right="0" w:firstLine="0" w:firstLineChars="0"/>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排气筒底部</w:t>
            </w:r>
            <w:r>
              <w:rPr>
                <w:rFonts w:hint="eastAsia" w:ascii="Times New Roman" w:hAnsi="Times New Roman" w:eastAsia="宋体" w:cs="Times New Roman"/>
                <w:b/>
                <w:bCs/>
                <w:color w:val="auto"/>
                <w:spacing w:val="0"/>
                <w:sz w:val="21"/>
                <w:szCs w:val="21"/>
                <w:highlight w:val="none"/>
                <w:lang w:eastAsia="zh-CN"/>
              </w:rPr>
              <w:t>海拔</w:t>
            </w:r>
            <w:r>
              <w:rPr>
                <w:rFonts w:hint="default" w:ascii="Times New Roman" w:hAnsi="Times New Roman" w:eastAsia="宋体" w:cs="Times New Roman"/>
                <w:b/>
                <w:bCs/>
                <w:color w:val="auto"/>
                <w:spacing w:val="0"/>
                <w:sz w:val="21"/>
                <w:szCs w:val="21"/>
                <w:highlight w:val="none"/>
              </w:rPr>
              <w:t>/m</w:t>
            </w:r>
          </w:p>
        </w:tc>
        <w:tc>
          <w:tcPr>
            <w:tcW w:w="1098" w:type="pct"/>
            <w:tcBorders>
              <w:tl2br w:val="nil"/>
              <w:tr2bl w:val="nil"/>
            </w:tcBorders>
            <w:vAlign w:val="center"/>
          </w:tcPr>
          <w:p w14:paraId="43F601D1">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1263</w:t>
            </w:r>
          </w:p>
        </w:tc>
        <w:tc>
          <w:tcPr>
            <w:tcW w:w="1098" w:type="pct"/>
            <w:tcBorders>
              <w:tl2br w:val="nil"/>
              <w:tr2bl w:val="nil"/>
            </w:tcBorders>
            <w:vAlign w:val="center"/>
          </w:tcPr>
          <w:p w14:paraId="2EA4C0C3">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1262</w:t>
            </w:r>
          </w:p>
        </w:tc>
        <w:tc>
          <w:tcPr>
            <w:tcW w:w="1098" w:type="pct"/>
            <w:tcBorders>
              <w:tl2br w:val="nil"/>
              <w:tr2bl w:val="nil"/>
            </w:tcBorders>
            <w:vAlign w:val="center"/>
          </w:tcPr>
          <w:p w14:paraId="363B6965">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1266</w:t>
            </w:r>
          </w:p>
        </w:tc>
      </w:tr>
      <w:tr w14:paraId="65DBE0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05" w:type="pct"/>
            <w:gridSpan w:val="2"/>
            <w:tcBorders>
              <w:tl2br w:val="nil"/>
              <w:tr2bl w:val="nil"/>
            </w:tcBorders>
            <w:vAlign w:val="center"/>
          </w:tcPr>
          <w:p w14:paraId="1BB8295A">
            <w:pPr>
              <w:pStyle w:val="13"/>
              <w:keepNext w:val="0"/>
              <w:keepLines w:val="0"/>
              <w:pageBreakBefore w:val="0"/>
              <w:widowControl w:val="0"/>
              <w:kinsoku/>
              <w:wordWrap/>
              <w:overflowPunct/>
              <w:topLinePunct w:val="0"/>
              <w:bidi w:val="0"/>
              <w:adjustRightInd/>
              <w:snapToGrid/>
              <w:spacing w:line="360" w:lineRule="exact"/>
              <w:ind w:left="0" w:leftChars="0" w:right="0" w:firstLine="0" w:firstLineChars="0"/>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排气筒高度/m</w:t>
            </w:r>
          </w:p>
        </w:tc>
        <w:tc>
          <w:tcPr>
            <w:tcW w:w="1098" w:type="pct"/>
            <w:tcBorders>
              <w:tl2br w:val="nil"/>
              <w:tr2bl w:val="nil"/>
            </w:tcBorders>
            <w:vAlign w:val="center"/>
          </w:tcPr>
          <w:p w14:paraId="131EDE33">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1</w:t>
            </w:r>
            <w:r>
              <w:rPr>
                <w:rFonts w:hint="default" w:ascii="Times New Roman" w:hAnsi="Times New Roman" w:eastAsia="宋体" w:cs="Times New Roman"/>
                <w:color w:val="auto"/>
                <w:spacing w:val="0"/>
                <w:sz w:val="21"/>
                <w:szCs w:val="21"/>
                <w:highlight w:val="none"/>
              </w:rPr>
              <w:t>5</w:t>
            </w:r>
          </w:p>
        </w:tc>
        <w:tc>
          <w:tcPr>
            <w:tcW w:w="1098" w:type="pct"/>
            <w:tcBorders>
              <w:tl2br w:val="nil"/>
              <w:tr2bl w:val="nil"/>
            </w:tcBorders>
            <w:vAlign w:val="center"/>
          </w:tcPr>
          <w:p w14:paraId="3BFB77F6">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eastAsia"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1</w:t>
            </w:r>
            <w:r>
              <w:rPr>
                <w:rFonts w:hint="default" w:ascii="Times New Roman" w:hAnsi="Times New Roman" w:eastAsia="宋体" w:cs="Times New Roman"/>
                <w:color w:val="auto"/>
                <w:spacing w:val="0"/>
                <w:sz w:val="21"/>
                <w:szCs w:val="21"/>
                <w:highlight w:val="none"/>
              </w:rPr>
              <w:t>5</w:t>
            </w:r>
          </w:p>
        </w:tc>
        <w:tc>
          <w:tcPr>
            <w:tcW w:w="1098" w:type="pct"/>
            <w:tcBorders>
              <w:tl2br w:val="nil"/>
              <w:tr2bl w:val="nil"/>
            </w:tcBorders>
            <w:vAlign w:val="center"/>
          </w:tcPr>
          <w:p w14:paraId="5EDF9721">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40</w:t>
            </w:r>
          </w:p>
        </w:tc>
      </w:tr>
      <w:tr w14:paraId="5184D8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05" w:type="pct"/>
            <w:gridSpan w:val="2"/>
            <w:tcBorders>
              <w:tl2br w:val="nil"/>
              <w:tr2bl w:val="nil"/>
            </w:tcBorders>
            <w:vAlign w:val="center"/>
          </w:tcPr>
          <w:p w14:paraId="11AC193C">
            <w:pPr>
              <w:pStyle w:val="13"/>
              <w:keepNext w:val="0"/>
              <w:keepLines w:val="0"/>
              <w:pageBreakBefore w:val="0"/>
              <w:widowControl w:val="0"/>
              <w:kinsoku/>
              <w:wordWrap/>
              <w:overflowPunct/>
              <w:topLinePunct w:val="0"/>
              <w:bidi w:val="0"/>
              <w:adjustRightInd/>
              <w:snapToGrid/>
              <w:spacing w:line="360" w:lineRule="exact"/>
              <w:ind w:left="0" w:leftChars="0" w:right="0" w:firstLine="0" w:firstLineChars="0"/>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排气筒出口内径/m</w:t>
            </w:r>
          </w:p>
        </w:tc>
        <w:tc>
          <w:tcPr>
            <w:tcW w:w="1098" w:type="pct"/>
            <w:tcBorders>
              <w:tl2br w:val="nil"/>
              <w:tr2bl w:val="nil"/>
            </w:tcBorders>
            <w:vAlign w:val="center"/>
          </w:tcPr>
          <w:p w14:paraId="4CB09207">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0.8</w:t>
            </w:r>
          </w:p>
        </w:tc>
        <w:tc>
          <w:tcPr>
            <w:tcW w:w="1098" w:type="pct"/>
            <w:tcBorders>
              <w:tl2br w:val="nil"/>
              <w:tr2bl w:val="nil"/>
            </w:tcBorders>
            <w:vAlign w:val="center"/>
          </w:tcPr>
          <w:p w14:paraId="298EA877">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0.8</w:t>
            </w:r>
          </w:p>
        </w:tc>
        <w:tc>
          <w:tcPr>
            <w:tcW w:w="1098" w:type="pct"/>
            <w:tcBorders>
              <w:tl2br w:val="nil"/>
              <w:tr2bl w:val="nil"/>
            </w:tcBorders>
            <w:vAlign w:val="center"/>
          </w:tcPr>
          <w:p w14:paraId="0BB2398F">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0.85</w:t>
            </w:r>
          </w:p>
        </w:tc>
      </w:tr>
      <w:tr w14:paraId="448A09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05" w:type="pct"/>
            <w:gridSpan w:val="2"/>
            <w:tcBorders>
              <w:tl2br w:val="nil"/>
              <w:tr2bl w:val="nil"/>
            </w:tcBorders>
            <w:vAlign w:val="center"/>
          </w:tcPr>
          <w:p w14:paraId="51ABB1BA">
            <w:pPr>
              <w:pStyle w:val="13"/>
              <w:keepNext w:val="0"/>
              <w:keepLines w:val="0"/>
              <w:pageBreakBefore w:val="0"/>
              <w:widowControl w:val="0"/>
              <w:kinsoku/>
              <w:wordWrap/>
              <w:overflowPunct/>
              <w:topLinePunct w:val="0"/>
              <w:bidi w:val="0"/>
              <w:adjustRightInd/>
              <w:snapToGrid/>
              <w:spacing w:line="360" w:lineRule="exact"/>
              <w:ind w:left="0" w:leftChars="0" w:right="0" w:firstLine="0" w:firstLineChars="0"/>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烟气流量/m</w:t>
            </w:r>
            <w:r>
              <w:rPr>
                <w:rFonts w:hint="default" w:ascii="Times New Roman" w:hAnsi="Times New Roman" w:eastAsia="宋体" w:cs="Times New Roman"/>
                <w:b/>
                <w:bCs/>
                <w:color w:val="auto"/>
                <w:spacing w:val="0"/>
                <w:sz w:val="21"/>
                <w:szCs w:val="21"/>
                <w:highlight w:val="none"/>
                <w:vertAlign w:val="superscript"/>
              </w:rPr>
              <w:t>3</w:t>
            </w:r>
            <w:r>
              <w:rPr>
                <w:rFonts w:hint="default" w:ascii="Times New Roman" w:hAnsi="Times New Roman" w:eastAsia="宋体" w:cs="Times New Roman"/>
                <w:b/>
                <w:bCs/>
                <w:color w:val="auto"/>
                <w:spacing w:val="0"/>
                <w:sz w:val="21"/>
                <w:szCs w:val="21"/>
                <w:highlight w:val="none"/>
              </w:rPr>
              <w:t>/h</w:t>
            </w:r>
          </w:p>
        </w:tc>
        <w:tc>
          <w:tcPr>
            <w:tcW w:w="1098" w:type="pct"/>
            <w:tcBorders>
              <w:tl2br w:val="nil"/>
              <w:tr2bl w:val="nil"/>
            </w:tcBorders>
            <w:vAlign w:val="center"/>
          </w:tcPr>
          <w:p w14:paraId="2F651DAB">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20300</w:t>
            </w:r>
          </w:p>
        </w:tc>
        <w:tc>
          <w:tcPr>
            <w:tcW w:w="1098" w:type="pct"/>
            <w:tcBorders>
              <w:tl2br w:val="nil"/>
              <w:tr2bl w:val="nil"/>
            </w:tcBorders>
            <w:vAlign w:val="center"/>
          </w:tcPr>
          <w:p w14:paraId="4C1E098E">
            <w:pPr>
              <w:keepNext w:val="0"/>
              <w:keepLines w:val="0"/>
              <w:pageBreakBefore w:val="0"/>
              <w:widowControl w:val="0"/>
              <w:kinsoku/>
              <w:wordWrap/>
              <w:overflowPunct/>
              <w:topLinePunct w:val="0"/>
              <w:autoSpaceDE w:val="0"/>
              <w:autoSpaceDN w:val="0"/>
              <w:bidi w:val="0"/>
              <w:adjustRightInd/>
              <w:snapToGrid/>
              <w:spacing w:line="360" w:lineRule="exact"/>
              <w:ind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20300</w:t>
            </w:r>
          </w:p>
        </w:tc>
        <w:tc>
          <w:tcPr>
            <w:tcW w:w="1098" w:type="pct"/>
            <w:tcBorders>
              <w:tl2br w:val="nil"/>
              <w:tr2bl w:val="nil"/>
            </w:tcBorders>
            <w:vAlign w:val="center"/>
          </w:tcPr>
          <w:p w14:paraId="31B8A32B">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15384</w:t>
            </w:r>
          </w:p>
        </w:tc>
      </w:tr>
      <w:tr w14:paraId="0BE1CF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05" w:type="pct"/>
            <w:gridSpan w:val="2"/>
            <w:tcBorders>
              <w:tl2br w:val="nil"/>
              <w:tr2bl w:val="nil"/>
            </w:tcBorders>
            <w:vAlign w:val="center"/>
          </w:tcPr>
          <w:p w14:paraId="019B808C">
            <w:pPr>
              <w:pStyle w:val="13"/>
              <w:keepNext w:val="0"/>
              <w:keepLines w:val="0"/>
              <w:pageBreakBefore w:val="0"/>
              <w:widowControl w:val="0"/>
              <w:kinsoku/>
              <w:wordWrap/>
              <w:overflowPunct/>
              <w:topLinePunct w:val="0"/>
              <w:bidi w:val="0"/>
              <w:adjustRightInd/>
              <w:snapToGrid/>
              <w:spacing w:line="360" w:lineRule="exact"/>
              <w:ind w:left="0" w:leftChars="0" w:right="0" w:firstLine="0" w:firstLineChars="0"/>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烟气温度/℃</w:t>
            </w:r>
          </w:p>
        </w:tc>
        <w:tc>
          <w:tcPr>
            <w:tcW w:w="1098" w:type="pct"/>
            <w:tcBorders>
              <w:tl2br w:val="nil"/>
              <w:tr2bl w:val="nil"/>
            </w:tcBorders>
            <w:vAlign w:val="center"/>
          </w:tcPr>
          <w:p w14:paraId="4008D7C1">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rPr>
              <w:t>20</w:t>
            </w:r>
          </w:p>
        </w:tc>
        <w:tc>
          <w:tcPr>
            <w:tcW w:w="1098" w:type="pct"/>
            <w:tcBorders>
              <w:tl2br w:val="nil"/>
              <w:tr2bl w:val="nil"/>
            </w:tcBorders>
            <w:vAlign w:val="center"/>
          </w:tcPr>
          <w:p w14:paraId="666FFC0B">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eastAsia"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rPr>
              <w:t>20</w:t>
            </w:r>
          </w:p>
        </w:tc>
        <w:tc>
          <w:tcPr>
            <w:tcW w:w="1098" w:type="pct"/>
            <w:tcBorders>
              <w:tl2br w:val="nil"/>
              <w:tr2bl w:val="nil"/>
            </w:tcBorders>
            <w:vAlign w:val="center"/>
          </w:tcPr>
          <w:p w14:paraId="6059A6D5">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70</w:t>
            </w:r>
          </w:p>
        </w:tc>
      </w:tr>
      <w:tr w14:paraId="08E78D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05" w:type="pct"/>
            <w:gridSpan w:val="2"/>
            <w:tcBorders>
              <w:tl2br w:val="nil"/>
              <w:tr2bl w:val="nil"/>
            </w:tcBorders>
            <w:vAlign w:val="center"/>
          </w:tcPr>
          <w:p w14:paraId="7ABD4CA0">
            <w:pPr>
              <w:pStyle w:val="13"/>
              <w:keepNext w:val="0"/>
              <w:keepLines w:val="0"/>
              <w:pageBreakBefore w:val="0"/>
              <w:widowControl w:val="0"/>
              <w:kinsoku/>
              <w:wordWrap/>
              <w:overflowPunct/>
              <w:topLinePunct w:val="0"/>
              <w:bidi w:val="0"/>
              <w:adjustRightInd/>
              <w:snapToGrid/>
              <w:spacing w:line="360" w:lineRule="exact"/>
              <w:ind w:left="0" w:leftChars="0" w:right="0" w:firstLine="0" w:firstLineChars="0"/>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年排放小时数/h</w:t>
            </w:r>
          </w:p>
        </w:tc>
        <w:tc>
          <w:tcPr>
            <w:tcW w:w="1098" w:type="pct"/>
            <w:tcBorders>
              <w:tl2br w:val="nil"/>
              <w:tr2bl w:val="nil"/>
            </w:tcBorders>
            <w:vAlign w:val="center"/>
          </w:tcPr>
          <w:p w14:paraId="32365E53">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3600</w:t>
            </w:r>
          </w:p>
        </w:tc>
        <w:tc>
          <w:tcPr>
            <w:tcW w:w="1098" w:type="pct"/>
            <w:tcBorders>
              <w:tl2br w:val="nil"/>
              <w:tr2bl w:val="nil"/>
            </w:tcBorders>
            <w:vAlign w:val="center"/>
          </w:tcPr>
          <w:p w14:paraId="057D5DD3">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3600</w:t>
            </w:r>
          </w:p>
        </w:tc>
        <w:tc>
          <w:tcPr>
            <w:tcW w:w="1098" w:type="pct"/>
            <w:tcBorders>
              <w:tl2br w:val="nil"/>
              <w:tr2bl w:val="nil"/>
            </w:tcBorders>
            <w:vAlign w:val="center"/>
          </w:tcPr>
          <w:p w14:paraId="2DF694CF">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3600</w:t>
            </w:r>
          </w:p>
        </w:tc>
      </w:tr>
      <w:tr w14:paraId="4A740E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05" w:type="pct"/>
            <w:gridSpan w:val="2"/>
            <w:tcBorders>
              <w:tl2br w:val="nil"/>
              <w:tr2bl w:val="nil"/>
            </w:tcBorders>
            <w:vAlign w:val="center"/>
          </w:tcPr>
          <w:p w14:paraId="068B1C53">
            <w:pPr>
              <w:pStyle w:val="13"/>
              <w:keepNext w:val="0"/>
              <w:keepLines w:val="0"/>
              <w:pageBreakBefore w:val="0"/>
              <w:widowControl w:val="0"/>
              <w:kinsoku/>
              <w:wordWrap/>
              <w:overflowPunct/>
              <w:topLinePunct w:val="0"/>
              <w:bidi w:val="0"/>
              <w:adjustRightInd/>
              <w:snapToGrid/>
              <w:spacing w:line="360" w:lineRule="exact"/>
              <w:ind w:left="0" w:leftChars="0" w:right="0" w:firstLine="0" w:firstLineChars="0"/>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排放工况</w:t>
            </w:r>
          </w:p>
        </w:tc>
        <w:tc>
          <w:tcPr>
            <w:tcW w:w="1098" w:type="pct"/>
            <w:tcBorders>
              <w:tl2br w:val="nil"/>
              <w:tr2bl w:val="nil"/>
            </w:tcBorders>
            <w:vAlign w:val="center"/>
          </w:tcPr>
          <w:p w14:paraId="3C77BCBE">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正常</w:t>
            </w:r>
          </w:p>
        </w:tc>
        <w:tc>
          <w:tcPr>
            <w:tcW w:w="1098" w:type="pct"/>
            <w:tcBorders>
              <w:tl2br w:val="nil"/>
              <w:tr2bl w:val="nil"/>
            </w:tcBorders>
            <w:vAlign w:val="center"/>
          </w:tcPr>
          <w:p w14:paraId="0E2B9D6E">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正常</w:t>
            </w:r>
          </w:p>
        </w:tc>
        <w:tc>
          <w:tcPr>
            <w:tcW w:w="1098" w:type="pct"/>
            <w:tcBorders>
              <w:tl2br w:val="nil"/>
              <w:tr2bl w:val="nil"/>
            </w:tcBorders>
            <w:vAlign w:val="center"/>
          </w:tcPr>
          <w:p w14:paraId="38A49EF8">
            <w:pPr>
              <w:keepNext w:val="0"/>
              <w:keepLines w:val="0"/>
              <w:pageBreakBefore w:val="0"/>
              <w:widowControl w:val="0"/>
              <w:kinsoku/>
              <w:wordWrap/>
              <w:overflowPunct/>
              <w:topLinePunct w:val="0"/>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正常</w:t>
            </w:r>
          </w:p>
        </w:tc>
      </w:tr>
      <w:tr w14:paraId="3BE152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0" w:type="pct"/>
            <w:vMerge w:val="restart"/>
            <w:tcBorders>
              <w:tl2br w:val="nil"/>
              <w:tr2bl w:val="nil"/>
            </w:tcBorders>
            <w:vAlign w:val="center"/>
          </w:tcPr>
          <w:p w14:paraId="2907AC8C">
            <w:pPr>
              <w:pStyle w:val="13"/>
              <w:keepNext w:val="0"/>
              <w:keepLines w:val="0"/>
              <w:pageBreakBefore w:val="0"/>
              <w:widowControl w:val="0"/>
              <w:kinsoku/>
              <w:wordWrap/>
              <w:overflowPunct/>
              <w:topLinePunct w:val="0"/>
              <w:bidi w:val="0"/>
              <w:adjustRightInd/>
              <w:snapToGrid/>
              <w:spacing w:line="360" w:lineRule="exact"/>
              <w:ind w:left="0" w:leftChars="0" w:right="0" w:firstLine="0" w:firstLineChars="0"/>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污染物排放速率/</w:t>
            </w:r>
          </w:p>
          <w:p w14:paraId="672355A6">
            <w:pPr>
              <w:pStyle w:val="13"/>
              <w:keepNext w:val="0"/>
              <w:keepLines w:val="0"/>
              <w:pageBreakBefore w:val="0"/>
              <w:widowControl w:val="0"/>
              <w:kinsoku/>
              <w:wordWrap/>
              <w:overflowPunct/>
              <w:topLinePunct w:val="0"/>
              <w:bidi w:val="0"/>
              <w:adjustRightInd/>
              <w:snapToGrid/>
              <w:spacing w:line="360" w:lineRule="exact"/>
              <w:ind w:left="0" w:leftChars="0" w:right="0" w:firstLine="0" w:firstLineChars="0"/>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（kg/h）</w:t>
            </w:r>
          </w:p>
        </w:tc>
        <w:tc>
          <w:tcPr>
            <w:tcW w:w="854" w:type="pct"/>
            <w:tcBorders>
              <w:tl2br w:val="nil"/>
              <w:tr2bl w:val="nil"/>
            </w:tcBorders>
            <w:vAlign w:val="center"/>
          </w:tcPr>
          <w:p w14:paraId="4E4D9947">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PM</w:t>
            </w:r>
            <w:r>
              <w:rPr>
                <w:rFonts w:hint="default" w:ascii="Times New Roman" w:hAnsi="Times New Roman" w:eastAsia="宋体" w:cs="Times New Roman"/>
                <w:b/>
                <w:bCs/>
                <w:color w:val="auto"/>
                <w:spacing w:val="0"/>
                <w:sz w:val="21"/>
                <w:szCs w:val="21"/>
                <w:highlight w:val="none"/>
                <w:vertAlign w:val="subscript"/>
              </w:rPr>
              <w:t>10</w:t>
            </w:r>
          </w:p>
        </w:tc>
        <w:tc>
          <w:tcPr>
            <w:tcW w:w="1098" w:type="pct"/>
            <w:tcBorders>
              <w:tl2br w:val="nil"/>
              <w:tr2bl w:val="nil"/>
            </w:tcBorders>
            <w:vAlign w:val="center"/>
          </w:tcPr>
          <w:p w14:paraId="5D4CE6BA">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0.0461</w:t>
            </w:r>
          </w:p>
        </w:tc>
        <w:tc>
          <w:tcPr>
            <w:tcW w:w="1098" w:type="pct"/>
            <w:tcBorders>
              <w:tl2br w:val="nil"/>
              <w:tr2bl w:val="nil"/>
            </w:tcBorders>
            <w:vAlign w:val="center"/>
          </w:tcPr>
          <w:p w14:paraId="45AA685B">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0.60</w:t>
            </w:r>
          </w:p>
        </w:tc>
        <w:tc>
          <w:tcPr>
            <w:tcW w:w="1098" w:type="pct"/>
            <w:tcBorders>
              <w:tl2br w:val="nil"/>
              <w:tr2bl w:val="nil"/>
            </w:tcBorders>
            <w:vAlign w:val="center"/>
          </w:tcPr>
          <w:p w14:paraId="6942F173">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0.373</w:t>
            </w:r>
          </w:p>
        </w:tc>
      </w:tr>
      <w:tr w14:paraId="6C3CE0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0" w:type="pct"/>
            <w:vMerge w:val="continue"/>
            <w:tcBorders>
              <w:tl2br w:val="nil"/>
              <w:tr2bl w:val="nil"/>
            </w:tcBorders>
            <w:vAlign w:val="center"/>
          </w:tcPr>
          <w:p w14:paraId="3B0E5C5A">
            <w:pPr>
              <w:pStyle w:val="13"/>
              <w:keepNext w:val="0"/>
              <w:keepLines w:val="0"/>
              <w:pageBreakBefore w:val="0"/>
              <w:widowControl w:val="0"/>
              <w:kinsoku/>
              <w:wordWrap/>
              <w:overflowPunct/>
              <w:topLinePunct w:val="0"/>
              <w:bidi w:val="0"/>
              <w:adjustRightInd/>
              <w:snapToGrid/>
              <w:spacing w:line="360" w:lineRule="exact"/>
              <w:ind w:left="0" w:leftChars="0" w:right="0" w:firstLine="0" w:firstLineChars="0"/>
              <w:textAlignment w:val="auto"/>
              <w:rPr>
                <w:rFonts w:hint="default" w:ascii="Times New Roman" w:hAnsi="Times New Roman" w:eastAsia="宋体" w:cs="Times New Roman"/>
                <w:b/>
                <w:bCs/>
                <w:color w:val="auto"/>
                <w:spacing w:val="0"/>
                <w:sz w:val="21"/>
                <w:szCs w:val="21"/>
                <w:highlight w:val="none"/>
              </w:rPr>
            </w:pPr>
          </w:p>
        </w:tc>
        <w:tc>
          <w:tcPr>
            <w:tcW w:w="854" w:type="pct"/>
            <w:tcBorders>
              <w:tl2br w:val="nil"/>
              <w:tr2bl w:val="nil"/>
            </w:tcBorders>
            <w:vAlign w:val="center"/>
          </w:tcPr>
          <w:p w14:paraId="35234563">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lang w:eastAsia="zh-CN"/>
              </w:rPr>
              <w:t>氟化物</w:t>
            </w:r>
          </w:p>
        </w:tc>
        <w:tc>
          <w:tcPr>
            <w:tcW w:w="1098" w:type="pct"/>
            <w:tcBorders>
              <w:tl2br w:val="nil"/>
              <w:tr2bl w:val="nil"/>
            </w:tcBorders>
            <w:vAlign w:val="center"/>
          </w:tcPr>
          <w:p w14:paraId="740CFAB1">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sz w:val="21"/>
                <w:szCs w:val="21"/>
                <w:highlight w:val="none"/>
                <w:lang w:val="en-US" w:eastAsia="zh-CN"/>
              </w:rPr>
            </w:pPr>
            <w:r>
              <w:rPr>
                <w:rFonts w:hint="eastAsia" w:cs="Times New Roman"/>
                <w:color w:val="auto"/>
                <w:sz w:val="21"/>
                <w:szCs w:val="21"/>
                <w:highlight w:val="none"/>
                <w:lang w:val="en-US" w:eastAsia="zh-CN"/>
              </w:rPr>
              <w:t>0.00578</w:t>
            </w:r>
          </w:p>
        </w:tc>
        <w:tc>
          <w:tcPr>
            <w:tcW w:w="1098" w:type="pct"/>
            <w:tcBorders>
              <w:tl2br w:val="nil"/>
              <w:tr2bl w:val="nil"/>
            </w:tcBorders>
            <w:vAlign w:val="center"/>
          </w:tcPr>
          <w:p w14:paraId="79490014">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ascii="Times New Roman" w:hAnsi="Times New Roman" w:eastAsia="宋体" w:cs="Times New Roman"/>
                <w:color w:val="auto"/>
                <w:spacing w:val="0"/>
                <w:sz w:val="21"/>
                <w:szCs w:val="21"/>
                <w:highlight w:val="none"/>
                <w:lang w:val="en-US" w:eastAsia="zh-CN"/>
              </w:rPr>
            </w:pPr>
            <w:r>
              <w:rPr>
                <w:rFonts w:hint="eastAsia" w:cs="Times New Roman"/>
                <w:color w:val="auto"/>
                <w:sz w:val="21"/>
                <w:szCs w:val="21"/>
                <w:highlight w:val="none"/>
                <w:lang w:val="en-US" w:eastAsia="zh-CN"/>
              </w:rPr>
              <w:t>0.0753</w:t>
            </w:r>
          </w:p>
        </w:tc>
        <w:tc>
          <w:tcPr>
            <w:tcW w:w="1098" w:type="pct"/>
            <w:tcBorders>
              <w:tl2br w:val="nil"/>
              <w:tr2bl w:val="nil"/>
            </w:tcBorders>
            <w:vAlign w:val="center"/>
          </w:tcPr>
          <w:p w14:paraId="3B5EF477">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w:t>
            </w:r>
          </w:p>
        </w:tc>
      </w:tr>
      <w:tr w14:paraId="748D39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0" w:type="pct"/>
            <w:vMerge w:val="continue"/>
            <w:tcBorders>
              <w:tl2br w:val="nil"/>
              <w:tr2bl w:val="nil"/>
            </w:tcBorders>
            <w:vAlign w:val="center"/>
          </w:tcPr>
          <w:p w14:paraId="7D207176">
            <w:pPr>
              <w:pStyle w:val="13"/>
              <w:keepNext w:val="0"/>
              <w:keepLines w:val="0"/>
              <w:pageBreakBefore w:val="0"/>
              <w:widowControl w:val="0"/>
              <w:kinsoku/>
              <w:wordWrap/>
              <w:overflowPunct/>
              <w:topLinePunct w:val="0"/>
              <w:bidi w:val="0"/>
              <w:adjustRightInd/>
              <w:snapToGrid/>
              <w:spacing w:line="360" w:lineRule="exact"/>
              <w:ind w:left="0" w:leftChars="0" w:right="0" w:firstLine="0" w:firstLineChars="0"/>
              <w:textAlignment w:val="auto"/>
              <w:rPr>
                <w:rFonts w:hint="default" w:ascii="Times New Roman" w:hAnsi="Times New Roman" w:eastAsia="宋体" w:cs="Times New Roman"/>
                <w:b/>
                <w:bCs/>
                <w:color w:val="auto"/>
                <w:spacing w:val="0"/>
                <w:sz w:val="21"/>
                <w:szCs w:val="21"/>
                <w:highlight w:val="none"/>
              </w:rPr>
            </w:pPr>
          </w:p>
        </w:tc>
        <w:tc>
          <w:tcPr>
            <w:tcW w:w="854" w:type="pct"/>
            <w:tcBorders>
              <w:tl2br w:val="nil"/>
              <w:tr2bl w:val="nil"/>
            </w:tcBorders>
            <w:vAlign w:val="center"/>
          </w:tcPr>
          <w:p w14:paraId="62A16A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spacing w:val="0"/>
                <w:sz w:val="21"/>
                <w:szCs w:val="21"/>
                <w:highlight w:val="none"/>
                <w:lang w:eastAsia="zh-CN"/>
              </w:rPr>
            </w:pPr>
            <w:r>
              <w:rPr>
                <w:rFonts w:hint="default" w:ascii="Times New Roman" w:hAnsi="Times New Roman" w:eastAsia="宋体" w:cs="Times New Roman"/>
                <w:b/>
                <w:bCs/>
                <w:color w:val="auto"/>
                <w:kern w:val="0"/>
                <w:sz w:val="21"/>
                <w:szCs w:val="21"/>
                <w:highlight w:val="none"/>
                <w:lang w:val="en-US" w:eastAsia="zh-CN"/>
              </w:rPr>
              <w:t>SO</w:t>
            </w:r>
            <w:r>
              <w:rPr>
                <w:rFonts w:hint="default" w:ascii="Times New Roman" w:hAnsi="Times New Roman" w:eastAsia="宋体" w:cs="Times New Roman"/>
                <w:b/>
                <w:bCs/>
                <w:color w:val="auto"/>
                <w:kern w:val="0"/>
                <w:sz w:val="21"/>
                <w:szCs w:val="21"/>
                <w:highlight w:val="none"/>
                <w:vertAlign w:val="subscript"/>
                <w:lang w:val="en-US" w:eastAsia="zh-CN"/>
              </w:rPr>
              <w:t>2</w:t>
            </w:r>
          </w:p>
        </w:tc>
        <w:tc>
          <w:tcPr>
            <w:tcW w:w="1098" w:type="pct"/>
            <w:tcBorders>
              <w:tl2br w:val="nil"/>
              <w:tr2bl w:val="nil"/>
            </w:tcBorders>
            <w:vAlign w:val="center"/>
          </w:tcPr>
          <w:p w14:paraId="61027D99">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w:t>
            </w:r>
          </w:p>
        </w:tc>
        <w:tc>
          <w:tcPr>
            <w:tcW w:w="1098" w:type="pct"/>
            <w:tcBorders>
              <w:tl2br w:val="nil"/>
              <w:tr2bl w:val="nil"/>
            </w:tcBorders>
            <w:vAlign w:val="center"/>
          </w:tcPr>
          <w:p w14:paraId="2F3ED88E">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w:t>
            </w:r>
          </w:p>
        </w:tc>
        <w:tc>
          <w:tcPr>
            <w:tcW w:w="1098" w:type="pct"/>
            <w:tcBorders>
              <w:tl2br w:val="nil"/>
              <w:tr2bl w:val="nil"/>
            </w:tcBorders>
            <w:vAlign w:val="center"/>
          </w:tcPr>
          <w:p w14:paraId="62DADD21">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0.581</w:t>
            </w:r>
          </w:p>
        </w:tc>
      </w:tr>
      <w:tr w14:paraId="2A7629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0" w:type="pct"/>
            <w:vMerge w:val="continue"/>
            <w:tcBorders>
              <w:tl2br w:val="nil"/>
              <w:tr2bl w:val="nil"/>
            </w:tcBorders>
            <w:vAlign w:val="center"/>
          </w:tcPr>
          <w:p w14:paraId="5E869856">
            <w:pPr>
              <w:pStyle w:val="13"/>
              <w:keepNext w:val="0"/>
              <w:keepLines w:val="0"/>
              <w:pageBreakBefore w:val="0"/>
              <w:widowControl w:val="0"/>
              <w:kinsoku/>
              <w:wordWrap/>
              <w:overflowPunct/>
              <w:topLinePunct w:val="0"/>
              <w:bidi w:val="0"/>
              <w:adjustRightInd/>
              <w:snapToGrid/>
              <w:spacing w:line="360" w:lineRule="exact"/>
              <w:ind w:left="0" w:leftChars="0" w:right="0" w:firstLine="0" w:firstLineChars="0"/>
              <w:textAlignment w:val="auto"/>
              <w:rPr>
                <w:rFonts w:hint="default" w:ascii="Times New Roman" w:hAnsi="Times New Roman" w:eastAsia="宋体" w:cs="Times New Roman"/>
                <w:b/>
                <w:bCs/>
                <w:color w:val="auto"/>
                <w:spacing w:val="0"/>
                <w:sz w:val="21"/>
                <w:szCs w:val="21"/>
                <w:highlight w:val="none"/>
              </w:rPr>
            </w:pPr>
          </w:p>
        </w:tc>
        <w:tc>
          <w:tcPr>
            <w:tcW w:w="854" w:type="pct"/>
            <w:tcBorders>
              <w:tl2br w:val="nil"/>
              <w:tr2bl w:val="nil"/>
            </w:tcBorders>
            <w:vAlign w:val="center"/>
          </w:tcPr>
          <w:p w14:paraId="605E7A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spacing w:val="0"/>
                <w:sz w:val="21"/>
                <w:szCs w:val="21"/>
                <w:highlight w:val="none"/>
                <w:lang w:eastAsia="zh-CN"/>
              </w:rPr>
            </w:pPr>
            <w:r>
              <w:rPr>
                <w:rFonts w:hint="default" w:ascii="Times New Roman" w:hAnsi="Times New Roman" w:eastAsia="宋体" w:cs="Times New Roman"/>
                <w:b/>
                <w:bCs/>
                <w:color w:val="auto"/>
                <w:kern w:val="0"/>
                <w:sz w:val="21"/>
                <w:szCs w:val="21"/>
                <w:highlight w:val="none"/>
                <w:lang w:val="en-US" w:eastAsia="zh-CN"/>
              </w:rPr>
              <w:t>NO</w:t>
            </w:r>
            <w:r>
              <w:rPr>
                <w:rFonts w:hint="default" w:ascii="Times New Roman" w:hAnsi="Times New Roman" w:eastAsia="宋体" w:cs="Times New Roman"/>
                <w:b/>
                <w:bCs/>
                <w:color w:val="auto"/>
                <w:kern w:val="0"/>
                <w:sz w:val="21"/>
                <w:szCs w:val="21"/>
                <w:highlight w:val="none"/>
                <w:vertAlign w:val="subscript"/>
                <w:lang w:val="en-US" w:eastAsia="zh-CN"/>
              </w:rPr>
              <w:t>x</w:t>
            </w:r>
          </w:p>
        </w:tc>
        <w:tc>
          <w:tcPr>
            <w:tcW w:w="1098" w:type="pct"/>
            <w:tcBorders>
              <w:tl2br w:val="nil"/>
              <w:tr2bl w:val="nil"/>
            </w:tcBorders>
            <w:vAlign w:val="center"/>
          </w:tcPr>
          <w:p w14:paraId="16A8DEA2">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w:t>
            </w:r>
          </w:p>
        </w:tc>
        <w:tc>
          <w:tcPr>
            <w:tcW w:w="1098" w:type="pct"/>
            <w:tcBorders>
              <w:tl2br w:val="nil"/>
              <w:tr2bl w:val="nil"/>
            </w:tcBorders>
            <w:vAlign w:val="center"/>
          </w:tcPr>
          <w:p w14:paraId="045A4301">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w:t>
            </w:r>
          </w:p>
        </w:tc>
        <w:tc>
          <w:tcPr>
            <w:tcW w:w="1098" w:type="pct"/>
            <w:tcBorders>
              <w:tl2br w:val="nil"/>
              <w:tr2bl w:val="nil"/>
            </w:tcBorders>
            <w:vAlign w:val="center"/>
          </w:tcPr>
          <w:p w14:paraId="618413E8">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3.087</w:t>
            </w:r>
          </w:p>
        </w:tc>
      </w:tr>
      <w:tr w14:paraId="12E52B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0" w:type="pct"/>
            <w:vMerge w:val="continue"/>
            <w:tcBorders>
              <w:tl2br w:val="nil"/>
              <w:tr2bl w:val="nil"/>
            </w:tcBorders>
            <w:vAlign w:val="center"/>
          </w:tcPr>
          <w:p w14:paraId="20EC664D">
            <w:pPr>
              <w:pStyle w:val="13"/>
              <w:keepNext w:val="0"/>
              <w:keepLines w:val="0"/>
              <w:pageBreakBefore w:val="0"/>
              <w:widowControl w:val="0"/>
              <w:kinsoku/>
              <w:wordWrap/>
              <w:overflowPunct/>
              <w:topLinePunct w:val="0"/>
              <w:bidi w:val="0"/>
              <w:adjustRightInd/>
              <w:snapToGrid/>
              <w:spacing w:line="360" w:lineRule="exact"/>
              <w:ind w:left="0" w:leftChars="0" w:right="0" w:firstLine="0" w:firstLineChars="0"/>
              <w:textAlignment w:val="auto"/>
              <w:rPr>
                <w:rFonts w:hint="default" w:ascii="Times New Roman" w:hAnsi="Times New Roman" w:eastAsia="宋体" w:cs="Times New Roman"/>
                <w:b/>
                <w:bCs/>
                <w:color w:val="auto"/>
                <w:spacing w:val="0"/>
                <w:sz w:val="21"/>
                <w:szCs w:val="21"/>
                <w:highlight w:val="none"/>
              </w:rPr>
            </w:pPr>
          </w:p>
        </w:tc>
        <w:tc>
          <w:tcPr>
            <w:tcW w:w="854" w:type="pct"/>
            <w:tcBorders>
              <w:tl2br w:val="nil"/>
              <w:tr2bl w:val="nil"/>
            </w:tcBorders>
            <w:vAlign w:val="center"/>
          </w:tcPr>
          <w:p w14:paraId="7EC410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spacing w:val="0"/>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Hg</w:t>
            </w:r>
          </w:p>
        </w:tc>
        <w:tc>
          <w:tcPr>
            <w:tcW w:w="1098" w:type="pct"/>
            <w:tcBorders>
              <w:tl2br w:val="nil"/>
              <w:tr2bl w:val="nil"/>
            </w:tcBorders>
            <w:vAlign w:val="center"/>
          </w:tcPr>
          <w:p w14:paraId="446FA11C">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w:t>
            </w:r>
          </w:p>
        </w:tc>
        <w:tc>
          <w:tcPr>
            <w:tcW w:w="1098" w:type="pct"/>
            <w:tcBorders>
              <w:tl2br w:val="nil"/>
              <w:tr2bl w:val="nil"/>
            </w:tcBorders>
            <w:vAlign w:val="center"/>
          </w:tcPr>
          <w:p w14:paraId="20E1F098">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w:t>
            </w:r>
          </w:p>
        </w:tc>
        <w:tc>
          <w:tcPr>
            <w:tcW w:w="1098" w:type="pct"/>
            <w:tcBorders>
              <w:tl2br w:val="nil"/>
              <w:tr2bl w:val="nil"/>
            </w:tcBorders>
            <w:vAlign w:val="center"/>
          </w:tcPr>
          <w:p w14:paraId="2FCC33D7">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7.67</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-5</w:t>
            </w:r>
          </w:p>
        </w:tc>
      </w:tr>
    </w:tbl>
    <w:p w14:paraId="141EE144">
      <w:pPr>
        <w:ind w:firstLine="0" w:firstLineChars="0"/>
        <w:jc w:val="center"/>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表2.6</w:t>
      </w:r>
      <w:r>
        <w:rPr>
          <w:rFonts w:hint="default" w:ascii="Times New Roman" w:hAnsi="Times New Roman" w:cs="Times New Roman"/>
          <w:b/>
          <w:color w:val="auto"/>
          <w:kern w:val="0"/>
          <w:highlight w:val="none"/>
        </w:rPr>
        <w:noBreakHyphen/>
      </w:r>
      <w:r>
        <w:rPr>
          <w:rFonts w:hint="eastAsia" w:cs="Times New Roman"/>
          <w:b/>
          <w:color w:val="auto"/>
          <w:kern w:val="0"/>
          <w:highlight w:val="none"/>
          <w:lang w:val="en-US" w:eastAsia="zh-CN"/>
        </w:rPr>
        <w:t>4</w:t>
      </w:r>
      <w:r>
        <w:rPr>
          <w:rFonts w:hint="default" w:ascii="Times New Roman" w:hAnsi="Times New Roman" w:cs="Times New Roman"/>
          <w:color w:val="auto"/>
          <w:highlight w:val="none"/>
        </w:rPr>
        <w:t xml:space="preserve">    </w:t>
      </w:r>
      <w:r>
        <w:rPr>
          <w:rFonts w:hint="eastAsia" w:cs="Times New Roman"/>
          <w:b/>
          <w:color w:val="auto"/>
          <w:kern w:val="0"/>
          <w:highlight w:val="none"/>
          <w:lang w:val="en-US" w:eastAsia="zh-CN"/>
        </w:rPr>
        <w:t>面</w:t>
      </w:r>
      <w:r>
        <w:rPr>
          <w:rFonts w:hint="eastAsia" w:ascii="Times New Roman" w:hAnsi="Times New Roman" w:cs="Times New Roman"/>
          <w:b/>
          <w:color w:val="auto"/>
          <w:kern w:val="0"/>
          <w:highlight w:val="none"/>
          <w:lang w:val="en-US" w:eastAsia="zh-CN"/>
        </w:rPr>
        <w:t>源</w:t>
      </w:r>
      <w:r>
        <w:rPr>
          <w:rFonts w:hint="default" w:ascii="Times New Roman" w:hAnsi="Times New Roman" w:cs="Times New Roman"/>
          <w:b/>
          <w:color w:val="auto"/>
          <w:kern w:val="0"/>
          <w:highlight w:val="none"/>
        </w:rPr>
        <w:t>估算模式主要计算参数一览表</w:t>
      </w:r>
    </w:p>
    <w:tbl>
      <w:tblPr>
        <w:tblStyle w:val="3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435"/>
        <w:gridCol w:w="535"/>
        <w:gridCol w:w="535"/>
        <w:gridCol w:w="649"/>
        <w:gridCol w:w="649"/>
        <w:gridCol w:w="546"/>
        <w:gridCol w:w="518"/>
        <w:gridCol w:w="483"/>
        <w:gridCol w:w="656"/>
        <w:gridCol w:w="439"/>
        <w:gridCol w:w="1377"/>
        <w:gridCol w:w="1167"/>
      </w:tblGrid>
      <w:tr w14:paraId="4BCF7E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restart"/>
            <w:tcBorders>
              <w:top w:val="single" w:color="auto" w:sz="12" w:space="0"/>
              <w:left w:val="single" w:color="auto" w:sz="12" w:space="0"/>
              <w:right w:val="single" w:color="auto" w:sz="4" w:space="0"/>
              <w:tl2br w:val="nil"/>
              <w:tr2bl w:val="nil"/>
            </w:tcBorders>
            <w:vAlign w:val="center"/>
          </w:tcPr>
          <w:p w14:paraId="2FF1D7C6">
            <w:pPr>
              <w:pStyle w:val="13"/>
              <w:keepNext w:val="0"/>
              <w:keepLines w:val="0"/>
              <w:pageBreakBefore w:val="0"/>
              <w:widowControl w:val="0"/>
              <w:kinsoku/>
              <w:wordWrap/>
              <w:overflowPunct/>
              <w:topLinePunct w:val="0"/>
              <w:bidi w:val="0"/>
              <w:adjustRightInd/>
              <w:snapToGrid/>
              <w:spacing w:line="360" w:lineRule="exact"/>
              <w:ind w:left="0" w:leftChars="0" w:right="0" w:firstLine="0" w:firstLineChars="0"/>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编号</w:t>
            </w:r>
          </w:p>
        </w:tc>
        <w:tc>
          <w:tcPr>
            <w:tcW w:w="0" w:type="auto"/>
            <w:vMerge w:val="restart"/>
            <w:tcBorders>
              <w:top w:val="single" w:color="auto" w:sz="12" w:space="0"/>
              <w:left w:val="single" w:color="auto" w:sz="4" w:space="0"/>
              <w:right w:val="single" w:color="auto" w:sz="4" w:space="0"/>
              <w:tl2br w:val="nil"/>
              <w:tr2bl w:val="nil"/>
            </w:tcBorders>
            <w:vAlign w:val="center"/>
          </w:tcPr>
          <w:p w14:paraId="7DDB80D6">
            <w:pPr>
              <w:pStyle w:val="13"/>
              <w:keepNext w:val="0"/>
              <w:keepLines w:val="0"/>
              <w:pageBreakBefore w:val="0"/>
              <w:widowControl w:val="0"/>
              <w:kinsoku/>
              <w:wordWrap/>
              <w:overflowPunct/>
              <w:topLinePunct w:val="0"/>
              <w:bidi w:val="0"/>
              <w:adjustRightInd/>
              <w:snapToGrid/>
              <w:spacing w:line="360" w:lineRule="exact"/>
              <w:ind w:left="0" w:leftChars="0" w:right="0" w:firstLine="0" w:firstLineChars="0"/>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名称</w:t>
            </w:r>
          </w:p>
        </w:tc>
        <w:tc>
          <w:tcPr>
            <w:tcW w:w="0" w:type="auto"/>
            <w:gridSpan w:val="2"/>
            <w:tcBorders>
              <w:top w:val="single" w:color="auto" w:sz="12" w:space="0"/>
              <w:left w:val="single" w:color="auto" w:sz="4" w:space="0"/>
              <w:bottom w:val="single" w:color="auto" w:sz="4" w:space="0"/>
              <w:right w:val="single" w:color="auto" w:sz="4" w:space="0"/>
              <w:tl2br w:val="nil"/>
              <w:tr2bl w:val="nil"/>
            </w:tcBorders>
            <w:vAlign w:val="center"/>
          </w:tcPr>
          <w:p w14:paraId="7189FD43">
            <w:pPr>
              <w:pStyle w:val="13"/>
              <w:keepNext w:val="0"/>
              <w:keepLines w:val="0"/>
              <w:pageBreakBefore w:val="0"/>
              <w:widowControl w:val="0"/>
              <w:kinsoku/>
              <w:wordWrap/>
              <w:overflowPunct/>
              <w:topLinePunct w:val="0"/>
              <w:bidi w:val="0"/>
              <w:adjustRightInd/>
              <w:snapToGrid/>
              <w:spacing w:line="360" w:lineRule="exact"/>
              <w:ind w:left="0" w:leftChars="0" w:right="0" w:firstLine="0" w:firstLineChars="0"/>
              <w:textAlignment w:val="auto"/>
              <w:rPr>
                <w:rFonts w:hint="default"/>
                <w:color w:val="auto"/>
                <w:highlight w:val="none"/>
              </w:rPr>
            </w:pPr>
            <w:r>
              <w:rPr>
                <w:rFonts w:hint="default" w:ascii="Times New Roman" w:hAnsi="Times New Roman" w:eastAsia="宋体" w:cs="Times New Roman"/>
                <w:b/>
                <w:bCs/>
                <w:color w:val="auto"/>
                <w:spacing w:val="0"/>
                <w:sz w:val="21"/>
                <w:szCs w:val="21"/>
                <w:highlight w:val="none"/>
              </w:rPr>
              <w:t>面源</w:t>
            </w:r>
            <w:r>
              <w:rPr>
                <w:rFonts w:hint="eastAsia" w:ascii="Times New Roman" w:hAnsi="Times New Roman" w:eastAsia="宋体" w:cs="Times New Roman"/>
                <w:b/>
                <w:bCs/>
                <w:color w:val="auto"/>
                <w:spacing w:val="0"/>
                <w:sz w:val="21"/>
                <w:szCs w:val="21"/>
                <w:highlight w:val="none"/>
                <w:lang w:val="en-US" w:eastAsia="zh-CN"/>
              </w:rPr>
              <w:t>起</w:t>
            </w:r>
            <w:r>
              <w:rPr>
                <w:rFonts w:hint="default" w:ascii="Times New Roman" w:hAnsi="Times New Roman" w:eastAsia="宋体" w:cs="Times New Roman"/>
                <w:b/>
                <w:bCs/>
                <w:color w:val="auto"/>
                <w:spacing w:val="0"/>
                <w:sz w:val="21"/>
                <w:szCs w:val="21"/>
                <w:highlight w:val="none"/>
              </w:rPr>
              <w:t>点坐标</w:t>
            </w:r>
          </w:p>
        </w:tc>
        <w:tc>
          <w:tcPr>
            <w:tcW w:w="0" w:type="auto"/>
            <w:vMerge w:val="restart"/>
            <w:tcBorders>
              <w:top w:val="single" w:color="auto" w:sz="12" w:space="0"/>
              <w:left w:val="single" w:color="auto" w:sz="4" w:space="0"/>
              <w:right w:val="single" w:color="auto" w:sz="4" w:space="0"/>
              <w:tl2br w:val="nil"/>
              <w:tr2bl w:val="nil"/>
            </w:tcBorders>
            <w:vAlign w:val="center"/>
          </w:tcPr>
          <w:p w14:paraId="195BB63C">
            <w:pPr>
              <w:pStyle w:val="13"/>
              <w:keepNext w:val="0"/>
              <w:keepLines w:val="0"/>
              <w:pageBreakBefore w:val="0"/>
              <w:widowControl w:val="0"/>
              <w:kinsoku/>
              <w:wordWrap/>
              <w:overflowPunct/>
              <w:topLinePunct w:val="0"/>
              <w:bidi w:val="0"/>
              <w:adjustRightInd/>
              <w:snapToGrid/>
              <w:spacing w:line="360" w:lineRule="exact"/>
              <w:ind w:left="0" w:leftChars="0" w:right="0" w:firstLine="0" w:firstLineChars="0"/>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面源</w:t>
            </w:r>
            <w:r>
              <w:rPr>
                <w:rFonts w:hint="eastAsia" w:ascii="Times New Roman" w:hAnsi="Times New Roman" w:eastAsia="宋体" w:cs="Times New Roman"/>
                <w:b/>
                <w:bCs/>
                <w:color w:val="auto"/>
                <w:spacing w:val="0"/>
                <w:sz w:val="21"/>
                <w:szCs w:val="21"/>
                <w:highlight w:val="none"/>
                <w:lang w:eastAsia="zh-CN"/>
              </w:rPr>
              <w:t>海拔</w:t>
            </w:r>
            <w:r>
              <w:rPr>
                <w:rFonts w:hint="default" w:ascii="Times New Roman" w:hAnsi="Times New Roman" w:eastAsia="宋体" w:cs="Times New Roman"/>
                <w:b/>
                <w:bCs/>
                <w:color w:val="auto"/>
                <w:spacing w:val="0"/>
                <w:sz w:val="21"/>
                <w:szCs w:val="21"/>
                <w:highlight w:val="none"/>
              </w:rPr>
              <w:t>/m</w:t>
            </w:r>
          </w:p>
        </w:tc>
        <w:tc>
          <w:tcPr>
            <w:tcW w:w="0" w:type="auto"/>
            <w:vMerge w:val="restart"/>
            <w:tcBorders>
              <w:top w:val="single" w:color="auto" w:sz="12" w:space="0"/>
              <w:left w:val="single" w:color="auto" w:sz="4" w:space="0"/>
              <w:right w:val="single" w:color="auto" w:sz="4" w:space="0"/>
              <w:tl2br w:val="nil"/>
              <w:tr2bl w:val="nil"/>
            </w:tcBorders>
            <w:vAlign w:val="center"/>
          </w:tcPr>
          <w:p w14:paraId="7E22EEAA">
            <w:pPr>
              <w:pStyle w:val="13"/>
              <w:keepNext w:val="0"/>
              <w:keepLines w:val="0"/>
              <w:pageBreakBefore w:val="0"/>
              <w:widowControl w:val="0"/>
              <w:kinsoku/>
              <w:wordWrap/>
              <w:overflowPunct/>
              <w:topLinePunct w:val="0"/>
              <w:bidi w:val="0"/>
              <w:adjustRightInd/>
              <w:snapToGrid/>
              <w:spacing w:line="360" w:lineRule="exact"/>
              <w:ind w:left="0" w:leftChars="0" w:right="0" w:firstLine="0" w:firstLineChars="0"/>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面源长度/m</w:t>
            </w:r>
          </w:p>
        </w:tc>
        <w:tc>
          <w:tcPr>
            <w:tcW w:w="0" w:type="auto"/>
            <w:vMerge w:val="restart"/>
            <w:tcBorders>
              <w:top w:val="single" w:color="auto" w:sz="12" w:space="0"/>
              <w:left w:val="single" w:color="auto" w:sz="4" w:space="0"/>
              <w:right w:val="single" w:color="auto" w:sz="4" w:space="0"/>
              <w:tl2br w:val="nil"/>
              <w:tr2bl w:val="nil"/>
            </w:tcBorders>
            <w:vAlign w:val="center"/>
          </w:tcPr>
          <w:p w14:paraId="6C32660D">
            <w:pPr>
              <w:pStyle w:val="13"/>
              <w:keepNext w:val="0"/>
              <w:keepLines w:val="0"/>
              <w:pageBreakBefore w:val="0"/>
              <w:widowControl w:val="0"/>
              <w:kinsoku/>
              <w:wordWrap/>
              <w:overflowPunct/>
              <w:topLinePunct w:val="0"/>
              <w:bidi w:val="0"/>
              <w:adjustRightInd/>
              <w:snapToGrid/>
              <w:spacing w:line="360" w:lineRule="exact"/>
              <w:ind w:left="0" w:leftChars="0" w:right="0" w:firstLine="0" w:firstLineChars="0"/>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面源宽度/m</w:t>
            </w:r>
          </w:p>
        </w:tc>
        <w:tc>
          <w:tcPr>
            <w:tcW w:w="0" w:type="auto"/>
            <w:vMerge w:val="restart"/>
            <w:tcBorders>
              <w:top w:val="single" w:color="auto" w:sz="12" w:space="0"/>
              <w:left w:val="single" w:color="auto" w:sz="4" w:space="0"/>
              <w:right w:val="single" w:color="auto" w:sz="4" w:space="0"/>
              <w:tl2br w:val="nil"/>
              <w:tr2bl w:val="nil"/>
            </w:tcBorders>
            <w:vAlign w:val="center"/>
          </w:tcPr>
          <w:p w14:paraId="79EDFCF9">
            <w:pPr>
              <w:pStyle w:val="13"/>
              <w:keepNext w:val="0"/>
              <w:keepLines w:val="0"/>
              <w:pageBreakBefore w:val="0"/>
              <w:widowControl w:val="0"/>
              <w:kinsoku/>
              <w:wordWrap/>
              <w:overflowPunct/>
              <w:topLinePunct w:val="0"/>
              <w:bidi w:val="0"/>
              <w:adjustRightInd/>
              <w:snapToGrid/>
              <w:spacing w:line="360" w:lineRule="exact"/>
              <w:ind w:left="0" w:leftChars="0" w:right="0" w:firstLine="0" w:firstLineChars="0"/>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与正北向夹角/°</w:t>
            </w:r>
          </w:p>
        </w:tc>
        <w:tc>
          <w:tcPr>
            <w:tcW w:w="0" w:type="auto"/>
            <w:vMerge w:val="restart"/>
            <w:tcBorders>
              <w:top w:val="single" w:color="auto" w:sz="12" w:space="0"/>
              <w:left w:val="single" w:color="auto" w:sz="4" w:space="0"/>
              <w:right w:val="single" w:color="auto" w:sz="4" w:space="0"/>
              <w:tl2br w:val="nil"/>
              <w:tr2bl w:val="nil"/>
            </w:tcBorders>
            <w:vAlign w:val="center"/>
          </w:tcPr>
          <w:p w14:paraId="17D0FA8E">
            <w:pPr>
              <w:pStyle w:val="13"/>
              <w:keepNext w:val="0"/>
              <w:keepLines w:val="0"/>
              <w:pageBreakBefore w:val="0"/>
              <w:widowControl w:val="0"/>
              <w:kinsoku/>
              <w:wordWrap/>
              <w:overflowPunct/>
              <w:topLinePunct w:val="0"/>
              <w:bidi w:val="0"/>
              <w:adjustRightInd/>
              <w:snapToGrid/>
              <w:spacing w:line="360" w:lineRule="exact"/>
              <w:ind w:left="0" w:leftChars="0" w:right="0" w:firstLine="0" w:firstLineChars="0"/>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面源有效排放高度/m</w:t>
            </w:r>
          </w:p>
        </w:tc>
        <w:tc>
          <w:tcPr>
            <w:tcW w:w="0" w:type="auto"/>
            <w:vMerge w:val="restart"/>
            <w:tcBorders>
              <w:top w:val="single" w:color="auto" w:sz="12" w:space="0"/>
              <w:left w:val="single" w:color="auto" w:sz="4" w:space="0"/>
              <w:right w:val="single" w:color="auto" w:sz="4" w:space="0"/>
              <w:tl2br w:val="nil"/>
              <w:tr2bl w:val="nil"/>
            </w:tcBorders>
            <w:vAlign w:val="center"/>
          </w:tcPr>
          <w:p w14:paraId="205DD83F">
            <w:pPr>
              <w:pStyle w:val="13"/>
              <w:keepNext w:val="0"/>
              <w:keepLines w:val="0"/>
              <w:pageBreakBefore w:val="0"/>
              <w:widowControl w:val="0"/>
              <w:kinsoku/>
              <w:wordWrap/>
              <w:overflowPunct/>
              <w:topLinePunct w:val="0"/>
              <w:bidi w:val="0"/>
              <w:adjustRightInd/>
              <w:snapToGrid/>
              <w:spacing w:line="360" w:lineRule="exact"/>
              <w:ind w:left="0" w:leftChars="0" w:right="0" w:firstLine="0" w:firstLineChars="0"/>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年排放小时数/h</w:t>
            </w:r>
          </w:p>
        </w:tc>
        <w:tc>
          <w:tcPr>
            <w:tcW w:w="0" w:type="auto"/>
            <w:vMerge w:val="restart"/>
            <w:tcBorders>
              <w:top w:val="single" w:color="auto" w:sz="12" w:space="0"/>
              <w:left w:val="single" w:color="auto" w:sz="4" w:space="0"/>
              <w:right w:val="single" w:color="auto" w:sz="4" w:space="0"/>
              <w:tl2br w:val="nil"/>
              <w:tr2bl w:val="nil"/>
            </w:tcBorders>
            <w:vAlign w:val="center"/>
          </w:tcPr>
          <w:p w14:paraId="7684EFF4">
            <w:pPr>
              <w:pStyle w:val="13"/>
              <w:keepNext w:val="0"/>
              <w:keepLines w:val="0"/>
              <w:pageBreakBefore w:val="0"/>
              <w:widowControl w:val="0"/>
              <w:kinsoku/>
              <w:wordWrap/>
              <w:overflowPunct/>
              <w:topLinePunct w:val="0"/>
              <w:bidi w:val="0"/>
              <w:adjustRightInd/>
              <w:snapToGrid/>
              <w:spacing w:line="360" w:lineRule="exact"/>
              <w:ind w:left="0" w:leftChars="0" w:right="0" w:firstLine="0" w:firstLineChars="0"/>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排放工况</w:t>
            </w:r>
          </w:p>
        </w:tc>
        <w:tc>
          <w:tcPr>
            <w:tcW w:w="0" w:type="auto"/>
            <w:gridSpan w:val="2"/>
            <w:tcBorders>
              <w:top w:val="single" w:color="auto" w:sz="12" w:space="0"/>
              <w:left w:val="single" w:color="auto" w:sz="4" w:space="0"/>
              <w:bottom w:val="single" w:color="auto" w:sz="4" w:space="0"/>
              <w:right w:val="single" w:color="auto" w:sz="12" w:space="0"/>
              <w:tl2br w:val="nil"/>
              <w:tr2bl w:val="nil"/>
            </w:tcBorders>
            <w:vAlign w:val="center"/>
          </w:tcPr>
          <w:p w14:paraId="13D1364E">
            <w:pPr>
              <w:pStyle w:val="13"/>
              <w:keepNext w:val="0"/>
              <w:keepLines w:val="0"/>
              <w:pageBreakBefore w:val="0"/>
              <w:widowControl w:val="0"/>
              <w:kinsoku/>
              <w:wordWrap/>
              <w:overflowPunct/>
              <w:topLinePunct w:val="0"/>
              <w:bidi w:val="0"/>
              <w:adjustRightInd/>
              <w:snapToGrid/>
              <w:spacing w:line="360" w:lineRule="exact"/>
              <w:ind w:left="0" w:leftChars="0" w:right="0" w:firstLine="0" w:firstLineChars="0"/>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污染物排放速率/（kg/h）</w:t>
            </w:r>
          </w:p>
        </w:tc>
      </w:tr>
      <w:tr w14:paraId="7833E8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left w:val="single" w:color="auto" w:sz="12" w:space="0"/>
              <w:bottom w:val="single" w:color="auto" w:sz="4" w:space="0"/>
              <w:right w:val="single" w:color="auto" w:sz="4" w:space="0"/>
              <w:tl2br w:val="nil"/>
              <w:tr2bl w:val="nil"/>
            </w:tcBorders>
            <w:vAlign w:val="center"/>
          </w:tcPr>
          <w:p w14:paraId="3AA7CFA8">
            <w:pPr>
              <w:pStyle w:val="13"/>
              <w:keepNext w:val="0"/>
              <w:keepLines w:val="0"/>
              <w:pageBreakBefore w:val="0"/>
              <w:widowControl w:val="0"/>
              <w:kinsoku/>
              <w:wordWrap/>
              <w:overflowPunct/>
              <w:topLinePunct w:val="0"/>
              <w:bidi w:val="0"/>
              <w:adjustRightInd/>
              <w:snapToGrid/>
              <w:spacing w:line="360" w:lineRule="exact"/>
              <w:ind w:left="0" w:leftChars="0" w:right="0" w:firstLine="0" w:firstLineChars="0"/>
              <w:textAlignment w:val="auto"/>
              <w:rPr>
                <w:rFonts w:hint="default" w:ascii="Times New Roman" w:hAnsi="Times New Roman" w:eastAsia="宋体" w:cs="Times New Roman"/>
                <w:b/>
                <w:bCs/>
                <w:color w:val="auto"/>
                <w:spacing w:val="0"/>
                <w:sz w:val="21"/>
                <w:szCs w:val="21"/>
                <w:highlight w:val="none"/>
              </w:rPr>
            </w:pPr>
          </w:p>
        </w:tc>
        <w:tc>
          <w:tcPr>
            <w:tcW w:w="0" w:type="auto"/>
            <w:vMerge w:val="continue"/>
            <w:tcBorders>
              <w:left w:val="single" w:color="auto" w:sz="4" w:space="0"/>
              <w:bottom w:val="single" w:color="auto" w:sz="4" w:space="0"/>
              <w:right w:val="single" w:color="auto" w:sz="4" w:space="0"/>
              <w:tl2br w:val="nil"/>
              <w:tr2bl w:val="nil"/>
            </w:tcBorders>
            <w:vAlign w:val="center"/>
          </w:tcPr>
          <w:p w14:paraId="77043F1A">
            <w:pPr>
              <w:pStyle w:val="13"/>
              <w:keepNext w:val="0"/>
              <w:keepLines w:val="0"/>
              <w:pageBreakBefore w:val="0"/>
              <w:widowControl w:val="0"/>
              <w:kinsoku/>
              <w:wordWrap/>
              <w:overflowPunct/>
              <w:topLinePunct w:val="0"/>
              <w:bidi w:val="0"/>
              <w:adjustRightInd/>
              <w:snapToGrid/>
              <w:spacing w:line="360" w:lineRule="exact"/>
              <w:ind w:left="0" w:leftChars="0" w:right="0" w:firstLine="0" w:firstLineChars="0"/>
              <w:textAlignment w:val="auto"/>
              <w:rPr>
                <w:rFonts w:hint="default" w:ascii="Times New Roman" w:hAnsi="Times New Roman" w:eastAsia="宋体" w:cs="Times New Roman"/>
                <w:b/>
                <w:bCs/>
                <w:color w:val="auto"/>
                <w:spacing w:val="0"/>
                <w:sz w:val="21"/>
                <w:szCs w:val="21"/>
                <w:highlight w:val="none"/>
              </w:rPr>
            </w:pPr>
          </w:p>
        </w:tc>
        <w:tc>
          <w:tcPr>
            <w:tcW w:w="0" w:type="auto"/>
            <w:tcBorders>
              <w:top w:val="single" w:color="auto" w:sz="4" w:space="0"/>
              <w:left w:val="single" w:color="auto" w:sz="4" w:space="0"/>
              <w:bottom w:val="single" w:color="auto" w:sz="4" w:space="0"/>
              <w:right w:val="single" w:color="auto" w:sz="4" w:space="0"/>
              <w:tl2br w:val="nil"/>
              <w:tr2bl w:val="nil"/>
            </w:tcBorders>
            <w:vAlign w:val="center"/>
          </w:tcPr>
          <w:p w14:paraId="11BD8BC4">
            <w:pPr>
              <w:pStyle w:val="13"/>
              <w:keepNext w:val="0"/>
              <w:keepLines w:val="0"/>
              <w:pageBreakBefore w:val="0"/>
              <w:widowControl w:val="0"/>
              <w:kinsoku/>
              <w:wordWrap/>
              <w:overflowPunct/>
              <w:topLinePunct w:val="0"/>
              <w:bidi w:val="0"/>
              <w:adjustRightInd/>
              <w:snapToGrid/>
              <w:spacing w:line="360" w:lineRule="exact"/>
              <w:ind w:left="0" w:leftChars="0" w:right="0" w:firstLine="0" w:firstLineChars="0"/>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X</w:t>
            </w:r>
          </w:p>
        </w:tc>
        <w:tc>
          <w:tcPr>
            <w:tcW w:w="0" w:type="auto"/>
            <w:tcBorders>
              <w:top w:val="single" w:color="auto" w:sz="4" w:space="0"/>
              <w:left w:val="single" w:color="auto" w:sz="4" w:space="0"/>
              <w:bottom w:val="single" w:color="auto" w:sz="4" w:space="0"/>
              <w:right w:val="single" w:color="auto" w:sz="4" w:space="0"/>
              <w:tl2br w:val="nil"/>
              <w:tr2bl w:val="nil"/>
            </w:tcBorders>
            <w:vAlign w:val="center"/>
          </w:tcPr>
          <w:p w14:paraId="605F2CCC">
            <w:pPr>
              <w:pStyle w:val="13"/>
              <w:keepNext w:val="0"/>
              <w:keepLines w:val="0"/>
              <w:pageBreakBefore w:val="0"/>
              <w:widowControl w:val="0"/>
              <w:kinsoku/>
              <w:wordWrap/>
              <w:overflowPunct/>
              <w:topLinePunct w:val="0"/>
              <w:bidi w:val="0"/>
              <w:adjustRightInd/>
              <w:snapToGrid/>
              <w:spacing w:line="360" w:lineRule="exact"/>
              <w:ind w:left="0" w:leftChars="0" w:right="0" w:firstLine="0" w:firstLineChars="0"/>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Y</w:t>
            </w:r>
          </w:p>
        </w:tc>
        <w:tc>
          <w:tcPr>
            <w:tcW w:w="0" w:type="auto"/>
            <w:vMerge w:val="continue"/>
            <w:tcBorders>
              <w:left w:val="single" w:color="auto" w:sz="4" w:space="0"/>
              <w:bottom w:val="single" w:color="auto" w:sz="4" w:space="0"/>
              <w:right w:val="single" w:color="auto" w:sz="4" w:space="0"/>
              <w:tl2br w:val="nil"/>
              <w:tr2bl w:val="nil"/>
            </w:tcBorders>
            <w:vAlign w:val="center"/>
          </w:tcPr>
          <w:p w14:paraId="33CD1669">
            <w:pPr>
              <w:pStyle w:val="13"/>
              <w:keepNext w:val="0"/>
              <w:keepLines w:val="0"/>
              <w:pageBreakBefore w:val="0"/>
              <w:widowControl w:val="0"/>
              <w:kinsoku/>
              <w:wordWrap/>
              <w:overflowPunct/>
              <w:topLinePunct w:val="0"/>
              <w:bidi w:val="0"/>
              <w:adjustRightInd/>
              <w:snapToGrid/>
              <w:spacing w:line="360" w:lineRule="exact"/>
              <w:ind w:left="0" w:leftChars="0" w:right="0" w:firstLine="0" w:firstLineChars="0"/>
              <w:textAlignment w:val="auto"/>
              <w:rPr>
                <w:rFonts w:hint="default" w:ascii="Times New Roman" w:hAnsi="Times New Roman" w:eastAsia="宋体" w:cs="Times New Roman"/>
                <w:b/>
                <w:bCs/>
                <w:color w:val="auto"/>
                <w:spacing w:val="0"/>
                <w:sz w:val="21"/>
                <w:szCs w:val="21"/>
                <w:highlight w:val="none"/>
              </w:rPr>
            </w:pPr>
          </w:p>
        </w:tc>
        <w:tc>
          <w:tcPr>
            <w:tcW w:w="0" w:type="auto"/>
            <w:vMerge w:val="continue"/>
            <w:tcBorders>
              <w:left w:val="single" w:color="auto" w:sz="4" w:space="0"/>
              <w:bottom w:val="single" w:color="auto" w:sz="4" w:space="0"/>
              <w:right w:val="single" w:color="auto" w:sz="4" w:space="0"/>
              <w:tl2br w:val="nil"/>
              <w:tr2bl w:val="nil"/>
            </w:tcBorders>
            <w:vAlign w:val="center"/>
          </w:tcPr>
          <w:p w14:paraId="26F2FD1A">
            <w:pPr>
              <w:pStyle w:val="13"/>
              <w:keepNext w:val="0"/>
              <w:keepLines w:val="0"/>
              <w:pageBreakBefore w:val="0"/>
              <w:widowControl w:val="0"/>
              <w:kinsoku/>
              <w:wordWrap/>
              <w:overflowPunct/>
              <w:topLinePunct w:val="0"/>
              <w:bidi w:val="0"/>
              <w:adjustRightInd/>
              <w:snapToGrid/>
              <w:spacing w:line="360" w:lineRule="exact"/>
              <w:ind w:left="0" w:leftChars="0" w:right="0" w:firstLine="0" w:firstLineChars="0"/>
              <w:textAlignment w:val="auto"/>
              <w:rPr>
                <w:rFonts w:hint="default" w:ascii="Times New Roman" w:hAnsi="Times New Roman" w:eastAsia="宋体" w:cs="Times New Roman"/>
                <w:b/>
                <w:bCs/>
                <w:color w:val="auto"/>
                <w:spacing w:val="0"/>
                <w:sz w:val="21"/>
                <w:szCs w:val="21"/>
                <w:highlight w:val="none"/>
              </w:rPr>
            </w:pPr>
          </w:p>
        </w:tc>
        <w:tc>
          <w:tcPr>
            <w:tcW w:w="0" w:type="auto"/>
            <w:vMerge w:val="continue"/>
            <w:tcBorders>
              <w:left w:val="single" w:color="auto" w:sz="4" w:space="0"/>
              <w:bottom w:val="single" w:color="auto" w:sz="4" w:space="0"/>
              <w:right w:val="single" w:color="auto" w:sz="4" w:space="0"/>
              <w:tl2br w:val="nil"/>
              <w:tr2bl w:val="nil"/>
            </w:tcBorders>
            <w:vAlign w:val="center"/>
          </w:tcPr>
          <w:p w14:paraId="2000F639">
            <w:pPr>
              <w:pStyle w:val="13"/>
              <w:keepNext w:val="0"/>
              <w:keepLines w:val="0"/>
              <w:pageBreakBefore w:val="0"/>
              <w:widowControl w:val="0"/>
              <w:kinsoku/>
              <w:wordWrap/>
              <w:overflowPunct/>
              <w:topLinePunct w:val="0"/>
              <w:bidi w:val="0"/>
              <w:adjustRightInd/>
              <w:snapToGrid/>
              <w:spacing w:line="360" w:lineRule="exact"/>
              <w:ind w:left="0" w:leftChars="0" w:right="0" w:firstLine="0" w:firstLineChars="0"/>
              <w:textAlignment w:val="auto"/>
              <w:rPr>
                <w:rFonts w:hint="default" w:ascii="Times New Roman" w:hAnsi="Times New Roman" w:eastAsia="宋体" w:cs="Times New Roman"/>
                <w:b/>
                <w:bCs/>
                <w:color w:val="auto"/>
                <w:spacing w:val="0"/>
                <w:sz w:val="21"/>
                <w:szCs w:val="21"/>
                <w:highlight w:val="none"/>
              </w:rPr>
            </w:pPr>
          </w:p>
        </w:tc>
        <w:tc>
          <w:tcPr>
            <w:tcW w:w="0" w:type="auto"/>
            <w:vMerge w:val="continue"/>
            <w:tcBorders>
              <w:left w:val="single" w:color="auto" w:sz="4" w:space="0"/>
              <w:bottom w:val="single" w:color="auto" w:sz="4" w:space="0"/>
              <w:right w:val="single" w:color="auto" w:sz="4" w:space="0"/>
              <w:tl2br w:val="nil"/>
              <w:tr2bl w:val="nil"/>
            </w:tcBorders>
            <w:vAlign w:val="center"/>
          </w:tcPr>
          <w:p w14:paraId="24AF1058">
            <w:pPr>
              <w:pStyle w:val="13"/>
              <w:keepNext w:val="0"/>
              <w:keepLines w:val="0"/>
              <w:pageBreakBefore w:val="0"/>
              <w:widowControl w:val="0"/>
              <w:kinsoku/>
              <w:wordWrap/>
              <w:overflowPunct/>
              <w:topLinePunct w:val="0"/>
              <w:bidi w:val="0"/>
              <w:adjustRightInd/>
              <w:snapToGrid/>
              <w:spacing w:line="360" w:lineRule="exact"/>
              <w:ind w:left="0" w:leftChars="0" w:right="0" w:firstLine="0" w:firstLineChars="0"/>
              <w:textAlignment w:val="auto"/>
              <w:rPr>
                <w:rFonts w:hint="default" w:ascii="Times New Roman" w:hAnsi="Times New Roman" w:eastAsia="宋体" w:cs="Times New Roman"/>
                <w:b/>
                <w:bCs/>
                <w:color w:val="auto"/>
                <w:spacing w:val="0"/>
                <w:sz w:val="21"/>
                <w:szCs w:val="21"/>
                <w:highlight w:val="none"/>
              </w:rPr>
            </w:pPr>
          </w:p>
        </w:tc>
        <w:tc>
          <w:tcPr>
            <w:tcW w:w="0" w:type="auto"/>
            <w:vMerge w:val="continue"/>
            <w:tcBorders>
              <w:left w:val="single" w:color="auto" w:sz="4" w:space="0"/>
              <w:bottom w:val="single" w:color="auto" w:sz="4" w:space="0"/>
              <w:right w:val="single" w:color="auto" w:sz="4" w:space="0"/>
              <w:tl2br w:val="nil"/>
              <w:tr2bl w:val="nil"/>
            </w:tcBorders>
            <w:vAlign w:val="center"/>
          </w:tcPr>
          <w:p w14:paraId="695C00A5">
            <w:pPr>
              <w:pStyle w:val="13"/>
              <w:keepNext w:val="0"/>
              <w:keepLines w:val="0"/>
              <w:pageBreakBefore w:val="0"/>
              <w:widowControl w:val="0"/>
              <w:kinsoku/>
              <w:wordWrap/>
              <w:overflowPunct/>
              <w:topLinePunct w:val="0"/>
              <w:bidi w:val="0"/>
              <w:adjustRightInd/>
              <w:snapToGrid/>
              <w:spacing w:line="360" w:lineRule="exact"/>
              <w:ind w:left="0" w:leftChars="0" w:right="0" w:firstLine="0" w:firstLineChars="0"/>
              <w:textAlignment w:val="auto"/>
              <w:rPr>
                <w:rFonts w:hint="default" w:ascii="Times New Roman" w:hAnsi="Times New Roman" w:eastAsia="宋体" w:cs="Times New Roman"/>
                <w:b/>
                <w:bCs/>
                <w:color w:val="auto"/>
                <w:spacing w:val="0"/>
                <w:sz w:val="21"/>
                <w:szCs w:val="21"/>
                <w:highlight w:val="none"/>
              </w:rPr>
            </w:pPr>
          </w:p>
        </w:tc>
        <w:tc>
          <w:tcPr>
            <w:tcW w:w="0" w:type="auto"/>
            <w:vMerge w:val="continue"/>
            <w:tcBorders>
              <w:left w:val="single" w:color="auto" w:sz="4" w:space="0"/>
              <w:bottom w:val="single" w:color="auto" w:sz="4" w:space="0"/>
              <w:right w:val="single" w:color="auto" w:sz="4" w:space="0"/>
              <w:tl2br w:val="nil"/>
              <w:tr2bl w:val="nil"/>
            </w:tcBorders>
            <w:vAlign w:val="center"/>
          </w:tcPr>
          <w:p w14:paraId="68984795">
            <w:pPr>
              <w:pStyle w:val="13"/>
              <w:keepNext w:val="0"/>
              <w:keepLines w:val="0"/>
              <w:pageBreakBefore w:val="0"/>
              <w:widowControl w:val="0"/>
              <w:kinsoku/>
              <w:wordWrap/>
              <w:overflowPunct/>
              <w:topLinePunct w:val="0"/>
              <w:bidi w:val="0"/>
              <w:adjustRightInd/>
              <w:snapToGrid/>
              <w:spacing w:line="360" w:lineRule="exact"/>
              <w:ind w:left="0" w:leftChars="0" w:right="0" w:firstLine="0" w:firstLineChars="0"/>
              <w:textAlignment w:val="auto"/>
              <w:rPr>
                <w:rFonts w:hint="default" w:ascii="Times New Roman" w:hAnsi="Times New Roman" w:eastAsia="宋体" w:cs="Times New Roman"/>
                <w:b/>
                <w:bCs/>
                <w:color w:val="auto"/>
                <w:spacing w:val="0"/>
                <w:sz w:val="21"/>
                <w:szCs w:val="21"/>
                <w:highlight w:val="none"/>
              </w:rPr>
            </w:pPr>
          </w:p>
        </w:tc>
        <w:tc>
          <w:tcPr>
            <w:tcW w:w="0" w:type="auto"/>
            <w:vMerge w:val="continue"/>
            <w:tcBorders>
              <w:left w:val="single" w:color="auto" w:sz="4" w:space="0"/>
              <w:bottom w:val="single" w:color="auto" w:sz="4" w:space="0"/>
              <w:right w:val="single" w:color="auto" w:sz="4" w:space="0"/>
              <w:tl2br w:val="nil"/>
              <w:tr2bl w:val="nil"/>
            </w:tcBorders>
            <w:vAlign w:val="center"/>
          </w:tcPr>
          <w:p w14:paraId="12DE2AFD">
            <w:pPr>
              <w:pStyle w:val="13"/>
              <w:keepNext w:val="0"/>
              <w:keepLines w:val="0"/>
              <w:pageBreakBefore w:val="0"/>
              <w:widowControl w:val="0"/>
              <w:kinsoku/>
              <w:wordWrap/>
              <w:overflowPunct/>
              <w:topLinePunct w:val="0"/>
              <w:bidi w:val="0"/>
              <w:adjustRightInd/>
              <w:snapToGrid/>
              <w:spacing w:line="360" w:lineRule="exact"/>
              <w:ind w:left="0" w:leftChars="0" w:right="0" w:firstLine="0" w:firstLineChars="0"/>
              <w:textAlignment w:val="auto"/>
              <w:rPr>
                <w:rFonts w:hint="default" w:ascii="Times New Roman" w:hAnsi="Times New Roman" w:eastAsia="宋体" w:cs="Times New Roman"/>
                <w:b/>
                <w:bCs/>
                <w:color w:val="auto"/>
                <w:spacing w:val="0"/>
                <w:sz w:val="21"/>
                <w:szCs w:val="21"/>
                <w:highlight w:val="none"/>
              </w:rPr>
            </w:pPr>
          </w:p>
        </w:tc>
        <w:tc>
          <w:tcPr>
            <w:tcW w:w="0" w:type="auto"/>
            <w:tcBorders>
              <w:top w:val="single" w:color="auto" w:sz="4" w:space="0"/>
              <w:left w:val="single" w:color="auto" w:sz="4" w:space="0"/>
              <w:bottom w:val="single" w:color="auto" w:sz="4" w:space="0"/>
              <w:right w:val="single" w:color="auto" w:sz="4" w:space="0"/>
              <w:tl2br w:val="nil"/>
              <w:tr2bl w:val="nil"/>
            </w:tcBorders>
            <w:vAlign w:val="center"/>
          </w:tcPr>
          <w:p w14:paraId="47620680">
            <w:pPr>
              <w:pStyle w:val="13"/>
              <w:keepNext w:val="0"/>
              <w:keepLines w:val="0"/>
              <w:pageBreakBefore w:val="0"/>
              <w:widowControl w:val="0"/>
              <w:kinsoku/>
              <w:wordWrap/>
              <w:overflowPunct/>
              <w:topLinePunct w:val="0"/>
              <w:bidi w:val="0"/>
              <w:adjustRightInd/>
              <w:snapToGrid/>
              <w:spacing w:line="360" w:lineRule="exact"/>
              <w:ind w:left="0" w:leftChars="0" w:right="0" w:firstLine="0" w:firstLineChars="0"/>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TSP</w:t>
            </w:r>
          </w:p>
        </w:tc>
        <w:tc>
          <w:tcPr>
            <w:tcW w:w="0" w:type="auto"/>
            <w:tcBorders>
              <w:top w:val="single" w:color="auto" w:sz="4" w:space="0"/>
              <w:left w:val="single" w:color="auto" w:sz="4" w:space="0"/>
              <w:bottom w:val="single" w:color="auto" w:sz="4" w:space="0"/>
              <w:right w:val="single" w:color="auto" w:sz="12" w:space="0"/>
              <w:tl2br w:val="nil"/>
              <w:tr2bl w:val="nil"/>
            </w:tcBorders>
            <w:vAlign w:val="center"/>
          </w:tcPr>
          <w:p w14:paraId="525FF3A8">
            <w:pPr>
              <w:pStyle w:val="13"/>
              <w:keepNext w:val="0"/>
              <w:keepLines w:val="0"/>
              <w:pageBreakBefore w:val="0"/>
              <w:widowControl w:val="0"/>
              <w:kinsoku/>
              <w:wordWrap/>
              <w:overflowPunct/>
              <w:topLinePunct w:val="0"/>
              <w:bidi w:val="0"/>
              <w:adjustRightInd/>
              <w:snapToGrid/>
              <w:spacing w:line="360" w:lineRule="exact"/>
              <w:ind w:left="0" w:leftChars="0" w:right="0" w:firstLine="0" w:firstLineChars="0"/>
              <w:textAlignment w:val="auto"/>
              <w:rPr>
                <w:rFonts w:hint="default" w:ascii="Times New Roman" w:hAnsi="Times New Roman" w:eastAsia="宋体" w:cs="Times New Roman"/>
                <w:b/>
                <w:bCs/>
                <w:color w:val="auto"/>
                <w:spacing w:val="0"/>
                <w:sz w:val="21"/>
                <w:szCs w:val="21"/>
                <w:highlight w:val="none"/>
                <w:lang w:val="en-US" w:eastAsia="zh-CN"/>
              </w:rPr>
            </w:pPr>
            <w:r>
              <w:rPr>
                <w:rFonts w:hint="eastAsia" w:ascii="Times New Roman" w:hAnsi="Times New Roman" w:eastAsia="宋体" w:cs="Times New Roman"/>
                <w:b/>
                <w:bCs/>
                <w:color w:val="auto"/>
                <w:spacing w:val="0"/>
                <w:sz w:val="21"/>
                <w:szCs w:val="21"/>
                <w:highlight w:val="none"/>
                <w:lang w:val="en-US" w:eastAsia="zh-CN"/>
              </w:rPr>
              <w:t>氟化物</w:t>
            </w:r>
          </w:p>
        </w:tc>
      </w:tr>
      <w:tr w14:paraId="3A611F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12" w:space="0"/>
              <w:bottom w:val="single" w:color="auto" w:sz="12" w:space="0"/>
              <w:right w:val="single" w:color="auto" w:sz="4" w:space="0"/>
              <w:tl2br w:val="nil"/>
              <w:tr2bl w:val="nil"/>
            </w:tcBorders>
            <w:vAlign w:val="center"/>
          </w:tcPr>
          <w:p w14:paraId="16D11E4D">
            <w:pPr>
              <w:keepNext w:val="0"/>
              <w:keepLines w:val="0"/>
              <w:pageBreakBefore w:val="0"/>
              <w:widowControl w:val="0"/>
              <w:kinsoku/>
              <w:wordWrap/>
              <w:overflowPunct/>
              <w:topLinePunct w:val="0"/>
              <w:bidi w:val="0"/>
              <w:adjustRightInd/>
              <w:snapToGrid/>
              <w:spacing w:line="360" w:lineRule="exact"/>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DA</w:t>
            </w:r>
          </w:p>
          <w:p w14:paraId="589C8178">
            <w:pPr>
              <w:keepNext w:val="0"/>
              <w:keepLines w:val="0"/>
              <w:pageBreakBefore w:val="0"/>
              <w:widowControl w:val="0"/>
              <w:kinsoku/>
              <w:wordWrap/>
              <w:overflowPunct/>
              <w:topLinePunct w:val="0"/>
              <w:bidi w:val="0"/>
              <w:adjustRightInd/>
              <w:snapToGrid/>
              <w:spacing w:line="360" w:lineRule="exact"/>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004</w:t>
            </w:r>
          </w:p>
        </w:tc>
        <w:tc>
          <w:tcPr>
            <w:tcW w:w="0" w:type="auto"/>
            <w:tcBorders>
              <w:top w:val="single" w:color="auto" w:sz="4" w:space="0"/>
              <w:left w:val="single" w:color="auto" w:sz="4" w:space="0"/>
              <w:bottom w:val="single" w:color="auto" w:sz="12" w:space="0"/>
              <w:right w:val="single" w:color="auto" w:sz="4" w:space="0"/>
              <w:tl2br w:val="nil"/>
              <w:tr2bl w:val="nil"/>
            </w:tcBorders>
            <w:vAlign w:val="center"/>
          </w:tcPr>
          <w:p w14:paraId="5A080855">
            <w:pPr>
              <w:keepNext w:val="0"/>
              <w:keepLines w:val="0"/>
              <w:pageBreakBefore w:val="0"/>
              <w:widowControl w:val="0"/>
              <w:kinsoku/>
              <w:wordWrap/>
              <w:overflowPunct/>
              <w:topLinePunct w:val="0"/>
              <w:bidi w:val="0"/>
              <w:adjustRightInd/>
              <w:snapToGrid/>
              <w:spacing w:line="360" w:lineRule="exact"/>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选矿厂</w:t>
            </w:r>
          </w:p>
        </w:tc>
        <w:tc>
          <w:tcPr>
            <w:tcW w:w="0" w:type="auto"/>
            <w:tcBorders>
              <w:top w:val="single" w:color="auto" w:sz="4" w:space="0"/>
              <w:left w:val="single" w:color="auto" w:sz="4" w:space="0"/>
              <w:bottom w:val="single" w:color="auto" w:sz="12" w:space="0"/>
              <w:right w:val="single" w:color="auto" w:sz="4" w:space="0"/>
              <w:tl2br w:val="nil"/>
              <w:tr2bl w:val="nil"/>
            </w:tcBorders>
            <w:vAlign w:val="center"/>
          </w:tcPr>
          <w:p w14:paraId="2DDDAD06">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-27</w:t>
            </w:r>
          </w:p>
        </w:tc>
        <w:tc>
          <w:tcPr>
            <w:tcW w:w="0" w:type="auto"/>
            <w:tcBorders>
              <w:top w:val="single" w:color="auto" w:sz="4" w:space="0"/>
              <w:left w:val="single" w:color="auto" w:sz="4" w:space="0"/>
              <w:bottom w:val="single" w:color="auto" w:sz="12" w:space="0"/>
              <w:right w:val="single" w:color="auto" w:sz="4" w:space="0"/>
              <w:tl2br w:val="nil"/>
              <w:tr2bl w:val="nil"/>
            </w:tcBorders>
            <w:vAlign w:val="center"/>
          </w:tcPr>
          <w:p w14:paraId="00321255">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default" w:ascii="Times New Roman" w:hAnsi="Times New Roman" w:eastAsia="宋体" w:cs="Times New Roman"/>
                <w:b w:val="0"/>
                <w:bCs w:val="0"/>
                <w:color w:val="auto"/>
                <w:spacing w:val="0"/>
                <w:sz w:val="21"/>
                <w:szCs w:val="21"/>
                <w:highlight w:val="none"/>
                <w:lang w:val="en-US" w:eastAsia="zh-CN"/>
              </w:rPr>
            </w:pPr>
            <w:r>
              <w:rPr>
                <w:rFonts w:hint="eastAsia" w:ascii="Times New Roman" w:hAnsi="Times New Roman" w:eastAsia="宋体" w:cs="Times New Roman"/>
                <w:b w:val="0"/>
                <w:bCs w:val="0"/>
                <w:color w:val="auto"/>
                <w:spacing w:val="0"/>
                <w:sz w:val="21"/>
                <w:szCs w:val="21"/>
                <w:highlight w:val="none"/>
                <w:lang w:val="en-US" w:eastAsia="zh-CN"/>
              </w:rPr>
              <w:t>-30</w:t>
            </w:r>
          </w:p>
        </w:tc>
        <w:tc>
          <w:tcPr>
            <w:tcW w:w="0" w:type="auto"/>
            <w:tcBorders>
              <w:top w:val="single" w:color="auto" w:sz="4" w:space="0"/>
              <w:left w:val="single" w:color="auto" w:sz="4" w:space="0"/>
              <w:bottom w:val="single" w:color="auto" w:sz="12" w:space="0"/>
              <w:right w:val="single" w:color="auto" w:sz="4" w:space="0"/>
              <w:tl2br w:val="nil"/>
              <w:tr2bl w:val="nil"/>
            </w:tcBorders>
            <w:vAlign w:val="center"/>
          </w:tcPr>
          <w:p w14:paraId="22EC2BFB">
            <w:pPr>
              <w:keepNext w:val="0"/>
              <w:keepLines w:val="0"/>
              <w:pageBreakBefore w:val="0"/>
              <w:widowControl w:val="0"/>
              <w:kinsoku/>
              <w:wordWrap/>
              <w:overflowPunct/>
              <w:topLinePunct w:val="0"/>
              <w:bidi w:val="0"/>
              <w:adjustRightInd/>
              <w:snapToGrid/>
              <w:spacing w:line="360" w:lineRule="exact"/>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1266</w:t>
            </w:r>
          </w:p>
        </w:tc>
        <w:tc>
          <w:tcPr>
            <w:tcW w:w="0" w:type="auto"/>
            <w:tcBorders>
              <w:top w:val="single" w:color="auto" w:sz="4" w:space="0"/>
              <w:left w:val="single" w:color="auto" w:sz="4" w:space="0"/>
              <w:bottom w:val="single" w:color="auto" w:sz="12" w:space="0"/>
              <w:right w:val="single" w:color="auto" w:sz="4" w:space="0"/>
              <w:tl2br w:val="nil"/>
              <w:tr2bl w:val="nil"/>
            </w:tcBorders>
            <w:vAlign w:val="center"/>
          </w:tcPr>
          <w:p w14:paraId="060A9DB5">
            <w:pPr>
              <w:keepNext w:val="0"/>
              <w:keepLines w:val="0"/>
              <w:pageBreakBefore w:val="0"/>
              <w:widowControl w:val="0"/>
              <w:kinsoku/>
              <w:wordWrap/>
              <w:overflowPunct/>
              <w:topLinePunct w:val="0"/>
              <w:bidi w:val="0"/>
              <w:adjustRightInd/>
              <w:snapToGrid/>
              <w:spacing w:line="360" w:lineRule="exact"/>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240</w:t>
            </w:r>
          </w:p>
        </w:tc>
        <w:tc>
          <w:tcPr>
            <w:tcW w:w="0" w:type="auto"/>
            <w:tcBorders>
              <w:top w:val="single" w:color="auto" w:sz="4" w:space="0"/>
              <w:left w:val="single" w:color="auto" w:sz="4" w:space="0"/>
              <w:bottom w:val="single" w:color="auto" w:sz="12" w:space="0"/>
              <w:right w:val="single" w:color="auto" w:sz="4" w:space="0"/>
              <w:tl2br w:val="nil"/>
              <w:tr2bl w:val="nil"/>
            </w:tcBorders>
            <w:vAlign w:val="center"/>
          </w:tcPr>
          <w:p w14:paraId="3D454000">
            <w:pPr>
              <w:keepNext w:val="0"/>
              <w:keepLines w:val="0"/>
              <w:pageBreakBefore w:val="0"/>
              <w:widowControl w:val="0"/>
              <w:kinsoku/>
              <w:wordWrap/>
              <w:overflowPunct/>
              <w:topLinePunct w:val="0"/>
              <w:bidi w:val="0"/>
              <w:adjustRightInd/>
              <w:snapToGrid/>
              <w:spacing w:line="360" w:lineRule="exact"/>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0" w:type="auto"/>
            <w:tcBorders>
              <w:top w:val="single" w:color="auto" w:sz="4" w:space="0"/>
              <w:left w:val="single" w:color="auto" w:sz="4" w:space="0"/>
              <w:bottom w:val="single" w:color="auto" w:sz="12" w:space="0"/>
              <w:right w:val="single" w:color="auto" w:sz="4" w:space="0"/>
              <w:tl2br w:val="nil"/>
              <w:tr2bl w:val="nil"/>
            </w:tcBorders>
            <w:vAlign w:val="center"/>
          </w:tcPr>
          <w:p w14:paraId="65184156">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35</w:t>
            </w:r>
          </w:p>
        </w:tc>
        <w:tc>
          <w:tcPr>
            <w:tcW w:w="0" w:type="auto"/>
            <w:tcBorders>
              <w:top w:val="single" w:color="auto" w:sz="4" w:space="0"/>
              <w:left w:val="single" w:color="auto" w:sz="4" w:space="0"/>
              <w:bottom w:val="single" w:color="auto" w:sz="12" w:space="0"/>
              <w:right w:val="single" w:color="auto" w:sz="4" w:space="0"/>
              <w:tl2br w:val="nil"/>
              <w:tr2bl w:val="nil"/>
            </w:tcBorders>
            <w:vAlign w:val="center"/>
          </w:tcPr>
          <w:p w14:paraId="0AB16553">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w:t>
            </w:r>
            <w:r>
              <w:rPr>
                <w:rFonts w:hint="default" w:ascii="Times New Roman" w:hAnsi="Times New Roman" w:eastAsia="宋体" w:cs="Times New Roman"/>
                <w:color w:val="auto"/>
                <w:spacing w:val="0"/>
                <w:sz w:val="21"/>
                <w:szCs w:val="21"/>
                <w:highlight w:val="none"/>
                <w:lang w:val="en-US" w:eastAsia="zh-CN"/>
              </w:rPr>
              <w:t>5</w:t>
            </w:r>
          </w:p>
        </w:tc>
        <w:tc>
          <w:tcPr>
            <w:tcW w:w="0" w:type="auto"/>
            <w:tcBorders>
              <w:top w:val="single" w:color="auto" w:sz="4" w:space="0"/>
              <w:left w:val="single" w:color="auto" w:sz="4" w:space="0"/>
              <w:bottom w:val="single" w:color="auto" w:sz="12" w:space="0"/>
              <w:right w:val="single" w:color="auto" w:sz="4" w:space="0"/>
              <w:tl2br w:val="nil"/>
              <w:tr2bl w:val="nil"/>
            </w:tcBorders>
            <w:vAlign w:val="center"/>
          </w:tcPr>
          <w:p w14:paraId="51761C6F">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3600</w:t>
            </w:r>
          </w:p>
        </w:tc>
        <w:tc>
          <w:tcPr>
            <w:tcW w:w="0" w:type="auto"/>
            <w:tcBorders>
              <w:top w:val="single" w:color="auto" w:sz="4" w:space="0"/>
              <w:left w:val="single" w:color="auto" w:sz="4" w:space="0"/>
              <w:bottom w:val="single" w:color="auto" w:sz="12" w:space="0"/>
              <w:right w:val="single" w:color="auto" w:sz="4" w:space="0"/>
              <w:tl2br w:val="nil"/>
              <w:tr2bl w:val="nil"/>
            </w:tcBorders>
            <w:vAlign w:val="center"/>
          </w:tcPr>
          <w:p w14:paraId="30EE2B17">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正常</w:t>
            </w:r>
          </w:p>
        </w:tc>
        <w:tc>
          <w:tcPr>
            <w:tcW w:w="0" w:type="auto"/>
            <w:tcBorders>
              <w:top w:val="single" w:color="auto" w:sz="4" w:space="0"/>
              <w:left w:val="single" w:color="auto" w:sz="4" w:space="0"/>
              <w:bottom w:val="single" w:color="auto" w:sz="12" w:space="0"/>
              <w:right w:val="single" w:color="auto" w:sz="4" w:space="0"/>
              <w:tl2br w:val="nil"/>
              <w:tr2bl w:val="nil"/>
            </w:tcBorders>
            <w:vAlign w:val="center"/>
          </w:tcPr>
          <w:p w14:paraId="4C7BA4E6">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0.717</w:t>
            </w:r>
            <w:r>
              <w:rPr>
                <w:rFonts w:hint="default" w:ascii="Times New Roman" w:hAnsi="Times New Roman" w:eastAsia="宋体" w:cs="Times New Roman"/>
                <w:color w:val="auto"/>
                <w:spacing w:val="0"/>
                <w:sz w:val="21"/>
                <w:szCs w:val="21"/>
                <w:highlight w:val="none"/>
              </w:rPr>
              <w:t>kg/h</w:t>
            </w:r>
          </w:p>
        </w:tc>
        <w:tc>
          <w:tcPr>
            <w:tcW w:w="0" w:type="auto"/>
            <w:tcBorders>
              <w:top w:val="single" w:color="auto" w:sz="4" w:space="0"/>
              <w:left w:val="single" w:color="auto" w:sz="4" w:space="0"/>
              <w:bottom w:val="single" w:color="auto" w:sz="12" w:space="0"/>
              <w:right w:val="single" w:color="auto" w:sz="12" w:space="0"/>
              <w:tl2br w:val="nil"/>
              <w:tr2bl w:val="nil"/>
            </w:tcBorders>
            <w:vAlign w:val="center"/>
          </w:tcPr>
          <w:p w14:paraId="15FEA661">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0.0889</w:t>
            </w:r>
            <w:r>
              <w:rPr>
                <w:rFonts w:hint="default" w:ascii="Times New Roman" w:hAnsi="Times New Roman" w:eastAsia="宋体" w:cs="Times New Roman"/>
                <w:color w:val="auto"/>
                <w:spacing w:val="0"/>
                <w:sz w:val="21"/>
                <w:szCs w:val="21"/>
                <w:highlight w:val="none"/>
              </w:rPr>
              <w:t>kg/h</w:t>
            </w:r>
          </w:p>
        </w:tc>
      </w:tr>
      <w:tr w14:paraId="282241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12" w:space="0"/>
              <w:bottom w:val="single" w:color="auto" w:sz="12" w:space="0"/>
              <w:right w:val="single" w:color="auto" w:sz="4" w:space="0"/>
              <w:tl2br w:val="nil"/>
              <w:tr2bl w:val="nil"/>
            </w:tcBorders>
            <w:vAlign w:val="center"/>
          </w:tcPr>
          <w:p w14:paraId="0489D8E6">
            <w:pPr>
              <w:keepNext w:val="0"/>
              <w:keepLines w:val="0"/>
              <w:pageBreakBefore w:val="0"/>
              <w:widowControl w:val="0"/>
              <w:kinsoku/>
              <w:wordWrap/>
              <w:overflowPunct/>
              <w:topLinePunct w:val="0"/>
              <w:bidi w:val="0"/>
              <w:adjustRightInd/>
              <w:snapToGrid/>
              <w:spacing w:line="360" w:lineRule="exact"/>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DA</w:t>
            </w:r>
          </w:p>
          <w:p w14:paraId="5653F890">
            <w:pPr>
              <w:keepNext w:val="0"/>
              <w:keepLines w:val="0"/>
              <w:pageBreakBefore w:val="0"/>
              <w:widowControl w:val="0"/>
              <w:kinsoku/>
              <w:wordWrap/>
              <w:overflowPunct/>
              <w:topLinePunct w:val="0"/>
              <w:bidi w:val="0"/>
              <w:adjustRightInd/>
              <w:snapToGrid/>
              <w:spacing w:line="360" w:lineRule="exact"/>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005</w:t>
            </w:r>
          </w:p>
        </w:tc>
        <w:tc>
          <w:tcPr>
            <w:tcW w:w="0" w:type="auto"/>
            <w:tcBorders>
              <w:top w:val="single" w:color="auto" w:sz="4" w:space="0"/>
              <w:left w:val="single" w:color="auto" w:sz="4" w:space="0"/>
              <w:bottom w:val="single" w:color="auto" w:sz="12" w:space="0"/>
              <w:right w:val="single" w:color="auto" w:sz="4" w:space="0"/>
              <w:tl2br w:val="nil"/>
              <w:tr2bl w:val="nil"/>
            </w:tcBorders>
            <w:vAlign w:val="center"/>
          </w:tcPr>
          <w:p w14:paraId="7E8E5AE6">
            <w:pPr>
              <w:keepNext w:val="0"/>
              <w:keepLines w:val="0"/>
              <w:pageBreakBefore w:val="0"/>
              <w:widowControl w:val="0"/>
              <w:kinsoku/>
              <w:wordWrap/>
              <w:overflowPunct/>
              <w:topLinePunct w:val="0"/>
              <w:bidi w:val="0"/>
              <w:adjustRightInd/>
              <w:snapToGrid/>
              <w:spacing w:line="360" w:lineRule="exact"/>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尾矿库</w:t>
            </w:r>
          </w:p>
        </w:tc>
        <w:tc>
          <w:tcPr>
            <w:tcW w:w="0" w:type="auto"/>
            <w:tcBorders>
              <w:top w:val="single" w:color="auto" w:sz="4" w:space="0"/>
              <w:left w:val="single" w:color="auto" w:sz="4" w:space="0"/>
              <w:bottom w:val="single" w:color="auto" w:sz="12" w:space="0"/>
              <w:right w:val="single" w:color="auto" w:sz="4" w:space="0"/>
              <w:tl2br w:val="nil"/>
              <w:tr2bl w:val="nil"/>
            </w:tcBorders>
            <w:vAlign w:val="center"/>
          </w:tcPr>
          <w:p w14:paraId="195DD4B5">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305</w:t>
            </w:r>
          </w:p>
        </w:tc>
        <w:tc>
          <w:tcPr>
            <w:tcW w:w="0" w:type="auto"/>
            <w:tcBorders>
              <w:top w:val="single" w:color="auto" w:sz="4" w:space="0"/>
              <w:left w:val="single" w:color="auto" w:sz="4" w:space="0"/>
              <w:bottom w:val="single" w:color="auto" w:sz="12" w:space="0"/>
              <w:right w:val="single" w:color="auto" w:sz="4" w:space="0"/>
              <w:tl2br w:val="nil"/>
              <w:tr2bl w:val="nil"/>
            </w:tcBorders>
            <w:vAlign w:val="center"/>
          </w:tcPr>
          <w:p w14:paraId="592F229C">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default" w:ascii="Times New Roman" w:hAnsi="Times New Roman" w:eastAsia="宋体" w:cs="Times New Roman"/>
                <w:b w:val="0"/>
                <w:bCs w:val="0"/>
                <w:color w:val="auto"/>
                <w:spacing w:val="0"/>
                <w:sz w:val="21"/>
                <w:szCs w:val="21"/>
                <w:highlight w:val="none"/>
                <w:lang w:val="en-US" w:eastAsia="zh-CN"/>
              </w:rPr>
            </w:pPr>
            <w:r>
              <w:rPr>
                <w:rFonts w:hint="eastAsia" w:ascii="Times New Roman" w:hAnsi="Times New Roman" w:eastAsia="宋体" w:cs="Times New Roman"/>
                <w:b w:val="0"/>
                <w:bCs w:val="0"/>
                <w:color w:val="auto"/>
                <w:spacing w:val="0"/>
                <w:sz w:val="21"/>
                <w:szCs w:val="21"/>
                <w:highlight w:val="none"/>
                <w:lang w:val="en-US" w:eastAsia="zh-CN"/>
              </w:rPr>
              <w:t>470</w:t>
            </w:r>
          </w:p>
        </w:tc>
        <w:tc>
          <w:tcPr>
            <w:tcW w:w="0" w:type="auto"/>
            <w:tcBorders>
              <w:top w:val="single" w:color="auto" w:sz="4" w:space="0"/>
              <w:left w:val="single" w:color="auto" w:sz="4" w:space="0"/>
              <w:bottom w:val="single" w:color="auto" w:sz="12" w:space="0"/>
              <w:right w:val="single" w:color="auto" w:sz="4" w:space="0"/>
              <w:tl2br w:val="nil"/>
              <w:tr2bl w:val="nil"/>
            </w:tcBorders>
            <w:vAlign w:val="center"/>
          </w:tcPr>
          <w:p w14:paraId="20F55B0D">
            <w:pPr>
              <w:keepNext w:val="0"/>
              <w:keepLines w:val="0"/>
              <w:pageBreakBefore w:val="0"/>
              <w:widowControl w:val="0"/>
              <w:kinsoku/>
              <w:wordWrap/>
              <w:overflowPunct/>
              <w:topLinePunct w:val="0"/>
              <w:bidi w:val="0"/>
              <w:adjustRightInd/>
              <w:snapToGrid/>
              <w:spacing w:line="360" w:lineRule="exact"/>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1239</w:t>
            </w:r>
          </w:p>
        </w:tc>
        <w:tc>
          <w:tcPr>
            <w:tcW w:w="0" w:type="auto"/>
            <w:tcBorders>
              <w:top w:val="single" w:color="auto" w:sz="4" w:space="0"/>
              <w:left w:val="single" w:color="auto" w:sz="4" w:space="0"/>
              <w:bottom w:val="single" w:color="auto" w:sz="12" w:space="0"/>
              <w:right w:val="single" w:color="auto" w:sz="4" w:space="0"/>
              <w:tl2br w:val="nil"/>
              <w:tr2bl w:val="nil"/>
            </w:tcBorders>
            <w:vAlign w:val="center"/>
          </w:tcPr>
          <w:p w14:paraId="78944BF7">
            <w:pPr>
              <w:keepNext w:val="0"/>
              <w:keepLines w:val="0"/>
              <w:pageBreakBefore w:val="0"/>
              <w:widowControl w:val="0"/>
              <w:kinsoku/>
              <w:wordWrap/>
              <w:overflowPunct/>
              <w:topLinePunct w:val="0"/>
              <w:bidi w:val="0"/>
              <w:adjustRightInd/>
              <w:snapToGrid/>
              <w:spacing w:line="360" w:lineRule="exact"/>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1446</w:t>
            </w:r>
          </w:p>
        </w:tc>
        <w:tc>
          <w:tcPr>
            <w:tcW w:w="0" w:type="auto"/>
            <w:tcBorders>
              <w:top w:val="single" w:color="auto" w:sz="4" w:space="0"/>
              <w:left w:val="single" w:color="auto" w:sz="4" w:space="0"/>
              <w:bottom w:val="single" w:color="auto" w:sz="12" w:space="0"/>
              <w:right w:val="single" w:color="auto" w:sz="4" w:space="0"/>
              <w:tl2br w:val="nil"/>
              <w:tr2bl w:val="nil"/>
            </w:tcBorders>
            <w:vAlign w:val="center"/>
          </w:tcPr>
          <w:p w14:paraId="08B74BCB">
            <w:pPr>
              <w:keepNext w:val="0"/>
              <w:keepLines w:val="0"/>
              <w:pageBreakBefore w:val="0"/>
              <w:widowControl w:val="0"/>
              <w:kinsoku/>
              <w:wordWrap/>
              <w:overflowPunct/>
              <w:topLinePunct w:val="0"/>
              <w:bidi w:val="0"/>
              <w:adjustRightInd/>
              <w:snapToGrid/>
              <w:spacing w:line="360" w:lineRule="exact"/>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0" w:type="auto"/>
            <w:tcBorders>
              <w:top w:val="single" w:color="auto" w:sz="4" w:space="0"/>
              <w:left w:val="single" w:color="auto" w:sz="4" w:space="0"/>
              <w:bottom w:val="single" w:color="auto" w:sz="12" w:space="0"/>
              <w:right w:val="single" w:color="auto" w:sz="4" w:space="0"/>
              <w:tl2br w:val="nil"/>
              <w:tr2bl w:val="nil"/>
            </w:tcBorders>
            <w:vAlign w:val="center"/>
          </w:tcPr>
          <w:p w14:paraId="281BD4DF">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-45</w:t>
            </w:r>
          </w:p>
        </w:tc>
        <w:tc>
          <w:tcPr>
            <w:tcW w:w="0" w:type="auto"/>
            <w:tcBorders>
              <w:top w:val="single" w:color="auto" w:sz="4" w:space="0"/>
              <w:left w:val="single" w:color="auto" w:sz="4" w:space="0"/>
              <w:bottom w:val="single" w:color="auto" w:sz="12" w:space="0"/>
              <w:right w:val="single" w:color="auto" w:sz="4" w:space="0"/>
              <w:tl2br w:val="nil"/>
              <w:tr2bl w:val="nil"/>
            </w:tcBorders>
            <w:vAlign w:val="center"/>
          </w:tcPr>
          <w:p w14:paraId="2F68CC4F">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5</w:t>
            </w:r>
          </w:p>
        </w:tc>
        <w:tc>
          <w:tcPr>
            <w:tcW w:w="0" w:type="auto"/>
            <w:tcBorders>
              <w:top w:val="single" w:color="auto" w:sz="4" w:space="0"/>
              <w:left w:val="single" w:color="auto" w:sz="4" w:space="0"/>
              <w:bottom w:val="single" w:color="auto" w:sz="12" w:space="0"/>
              <w:right w:val="single" w:color="auto" w:sz="4" w:space="0"/>
              <w:tl2br w:val="nil"/>
              <w:tr2bl w:val="nil"/>
            </w:tcBorders>
            <w:vAlign w:val="center"/>
          </w:tcPr>
          <w:p w14:paraId="0D23C066">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8760</w:t>
            </w:r>
          </w:p>
        </w:tc>
        <w:tc>
          <w:tcPr>
            <w:tcW w:w="0" w:type="auto"/>
            <w:tcBorders>
              <w:top w:val="single" w:color="auto" w:sz="4" w:space="0"/>
              <w:left w:val="single" w:color="auto" w:sz="4" w:space="0"/>
              <w:bottom w:val="single" w:color="auto" w:sz="12" w:space="0"/>
              <w:right w:val="single" w:color="auto" w:sz="4" w:space="0"/>
              <w:tl2br w:val="nil"/>
              <w:tr2bl w:val="nil"/>
            </w:tcBorders>
            <w:vAlign w:val="center"/>
          </w:tcPr>
          <w:p w14:paraId="4C3A3357">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正常</w:t>
            </w:r>
          </w:p>
        </w:tc>
        <w:tc>
          <w:tcPr>
            <w:tcW w:w="0" w:type="auto"/>
            <w:tcBorders>
              <w:top w:val="single" w:color="auto" w:sz="4" w:space="0"/>
              <w:left w:val="single" w:color="auto" w:sz="4" w:space="0"/>
              <w:bottom w:val="single" w:color="auto" w:sz="12" w:space="0"/>
              <w:right w:val="single" w:color="auto" w:sz="4" w:space="0"/>
              <w:tl2br w:val="nil"/>
              <w:tr2bl w:val="nil"/>
            </w:tcBorders>
            <w:vAlign w:val="center"/>
          </w:tcPr>
          <w:p w14:paraId="6F1AED7B">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0.000502kg/h</w:t>
            </w:r>
          </w:p>
        </w:tc>
        <w:tc>
          <w:tcPr>
            <w:tcW w:w="0" w:type="auto"/>
            <w:tcBorders>
              <w:top w:val="single" w:color="auto" w:sz="4" w:space="0"/>
              <w:left w:val="single" w:color="auto" w:sz="4" w:space="0"/>
              <w:bottom w:val="single" w:color="auto" w:sz="12" w:space="0"/>
              <w:right w:val="single" w:color="auto" w:sz="12" w:space="0"/>
              <w:tl2br w:val="nil"/>
              <w:tr2bl w:val="nil"/>
            </w:tcBorders>
            <w:vAlign w:val="center"/>
          </w:tcPr>
          <w:p w14:paraId="6A2F8224">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w:t>
            </w:r>
          </w:p>
        </w:tc>
      </w:tr>
    </w:tbl>
    <w:p w14:paraId="2FBBA22C">
      <w:pPr>
        <w:ind w:firstLine="0" w:firstLineChars="0"/>
        <w:jc w:val="center"/>
        <w:rPr>
          <w:rFonts w:hint="default" w:ascii="Times New Roman" w:hAnsi="Times New Roman" w:eastAsia="宋体" w:cs="Times New Roman"/>
          <w:b/>
          <w:color w:val="auto"/>
          <w:highlight w:val="none"/>
          <w:lang w:val="en-US" w:eastAsia="zh-CN"/>
        </w:rPr>
      </w:pPr>
      <w:r>
        <w:rPr>
          <w:rFonts w:hint="default" w:ascii="Times New Roman" w:hAnsi="Times New Roman" w:cs="Times New Roman"/>
          <w:b/>
          <w:color w:val="auto"/>
          <w:highlight w:val="none"/>
        </w:rPr>
        <w:t>表2.6-</w:t>
      </w:r>
      <w:r>
        <w:rPr>
          <w:rFonts w:hint="eastAsia" w:cs="Times New Roman"/>
          <w:b/>
          <w:color w:val="auto"/>
          <w:highlight w:val="none"/>
          <w:lang w:val="en-US" w:eastAsia="zh-CN"/>
        </w:rPr>
        <w:t>5</w:t>
      </w:r>
      <w:r>
        <w:rPr>
          <w:rFonts w:hint="default" w:ascii="Times New Roman" w:hAnsi="Times New Roman" w:cs="Times New Roman"/>
          <w:b/>
          <w:color w:val="auto"/>
          <w:highlight w:val="none"/>
        </w:rPr>
        <w:t xml:space="preserve">    污染物最大落地浓度统计表</w:t>
      </w:r>
    </w:p>
    <w:tbl>
      <w:tblPr>
        <w:tblStyle w:val="3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85"/>
        <w:gridCol w:w="880"/>
        <w:gridCol w:w="1599"/>
        <w:gridCol w:w="1510"/>
        <w:gridCol w:w="1200"/>
        <w:gridCol w:w="866"/>
        <w:gridCol w:w="879"/>
      </w:tblGrid>
      <w:tr w14:paraId="2F4A9B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930" w:type="pct"/>
            <w:vAlign w:val="center"/>
          </w:tcPr>
          <w:p w14:paraId="63BE35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污染源</w:t>
            </w:r>
          </w:p>
        </w:tc>
        <w:tc>
          <w:tcPr>
            <w:tcW w:w="516" w:type="pct"/>
            <w:vAlign w:val="center"/>
          </w:tcPr>
          <w:p w14:paraId="5113DC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污染物</w:t>
            </w:r>
          </w:p>
        </w:tc>
        <w:tc>
          <w:tcPr>
            <w:tcW w:w="938" w:type="pct"/>
            <w:vAlign w:val="center"/>
          </w:tcPr>
          <w:p w14:paraId="691EE5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最大落地浓度（μg/m</w:t>
            </w:r>
            <w:r>
              <w:rPr>
                <w:rFonts w:hint="default" w:ascii="Times New Roman" w:hAnsi="Times New Roman" w:eastAsia="宋体" w:cs="Times New Roman"/>
                <w:b/>
                <w:bCs/>
                <w:color w:val="auto"/>
                <w:kern w:val="0"/>
                <w:sz w:val="21"/>
                <w:szCs w:val="21"/>
                <w:highlight w:val="none"/>
                <w:vertAlign w:val="superscript"/>
              </w:rPr>
              <w:t>3</w:t>
            </w:r>
            <w:r>
              <w:rPr>
                <w:rFonts w:hint="default" w:ascii="Times New Roman" w:hAnsi="Times New Roman" w:eastAsia="宋体" w:cs="Times New Roman"/>
                <w:b/>
                <w:bCs/>
                <w:color w:val="auto"/>
                <w:kern w:val="0"/>
                <w:sz w:val="21"/>
                <w:szCs w:val="21"/>
                <w:highlight w:val="none"/>
              </w:rPr>
              <w:t>）</w:t>
            </w:r>
          </w:p>
        </w:tc>
        <w:tc>
          <w:tcPr>
            <w:tcW w:w="886" w:type="pct"/>
            <w:vAlign w:val="center"/>
          </w:tcPr>
          <w:p w14:paraId="5830E0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最大浓度落地</w:t>
            </w:r>
          </w:p>
          <w:p w14:paraId="4D0E59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val="en-US" w:eastAsia="zh-CN"/>
              </w:rPr>
              <w:t>距离</w:t>
            </w:r>
            <w:r>
              <w:rPr>
                <w:rFonts w:hint="default" w:ascii="Times New Roman" w:hAnsi="Times New Roman" w:cs="Times New Roman"/>
                <w:b/>
                <w:bCs/>
                <w:color w:val="auto"/>
                <w:kern w:val="0"/>
                <w:sz w:val="21"/>
                <w:szCs w:val="21"/>
                <w:highlight w:val="none"/>
                <w:lang w:val="en-US" w:eastAsia="zh-CN"/>
              </w:rPr>
              <w:t>（</w:t>
            </w:r>
            <w:r>
              <w:rPr>
                <w:rFonts w:hint="default" w:ascii="Times New Roman" w:hAnsi="Times New Roman" w:eastAsia="宋体" w:cs="Times New Roman"/>
                <w:b/>
                <w:bCs/>
                <w:color w:val="auto"/>
                <w:kern w:val="0"/>
                <w:sz w:val="21"/>
                <w:szCs w:val="21"/>
                <w:highlight w:val="none"/>
                <w:lang w:val="en-US" w:eastAsia="zh-CN"/>
              </w:rPr>
              <w:t>m</w:t>
            </w:r>
            <w:r>
              <w:rPr>
                <w:rFonts w:hint="default" w:ascii="Times New Roman" w:hAnsi="Times New Roman" w:cs="Times New Roman"/>
                <w:b/>
                <w:bCs/>
                <w:color w:val="auto"/>
                <w:kern w:val="0"/>
                <w:sz w:val="21"/>
                <w:szCs w:val="21"/>
                <w:highlight w:val="none"/>
                <w:lang w:val="en-US" w:eastAsia="zh-CN"/>
              </w:rPr>
              <w:t>）</w:t>
            </w:r>
          </w:p>
        </w:tc>
        <w:tc>
          <w:tcPr>
            <w:tcW w:w="704" w:type="pct"/>
            <w:vAlign w:val="center"/>
          </w:tcPr>
          <w:p w14:paraId="3F8F7F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rPr>
              <w:t>占标率</w:t>
            </w:r>
            <w:r>
              <w:rPr>
                <w:rFonts w:hint="default" w:ascii="Times New Roman" w:hAnsi="Times New Roman" w:cs="Times New Roman"/>
                <w:b/>
                <w:bCs/>
                <w:color w:val="auto"/>
                <w:kern w:val="0"/>
                <w:sz w:val="21"/>
                <w:szCs w:val="21"/>
                <w:highlight w:val="none"/>
                <w:lang w:eastAsia="zh-CN"/>
              </w:rPr>
              <w:t>（</w:t>
            </w:r>
            <w:r>
              <w:rPr>
                <w:rFonts w:hint="default" w:ascii="Times New Roman" w:hAnsi="Times New Roman" w:eastAsia="宋体" w:cs="Times New Roman"/>
                <w:b/>
                <w:bCs/>
                <w:color w:val="auto"/>
                <w:kern w:val="0"/>
                <w:sz w:val="21"/>
                <w:szCs w:val="21"/>
                <w:highlight w:val="none"/>
              </w:rPr>
              <w:t>%</w:t>
            </w:r>
            <w:r>
              <w:rPr>
                <w:rFonts w:hint="default" w:ascii="Times New Roman" w:hAnsi="Times New Roman" w:cs="Times New Roman"/>
                <w:b/>
                <w:bCs/>
                <w:color w:val="auto"/>
                <w:kern w:val="0"/>
                <w:sz w:val="21"/>
                <w:szCs w:val="21"/>
                <w:highlight w:val="none"/>
                <w:lang w:eastAsia="zh-CN"/>
              </w:rPr>
              <w:t>）</w:t>
            </w:r>
          </w:p>
        </w:tc>
        <w:tc>
          <w:tcPr>
            <w:tcW w:w="508" w:type="pct"/>
            <w:vAlign w:val="center"/>
          </w:tcPr>
          <w:p w14:paraId="08840F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D</w:t>
            </w:r>
            <w:r>
              <w:rPr>
                <w:rFonts w:hint="default" w:ascii="Times New Roman" w:hAnsi="Times New Roman" w:eastAsia="宋体" w:cs="Times New Roman"/>
                <w:b/>
                <w:bCs/>
                <w:color w:val="auto"/>
                <w:sz w:val="21"/>
                <w:szCs w:val="21"/>
                <w:highlight w:val="none"/>
                <w:vertAlign w:val="subscript"/>
                <w:lang w:val="en-US" w:eastAsia="zh-CN"/>
              </w:rPr>
              <w:t>10%</w:t>
            </w:r>
          </w:p>
          <w:p w14:paraId="035F154F">
            <w:pPr>
              <w:pStyle w:val="3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lang w:val="en-US" w:eastAsia="zh-CN"/>
              </w:rPr>
              <w:t>m</w:t>
            </w:r>
            <w:r>
              <w:rPr>
                <w:rFonts w:hint="eastAsia" w:cs="Times New Roman"/>
                <w:b/>
                <w:bCs/>
                <w:color w:val="auto"/>
                <w:sz w:val="21"/>
                <w:szCs w:val="21"/>
                <w:highlight w:val="none"/>
                <w:lang w:val="en-US" w:eastAsia="zh-CN"/>
              </w:rPr>
              <w:t>）</w:t>
            </w:r>
          </w:p>
        </w:tc>
        <w:tc>
          <w:tcPr>
            <w:tcW w:w="515" w:type="pct"/>
            <w:vAlign w:val="center"/>
          </w:tcPr>
          <w:p w14:paraId="160CEF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评价</w:t>
            </w:r>
          </w:p>
          <w:p w14:paraId="1D1F90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等级</w:t>
            </w:r>
          </w:p>
        </w:tc>
      </w:tr>
      <w:tr w14:paraId="7B8B08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0" w:type="pct"/>
            <w:vMerge w:val="restart"/>
            <w:vAlign w:val="center"/>
          </w:tcPr>
          <w:p w14:paraId="1A633E23">
            <w:pPr>
              <w:spacing w:line="360" w:lineRule="exact"/>
              <w:ind w:firstLine="0" w:firstLineChars="0"/>
              <w:jc w:val="center"/>
              <w:rPr>
                <w:rFonts w:hint="default" w:ascii="Times New Roman" w:hAnsi="Times New Roman" w:eastAsia="宋体" w:cs="Times New Roman"/>
                <w:b w:val="0"/>
                <w:bCs w:val="0"/>
                <w:color w:val="auto"/>
                <w:kern w:val="0"/>
                <w:sz w:val="21"/>
                <w:szCs w:val="21"/>
                <w:highlight w:val="none"/>
                <w:lang w:eastAsia="zh-CN"/>
              </w:rPr>
            </w:pPr>
            <w:r>
              <w:rPr>
                <w:rFonts w:hint="default" w:ascii="Times New Roman" w:hAnsi="Times New Roman" w:cs="Times New Roman"/>
                <w:color w:val="auto"/>
                <w:sz w:val="21"/>
                <w:szCs w:val="21"/>
                <w:highlight w:val="none"/>
                <w:lang w:eastAsia="zh-CN"/>
              </w:rPr>
              <w:t>粗碎车间</w:t>
            </w:r>
            <w:r>
              <w:rPr>
                <w:rFonts w:hint="default" w:ascii="Times New Roman" w:hAnsi="Times New Roman" w:cs="Times New Roman"/>
                <w:color w:val="auto"/>
                <w:sz w:val="21"/>
                <w:szCs w:val="21"/>
                <w:highlight w:val="none"/>
              </w:rPr>
              <w:t>排气筒</w:t>
            </w:r>
          </w:p>
        </w:tc>
        <w:tc>
          <w:tcPr>
            <w:tcW w:w="516" w:type="pct"/>
            <w:vAlign w:val="center"/>
          </w:tcPr>
          <w:p w14:paraId="114AA3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t>PM</w:t>
            </w:r>
            <w:r>
              <w:rPr>
                <w:rFonts w:hint="default" w:ascii="Times New Roman" w:hAnsi="Times New Roman" w:cs="Times New Roman"/>
                <w:color w:val="auto"/>
                <w:sz w:val="21"/>
                <w:szCs w:val="21"/>
                <w:highlight w:val="none"/>
                <w:vertAlign w:val="subscript"/>
                <w:lang w:val="en-US" w:eastAsia="zh-CN"/>
              </w:rPr>
              <w:t>10</w:t>
            </w:r>
          </w:p>
        </w:tc>
        <w:tc>
          <w:tcPr>
            <w:tcW w:w="938" w:type="pct"/>
            <w:vAlign w:val="center"/>
          </w:tcPr>
          <w:p w14:paraId="4D8F276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5.5785</w:t>
            </w:r>
          </w:p>
        </w:tc>
        <w:tc>
          <w:tcPr>
            <w:tcW w:w="886" w:type="pct"/>
            <w:vAlign w:val="center"/>
          </w:tcPr>
          <w:p w14:paraId="1CC573D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149</w:t>
            </w:r>
          </w:p>
        </w:tc>
        <w:tc>
          <w:tcPr>
            <w:tcW w:w="704" w:type="pct"/>
            <w:vAlign w:val="center"/>
          </w:tcPr>
          <w:p w14:paraId="6B189AE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1.55</w:t>
            </w:r>
          </w:p>
        </w:tc>
        <w:tc>
          <w:tcPr>
            <w:tcW w:w="508" w:type="pct"/>
            <w:vAlign w:val="center"/>
          </w:tcPr>
          <w:p w14:paraId="7C49DF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c>
          <w:tcPr>
            <w:tcW w:w="515" w:type="pct"/>
            <w:vAlign w:val="center"/>
          </w:tcPr>
          <w:p w14:paraId="4A8916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二级</w:t>
            </w:r>
          </w:p>
        </w:tc>
      </w:tr>
      <w:tr w14:paraId="2B631B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0" w:type="pct"/>
            <w:vMerge w:val="continue"/>
            <w:vAlign w:val="center"/>
          </w:tcPr>
          <w:p w14:paraId="118C235C">
            <w:pPr>
              <w:spacing w:line="360" w:lineRule="exact"/>
              <w:ind w:firstLine="0" w:firstLineChars="0"/>
              <w:jc w:val="center"/>
              <w:rPr>
                <w:rFonts w:hint="default" w:ascii="Times New Roman" w:hAnsi="Times New Roman" w:cs="Times New Roman"/>
                <w:color w:val="auto"/>
                <w:sz w:val="21"/>
                <w:szCs w:val="21"/>
                <w:highlight w:val="none"/>
                <w:lang w:eastAsia="zh-CN"/>
              </w:rPr>
            </w:pPr>
          </w:p>
        </w:tc>
        <w:tc>
          <w:tcPr>
            <w:tcW w:w="516" w:type="pct"/>
            <w:vAlign w:val="center"/>
          </w:tcPr>
          <w:p w14:paraId="56295F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氟化物</w:t>
            </w:r>
          </w:p>
        </w:tc>
        <w:tc>
          <w:tcPr>
            <w:tcW w:w="938" w:type="pct"/>
            <w:vAlign w:val="center"/>
          </w:tcPr>
          <w:p w14:paraId="3B875AB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0.69943</w:t>
            </w:r>
          </w:p>
        </w:tc>
        <w:tc>
          <w:tcPr>
            <w:tcW w:w="886" w:type="pct"/>
            <w:vAlign w:val="center"/>
          </w:tcPr>
          <w:p w14:paraId="02EDC88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149</w:t>
            </w:r>
          </w:p>
        </w:tc>
        <w:tc>
          <w:tcPr>
            <w:tcW w:w="704" w:type="pct"/>
            <w:vAlign w:val="center"/>
          </w:tcPr>
          <w:p w14:paraId="15A4643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3.50</w:t>
            </w:r>
          </w:p>
        </w:tc>
        <w:tc>
          <w:tcPr>
            <w:tcW w:w="508" w:type="pct"/>
            <w:vAlign w:val="center"/>
          </w:tcPr>
          <w:p w14:paraId="0F8C96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c>
          <w:tcPr>
            <w:tcW w:w="515" w:type="pct"/>
            <w:vAlign w:val="center"/>
          </w:tcPr>
          <w:p w14:paraId="38A54B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二级</w:t>
            </w:r>
          </w:p>
        </w:tc>
      </w:tr>
      <w:tr w14:paraId="695211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0" w:type="pct"/>
            <w:vMerge w:val="restart"/>
            <w:vAlign w:val="center"/>
          </w:tcPr>
          <w:p w14:paraId="622A13CC">
            <w:pPr>
              <w:spacing w:line="360" w:lineRule="exact"/>
              <w:ind w:firstLine="0" w:firstLineChars="0"/>
              <w:jc w:val="center"/>
              <w:rPr>
                <w:rFonts w:hint="default" w:ascii="Times New Roman" w:hAnsi="Times New Roman" w:eastAsia="宋体" w:cs="Times New Roman"/>
                <w:b w:val="0"/>
                <w:bCs w:val="0"/>
                <w:color w:val="auto"/>
                <w:kern w:val="0"/>
                <w:sz w:val="21"/>
                <w:szCs w:val="21"/>
                <w:highlight w:val="none"/>
                <w:lang w:eastAsia="zh-CN"/>
              </w:rPr>
            </w:pPr>
            <w:r>
              <w:rPr>
                <w:rFonts w:hint="default" w:ascii="Times New Roman" w:hAnsi="Times New Roman" w:eastAsia="宋体" w:cs="Times New Roman"/>
                <w:color w:val="auto"/>
                <w:sz w:val="21"/>
                <w:szCs w:val="21"/>
                <w:highlight w:val="none"/>
                <w:lang w:eastAsia="zh-CN"/>
              </w:rPr>
              <w:t>中碎</w:t>
            </w:r>
            <w:r>
              <w:rPr>
                <w:rFonts w:hint="default" w:ascii="Times New Roman" w:hAnsi="Times New Roman" w:cs="Times New Roman"/>
                <w:color w:val="auto"/>
                <w:sz w:val="21"/>
                <w:szCs w:val="21"/>
                <w:highlight w:val="none"/>
                <w:lang w:eastAsia="zh-CN"/>
              </w:rPr>
              <w:t>车间</w:t>
            </w:r>
            <w:r>
              <w:rPr>
                <w:rFonts w:hint="default" w:ascii="Times New Roman" w:hAnsi="Times New Roman" w:cs="Times New Roman"/>
                <w:color w:val="auto"/>
                <w:sz w:val="21"/>
                <w:szCs w:val="21"/>
                <w:highlight w:val="none"/>
              </w:rPr>
              <w:t>排气筒</w:t>
            </w:r>
          </w:p>
        </w:tc>
        <w:tc>
          <w:tcPr>
            <w:tcW w:w="516" w:type="pct"/>
            <w:vAlign w:val="center"/>
          </w:tcPr>
          <w:p w14:paraId="3A0871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t>PM</w:t>
            </w:r>
            <w:r>
              <w:rPr>
                <w:rFonts w:hint="default" w:ascii="Times New Roman" w:hAnsi="Times New Roman" w:cs="Times New Roman"/>
                <w:color w:val="auto"/>
                <w:sz w:val="21"/>
                <w:szCs w:val="21"/>
                <w:highlight w:val="none"/>
                <w:vertAlign w:val="subscript"/>
                <w:lang w:val="en-US" w:eastAsia="zh-CN"/>
              </w:rPr>
              <w:t>10</w:t>
            </w:r>
          </w:p>
        </w:tc>
        <w:tc>
          <w:tcPr>
            <w:tcW w:w="938" w:type="pct"/>
            <w:vAlign w:val="center"/>
          </w:tcPr>
          <w:p w14:paraId="33A454B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7.2594</w:t>
            </w:r>
          </w:p>
        </w:tc>
        <w:tc>
          <w:tcPr>
            <w:tcW w:w="886" w:type="pct"/>
            <w:vAlign w:val="center"/>
          </w:tcPr>
          <w:p w14:paraId="660C9DE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149</w:t>
            </w:r>
          </w:p>
        </w:tc>
        <w:tc>
          <w:tcPr>
            <w:tcW w:w="704" w:type="pct"/>
            <w:vAlign w:val="center"/>
          </w:tcPr>
          <w:p w14:paraId="6F155DD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2.02</w:t>
            </w:r>
          </w:p>
        </w:tc>
        <w:tc>
          <w:tcPr>
            <w:tcW w:w="508" w:type="pct"/>
            <w:vAlign w:val="center"/>
          </w:tcPr>
          <w:p w14:paraId="422502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c>
          <w:tcPr>
            <w:tcW w:w="515" w:type="pct"/>
            <w:vAlign w:val="center"/>
          </w:tcPr>
          <w:p w14:paraId="4BC5B1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二级</w:t>
            </w:r>
          </w:p>
        </w:tc>
      </w:tr>
      <w:tr w14:paraId="78BFCE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0" w:type="pct"/>
            <w:vMerge w:val="continue"/>
            <w:vAlign w:val="center"/>
          </w:tcPr>
          <w:p w14:paraId="523312F8">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p>
        </w:tc>
        <w:tc>
          <w:tcPr>
            <w:tcW w:w="516" w:type="pct"/>
            <w:vAlign w:val="center"/>
          </w:tcPr>
          <w:p w14:paraId="0F7BD1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氟化物</w:t>
            </w:r>
          </w:p>
        </w:tc>
        <w:tc>
          <w:tcPr>
            <w:tcW w:w="938" w:type="pct"/>
            <w:vAlign w:val="center"/>
          </w:tcPr>
          <w:p w14:paraId="1B69826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0.91105</w:t>
            </w:r>
          </w:p>
        </w:tc>
        <w:tc>
          <w:tcPr>
            <w:tcW w:w="886" w:type="pct"/>
            <w:vAlign w:val="center"/>
          </w:tcPr>
          <w:p w14:paraId="6182F5E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149</w:t>
            </w:r>
          </w:p>
        </w:tc>
        <w:tc>
          <w:tcPr>
            <w:tcW w:w="704" w:type="pct"/>
            <w:vAlign w:val="center"/>
          </w:tcPr>
          <w:p w14:paraId="36C2911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4.55</w:t>
            </w:r>
          </w:p>
        </w:tc>
        <w:tc>
          <w:tcPr>
            <w:tcW w:w="508" w:type="pct"/>
            <w:vAlign w:val="center"/>
          </w:tcPr>
          <w:p w14:paraId="425A05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c>
          <w:tcPr>
            <w:tcW w:w="515" w:type="pct"/>
            <w:vAlign w:val="center"/>
          </w:tcPr>
          <w:p w14:paraId="35C3F6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二级</w:t>
            </w:r>
          </w:p>
        </w:tc>
      </w:tr>
      <w:tr w14:paraId="5D19D1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0" w:type="pct"/>
            <w:vMerge w:val="restart"/>
            <w:vAlign w:val="center"/>
          </w:tcPr>
          <w:p w14:paraId="1D678965">
            <w:pPr>
              <w:spacing w:line="360" w:lineRule="exact"/>
              <w:ind w:firstLine="0" w:firstLineChars="0"/>
              <w:jc w:val="center"/>
              <w:rPr>
                <w:rFonts w:hint="default" w:ascii="Times New Roman" w:hAnsi="Times New Roman" w:eastAsia="宋体" w:cs="Times New Roman"/>
                <w:b w:val="0"/>
                <w:bCs w:val="0"/>
                <w:color w:val="auto"/>
                <w:kern w:val="0"/>
                <w:sz w:val="21"/>
                <w:szCs w:val="21"/>
                <w:highlight w:val="none"/>
                <w:lang w:eastAsia="zh-CN"/>
              </w:rPr>
            </w:pPr>
            <w:r>
              <w:rPr>
                <w:rFonts w:hint="default" w:ascii="Times New Roman" w:hAnsi="Times New Roman" w:cs="Times New Roman"/>
                <w:color w:val="auto"/>
                <w:sz w:val="21"/>
                <w:szCs w:val="21"/>
                <w:highlight w:val="none"/>
                <w:lang w:val="en-US" w:eastAsia="zh-CN"/>
              </w:rPr>
              <w:t>锅炉房</w:t>
            </w:r>
            <w:r>
              <w:rPr>
                <w:rFonts w:hint="default" w:ascii="Times New Roman" w:hAnsi="Times New Roman" w:eastAsia="宋体" w:cs="Times New Roman"/>
                <w:color w:val="auto"/>
                <w:sz w:val="21"/>
                <w:szCs w:val="21"/>
                <w:highlight w:val="none"/>
              </w:rPr>
              <w:t>排气筒</w:t>
            </w:r>
          </w:p>
        </w:tc>
        <w:tc>
          <w:tcPr>
            <w:tcW w:w="516" w:type="pct"/>
            <w:vAlign w:val="center"/>
          </w:tcPr>
          <w:p w14:paraId="394A54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SO</w:t>
            </w:r>
            <w:r>
              <w:rPr>
                <w:rFonts w:hint="default" w:ascii="Times New Roman" w:hAnsi="Times New Roman" w:cs="Times New Roman"/>
                <w:b w:val="0"/>
                <w:bCs w:val="0"/>
                <w:color w:val="auto"/>
                <w:kern w:val="0"/>
                <w:sz w:val="21"/>
                <w:szCs w:val="21"/>
                <w:highlight w:val="none"/>
                <w:vertAlign w:val="subscript"/>
                <w:lang w:val="en-US" w:eastAsia="zh-CN"/>
              </w:rPr>
              <w:t>2</w:t>
            </w:r>
          </w:p>
        </w:tc>
        <w:tc>
          <w:tcPr>
            <w:tcW w:w="938" w:type="pct"/>
            <w:vAlign w:val="center"/>
          </w:tcPr>
          <w:p w14:paraId="3F41038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4.431801</w:t>
            </w:r>
          </w:p>
        </w:tc>
        <w:tc>
          <w:tcPr>
            <w:tcW w:w="886" w:type="pct"/>
            <w:vAlign w:val="center"/>
          </w:tcPr>
          <w:p w14:paraId="578592D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54</w:t>
            </w:r>
          </w:p>
        </w:tc>
        <w:tc>
          <w:tcPr>
            <w:tcW w:w="704" w:type="pct"/>
            <w:vAlign w:val="center"/>
          </w:tcPr>
          <w:p w14:paraId="4FE085F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0.89</w:t>
            </w:r>
          </w:p>
        </w:tc>
        <w:tc>
          <w:tcPr>
            <w:tcW w:w="508" w:type="pct"/>
            <w:vAlign w:val="center"/>
          </w:tcPr>
          <w:p w14:paraId="3AF664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c>
          <w:tcPr>
            <w:tcW w:w="515" w:type="pct"/>
            <w:vAlign w:val="center"/>
          </w:tcPr>
          <w:p w14:paraId="1CBEFE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三级</w:t>
            </w:r>
          </w:p>
        </w:tc>
      </w:tr>
      <w:tr w14:paraId="7A37F5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0" w:type="pct"/>
            <w:vMerge w:val="continue"/>
            <w:vAlign w:val="center"/>
          </w:tcPr>
          <w:p w14:paraId="72AAD900">
            <w:pPr>
              <w:spacing w:line="360" w:lineRule="exact"/>
              <w:ind w:firstLine="0" w:firstLineChars="0"/>
              <w:jc w:val="center"/>
              <w:rPr>
                <w:rFonts w:hint="default" w:ascii="Times New Roman" w:hAnsi="Times New Roman" w:cs="Times New Roman"/>
                <w:color w:val="auto"/>
                <w:sz w:val="21"/>
                <w:szCs w:val="21"/>
                <w:highlight w:val="none"/>
                <w:lang w:val="en-US" w:eastAsia="zh-CN"/>
              </w:rPr>
            </w:pPr>
          </w:p>
        </w:tc>
        <w:tc>
          <w:tcPr>
            <w:tcW w:w="516" w:type="pct"/>
            <w:vAlign w:val="center"/>
          </w:tcPr>
          <w:p w14:paraId="1A1C39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NO</w:t>
            </w:r>
            <w:r>
              <w:rPr>
                <w:rFonts w:hint="default" w:ascii="Times New Roman" w:hAnsi="Times New Roman" w:cs="Times New Roman"/>
                <w:b w:val="0"/>
                <w:bCs w:val="0"/>
                <w:color w:val="auto"/>
                <w:kern w:val="0"/>
                <w:sz w:val="21"/>
                <w:szCs w:val="21"/>
                <w:highlight w:val="none"/>
                <w:vertAlign w:val="subscript"/>
                <w:lang w:val="en-US" w:eastAsia="zh-CN"/>
              </w:rPr>
              <w:t>x</w:t>
            </w:r>
          </w:p>
        </w:tc>
        <w:tc>
          <w:tcPr>
            <w:tcW w:w="938" w:type="pct"/>
            <w:vAlign w:val="center"/>
          </w:tcPr>
          <w:p w14:paraId="3C5A177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23.54728</w:t>
            </w:r>
          </w:p>
        </w:tc>
        <w:tc>
          <w:tcPr>
            <w:tcW w:w="886" w:type="pct"/>
            <w:vAlign w:val="center"/>
          </w:tcPr>
          <w:p w14:paraId="4056A12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54</w:t>
            </w:r>
          </w:p>
        </w:tc>
        <w:tc>
          <w:tcPr>
            <w:tcW w:w="704" w:type="pct"/>
            <w:vAlign w:val="center"/>
          </w:tcPr>
          <w:p w14:paraId="1EC8512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bCs/>
                <w:color w:val="auto"/>
                <w:kern w:val="0"/>
                <w:sz w:val="21"/>
                <w:szCs w:val="21"/>
                <w:highlight w:val="none"/>
                <w:lang w:val="en-US" w:eastAsia="zh-CN"/>
              </w:rPr>
              <w:t>9.42</w:t>
            </w:r>
          </w:p>
        </w:tc>
        <w:tc>
          <w:tcPr>
            <w:tcW w:w="508" w:type="pct"/>
            <w:vAlign w:val="center"/>
          </w:tcPr>
          <w:p w14:paraId="247417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c>
          <w:tcPr>
            <w:tcW w:w="515" w:type="pct"/>
            <w:vAlign w:val="center"/>
          </w:tcPr>
          <w:p w14:paraId="41438C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二级</w:t>
            </w:r>
          </w:p>
        </w:tc>
      </w:tr>
      <w:tr w14:paraId="43C21C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0" w:type="pct"/>
            <w:vMerge w:val="continue"/>
            <w:vAlign w:val="center"/>
          </w:tcPr>
          <w:p w14:paraId="63669FD3">
            <w:pPr>
              <w:spacing w:line="360" w:lineRule="exact"/>
              <w:ind w:firstLine="0" w:firstLineChars="0"/>
              <w:jc w:val="center"/>
              <w:rPr>
                <w:rFonts w:hint="default" w:ascii="Times New Roman" w:hAnsi="Times New Roman" w:cs="Times New Roman"/>
                <w:color w:val="auto"/>
                <w:sz w:val="21"/>
                <w:szCs w:val="21"/>
                <w:highlight w:val="none"/>
                <w:lang w:val="en-US" w:eastAsia="zh-CN"/>
              </w:rPr>
            </w:pPr>
          </w:p>
        </w:tc>
        <w:tc>
          <w:tcPr>
            <w:tcW w:w="516" w:type="pct"/>
            <w:vAlign w:val="center"/>
          </w:tcPr>
          <w:p w14:paraId="7DC62D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PM</w:t>
            </w:r>
            <w:r>
              <w:rPr>
                <w:rFonts w:hint="default" w:ascii="Times New Roman" w:hAnsi="Times New Roman" w:cs="Times New Roman"/>
                <w:b w:val="0"/>
                <w:bCs w:val="0"/>
                <w:color w:val="auto"/>
                <w:kern w:val="0"/>
                <w:sz w:val="21"/>
                <w:szCs w:val="21"/>
                <w:highlight w:val="none"/>
                <w:vertAlign w:val="subscript"/>
                <w:lang w:val="en-US" w:eastAsia="zh-CN"/>
              </w:rPr>
              <w:t>10</w:t>
            </w:r>
          </w:p>
        </w:tc>
        <w:tc>
          <w:tcPr>
            <w:tcW w:w="938" w:type="pct"/>
            <w:vAlign w:val="center"/>
          </w:tcPr>
          <w:p w14:paraId="366C708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2.8452</w:t>
            </w:r>
          </w:p>
        </w:tc>
        <w:tc>
          <w:tcPr>
            <w:tcW w:w="886" w:type="pct"/>
            <w:vAlign w:val="center"/>
          </w:tcPr>
          <w:p w14:paraId="74A4418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54</w:t>
            </w:r>
          </w:p>
        </w:tc>
        <w:tc>
          <w:tcPr>
            <w:tcW w:w="704" w:type="pct"/>
            <w:vAlign w:val="center"/>
          </w:tcPr>
          <w:p w14:paraId="20C8498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0.79</w:t>
            </w:r>
          </w:p>
        </w:tc>
        <w:tc>
          <w:tcPr>
            <w:tcW w:w="508" w:type="pct"/>
            <w:vAlign w:val="center"/>
          </w:tcPr>
          <w:p w14:paraId="7250E5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c>
          <w:tcPr>
            <w:tcW w:w="515" w:type="pct"/>
            <w:vAlign w:val="center"/>
          </w:tcPr>
          <w:p w14:paraId="11C500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三级</w:t>
            </w:r>
          </w:p>
        </w:tc>
      </w:tr>
      <w:tr w14:paraId="43AA07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0" w:type="pct"/>
            <w:vMerge w:val="continue"/>
            <w:vAlign w:val="center"/>
          </w:tcPr>
          <w:p w14:paraId="037CD94D">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p>
        </w:tc>
        <w:tc>
          <w:tcPr>
            <w:tcW w:w="516" w:type="pct"/>
            <w:vAlign w:val="center"/>
          </w:tcPr>
          <w:p w14:paraId="203769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Hg</w:t>
            </w:r>
          </w:p>
        </w:tc>
        <w:tc>
          <w:tcPr>
            <w:tcW w:w="938" w:type="pct"/>
            <w:vAlign w:val="center"/>
          </w:tcPr>
          <w:p w14:paraId="7299DA7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0.000585</w:t>
            </w:r>
          </w:p>
        </w:tc>
        <w:tc>
          <w:tcPr>
            <w:tcW w:w="886" w:type="pct"/>
            <w:vAlign w:val="center"/>
          </w:tcPr>
          <w:p w14:paraId="1183DDF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54</w:t>
            </w:r>
          </w:p>
        </w:tc>
        <w:tc>
          <w:tcPr>
            <w:tcW w:w="704" w:type="pct"/>
            <w:vAlign w:val="center"/>
          </w:tcPr>
          <w:p w14:paraId="146081F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0.2</w:t>
            </w:r>
          </w:p>
        </w:tc>
        <w:tc>
          <w:tcPr>
            <w:tcW w:w="508" w:type="pct"/>
            <w:vAlign w:val="center"/>
          </w:tcPr>
          <w:p w14:paraId="7F7733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c>
          <w:tcPr>
            <w:tcW w:w="515" w:type="pct"/>
            <w:vAlign w:val="center"/>
          </w:tcPr>
          <w:p w14:paraId="212880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三级</w:t>
            </w:r>
          </w:p>
        </w:tc>
      </w:tr>
      <w:tr w14:paraId="5BF0A2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0" w:type="pct"/>
            <w:vMerge w:val="restart"/>
            <w:vAlign w:val="center"/>
          </w:tcPr>
          <w:p w14:paraId="456A580C">
            <w:pPr>
              <w:adjustRightInd w:val="0"/>
              <w:snapToGrid w:val="0"/>
              <w:spacing w:line="36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选矿车间</w:t>
            </w:r>
          </w:p>
        </w:tc>
        <w:tc>
          <w:tcPr>
            <w:tcW w:w="516" w:type="pct"/>
            <w:vAlign w:val="center"/>
          </w:tcPr>
          <w:p w14:paraId="2E7C75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TSP</w:t>
            </w:r>
          </w:p>
        </w:tc>
        <w:tc>
          <w:tcPr>
            <w:tcW w:w="938" w:type="pct"/>
            <w:vAlign w:val="center"/>
          </w:tcPr>
          <w:p w14:paraId="50F77B0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47.188</w:t>
            </w:r>
          </w:p>
        </w:tc>
        <w:tc>
          <w:tcPr>
            <w:tcW w:w="886" w:type="pct"/>
            <w:vAlign w:val="center"/>
          </w:tcPr>
          <w:p w14:paraId="62B32A5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123</w:t>
            </w:r>
          </w:p>
        </w:tc>
        <w:tc>
          <w:tcPr>
            <w:tcW w:w="704" w:type="pct"/>
            <w:vAlign w:val="center"/>
          </w:tcPr>
          <w:p w14:paraId="5C6CCE5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5.42</w:t>
            </w:r>
          </w:p>
        </w:tc>
        <w:tc>
          <w:tcPr>
            <w:tcW w:w="508" w:type="pct"/>
            <w:vAlign w:val="center"/>
          </w:tcPr>
          <w:p w14:paraId="31B7DC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c>
          <w:tcPr>
            <w:tcW w:w="515" w:type="pct"/>
            <w:vAlign w:val="center"/>
          </w:tcPr>
          <w:p w14:paraId="6B095B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二级</w:t>
            </w:r>
          </w:p>
        </w:tc>
      </w:tr>
      <w:tr w14:paraId="36E55E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0" w:type="pct"/>
            <w:vMerge w:val="continue"/>
            <w:vAlign w:val="center"/>
          </w:tcPr>
          <w:p w14:paraId="051426B1">
            <w:pPr>
              <w:adjustRightInd w:val="0"/>
              <w:snapToGrid w:val="0"/>
              <w:spacing w:line="360" w:lineRule="exact"/>
              <w:ind w:firstLine="0" w:firstLineChars="0"/>
              <w:jc w:val="center"/>
              <w:rPr>
                <w:rFonts w:hint="default" w:ascii="Times New Roman" w:hAnsi="Times New Roman" w:cs="Times New Roman"/>
                <w:color w:val="auto"/>
                <w:sz w:val="21"/>
                <w:szCs w:val="21"/>
                <w:highlight w:val="none"/>
              </w:rPr>
            </w:pPr>
          </w:p>
        </w:tc>
        <w:tc>
          <w:tcPr>
            <w:tcW w:w="516" w:type="pct"/>
            <w:vAlign w:val="center"/>
          </w:tcPr>
          <w:p w14:paraId="386FBD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t>氟化物</w:t>
            </w:r>
          </w:p>
        </w:tc>
        <w:tc>
          <w:tcPr>
            <w:tcW w:w="938" w:type="pct"/>
            <w:vAlign w:val="center"/>
          </w:tcPr>
          <w:p w14:paraId="5EB29A2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1.101054</w:t>
            </w:r>
          </w:p>
        </w:tc>
        <w:tc>
          <w:tcPr>
            <w:tcW w:w="886" w:type="pct"/>
            <w:vAlign w:val="center"/>
          </w:tcPr>
          <w:p w14:paraId="26F8A70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123</w:t>
            </w:r>
          </w:p>
        </w:tc>
        <w:tc>
          <w:tcPr>
            <w:tcW w:w="704" w:type="pct"/>
            <w:vAlign w:val="center"/>
          </w:tcPr>
          <w:p w14:paraId="187CE20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5.51</w:t>
            </w:r>
          </w:p>
        </w:tc>
        <w:tc>
          <w:tcPr>
            <w:tcW w:w="508" w:type="pct"/>
            <w:vAlign w:val="center"/>
          </w:tcPr>
          <w:p w14:paraId="73F8D3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c>
          <w:tcPr>
            <w:tcW w:w="515" w:type="pct"/>
            <w:vAlign w:val="center"/>
          </w:tcPr>
          <w:p w14:paraId="64E795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二级</w:t>
            </w:r>
          </w:p>
        </w:tc>
      </w:tr>
      <w:tr w14:paraId="3C0F1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0" w:type="pct"/>
            <w:vAlign w:val="center"/>
          </w:tcPr>
          <w:p w14:paraId="6CB11EA8">
            <w:pPr>
              <w:adjustRightInd w:val="0"/>
              <w:snapToGrid w:val="0"/>
              <w:spacing w:line="360" w:lineRule="exact"/>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尾矿库</w:t>
            </w:r>
          </w:p>
        </w:tc>
        <w:tc>
          <w:tcPr>
            <w:tcW w:w="516" w:type="pct"/>
            <w:vAlign w:val="center"/>
          </w:tcPr>
          <w:p w14:paraId="6A0828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TSP</w:t>
            </w:r>
          </w:p>
        </w:tc>
        <w:tc>
          <w:tcPr>
            <w:tcW w:w="938" w:type="pct"/>
            <w:vAlign w:val="center"/>
          </w:tcPr>
          <w:p w14:paraId="23628AD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0.23834</w:t>
            </w:r>
          </w:p>
        </w:tc>
        <w:tc>
          <w:tcPr>
            <w:tcW w:w="886" w:type="pct"/>
            <w:vAlign w:val="center"/>
          </w:tcPr>
          <w:p w14:paraId="7FE03FD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723</w:t>
            </w:r>
          </w:p>
        </w:tc>
        <w:tc>
          <w:tcPr>
            <w:tcW w:w="704" w:type="pct"/>
            <w:vAlign w:val="center"/>
          </w:tcPr>
          <w:p w14:paraId="5EB7CC8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outlineLvl w:val="9"/>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0.03</w:t>
            </w:r>
          </w:p>
        </w:tc>
        <w:tc>
          <w:tcPr>
            <w:tcW w:w="508" w:type="pct"/>
            <w:vAlign w:val="center"/>
          </w:tcPr>
          <w:p w14:paraId="2B410E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w:t>
            </w:r>
          </w:p>
        </w:tc>
        <w:tc>
          <w:tcPr>
            <w:tcW w:w="515" w:type="pct"/>
            <w:vAlign w:val="center"/>
          </w:tcPr>
          <w:p w14:paraId="19E8E5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cs="Times New Roman"/>
                <w:b w:val="0"/>
                <w:bCs w:val="0"/>
                <w:color w:val="auto"/>
                <w:kern w:val="0"/>
                <w:sz w:val="21"/>
                <w:szCs w:val="21"/>
                <w:highlight w:val="none"/>
                <w:lang w:val="en-US" w:eastAsia="zh-CN"/>
              </w:rPr>
            </w:pPr>
            <w:r>
              <w:rPr>
                <w:rFonts w:hint="eastAsia" w:cs="Times New Roman"/>
                <w:b w:val="0"/>
                <w:bCs w:val="0"/>
                <w:color w:val="auto"/>
                <w:kern w:val="0"/>
                <w:sz w:val="21"/>
                <w:szCs w:val="21"/>
                <w:highlight w:val="none"/>
                <w:lang w:val="en-US" w:eastAsia="zh-CN"/>
              </w:rPr>
              <w:t>三级</w:t>
            </w:r>
          </w:p>
        </w:tc>
      </w:tr>
    </w:tbl>
    <w:p w14:paraId="4316071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w:t>
      </w:r>
      <w:r>
        <w:rPr>
          <w:rFonts w:hint="default" w:ascii="Times New Roman" w:hAnsi="Times New Roman" w:cs="Times New Roman"/>
          <w:color w:val="auto"/>
          <w:highlight w:val="none"/>
          <w:lang w:eastAsia="zh-CN"/>
        </w:rPr>
        <w:t>上表</w:t>
      </w:r>
      <w:r>
        <w:rPr>
          <w:rFonts w:hint="default" w:ascii="Times New Roman" w:hAnsi="Times New Roman" w:cs="Times New Roman"/>
          <w:color w:val="auto"/>
          <w:highlight w:val="none"/>
        </w:rPr>
        <w:t>，比较表2.6-</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评价工作分级判据，由计算结果可知，</w:t>
      </w:r>
      <w:r>
        <w:rPr>
          <w:rFonts w:hint="eastAsia" w:cs="Times New Roman"/>
          <w:color w:val="auto"/>
          <w:highlight w:val="none"/>
          <w:lang w:val="en-US" w:eastAsia="zh-CN"/>
        </w:rPr>
        <w:t>锅炉房排气筒中</w:t>
      </w:r>
      <w:r>
        <w:rPr>
          <w:rFonts w:hint="default" w:ascii="Times New Roman" w:hAnsi="Times New Roman" w:cs="Times New Roman"/>
          <w:color w:val="auto"/>
          <w:highlight w:val="none"/>
        </w:rPr>
        <w:t>主要污染物</w:t>
      </w:r>
      <w:r>
        <w:rPr>
          <w:rFonts w:hint="eastAsia" w:cs="Times New Roman"/>
          <w:color w:val="auto"/>
          <w:highlight w:val="none"/>
          <w:lang w:val="en-US" w:eastAsia="zh-CN"/>
        </w:rPr>
        <w:t>氮氧化物</w:t>
      </w:r>
      <w:r>
        <w:rPr>
          <w:rFonts w:hint="default" w:ascii="Times New Roman" w:hAnsi="Times New Roman" w:cs="Times New Roman"/>
          <w:color w:val="auto"/>
          <w:highlight w:val="none"/>
        </w:rPr>
        <w:t>的P</w:t>
      </w:r>
      <w:r>
        <w:rPr>
          <w:rFonts w:hint="default" w:ascii="Times New Roman" w:hAnsi="Times New Roman" w:cs="Times New Roman"/>
          <w:color w:val="auto"/>
          <w:highlight w:val="none"/>
          <w:vertAlign w:val="subscript"/>
        </w:rPr>
        <w:t>max</w:t>
      </w:r>
      <w:r>
        <w:rPr>
          <w:rFonts w:hint="default" w:ascii="Times New Roman" w:hAnsi="Times New Roman" w:cs="Times New Roman"/>
          <w:color w:val="auto"/>
          <w:highlight w:val="none"/>
        </w:rPr>
        <w:t>为</w:t>
      </w:r>
      <w:r>
        <w:rPr>
          <w:rFonts w:hint="eastAsia" w:cs="Times New Roman"/>
          <w:color w:val="auto"/>
          <w:highlight w:val="none"/>
          <w:lang w:val="en-US" w:eastAsia="zh-CN"/>
        </w:rPr>
        <w:t>9.42</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小</w:t>
      </w:r>
      <w:r>
        <w:rPr>
          <w:rFonts w:hint="default" w:ascii="Times New Roman" w:hAnsi="Times New Roman" w:cs="Times New Roman"/>
          <w:color w:val="auto"/>
          <w:highlight w:val="none"/>
        </w:rPr>
        <w:t>于10%，按《环境影响评价技术导则 大气环境》（HJ2.2-2018）规定，确定本次大气环境评价工作等级为</w:t>
      </w:r>
      <w:r>
        <w:rPr>
          <w:rFonts w:hint="default" w:ascii="Times New Roman" w:hAnsi="Times New Roman" w:cs="Times New Roman"/>
          <w:color w:val="auto"/>
          <w:highlight w:val="none"/>
          <w:lang w:eastAsia="zh-CN"/>
        </w:rPr>
        <w:t>二</w:t>
      </w:r>
      <w:r>
        <w:rPr>
          <w:rFonts w:hint="default" w:ascii="Times New Roman" w:hAnsi="Times New Roman" w:cs="Times New Roman"/>
          <w:color w:val="auto"/>
          <w:highlight w:val="none"/>
        </w:rPr>
        <w:t>级。</w:t>
      </w:r>
    </w:p>
    <w:p w14:paraId="7383D4F0">
      <w:pPr>
        <w:pStyle w:val="5"/>
        <w:ind w:firstLine="482"/>
        <w:rPr>
          <w:rFonts w:hint="default" w:ascii="Times New Roman" w:hAnsi="Times New Roman" w:cs="Times New Roman"/>
          <w:color w:val="auto"/>
          <w:highlight w:val="none"/>
        </w:rPr>
      </w:pPr>
      <w:bookmarkStart w:id="256" w:name="_Toc266374525"/>
      <w:bookmarkStart w:id="257" w:name="_Toc190909898"/>
      <w:bookmarkStart w:id="258" w:name="_Toc277781476"/>
      <w:bookmarkStart w:id="259" w:name="_Toc474747836"/>
      <w:bookmarkStart w:id="260" w:name="_Toc191903740"/>
      <w:bookmarkStart w:id="261" w:name="_Toc218485492"/>
      <w:bookmarkStart w:id="262" w:name="_Toc366104788"/>
      <w:r>
        <w:rPr>
          <w:rFonts w:hint="default" w:ascii="Times New Roman" w:hAnsi="Times New Roman" w:cs="Times New Roman"/>
          <w:color w:val="auto"/>
          <w:highlight w:val="none"/>
        </w:rPr>
        <w:t>2.6.1.2地表水评价等级</w:t>
      </w:r>
    </w:p>
    <w:p w14:paraId="09AD549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本项目生产废水</w:t>
      </w:r>
      <w:r>
        <w:rPr>
          <w:rFonts w:hint="eastAsia" w:cs="Times New Roman"/>
          <w:color w:val="auto"/>
          <w:kern w:val="0"/>
          <w:highlight w:val="none"/>
          <w:lang w:eastAsia="zh-CN"/>
        </w:rPr>
        <w:t>“</w:t>
      </w:r>
      <w:r>
        <w:rPr>
          <w:rFonts w:hint="default" w:ascii="Times New Roman" w:hAnsi="Times New Roman" w:cs="Times New Roman"/>
          <w:color w:val="auto"/>
          <w:kern w:val="0"/>
          <w:highlight w:val="none"/>
        </w:rPr>
        <w:t>闭路循环</w:t>
      </w:r>
      <w:r>
        <w:rPr>
          <w:rFonts w:hint="eastAsia" w:cs="Times New Roman"/>
          <w:color w:val="auto"/>
          <w:kern w:val="0"/>
          <w:highlight w:val="none"/>
          <w:lang w:eastAsia="zh-CN"/>
        </w:rPr>
        <w:t>”</w:t>
      </w:r>
      <w:r>
        <w:rPr>
          <w:rFonts w:hint="default" w:ascii="Times New Roman" w:hAnsi="Times New Roman" w:cs="Times New Roman"/>
          <w:color w:val="auto"/>
          <w:kern w:val="0"/>
          <w:highlight w:val="none"/>
        </w:rPr>
        <w:t>不外排；生活污水</w:t>
      </w:r>
      <w:r>
        <w:rPr>
          <w:rFonts w:hint="default" w:ascii="Times New Roman" w:hAnsi="Times New Roman" w:cs="Times New Roman"/>
          <w:color w:val="auto"/>
          <w:kern w:val="0"/>
          <w:highlight w:val="none"/>
          <w:lang w:eastAsia="zh-CN"/>
        </w:rPr>
        <w:t>依托采矿生活区</w:t>
      </w:r>
      <w:r>
        <w:rPr>
          <w:rFonts w:hint="default" w:ascii="Times New Roman" w:hAnsi="Times New Roman" w:cs="Times New Roman"/>
          <w:color w:val="auto"/>
          <w:kern w:val="0"/>
          <w:highlight w:val="none"/>
          <w:lang w:val="en-US" w:eastAsia="zh-CN"/>
        </w:rPr>
        <w:t>地埋式污水处理设施</w:t>
      </w:r>
      <w:r>
        <w:rPr>
          <w:rFonts w:hint="default" w:ascii="Times New Roman" w:hAnsi="Times New Roman" w:cs="Times New Roman"/>
          <w:color w:val="auto"/>
          <w:highlight w:val="none"/>
        </w:rPr>
        <w:t>处理达到《城市污水再生利用 城市杂用水水质》（GB/T18920-2020）中的城市绿化、道路清扫、消防、建筑施工限值后用于</w:t>
      </w:r>
      <w:r>
        <w:rPr>
          <w:rFonts w:hint="default" w:ascii="Times New Roman" w:hAnsi="Times New Roman" w:cs="Times New Roman"/>
          <w:color w:val="auto"/>
          <w:spacing w:val="-1"/>
          <w:highlight w:val="none"/>
          <w:lang w:val="en-US" w:eastAsia="zh-CN"/>
        </w:rPr>
        <w:t>工业场地</w:t>
      </w:r>
      <w:r>
        <w:rPr>
          <w:rFonts w:hint="default" w:ascii="Times New Roman" w:hAnsi="Times New Roman" w:cs="Times New Roman"/>
          <w:color w:val="auto"/>
          <w:spacing w:val="-1"/>
          <w:highlight w:val="none"/>
        </w:rPr>
        <w:t>绿化</w:t>
      </w:r>
      <w:r>
        <w:rPr>
          <w:rFonts w:hint="default" w:ascii="Times New Roman" w:hAnsi="Times New Roman" w:cs="Times New Roman"/>
          <w:color w:val="auto"/>
          <w:spacing w:val="-1"/>
          <w:highlight w:val="none"/>
          <w:lang w:val="en-US" w:eastAsia="zh-CN"/>
        </w:rPr>
        <w:t>及洒水降尘</w:t>
      </w:r>
      <w:r>
        <w:rPr>
          <w:rFonts w:hint="default" w:ascii="Times New Roman" w:hAnsi="Times New Roman" w:cs="Times New Roman"/>
          <w:color w:val="auto"/>
          <w:highlight w:val="none"/>
        </w:rPr>
        <w:t>，不外排。根据《环境影响评价技术导则 地表水环境》（HJ2.3-2018）中水污染影响型建设项目评价等级判定，本项目废水不排入外环境，因此本项目地表水环境影响评价工作等级确定为三级B。</w:t>
      </w:r>
    </w:p>
    <w:p w14:paraId="6D4F3DB1">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2.6.1.3地下水评价等级</w:t>
      </w:r>
    </w:p>
    <w:p w14:paraId="6A65685B">
      <w:pPr>
        <w:overflowPunct w:val="0"/>
        <w:topLinePunct/>
        <w:ind w:firstLine="480"/>
        <w:rPr>
          <w:rFonts w:hint="default" w:ascii="Times New Roman" w:hAnsi="Times New Roman" w:cs="Times New Roman"/>
          <w:color w:val="auto"/>
          <w:szCs w:val="32"/>
          <w:highlight w:val="none"/>
          <w:lang w:val="zh-CN"/>
        </w:rPr>
      </w:pPr>
      <w:r>
        <w:rPr>
          <w:rFonts w:hint="default" w:ascii="Times New Roman" w:hAnsi="Times New Roman" w:cs="Times New Roman"/>
          <w:color w:val="auto"/>
          <w:highlight w:val="none"/>
        </w:rPr>
        <w:t>本项目属</w:t>
      </w:r>
      <w:r>
        <w:rPr>
          <w:rFonts w:hint="default" w:ascii="Times New Roman" w:hAnsi="Times New Roman" w:cs="Times New Roman"/>
          <w:color w:val="auto"/>
          <w:highlight w:val="none"/>
          <w:lang w:eastAsia="zh-CN"/>
        </w:rPr>
        <w:t>非</w:t>
      </w:r>
      <w:r>
        <w:rPr>
          <w:rFonts w:hint="default" w:ascii="Times New Roman" w:hAnsi="Times New Roman" w:cs="Times New Roman"/>
          <w:color w:val="auto"/>
          <w:highlight w:val="none"/>
        </w:rPr>
        <w:t>金属矿采选业，建设内容包括选矿厂和尾矿库，根据《环境影响评价技术导则 地下水环境》（HJ610-2016）中附录A，</w:t>
      </w:r>
      <w:r>
        <w:rPr>
          <w:rFonts w:hint="default" w:ascii="Times New Roman" w:hAnsi="Times New Roman" w:cs="Times New Roman"/>
          <w:color w:val="auto"/>
          <w:highlight w:val="none"/>
          <w:lang w:val="en-US" w:eastAsia="zh-CN"/>
        </w:rPr>
        <w:t>非金属矿采选属于Ⅲ</w:t>
      </w:r>
      <w:r>
        <w:rPr>
          <w:rFonts w:hint="default" w:ascii="Times New Roman" w:hAnsi="Times New Roman" w:cs="Times New Roman"/>
          <w:color w:val="auto"/>
          <w:highlight w:val="none"/>
        </w:rPr>
        <w:t>类项目。由于项目场地不位于集中式饮用水水源（包括已建成的在用、备用、应急水源地，在建和规划的饮用水水源）准保护区、除集中式饮用水水源以外的国家或地方政府设定的与地下水环境</w:t>
      </w:r>
      <w:r>
        <w:rPr>
          <w:rFonts w:hint="eastAsia" w:cs="Times New Roman"/>
          <w:color w:val="auto"/>
          <w:highlight w:val="none"/>
          <w:lang w:eastAsia="zh-CN"/>
        </w:rPr>
        <w:t>相关的其他</w:t>
      </w:r>
      <w:r>
        <w:rPr>
          <w:rFonts w:hint="default" w:ascii="Times New Roman" w:hAnsi="Times New Roman" w:cs="Times New Roman"/>
          <w:color w:val="auto"/>
          <w:highlight w:val="none"/>
        </w:rPr>
        <w:t>保护区内，不属于地下水环境敏感区，</w:t>
      </w:r>
      <w:r>
        <w:rPr>
          <w:rFonts w:hint="eastAsia" w:cs="Times New Roman"/>
          <w:color w:val="auto"/>
          <w:highlight w:val="none"/>
          <w:lang w:val="en-US" w:eastAsia="zh-CN"/>
        </w:rPr>
        <w:t>因此，敏感程度为不敏感。</w:t>
      </w:r>
      <w:r>
        <w:rPr>
          <w:rFonts w:hint="default" w:ascii="Times New Roman" w:hAnsi="Times New Roman" w:cs="Times New Roman"/>
          <w:color w:val="auto"/>
          <w:highlight w:val="none"/>
        </w:rPr>
        <w:t>依据《环境影响评价技术导则 地下水环境》（HJ610-2016）中的地下水环境敏感程度分级表及建设项目评价工作等级分级表（表2.6-5、表2.6-6），确定本项目选矿厂</w:t>
      </w:r>
      <w:r>
        <w:rPr>
          <w:rFonts w:hint="default" w:ascii="Times New Roman" w:hAnsi="Times New Roman" w:cs="Times New Roman"/>
          <w:color w:val="auto"/>
          <w:highlight w:val="none"/>
          <w:lang w:eastAsia="zh-CN"/>
        </w:rPr>
        <w:t>及尾矿库</w:t>
      </w:r>
      <w:r>
        <w:rPr>
          <w:rFonts w:hint="default" w:ascii="Times New Roman" w:hAnsi="Times New Roman" w:cs="Times New Roman"/>
          <w:color w:val="auto"/>
          <w:highlight w:val="none"/>
        </w:rPr>
        <w:t>地下水评价等级为三级。</w:t>
      </w:r>
    </w:p>
    <w:p w14:paraId="4E95733A">
      <w:pPr>
        <w:pStyle w:val="49"/>
        <w:widowControl w:val="0"/>
        <w:rPr>
          <w:rFonts w:hint="default" w:ascii="Times New Roman" w:hAnsi="Times New Roman" w:cs="Times New Roman"/>
          <w:color w:val="auto"/>
          <w:szCs w:val="32"/>
          <w:highlight w:val="none"/>
          <w:lang w:val="zh-CN"/>
        </w:rPr>
      </w:pPr>
      <w:r>
        <w:rPr>
          <w:rFonts w:hint="default" w:ascii="Times New Roman" w:hAnsi="Times New Roman" w:cs="Times New Roman"/>
          <w:color w:val="auto"/>
          <w:szCs w:val="32"/>
          <w:highlight w:val="none"/>
          <w:lang w:val="zh-CN"/>
        </w:rPr>
        <w:t>表2.6-</w:t>
      </w:r>
      <w:r>
        <w:rPr>
          <w:rFonts w:hint="default" w:ascii="Times New Roman" w:hAnsi="Times New Roman" w:cs="Times New Roman"/>
          <w:color w:val="auto"/>
          <w:szCs w:val="32"/>
          <w:highlight w:val="none"/>
        </w:rPr>
        <w:t>5</w:t>
      </w:r>
      <w:r>
        <w:rPr>
          <w:rFonts w:hint="default" w:ascii="Times New Roman" w:hAnsi="Times New Roman" w:cs="Times New Roman"/>
          <w:color w:val="auto"/>
          <w:szCs w:val="32"/>
          <w:highlight w:val="none"/>
          <w:lang w:val="zh-CN"/>
        </w:rPr>
        <w:t xml:space="preserve"> </w:t>
      </w:r>
      <w:r>
        <w:rPr>
          <w:rFonts w:hint="default" w:ascii="Times New Roman" w:hAnsi="Times New Roman" w:cs="Times New Roman"/>
          <w:color w:val="auto"/>
          <w:szCs w:val="32"/>
          <w:highlight w:val="none"/>
        </w:rPr>
        <w:t xml:space="preserve">  </w:t>
      </w:r>
      <w:r>
        <w:rPr>
          <w:rFonts w:hint="default" w:ascii="Times New Roman" w:hAnsi="Times New Roman" w:cs="Times New Roman"/>
          <w:color w:val="auto"/>
          <w:szCs w:val="32"/>
          <w:highlight w:val="none"/>
          <w:lang w:val="zh-CN"/>
        </w:rPr>
        <w:t xml:space="preserve"> 地下水环境敏感程度分级</w:t>
      </w:r>
    </w:p>
    <w:tbl>
      <w:tblPr>
        <w:tblStyle w:val="33"/>
        <w:tblW w:w="851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9"/>
        <w:gridCol w:w="7590"/>
      </w:tblGrid>
      <w:tr w14:paraId="2ECF05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29" w:type="dxa"/>
            <w:vAlign w:val="center"/>
          </w:tcPr>
          <w:p w14:paraId="1227AD70">
            <w:pPr>
              <w:adjustRightInd w:val="0"/>
              <w:snapToGrid w:val="0"/>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分级</w:t>
            </w:r>
          </w:p>
        </w:tc>
        <w:tc>
          <w:tcPr>
            <w:tcW w:w="7590" w:type="dxa"/>
            <w:vAlign w:val="center"/>
          </w:tcPr>
          <w:p w14:paraId="02AFC43C">
            <w:pPr>
              <w:adjustRightInd w:val="0"/>
              <w:snapToGrid w:val="0"/>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项目场地的地下水环境敏感特征</w:t>
            </w:r>
          </w:p>
        </w:tc>
      </w:tr>
      <w:tr w14:paraId="5ADC74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9" w:type="dxa"/>
            <w:vAlign w:val="center"/>
          </w:tcPr>
          <w:p w14:paraId="7E7E843B">
            <w:pPr>
              <w:adjustRightInd w:val="0"/>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敏感</w:t>
            </w:r>
          </w:p>
        </w:tc>
        <w:tc>
          <w:tcPr>
            <w:tcW w:w="7590" w:type="dxa"/>
            <w:vAlign w:val="center"/>
          </w:tcPr>
          <w:p w14:paraId="6D345055">
            <w:pPr>
              <w:adjustRightInd w:val="0"/>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集中式饮用水水源</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rPr>
              <w:t>包括已建成的在用、备用、应急水源地，在建和规划的饮用水水源</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rPr>
              <w:t>准保护区；除集中式饮用水水源以外的国家或地方政府设定的与地下水环境</w:t>
            </w:r>
            <w:r>
              <w:rPr>
                <w:rFonts w:hint="eastAsia" w:cs="Times New Roman"/>
                <w:color w:val="auto"/>
                <w:sz w:val="21"/>
                <w:highlight w:val="none"/>
                <w:lang w:eastAsia="zh-CN"/>
              </w:rPr>
              <w:t>相关的其他</w:t>
            </w:r>
            <w:r>
              <w:rPr>
                <w:rFonts w:hint="default" w:ascii="Times New Roman" w:hAnsi="Times New Roman" w:cs="Times New Roman"/>
                <w:color w:val="auto"/>
                <w:sz w:val="21"/>
                <w:highlight w:val="none"/>
              </w:rPr>
              <w:t>保护区，如热水、矿泉水、温泉等特殊地下水资源保护区。</w:t>
            </w:r>
          </w:p>
        </w:tc>
      </w:tr>
      <w:tr w14:paraId="02ECB4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9" w:type="dxa"/>
            <w:vAlign w:val="center"/>
          </w:tcPr>
          <w:p w14:paraId="3DED5FBE">
            <w:pPr>
              <w:adjustRightInd w:val="0"/>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较敏感</w:t>
            </w:r>
          </w:p>
        </w:tc>
        <w:tc>
          <w:tcPr>
            <w:tcW w:w="7590" w:type="dxa"/>
            <w:vAlign w:val="center"/>
          </w:tcPr>
          <w:p w14:paraId="6314A15D">
            <w:pPr>
              <w:adjustRightInd w:val="0"/>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集中式饮用水水源</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rPr>
              <w:t>包括已建成的在用、备用、应急水源，在建和规划的饮用水水源</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rPr>
              <w:t>准保护区以外的补给径流区；未划定准保护区的集中式饮用水水源，其保护区以外的补给径流区；分散式饮用水水源地；特殊地下水资源（矿泉水、温泉等）保护区以外的分布区等</w:t>
            </w:r>
            <w:r>
              <w:rPr>
                <w:rFonts w:hint="eastAsia" w:cs="Times New Roman"/>
                <w:color w:val="auto"/>
                <w:sz w:val="21"/>
                <w:highlight w:val="none"/>
                <w:lang w:eastAsia="zh-CN"/>
              </w:rPr>
              <w:t>其他未</w:t>
            </w:r>
            <w:r>
              <w:rPr>
                <w:rFonts w:hint="default" w:ascii="Times New Roman" w:hAnsi="Times New Roman" w:cs="Times New Roman"/>
                <w:color w:val="auto"/>
                <w:sz w:val="21"/>
                <w:highlight w:val="none"/>
              </w:rPr>
              <w:t>列入上述敏感分级的环境敏感区。</w:t>
            </w:r>
          </w:p>
        </w:tc>
      </w:tr>
      <w:tr w14:paraId="465736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29" w:type="dxa"/>
            <w:vAlign w:val="center"/>
          </w:tcPr>
          <w:p w14:paraId="04162955">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不敏感</w:t>
            </w:r>
          </w:p>
        </w:tc>
        <w:tc>
          <w:tcPr>
            <w:tcW w:w="7590" w:type="dxa"/>
            <w:vAlign w:val="center"/>
          </w:tcPr>
          <w:p w14:paraId="24E4E455">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上述地区之外的其它地区。</w:t>
            </w:r>
          </w:p>
        </w:tc>
      </w:tr>
      <w:tr w14:paraId="179947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19" w:type="dxa"/>
            <w:gridSpan w:val="2"/>
            <w:vAlign w:val="center"/>
          </w:tcPr>
          <w:p w14:paraId="7AB95E43">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注：</w:t>
            </w:r>
            <w:r>
              <w:rPr>
                <w:rFonts w:hint="eastAsia" w:cs="Times New Roman"/>
                <w:color w:val="auto"/>
                <w:sz w:val="21"/>
                <w:highlight w:val="none"/>
                <w:lang w:eastAsia="zh-CN"/>
              </w:rPr>
              <w:t>“</w:t>
            </w:r>
            <w:r>
              <w:rPr>
                <w:rFonts w:hint="default" w:ascii="Times New Roman" w:hAnsi="Times New Roman" w:cs="Times New Roman"/>
                <w:color w:val="auto"/>
                <w:sz w:val="21"/>
                <w:highlight w:val="none"/>
              </w:rPr>
              <w:t>环境敏感区</w:t>
            </w:r>
            <w:r>
              <w:rPr>
                <w:rFonts w:hint="eastAsia" w:cs="Times New Roman"/>
                <w:color w:val="auto"/>
                <w:sz w:val="21"/>
                <w:highlight w:val="none"/>
                <w:lang w:eastAsia="zh-CN"/>
              </w:rPr>
              <w:t>”</w:t>
            </w:r>
            <w:r>
              <w:rPr>
                <w:rFonts w:hint="default" w:ascii="Times New Roman" w:hAnsi="Times New Roman" w:cs="Times New Roman"/>
                <w:color w:val="auto"/>
                <w:sz w:val="21"/>
                <w:highlight w:val="none"/>
              </w:rPr>
              <w:t>是指《建设项目环境影响评价分类管理名录》中所界定的涉及地下水的环境敏感区。</w:t>
            </w:r>
          </w:p>
        </w:tc>
      </w:tr>
    </w:tbl>
    <w:p w14:paraId="0A81E286">
      <w:pPr>
        <w:pStyle w:val="49"/>
        <w:widowControl w:val="0"/>
        <w:rPr>
          <w:rFonts w:hint="default" w:ascii="Times New Roman" w:hAnsi="Times New Roman" w:cs="Times New Roman"/>
          <w:color w:val="auto"/>
          <w:szCs w:val="32"/>
          <w:highlight w:val="none"/>
          <w:lang w:val="zh-CN"/>
        </w:rPr>
      </w:pPr>
      <w:r>
        <w:rPr>
          <w:rFonts w:hint="default" w:ascii="Times New Roman" w:hAnsi="Times New Roman" w:cs="Times New Roman"/>
          <w:color w:val="auto"/>
          <w:szCs w:val="32"/>
          <w:highlight w:val="none"/>
          <w:lang w:val="zh-CN"/>
        </w:rPr>
        <w:t>表2.6-</w:t>
      </w:r>
      <w:r>
        <w:rPr>
          <w:rFonts w:hint="default" w:ascii="Times New Roman" w:hAnsi="Times New Roman" w:cs="Times New Roman"/>
          <w:color w:val="auto"/>
          <w:szCs w:val="32"/>
          <w:highlight w:val="none"/>
        </w:rPr>
        <w:t xml:space="preserve">6    </w:t>
      </w:r>
      <w:r>
        <w:rPr>
          <w:rFonts w:hint="default" w:ascii="Times New Roman" w:hAnsi="Times New Roman" w:cs="Times New Roman"/>
          <w:color w:val="auto"/>
          <w:szCs w:val="32"/>
          <w:highlight w:val="none"/>
          <w:lang w:val="zh-CN"/>
        </w:rPr>
        <w:t>评价区地下水环境影响评价工作等级划分</w:t>
      </w:r>
    </w:p>
    <w:tbl>
      <w:tblPr>
        <w:tblStyle w:val="33"/>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2134"/>
        <w:gridCol w:w="1986"/>
        <w:gridCol w:w="1989"/>
      </w:tblGrid>
      <w:tr w14:paraId="65D20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tcBorders>
              <w:top w:val="single" w:color="auto" w:sz="12" w:space="0"/>
              <w:left w:val="single" w:color="auto" w:sz="12" w:space="0"/>
              <w:tl2br w:val="single" w:color="auto" w:sz="4" w:space="0"/>
            </w:tcBorders>
          </w:tcPr>
          <w:p w14:paraId="22C9AFF8">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 xml:space="preserve">           目类别</w:t>
            </w:r>
          </w:p>
          <w:p w14:paraId="16450ED6">
            <w:pPr>
              <w:spacing w:line="360" w:lineRule="exact"/>
              <w:ind w:firstLine="0" w:firstLineChars="0"/>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环境敏感程度</w:t>
            </w:r>
          </w:p>
        </w:tc>
        <w:tc>
          <w:tcPr>
            <w:tcW w:w="2134" w:type="dxa"/>
            <w:tcBorders>
              <w:top w:val="single" w:color="auto" w:sz="12" w:space="0"/>
            </w:tcBorders>
            <w:vAlign w:val="center"/>
          </w:tcPr>
          <w:p w14:paraId="41E4C3A9">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I类项目</w:t>
            </w:r>
          </w:p>
        </w:tc>
        <w:tc>
          <w:tcPr>
            <w:tcW w:w="1986" w:type="dxa"/>
            <w:tcBorders>
              <w:top w:val="single" w:color="auto" w:sz="12" w:space="0"/>
            </w:tcBorders>
            <w:vAlign w:val="center"/>
          </w:tcPr>
          <w:p w14:paraId="25042C21">
            <w:pPr>
              <w:spacing w:line="360" w:lineRule="exact"/>
              <w:ind w:firstLine="0" w:firstLineChars="0"/>
              <w:jc w:val="center"/>
              <w:rPr>
                <w:rFonts w:hint="default" w:ascii="Times New Roman" w:hAnsi="Times New Roman" w:cs="Times New Roman"/>
                <w:b/>
                <w:bCs/>
                <w:color w:val="auto"/>
                <w:sz w:val="21"/>
                <w:highlight w:val="none"/>
              </w:rPr>
            </w:pPr>
            <w:r>
              <w:rPr>
                <w:rFonts w:hint="eastAsia" w:cs="Times New Roman"/>
                <w:b/>
                <w:bCs/>
                <w:color w:val="auto"/>
                <w:sz w:val="21"/>
                <w:highlight w:val="none"/>
                <w:lang w:eastAsia="zh-CN"/>
              </w:rPr>
              <w:t>Ⅱ类</w:t>
            </w:r>
            <w:r>
              <w:rPr>
                <w:rFonts w:hint="default" w:ascii="Times New Roman" w:hAnsi="Times New Roman" w:cs="Times New Roman"/>
                <w:b/>
                <w:bCs/>
                <w:color w:val="auto"/>
                <w:sz w:val="21"/>
                <w:highlight w:val="none"/>
              </w:rPr>
              <w:t>项目</w:t>
            </w:r>
          </w:p>
        </w:tc>
        <w:tc>
          <w:tcPr>
            <w:tcW w:w="1989" w:type="dxa"/>
            <w:tcBorders>
              <w:top w:val="single" w:color="auto" w:sz="12" w:space="0"/>
              <w:right w:val="single" w:color="auto" w:sz="12" w:space="0"/>
            </w:tcBorders>
            <w:vAlign w:val="center"/>
          </w:tcPr>
          <w:p w14:paraId="0AE83A52">
            <w:pPr>
              <w:spacing w:line="360" w:lineRule="exact"/>
              <w:ind w:firstLine="0" w:firstLineChars="0"/>
              <w:jc w:val="center"/>
              <w:rPr>
                <w:rFonts w:hint="default" w:ascii="Times New Roman" w:hAnsi="Times New Roman" w:cs="Times New Roman"/>
                <w:b/>
                <w:bCs/>
                <w:color w:val="auto"/>
                <w:sz w:val="21"/>
                <w:highlight w:val="none"/>
              </w:rPr>
            </w:pPr>
            <w:r>
              <w:rPr>
                <w:rFonts w:hint="eastAsia" w:cs="Times New Roman"/>
                <w:b/>
                <w:bCs/>
                <w:color w:val="auto"/>
                <w:sz w:val="21"/>
                <w:highlight w:val="none"/>
                <w:lang w:eastAsia="zh-CN"/>
              </w:rPr>
              <w:t>Ⅲ类</w:t>
            </w:r>
            <w:r>
              <w:rPr>
                <w:rFonts w:hint="default" w:ascii="Times New Roman" w:hAnsi="Times New Roman" w:cs="Times New Roman"/>
                <w:b/>
                <w:bCs/>
                <w:color w:val="auto"/>
                <w:sz w:val="21"/>
                <w:highlight w:val="none"/>
              </w:rPr>
              <w:t>项目</w:t>
            </w:r>
          </w:p>
        </w:tc>
      </w:tr>
      <w:tr w14:paraId="2F4A0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tcBorders>
              <w:left w:val="single" w:color="auto" w:sz="12" w:space="0"/>
            </w:tcBorders>
            <w:vAlign w:val="center"/>
          </w:tcPr>
          <w:p w14:paraId="22DE1B43">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敏感</w:t>
            </w:r>
          </w:p>
        </w:tc>
        <w:tc>
          <w:tcPr>
            <w:tcW w:w="2134" w:type="dxa"/>
            <w:vAlign w:val="center"/>
          </w:tcPr>
          <w:p w14:paraId="551D6E15">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一</w:t>
            </w:r>
          </w:p>
        </w:tc>
        <w:tc>
          <w:tcPr>
            <w:tcW w:w="1986" w:type="dxa"/>
            <w:vAlign w:val="center"/>
          </w:tcPr>
          <w:p w14:paraId="16D83CB2">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一</w:t>
            </w:r>
          </w:p>
        </w:tc>
        <w:tc>
          <w:tcPr>
            <w:tcW w:w="1989" w:type="dxa"/>
            <w:tcBorders>
              <w:right w:val="single" w:color="auto" w:sz="12" w:space="0"/>
            </w:tcBorders>
            <w:vAlign w:val="center"/>
          </w:tcPr>
          <w:p w14:paraId="2F05D822">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二</w:t>
            </w:r>
          </w:p>
        </w:tc>
      </w:tr>
      <w:tr w14:paraId="6ECFA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tcBorders>
              <w:left w:val="single" w:color="auto" w:sz="12" w:space="0"/>
            </w:tcBorders>
            <w:vAlign w:val="center"/>
          </w:tcPr>
          <w:p w14:paraId="2CC0D44D">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较敏感</w:t>
            </w:r>
          </w:p>
        </w:tc>
        <w:tc>
          <w:tcPr>
            <w:tcW w:w="2134" w:type="dxa"/>
            <w:vAlign w:val="center"/>
          </w:tcPr>
          <w:p w14:paraId="07FB90B0">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一</w:t>
            </w:r>
          </w:p>
        </w:tc>
        <w:tc>
          <w:tcPr>
            <w:tcW w:w="1986" w:type="dxa"/>
            <w:vAlign w:val="center"/>
          </w:tcPr>
          <w:p w14:paraId="40CA505C">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二</w:t>
            </w:r>
          </w:p>
        </w:tc>
        <w:tc>
          <w:tcPr>
            <w:tcW w:w="1989" w:type="dxa"/>
            <w:tcBorders>
              <w:right w:val="single" w:color="auto" w:sz="12" w:space="0"/>
            </w:tcBorders>
            <w:vAlign w:val="center"/>
          </w:tcPr>
          <w:p w14:paraId="13A2EFBC">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三</w:t>
            </w:r>
          </w:p>
        </w:tc>
      </w:tr>
      <w:tr w14:paraId="59D9B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0" w:type="dxa"/>
            <w:tcBorders>
              <w:left w:val="single" w:color="auto" w:sz="12" w:space="0"/>
              <w:bottom w:val="single" w:color="auto" w:sz="12" w:space="0"/>
            </w:tcBorders>
            <w:vAlign w:val="center"/>
          </w:tcPr>
          <w:p w14:paraId="765FFB6C">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不敏感</w:t>
            </w:r>
          </w:p>
        </w:tc>
        <w:tc>
          <w:tcPr>
            <w:tcW w:w="2134" w:type="dxa"/>
            <w:tcBorders>
              <w:bottom w:val="single" w:color="auto" w:sz="12" w:space="0"/>
            </w:tcBorders>
            <w:vAlign w:val="center"/>
          </w:tcPr>
          <w:p w14:paraId="47D8BF25">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二</w:t>
            </w:r>
          </w:p>
        </w:tc>
        <w:tc>
          <w:tcPr>
            <w:tcW w:w="1986" w:type="dxa"/>
            <w:tcBorders>
              <w:bottom w:val="single" w:color="auto" w:sz="12" w:space="0"/>
            </w:tcBorders>
            <w:vAlign w:val="center"/>
          </w:tcPr>
          <w:p w14:paraId="1C81A35C">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三</w:t>
            </w:r>
          </w:p>
        </w:tc>
        <w:tc>
          <w:tcPr>
            <w:tcW w:w="1989" w:type="dxa"/>
            <w:tcBorders>
              <w:bottom w:val="single" w:color="auto" w:sz="12" w:space="0"/>
              <w:right w:val="single" w:color="auto" w:sz="12" w:space="0"/>
            </w:tcBorders>
            <w:vAlign w:val="center"/>
          </w:tcPr>
          <w:p w14:paraId="1C6E9AA8">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b/>
                <w:bCs/>
                <w:color w:val="auto"/>
                <w:sz w:val="21"/>
                <w:highlight w:val="none"/>
              </w:rPr>
              <w:t>三</w:t>
            </w:r>
          </w:p>
        </w:tc>
      </w:tr>
    </w:tbl>
    <w:p w14:paraId="7086C6A9">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2.6.1.4声评价等级</w:t>
      </w:r>
    </w:p>
    <w:p w14:paraId="5FFE4A3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项目区位于《声环境质量标准》（GB3096</w:t>
      </w:r>
      <w:r>
        <w:rPr>
          <w:rFonts w:hint="eastAsia" w:cs="Times New Roman"/>
          <w:color w:val="auto"/>
          <w:highlight w:val="none"/>
          <w:lang w:val="en-US" w:eastAsia="zh-CN"/>
        </w:rPr>
        <w:t>-2008</w:t>
      </w:r>
      <w:r>
        <w:rPr>
          <w:rFonts w:hint="default" w:ascii="Times New Roman" w:hAnsi="Times New Roman" w:cs="Times New Roman"/>
          <w:color w:val="auto"/>
          <w:highlight w:val="none"/>
        </w:rPr>
        <w:t>）中</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类功能区，周围2.5km范围内无居民区等声环境敏感目标，受影响人数变化不大。根据《环境影响评价技术导则 声环境》（HJ2.4-2021）中的评价等级确定原则，声环境评价等级为</w:t>
      </w:r>
      <w:r>
        <w:rPr>
          <w:rFonts w:hint="default" w:ascii="Times New Roman" w:hAnsi="Times New Roman" w:cs="Times New Roman"/>
          <w:color w:val="auto"/>
          <w:highlight w:val="none"/>
          <w:lang w:eastAsia="zh-CN"/>
        </w:rPr>
        <w:t>二</w:t>
      </w:r>
      <w:r>
        <w:rPr>
          <w:rFonts w:hint="default" w:ascii="Times New Roman" w:hAnsi="Times New Roman" w:cs="Times New Roman"/>
          <w:color w:val="auto"/>
          <w:highlight w:val="none"/>
        </w:rPr>
        <w:t>级。</w:t>
      </w:r>
    </w:p>
    <w:p w14:paraId="3B6A9A70">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2.6.1.5土壤环境评价等级</w:t>
      </w:r>
    </w:p>
    <w:p w14:paraId="1447C99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（1）项目类别</w:t>
      </w:r>
    </w:p>
    <w:p w14:paraId="774731C3">
      <w:pPr>
        <w:pStyle w:val="42"/>
        <w:overflowPunct w:val="0"/>
        <w:topLinePunct/>
        <w:adjustRightInd/>
        <w:snapToGrid/>
        <w:spacing w:line="480" w:lineRule="exact"/>
        <w:ind w:firstLine="480"/>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根据《环境影响评价技术导则 土壤环境（试行）》（HJ964-2018）附录A土壤环境影响评价项目类别表（表2.6-7），本项目属于采矿业中的Ⅲ类项目；根据附录B表B.1，选矿厂及尾矿库属于污染影响型。</w:t>
      </w:r>
    </w:p>
    <w:p w14:paraId="564E0F37">
      <w:pPr>
        <w:pStyle w:val="42"/>
        <w:adjustRightInd/>
        <w:snapToGrid/>
        <w:spacing w:line="480" w:lineRule="exact"/>
        <w:ind w:firstLine="0" w:firstLineChars="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表2.6-7    土壤环境影响评价项目类别</w:t>
      </w:r>
    </w:p>
    <w:tbl>
      <w:tblPr>
        <w:tblStyle w:val="34"/>
        <w:tblW w:w="861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1559"/>
        <w:gridCol w:w="5245"/>
        <w:gridCol w:w="708"/>
      </w:tblGrid>
      <w:tr w14:paraId="34FCC3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tblHeader/>
          <w:jc w:val="center"/>
        </w:trPr>
        <w:tc>
          <w:tcPr>
            <w:tcW w:w="1100" w:type="dxa"/>
            <w:vMerge w:val="restart"/>
            <w:tcBorders>
              <w:tl2br w:val="nil"/>
              <w:tr2bl w:val="nil"/>
            </w:tcBorders>
            <w:vAlign w:val="center"/>
          </w:tcPr>
          <w:p w14:paraId="7083514C">
            <w:pPr>
              <w:pStyle w:val="42"/>
              <w:ind w:firstLine="0" w:firstLineChars="0"/>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行业类别</w:t>
            </w:r>
          </w:p>
        </w:tc>
        <w:tc>
          <w:tcPr>
            <w:tcW w:w="7512" w:type="dxa"/>
            <w:gridSpan w:val="3"/>
            <w:tcBorders>
              <w:tl2br w:val="nil"/>
              <w:tr2bl w:val="nil"/>
            </w:tcBorders>
            <w:vAlign w:val="center"/>
          </w:tcPr>
          <w:p w14:paraId="1FE3ED0A">
            <w:pPr>
              <w:pStyle w:val="42"/>
              <w:ind w:firstLine="0" w:firstLineChars="0"/>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项目类别</w:t>
            </w:r>
          </w:p>
        </w:tc>
      </w:tr>
      <w:tr w14:paraId="61B40C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100" w:type="dxa"/>
            <w:vMerge w:val="continue"/>
            <w:tcBorders>
              <w:tl2br w:val="nil"/>
              <w:tr2bl w:val="nil"/>
            </w:tcBorders>
            <w:vAlign w:val="center"/>
          </w:tcPr>
          <w:p w14:paraId="59037543">
            <w:pPr>
              <w:pStyle w:val="42"/>
              <w:ind w:firstLine="0" w:firstLineChars="0"/>
              <w:rPr>
                <w:rFonts w:hint="default" w:ascii="Times New Roman" w:hAnsi="Times New Roman" w:cs="Times New Roman"/>
                <w:b/>
                <w:bCs/>
                <w:color w:val="auto"/>
                <w:sz w:val="21"/>
                <w:highlight w:val="none"/>
              </w:rPr>
            </w:pPr>
          </w:p>
        </w:tc>
        <w:tc>
          <w:tcPr>
            <w:tcW w:w="1559" w:type="dxa"/>
            <w:tcBorders>
              <w:tl2br w:val="nil"/>
              <w:tr2bl w:val="nil"/>
            </w:tcBorders>
            <w:vAlign w:val="center"/>
          </w:tcPr>
          <w:p w14:paraId="46574D88">
            <w:pPr>
              <w:pStyle w:val="42"/>
              <w:ind w:firstLine="0" w:firstLineChars="0"/>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I类</w:t>
            </w:r>
          </w:p>
        </w:tc>
        <w:tc>
          <w:tcPr>
            <w:tcW w:w="5245" w:type="dxa"/>
            <w:tcBorders>
              <w:tl2br w:val="nil"/>
              <w:tr2bl w:val="nil"/>
            </w:tcBorders>
            <w:vAlign w:val="center"/>
          </w:tcPr>
          <w:p w14:paraId="5C978AD9">
            <w:pPr>
              <w:pStyle w:val="42"/>
              <w:ind w:firstLine="0" w:firstLineChars="0"/>
              <w:rPr>
                <w:rFonts w:hint="default" w:ascii="Times New Roman" w:hAnsi="Times New Roman" w:cs="Times New Roman"/>
                <w:b/>
                <w:bCs/>
                <w:color w:val="auto"/>
                <w:sz w:val="21"/>
                <w:highlight w:val="none"/>
              </w:rPr>
            </w:pPr>
            <w:r>
              <w:rPr>
                <w:rFonts w:hint="eastAsia" w:cs="Times New Roman"/>
                <w:b/>
                <w:bCs/>
                <w:color w:val="auto"/>
                <w:sz w:val="21"/>
                <w:highlight w:val="none"/>
                <w:lang w:eastAsia="zh-CN"/>
              </w:rPr>
              <w:t>Ⅱ</w:t>
            </w:r>
            <w:r>
              <w:rPr>
                <w:rFonts w:hint="default" w:ascii="Times New Roman" w:hAnsi="Times New Roman" w:cs="Times New Roman"/>
                <w:b/>
                <w:bCs/>
                <w:color w:val="auto"/>
                <w:sz w:val="21"/>
                <w:highlight w:val="none"/>
              </w:rPr>
              <w:t>类</w:t>
            </w:r>
          </w:p>
        </w:tc>
        <w:tc>
          <w:tcPr>
            <w:tcW w:w="708" w:type="dxa"/>
            <w:tcBorders>
              <w:tl2br w:val="nil"/>
              <w:tr2bl w:val="nil"/>
            </w:tcBorders>
            <w:vAlign w:val="center"/>
          </w:tcPr>
          <w:p w14:paraId="2684F2B2">
            <w:pPr>
              <w:pStyle w:val="42"/>
              <w:ind w:firstLine="0" w:firstLineChars="0"/>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Ⅲ类</w:t>
            </w:r>
          </w:p>
        </w:tc>
      </w:tr>
      <w:tr w14:paraId="28A352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100" w:type="dxa"/>
            <w:tcBorders>
              <w:tl2br w:val="nil"/>
              <w:tr2bl w:val="nil"/>
            </w:tcBorders>
            <w:vAlign w:val="center"/>
          </w:tcPr>
          <w:p w14:paraId="4168A87B">
            <w:pPr>
              <w:pStyle w:val="42"/>
              <w:ind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采矿业</w:t>
            </w:r>
          </w:p>
        </w:tc>
        <w:tc>
          <w:tcPr>
            <w:tcW w:w="1559" w:type="dxa"/>
            <w:tcBorders>
              <w:tl2br w:val="nil"/>
              <w:tr2bl w:val="nil"/>
            </w:tcBorders>
            <w:vAlign w:val="center"/>
          </w:tcPr>
          <w:p w14:paraId="4B3BE4BA">
            <w:pPr>
              <w:pStyle w:val="42"/>
              <w:ind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金属矿、石油、页岩油开采</w:t>
            </w:r>
          </w:p>
        </w:tc>
        <w:tc>
          <w:tcPr>
            <w:tcW w:w="5245" w:type="dxa"/>
            <w:tcBorders>
              <w:tl2br w:val="nil"/>
              <w:tr2bl w:val="nil"/>
            </w:tcBorders>
            <w:vAlign w:val="center"/>
          </w:tcPr>
          <w:p w14:paraId="39D385DF">
            <w:pPr>
              <w:pStyle w:val="42"/>
              <w:ind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化学矿采选；石棉矿采选；煤矿采选、天然气开采、页岩气开采、砂岩气开采、煤气层开采（含净化、液化）</w:t>
            </w:r>
          </w:p>
        </w:tc>
        <w:tc>
          <w:tcPr>
            <w:tcW w:w="708" w:type="dxa"/>
            <w:tcBorders>
              <w:tl2br w:val="nil"/>
              <w:tr2bl w:val="nil"/>
            </w:tcBorders>
            <w:vAlign w:val="center"/>
          </w:tcPr>
          <w:p w14:paraId="2DD15A28">
            <w:pPr>
              <w:pStyle w:val="42"/>
              <w:ind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其他</w:t>
            </w:r>
          </w:p>
        </w:tc>
      </w:tr>
    </w:tbl>
    <w:p w14:paraId="34FC7E46">
      <w:pPr>
        <w:numPr>
          <w:ilvl w:val="0"/>
          <w:numId w:val="0"/>
        </w:numPr>
        <w:overflowPunct w:val="0"/>
        <w:topLinePunct/>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土壤环境敏感程度</w:t>
      </w:r>
    </w:p>
    <w:p w14:paraId="426EE6EC">
      <w:pPr>
        <w:pStyle w:val="42"/>
        <w:overflowPunct w:val="0"/>
        <w:topLinePunct/>
        <w:adjustRightInd/>
        <w:snapToGrid/>
        <w:spacing w:line="480" w:lineRule="exact"/>
        <w:ind w:firstLine="480"/>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本项目土地利用类型为</w:t>
      </w:r>
      <w:r>
        <w:rPr>
          <w:rFonts w:hint="default" w:ascii="Times New Roman" w:hAnsi="Times New Roman" w:cs="Times New Roman"/>
          <w:color w:val="auto"/>
          <w:szCs w:val="24"/>
          <w:highlight w:val="none"/>
          <w:lang w:val="en-US" w:eastAsia="zh-CN"/>
        </w:rPr>
        <w:t>裸岩石砾地</w:t>
      </w:r>
      <w:r>
        <w:rPr>
          <w:rFonts w:hint="default" w:ascii="Times New Roman" w:hAnsi="Times New Roman" w:cs="Times New Roman"/>
          <w:color w:val="auto"/>
          <w:szCs w:val="24"/>
          <w:highlight w:val="none"/>
        </w:rPr>
        <w:t>，根据《环境影响评价技术导则 土壤环境（试行）》（HJ964-2018）中土壤环境污染影响型敏感程度分级规定，判定本项目的土壤环境敏感程度为</w:t>
      </w:r>
      <w:r>
        <w:rPr>
          <w:rFonts w:hint="default" w:ascii="Times New Roman" w:hAnsi="Times New Roman" w:cs="Times New Roman"/>
          <w:color w:val="auto"/>
          <w:szCs w:val="24"/>
          <w:highlight w:val="none"/>
          <w:lang w:val="en-US" w:eastAsia="zh-CN"/>
        </w:rPr>
        <w:t>不</w:t>
      </w:r>
      <w:r>
        <w:rPr>
          <w:rFonts w:hint="default" w:ascii="Times New Roman" w:hAnsi="Times New Roman" w:cs="Times New Roman"/>
          <w:color w:val="auto"/>
          <w:szCs w:val="24"/>
          <w:highlight w:val="none"/>
        </w:rPr>
        <w:t>敏感，具体见表2.6-8。</w:t>
      </w:r>
    </w:p>
    <w:p w14:paraId="1B3D8348">
      <w:pPr>
        <w:pStyle w:val="42"/>
        <w:adjustRightInd/>
        <w:snapToGrid/>
        <w:spacing w:line="480" w:lineRule="exact"/>
        <w:ind w:firstLine="0" w:firstLineChars="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表2.6-8    污染影响型敏感程度分级表</w:t>
      </w:r>
    </w:p>
    <w:tbl>
      <w:tblPr>
        <w:tblStyle w:val="34"/>
        <w:tblW w:w="85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7409"/>
      </w:tblGrid>
      <w:tr w14:paraId="01458E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tblHeader/>
          <w:jc w:val="center"/>
        </w:trPr>
        <w:tc>
          <w:tcPr>
            <w:tcW w:w="1111" w:type="dxa"/>
            <w:tcBorders>
              <w:tl2br w:val="nil"/>
              <w:tr2bl w:val="nil"/>
            </w:tcBorders>
            <w:vAlign w:val="center"/>
          </w:tcPr>
          <w:p w14:paraId="2223B7EF">
            <w:pPr>
              <w:pStyle w:val="42"/>
              <w:ind w:firstLine="0" w:firstLineChars="0"/>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敏感程度</w:t>
            </w:r>
          </w:p>
        </w:tc>
        <w:tc>
          <w:tcPr>
            <w:tcW w:w="7409" w:type="dxa"/>
            <w:tcBorders>
              <w:tl2br w:val="nil"/>
              <w:tr2bl w:val="nil"/>
            </w:tcBorders>
            <w:vAlign w:val="center"/>
          </w:tcPr>
          <w:p w14:paraId="53E300A7">
            <w:pPr>
              <w:pStyle w:val="42"/>
              <w:ind w:firstLine="0" w:firstLineChars="0"/>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判别依据</w:t>
            </w:r>
          </w:p>
        </w:tc>
      </w:tr>
      <w:tr w14:paraId="18DB39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111" w:type="dxa"/>
            <w:tcBorders>
              <w:tl2br w:val="nil"/>
              <w:tr2bl w:val="nil"/>
            </w:tcBorders>
            <w:vAlign w:val="center"/>
          </w:tcPr>
          <w:p w14:paraId="47B7975C">
            <w:pPr>
              <w:pStyle w:val="42"/>
              <w:ind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敏感</w:t>
            </w:r>
          </w:p>
        </w:tc>
        <w:tc>
          <w:tcPr>
            <w:tcW w:w="7409" w:type="dxa"/>
            <w:tcBorders>
              <w:tl2br w:val="nil"/>
              <w:tr2bl w:val="nil"/>
            </w:tcBorders>
            <w:vAlign w:val="center"/>
          </w:tcPr>
          <w:p w14:paraId="240C2778">
            <w:pPr>
              <w:pStyle w:val="42"/>
              <w:ind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建设项目周边存在耕地、园地、</w:t>
            </w:r>
            <w:r>
              <w:rPr>
                <w:rFonts w:hint="default" w:ascii="Times New Roman" w:hAnsi="Times New Roman" w:cs="Times New Roman"/>
                <w:b w:val="0"/>
                <w:bCs w:val="0"/>
                <w:color w:val="auto"/>
                <w:sz w:val="21"/>
                <w:highlight w:val="none"/>
              </w:rPr>
              <w:t>牧草地</w:t>
            </w:r>
            <w:r>
              <w:rPr>
                <w:rFonts w:hint="default" w:ascii="Times New Roman" w:hAnsi="Times New Roman" w:cs="Times New Roman"/>
                <w:color w:val="auto"/>
                <w:sz w:val="21"/>
                <w:highlight w:val="none"/>
              </w:rPr>
              <w:t>、饮用水水源地或居民区、学校、医院、疗养院养老院等土壤环境敏感目标的</w:t>
            </w:r>
          </w:p>
        </w:tc>
      </w:tr>
      <w:tr w14:paraId="533704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111" w:type="dxa"/>
            <w:tcBorders>
              <w:tl2br w:val="nil"/>
              <w:tr2bl w:val="nil"/>
            </w:tcBorders>
            <w:vAlign w:val="center"/>
          </w:tcPr>
          <w:p w14:paraId="7E469A7F">
            <w:pPr>
              <w:pStyle w:val="42"/>
              <w:ind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较敏感</w:t>
            </w:r>
          </w:p>
        </w:tc>
        <w:tc>
          <w:tcPr>
            <w:tcW w:w="7409" w:type="dxa"/>
            <w:tcBorders>
              <w:tl2br w:val="nil"/>
              <w:tr2bl w:val="nil"/>
            </w:tcBorders>
            <w:vAlign w:val="center"/>
          </w:tcPr>
          <w:p w14:paraId="21B1CF8A">
            <w:pPr>
              <w:pStyle w:val="42"/>
              <w:ind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建设项目周边存在其他土壤环境敏感目标的</w:t>
            </w:r>
          </w:p>
        </w:tc>
      </w:tr>
      <w:tr w14:paraId="05EDF0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111" w:type="dxa"/>
            <w:tcBorders>
              <w:tl2br w:val="nil"/>
              <w:tr2bl w:val="nil"/>
            </w:tcBorders>
            <w:vAlign w:val="center"/>
          </w:tcPr>
          <w:p w14:paraId="78DE5482">
            <w:pPr>
              <w:pStyle w:val="42"/>
              <w:ind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不敏感</w:t>
            </w:r>
          </w:p>
        </w:tc>
        <w:tc>
          <w:tcPr>
            <w:tcW w:w="7409" w:type="dxa"/>
            <w:tcBorders>
              <w:tl2br w:val="nil"/>
              <w:tr2bl w:val="nil"/>
            </w:tcBorders>
            <w:vAlign w:val="center"/>
          </w:tcPr>
          <w:p w14:paraId="7D899799">
            <w:pPr>
              <w:pStyle w:val="42"/>
              <w:ind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其他情况</w:t>
            </w:r>
          </w:p>
        </w:tc>
      </w:tr>
    </w:tbl>
    <w:p w14:paraId="7EDB13A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（3）评价工作等级判定</w:t>
      </w:r>
    </w:p>
    <w:p w14:paraId="2E1784D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按照《环境影响评价技术导则 土壤环境（试行）》（HJ964-2018）中评价工作等级分级表的划分方法进行确定</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其判定依据见表2.6-9。</w:t>
      </w:r>
    </w:p>
    <w:p w14:paraId="562303DC">
      <w:pPr>
        <w:pStyle w:val="42"/>
        <w:adjustRightInd/>
        <w:snapToGrid/>
        <w:spacing w:line="480" w:lineRule="exact"/>
        <w:ind w:firstLine="0" w:firstLineChars="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表2.6-9    污染影响型评价工作等级划分表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5"/>
        <w:gridCol w:w="682"/>
        <w:gridCol w:w="699"/>
        <w:gridCol w:w="647"/>
        <w:gridCol w:w="656"/>
        <w:gridCol w:w="716"/>
        <w:gridCol w:w="642"/>
        <w:gridCol w:w="668"/>
        <w:gridCol w:w="651"/>
        <w:gridCol w:w="693"/>
      </w:tblGrid>
      <w:tr w14:paraId="746F8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47" w:type="pct"/>
            <w:vMerge w:val="restart"/>
            <w:tcBorders>
              <w:top w:val="single" w:color="auto" w:sz="12" w:space="0"/>
              <w:left w:val="single" w:color="auto" w:sz="12" w:space="0"/>
            </w:tcBorders>
            <w:vAlign w:val="center"/>
          </w:tcPr>
          <w:p w14:paraId="0FF91EF7">
            <w:pPr>
              <w:pStyle w:val="32"/>
              <w:spacing w:after="0" w:line="360" w:lineRule="exact"/>
              <w:ind w:left="0" w:leftChars="0" w:firstLine="0" w:firstLineChars="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-158750</wp:posOffset>
                      </wp:positionH>
                      <wp:positionV relativeFrom="paragraph">
                        <wp:posOffset>0</wp:posOffset>
                      </wp:positionV>
                      <wp:extent cx="1021080" cy="296545"/>
                      <wp:effectExtent l="0" t="0" r="0" b="0"/>
                      <wp:wrapNone/>
                      <wp:docPr id="4" name="矩形 31"/>
                      <wp:cNvGraphicFramePr/>
                      <a:graphic xmlns:a="http://schemas.openxmlformats.org/drawingml/2006/main">
                        <a:graphicData uri="http://schemas.microsoft.com/office/word/2010/wordprocessingShape">
                          <wps:wsp>
                            <wps:cNvSpPr/>
                            <wps:spPr>
                              <a:xfrm>
                                <a:off x="0" y="0"/>
                                <a:ext cx="1021080" cy="296545"/>
                              </a:xfrm>
                              <a:prstGeom prst="rect">
                                <a:avLst/>
                              </a:prstGeom>
                              <a:noFill/>
                              <a:ln>
                                <a:noFill/>
                              </a:ln>
                            </wps:spPr>
                            <wps:txbx>
                              <w:txbxContent>
                                <w:p w14:paraId="4BA41C02">
                                  <w:pPr>
                                    <w:spacing w:line="240" w:lineRule="auto"/>
                                    <w:ind w:firstLine="0" w:firstLineChars="0"/>
                                    <w:jc w:val="center"/>
                                    <w:rPr>
                                      <w:sz w:val="21"/>
                                      <w:szCs w:val="21"/>
                                    </w:rPr>
                                  </w:pPr>
                                  <w:r>
                                    <w:rPr>
                                      <w:rFonts w:hint="eastAsia"/>
                                      <w:sz w:val="21"/>
                                      <w:szCs w:val="21"/>
                                    </w:rPr>
                                    <w:t>评价工作等级</w:t>
                                  </w:r>
                                </w:p>
                              </w:txbxContent>
                            </wps:txbx>
                            <wps:bodyPr upright="1"/>
                          </wps:wsp>
                        </a:graphicData>
                      </a:graphic>
                    </wp:anchor>
                  </w:drawing>
                </mc:Choice>
                <mc:Fallback>
                  <w:pict>
                    <v:rect id="矩形 31" o:spid="_x0000_s1026" o:spt="1" style="position:absolute;left:0pt;margin-left:-12.5pt;margin-top:0pt;height:23.35pt;width:80.4pt;z-index:251661312;mso-width-relative:page;mso-height-relative:page;" filled="f" stroked="f" coordsize="21600,21600" o:gfxdata="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OGe9YrZAAAABwEAAA8AAAAA&#10;AAAAAQAgAAAAIgAAAGRycy9kb3ducmV2LnhtbFBLAQIUABQAAAAIAIdO4kBVWf6soQEAAEIDAAAO&#10;AAAAAAAAAAEAIAAAACgBAABkcnMvZTJvRG9jLnhtbFBLBQYAAAAABgAGAFkBAAA7BQAAAAA=&#10;">
                      <v:fill on="f" focussize="0,0"/>
                      <v:stroke on="f"/>
                      <v:imagedata o:title=""/>
                      <o:lock v:ext="edit" aspectratio="f"/>
                      <v:textbox>
                        <w:txbxContent>
                          <w:p w14:paraId="4BA41C02">
                            <w:pPr>
                              <w:spacing w:line="240" w:lineRule="auto"/>
                              <w:ind w:firstLine="0" w:firstLineChars="0"/>
                              <w:jc w:val="center"/>
                              <w:rPr>
                                <w:sz w:val="21"/>
                                <w:szCs w:val="21"/>
                              </w:rPr>
                            </w:pPr>
                            <w:r>
                              <w:rPr>
                                <w:rFonts w:hint="eastAsia"/>
                                <w:sz w:val="21"/>
                                <w:szCs w:val="21"/>
                              </w:rPr>
                              <w:t>评价工作等级</w:t>
                            </w:r>
                          </w:p>
                        </w:txbxContent>
                      </v:textbox>
                    </v:rect>
                  </w:pict>
                </mc:Fallback>
              </mc:AlternateContent>
            </w:r>
            <w:r>
              <w:rPr>
                <w:rFonts w:hint="default" w:ascii="Times New Roman" w:hAnsi="Times New Roman" w:cs="Times New Roman"/>
                <w:color w:val="auto"/>
                <w:sz w:val="24"/>
                <w:highlight w:val="none"/>
              </w:rPr>
              <mc:AlternateContent>
                <mc:Choice Requires="wps">
                  <w:drawing>
                    <wp:anchor distT="0" distB="0" distL="114300" distR="114300" simplePos="0" relativeHeight="251663360" behindDoc="0" locked="0" layoutInCell="1" allowOverlap="1">
                      <wp:simplePos x="0" y="0"/>
                      <wp:positionH relativeFrom="column">
                        <wp:posOffset>774065</wp:posOffset>
                      </wp:positionH>
                      <wp:positionV relativeFrom="paragraph">
                        <wp:posOffset>-58420</wp:posOffset>
                      </wp:positionV>
                      <wp:extent cx="868680" cy="296545"/>
                      <wp:effectExtent l="0" t="0" r="0" b="0"/>
                      <wp:wrapNone/>
                      <wp:docPr id="12" name="矩形 32"/>
                      <wp:cNvGraphicFramePr/>
                      <a:graphic xmlns:a="http://schemas.openxmlformats.org/drawingml/2006/main">
                        <a:graphicData uri="http://schemas.microsoft.com/office/word/2010/wordprocessingShape">
                          <wps:wsp>
                            <wps:cNvSpPr/>
                            <wps:spPr>
                              <a:xfrm>
                                <a:off x="0" y="0"/>
                                <a:ext cx="868680" cy="296545"/>
                              </a:xfrm>
                              <a:prstGeom prst="rect">
                                <a:avLst/>
                              </a:prstGeom>
                              <a:noFill/>
                              <a:ln>
                                <a:noFill/>
                              </a:ln>
                            </wps:spPr>
                            <wps:txbx>
                              <w:txbxContent>
                                <w:p w14:paraId="43C8F218">
                                  <w:pPr>
                                    <w:spacing w:line="240" w:lineRule="auto"/>
                                    <w:ind w:firstLine="0" w:firstLineChars="0"/>
                                    <w:jc w:val="center"/>
                                    <w:rPr>
                                      <w:sz w:val="21"/>
                                      <w:szCs w:val="21"/>
                                    </w:rPr>
                                  </w:pPr>
                                  <w:r>
                                    <w:rPr>
                                      <w:rFonts w:hint="eastAsia"/>
                                      <w:sz w:val="21"/>
                                      <w:szCs w:val="21"/>
                                    </w:rPr>
                                    <w:t>占地规模</w:t>
                                  </w:r>
                                </w:p>
                              </w:txbxContent>
                            </wps:txbx>
                            <wps:bodyPr upright="1"/>
                          </wps:wsp>
                        </a:graphicData>
                      </a:graphic>
                    </wp:anchor>
                  </w:drawing>
                </mc:Choice>
                <mc:Fallback>
                  <w:pict>
                    <v:rect id="矩形 32" o:spid="_x0000_s1026" o:spt="1" style="position:absolute;left:0pt;margin-left:60.95pt;margin-top:-4.6pt;height:23.35pt;width:68.4pt;z-index:251663360;mso-width-relative:page;mso-height-relative:page;" filled="f" stroked="f" coordsize="21600,21600" o:gfxdata="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PP/v+raAAAACQEAAA8A&#10;AAAAAAAAAQAgAAAAIgAAAGRycy9kb3ducmV2LnhtbFBLAQIUABQAAAAIAIdO4kCOYz9oowEAAEID&#10;AAAOAAAAAAAAAAEAIAAAACkBAABkcnMvZTJvRG9jLnhtbFBLBQYAAAAABgAGAFkBAAA+BQAAAAA=&#10;">
                      <v:fill on="f" focussize="0,0"/>
                      <v:stroke on="f"/>
                      <v:imagedata o:title=""/>
                      <o:lock v:ext="edit" aspectratio="f"/>
                      <v:textbox>
                        <w:txbxContent>
                          <w:p w14:paraId="43C8F218">
                            <w:pPr>
                              <w:spacing w:line="240" w:lineRule="auto"/>
                              <w:ind w:firstLine="0" w:firstLineChars="0"/>
                              <w:jc w:val="center"/>
                              <w:rPr>
                                <w:sz w:val="21"/>
                                <w:szCs w:val="21"/>
                              </w:rPr>
                            </w:pPr>
                            <w:r>
                              <w:rPr>
                                <w:rFonts w:hint="eastAsia"/>
                                <w:sz w:val="21"/>
                                <w:szCs w:val="21"/>
                              </w:rPr>
                              <w:t>占地规模</w:t>
                            </w:r>
                          </w:p>
                        </w:txbxContent>
                      </v:textbox>
                    </v:rect>
                  </w:pict>
                </mc:Fallback>
              </mc:AlternateContent>
            </w:r>
            <w:r>
              <w:rPr>
                <w:rFonts w:hint="default" w:ascii="Times New Roman" w:hAnsi="Times New Roman" w:cs="Times New Roman"/>
                <w:color w:val="auto"/>
                <w:szCs w:val="21"/>
                <w:highlight w:val="none"/>
              </w:rPr>
              <mc:AlternateContent>
                <mc:Choice Requires="wps">
                  <w:drawing>
                    <wp:anchor distT="0" distB="0" distL="114300" distR="114300" simplePos="0" relativeHeight="251665408" behindDoc="0" locked="0" layoutInCell="1" allowOverlap="1">
                      <wp:simplePos x="0" y="0"/>
                      <wp:positionH relativeFrom="column">
                        <wp:posOffset>613410</wp:posOffset>
                      </wp:positionH>
                      <wp:positionV relativeFrom="paragraph">
                        <wp:posOffset>12700</wp:posOffset>
                      </wp:positionV>
                      <wp:extent cx="884555" cy="461645"/>
                      <wp:effectExtent l="1905" t="4445" r="8890" b="10160"/>
                      <wp:wrapNone/>
                      <wp:docPr id="13" name="直接连接符 64"/>
                      <wp:cNvGraphicFramePr/>
                      <a:graphic xmlns:a="http://schemas.openxmlformats.org/drawingml/2006/main">
                        <a:graphicData uri="http://schemas.microsoft.com/office/word/2010/wordprocessingShape">
                          <wps:wsp>
                            <wps:cNvCnPr/>
                            <wps:spPr>
                              <a:xfrm>
                                <a:off x="1080770" y="1222375"/>
                                <a:ext cx="575945" cy="483870"/>
                              </a:xfrm>
                              <a:prstGeom prst="line">
                                <a:avLst/>
                              </a:prstGeom>
                              <a:noFill/>
                              <a:ln w="6350" cap="flat" cmpd="sng" algn="ctr">
                                <a:solidFill>
                                  <a:srgbClr val="000000"/>
                                </a:solidFill>
                                <a:prstDash val="solid"/>
                                <a:miter lim="800000"/>
                              </a:ln>
                              <a:effectLst/>
                            </wps:spPr>
                            <wps:bodyPr/>
                          </wps:wsp>
                        </a:graphicData>
                      </a:graphic>
                    </wp:anchor>
                  </w:drawing>
                </mc:Choice>
                <mc:Fallback>
                  <w:pict>
                    <v:line id="直接连接符 64" o:spid="_x0000_s1026" o:spt="20" style="position:absolute;left:0pt;margin-left:48.3pt;margin-top:1pt;height:36.35pt;width:69.65pt;z-index:251665408;mso-width-relative:page;mso-height-relative:page;" filled="f" stroked="t" coordsize="21600,21600" o:gfxdata="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C0Xb7WAAAABwEAAA8AAAAAAAAAAQAgAAAAIgAAAGRycy9kb3ducmV2LnhtbFBL&#10;AQIUABQAAAAIAIdO4kB5oYK8+AEAANEDAAAOAAAAAAAAAAEAIAAAACUBAABkcnMvZTJvRG9jLnht&#10;bFBLBQYAAAAABgAGAFkBAACPBQAAAAA=&#10;">
                      <v:fill on="f" focussize="0,0"/>
                      <v:stroke weight="0.5pt" color="#000000" miterlimit="8" joinstyle="miter"/>
                      <v:imagedata o:title=""/>
                      <o:lock v:ext="edit" aspectratio="f"/>
                    </v:line>
                  </w:pict>
                </mc:Fallback>
              </mc:AlternateContent>
            </w:r>
            <w:r>
              <w:rPr>
                <w:rFonts w:hint="default" w:ascii="Times New Roman" w:hAnsi="Times New Roman" w:cs="Times New Roman"/>
                <w:color w:val="auto"/>
                <w:sz w:val="24"/>
                <w:highlight w:val="none"/>
              </w:rPr>
              <mc:AlternateContent>
                <mc:Choice Requires="wps">
                  <w:drawing>
                    <wp:anchor distT="0" distB="0" distL="114300" distR="114300" simplePos="0" relativeHeight="251666432" behindDoc="0" locked="0" layoutInCell="1" allowOverlap="1">
                      <wp:simplePos x="0" y="0"/>
                      <wp:positionH relativeFrom="column">
                        <wp:posOffset>-193040</wp:posOffset>
                      </wp:positionH>
                      <wp:positionV relativeFrom="paragraph">
                        <wp:posOffset>233045</wp:posOffset>
                      </wp:positionV>
                      <wp:extent cx="876300" cy="296545"/>
                      <wp:effectExtent l="0" t="0" r="0" b="0"/>
                      <wp:wrapNone/>
                      <wp:docPr id="14" name="矩形 34"/>
                      <wp:cNvGraphicFramePr/>
                      <a:graphic xmlns:a="http://schemas.openxmlformats.org/drawingml/2006/main">
                        <a:graphicData uri="http://schemas.microsoft.com/office/word/2010/wordprocessingShape">
                          <wps:wsp>
                            <wps:cNvSpPr/>
                            <wps:spPr>
                              <a:xfrm>
                                <a:off x="0" y="0"/>
                                <a:ext cx="876300" cy="296545"/>
                              </a:xfrm>
                              <a:prstGeom prst="rect">
                                <a:avLst/>
                              </a:prstGeom>
                              <a:noFill/>
                              <a:ln>
                                <a:noFill/>
                              </a:ln>
                            </wps:spPr>
                            <wps:txbx>
                              <w:txbxContent>
                                <w:p w14:paraId="69C6763D">
                                  <w:pPr>
                                    <w:spacing w:line="240" w:lineRule="auto"/>
                                    <w:ind w:firstLine="0" w:firstLineChars="0"/>
                                    <w:jc w:val="center"/>
                                    <w:rPr>
                                      <w:sz w:val="21"/>
                                      <w:szCs w:val="21"/>
                                    </w:rPr>
                                  </w:pPr>
                                  <w:r>
                                    <w:rPr>
                                      <w:rFonts w:hint="eastAsia"/>
                                      <w:sz w:val="21"/>
                                      <w:szCs w:val="21"/>
                                    </w:rPr>
                                    <w:t>敏感程度</w:t>
                                  </w:r>
                                </w:p>
                              </w:txbxContent>
                            </wps:txbx>
                            <wps:bodyPr upright="1"/>
                          </wps:wsp>
                        </a:graphicData>
                      </a:graphic>
                    </wp:anchor>
                  </w:drawing>
                </mc:Choice>
                <mc:Fallback>
                  <w:pict>
                    <v:rect id="矩形 34" o:spid="_x0000_s1026" o:spt="1" style="position:absolute;left:0pt;margin-left:-15.2pt;margin-top:18.35pt;height:23.35pt;width:69pt;z-index:251666432;mso-width-relative:page;mso-height-relative:page;" filled="f" stroked="f" coordsize="21600,21600" o:gfxdata="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Oi6dJDaAAAACQEAAA8A&#10;AAAAAAAAAQAgAAAAIgAAAGRycy9kb3ducmV2LnhtbFBLAQIUABQAAAAIAIdO4kA/bFprowEAAEID&#10;AAAOAAAAAAAAAAEAIAAAACkBAABkcnMvZTJvRG9jLnhtbFBLBQYAAAAABgAGAFkBAAA+BQAAAAA=&#10;">
                      <v:fill on="f" focussize="0,0"/>
                      <v:stroke on="f"/>
                      <v:imagedata o:title=""/>
                      <o:lock v:ext="edit" aspectratio="f"/>
                      <v:textbox>
                        <w:txbxContent>
                          <w:p w14:paraId="69C6763D">
                            <w:pPr>
                              <w:spacing w:line="240" w:lineRule="auto"/>
                              <w:ind w:firstLine="0" w:firstLineChars="0"/>
                              <w:jc w:val="center"/>
                              <w:rPr>
                                <w:sz w:val="21"/>
                                <w:szCs w:val="21"/>
                              </w:rPr>
                            </w:pPr>
                            <w:r>
                              <w:rPr>
                                <w:rFonts w:hint="eastAsia"/>
                                <w:sz w:val="21"/>
                                <w:szCs w:val="21"/>
                              </w:rPr>
                              <w:t>敏感程度</w:t>
                            </w:r>
                          </w:p>
                        </w:txbxContent>
                      </v:textbox>
                    </v:rect>
                  </w:pict>
                </mc:Fallback>
              </mc:AlternateContent>
            </w:r>
            <w:r>
              <w:rPr>
                <w:rFonts w:hint="default" w:ascii="Times New Roman" w:hAnsi="Times New Roman" w:cs="Times New Roman"/>
                <w:color w:val="auto"/>
                <w:szCs w:val="21"/>
                <w:highlight w:val="none"/>
              </w:rPr>
              <mc:AlternateContent>
                <mc:Choice Requires="wps">
                  <w:drawing>
                    <wp:anchor distT="0" distB="0" distL="114300" distR="114300" simplePos="0" relativeHeight="251664384" behindDoc="0" locked="0" layoutInCell="1" allowOverlap="1">
                      <wp:simplePos x="0" y="0"/>
                      <wp:positionH relativeFrom="column">
                        <wp:posOffset>-77470</wp:posOffset>
                      </wp:positionH>
                      <wp:positionV relativeFrom="paragraph">
                        <wp:posOffset>201930</wp:posOffset>
                      </wp:positionV>
                      <wp:extent cx="1556385" cy="267970"/>
                      <wp:effectExtent l="635" t="4445" r="5080" b="13335"/>
                      <wp:wrapNone/>
                      <wp:docPr id="64" name="直接连接符 64"/>
                      <wp:cNvGraphicFramePr/>
                      <a:graphic xmlns:a="http://schemas.openxmlformats.org/drawingml/2006/main">
                        <a:graphicData uri="http://schemas.microsoft.com/office/word/2010/wordprocessingShape">
                          <wps:wsp>
                            <wps:cNvCnPr/>
                            <wps:spPr>
                              <a:xfrm>
                                <a:off x="1080770" y="1222375"/>
                                <a:ext cx="575945" cy="48387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6.1pt;margin-top:15.9pt;height:21.1pt;width:122.55pt;z-index:251664384;mso-width-relative:page;mso-height-relative:page;" filled="f" stroked="t" coordsize="21600,21600" o:gfxdata="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3ZFgrYAAAACQEAAA8AAAAAAAAAAQAgAAAAIgAAAGRycy9kb3ducmV2Lnht&#10;bFBLAQIUABQAAAAIAIdO4kAzWxQR+QEAANEDAAAOAAAAAAAAAAEAIAAAACcBAABkcnMvZTJvRG9j&#10;LnhtbFBLBQYAAAAABgAGAFkBAACSBQAAAAA=&#10;">
                      <v:fill on="f" focussize="0,0"/>
                      <v:stroke weight="0.5pt" color="#000000" miterlimit="8" joinstyle="miter"/>
                      <v:imagedata o:title=""/>
                      <o:lock v:ext="edit" aspectratio="f"/>
                    </v:line>
                  </w:pict>
                </mc:Fallback>
              </mc:AlternateContent>
            </w:r>
          </w:p>
        </w:tc>
        <w:tc>
          <w:tcPr>
            <w:tcW w:w="1190" w:type="pct"/>
            <w:gridSpan w:val="3"/>
            <w:tcBorders>
              <w:top w:val="single" w:color="auto" w:sz="12" w:space="0"/>
            </w:tcBorders>
            <w:vAlign w:val="center"/>
          </w:tcPr>
          <w:p w14:paraId="0585D502">
            <w:pPr>
              <w:pStyle w:val="32"/>
              <w:spacing w:after="0" w:line="360" w:lineRule="exact"/>
              <w:ind w:left="0" w:leftChars="0" w:firstLine="0" w:firstLineChars="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I类</w:t>
            </w:r>
          </w:p>
        </w:tc>
        <w:tc>
          <w:tcPr>
            <w:tcW w:w="1182" w:type="pct"/>
            <w:gridSpan w:val="3"/>
            <w:tcBorders>
              <w:top w:val="single" w:color="auto" w:sz="12" w:space="0"/>
            </w:tcBorders>
            <w:vAlign w:val="center"/>
          </w:tcPr>
          <w:p w14:paraId="7108B3A4">
            <w:pPr>
              <w:pStyle w:val="32"/>
              <w:spacing w:after="0" w:line="360" w:lineRule="exact"/>
              <w:ind w:left="0" w:leftChars="0" w:firstLine="0" w:firstLineChars="0"/>
              <w:jc w:val="center"/>
              <w:rPr>
                <w:rFonts w:hint="default" w:ascii="Times New Roman" w:hAnsi="Times New Roman" w:cs="Times New Roman"/>
                <w:b/>
                <w:bCs/>
                <w:color w:val="auto"/>
                <w:kern w:val="0"/>
                <w:szCs w:val="21"/>
                <w:highlight w:val="none"/>
              </w:rPr>
            </w:pPr>
            <w:r>
              <w:rPr>
                <w:rFonts w:hint="eastAsia" w:cs="Times New Roman"/>
                <w:b/>
                <w:bCs/>
                <w:color w:val="auto"/>
                <w:kern w:val="0"/>
                <w:szCs w:val="21"/>
                <w:highlight w:val="none"/>
                <w:lang w:eastAsia="zh-CN"/>
              </w:rPr>
              <w:t>Ⅱ</w:t>
            </w:r>
            <w:r>
              <w:rPr>
                <w:rFonts w:hint="default" w:ascii="Times New Roman" w:hAnsi="Times New Roman" w:cs="Times New Roman"/>
                <w:b/>
                <w:bCs/>
                <w:color w:val="auto"/>
                <w:kern w:val="0"/>
                <w:szCs w:val="21"/>
                <w:highlight w:val="none"/>
              </w:rPr>
              <w:t>类</w:t>
            </w:r>
          </w:p>
        </w:tc>
        <w:tc>
          <w:tcPr>
            <w:tcW w:w="1180" w:type="pct"/>
            <w:gridSpan w:val="3"/>
            <w:tcBorders>
              <w:top w:val="single" w:color="auto" w:sz="12" w:space="0"/>
              <w:right w:val="single" w:color="auto" w:sz="12" w:space="0"/>
            </w:tcBorders>
            <w:vAlign w:val="center"/>
          </w:tcPr>
          <w:p w14:paraId="7A66584C">
            <w:pPr>
              <w:pStyle w:val="32"/>
              <w:spacing w:after="0" w:line="360" w:lineRule="exact"/>
              <w:ind w:left="0" w:leftChars="0" w:firstLine="0" w:firstLineChars="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Ⅲ类</w:t>
            </w:r>
          </w:p>
        </w:tc>
      </w:tr>
      <w:tr w14:paraId="37DE1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47" w:type="pct"/>
            <w:vMerge w:val="continue"/>
            <w:tcBorders>
              <w:left w:val="single" w:color="auto" w:sz="12" w:space="0"/>
            </w:tcBorders>
            <w:vAlign w:val="center"/>
          </w:tcPr>
          <w:p w14:paraId="2E599FB5">
            <w:pPr>
              <w:pStyle w:val="32"/>
              <w:spacing w:after="0" w:line="360" w:lineRule="exact"/>
              <w:ind w:left="0" w:leftChars="0" w:firstLine="0" w:firstLineChars="0"/>
              <w:jc w:val="center"/>
              <w:rPr>
                <w:rFonts w:hint="default" w:ascii="Times New Roman" w:hAnsi="Times New Roman" w:cs="Times New Roman"/>
                <w:color w:val="auto"/>
                <w:kern w:val="0"/>
                <w:szCs w:val="21"/>
                <w:highlight w:val="none"/>
              </w:rPr>
            </w:pPr>
          </w:p>
        </w:tc>
        <w:tc>
          <w:tcPr>
            <w:tcW w:w="400" w:type="pct"/>
            <w:vAlign w:val="center"/>
          </w:tcPr>
          <w:p w14:paraId="73A61458">
            <w:pPr>
              <w:pStyle w:val="32"/>
              <w:spacing w:after="0" w:line="360" w:lineRule="exact"/>
              <w:ind w:left="0" w:leftChars="0" w:firstLine="0" w:firstLineChars="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大</w:t>
            </w:r>
          </w:p>
        </w:tc>
        <w:tc>
          <w:tcPr>
            <w:tcW w:w="410" w:type="pct"/>
            <w:vAlign w:val="center"/>
          </w:tcPr>
          <w:p w14:paraId="3DD3E506">
            <w:pPr>
              <w:pStyle w:val="32"/>
              <w:spacing w:after="0" w:line="360" w:lineRule="exact"/>
              <w:ind w:left="0" w:leftChars="0" w:firstLine="0" w:firstLineChars="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中</w:t>
            </w:r>
          </w:p>
        </w:tc>
        <w:tc>
          <w:tcPr>
            <w:tcW w:w="379" w:type="pct"/>
            <w:vAlign w:val="center"/>
          </w:tcPr>
          <w:p w14:paraId="35A9F2B9">
            <w:pPr>
              <w:pStyle w:val="32"/>
              <w:spacing w:after="0" w:line="360" w:lineRule="exact"/>
              <w:ind w:left="0" w:leftChars="0" w:firstLine="0" w:firstLineChars="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小</w:t>
            </w:r>
          </w:p>
        </w:tc>
        <w:tc>
          <w:tcPr>
            <w:tcW w:w="385" w:type="pct"/>
            <w:vAlign w:val="center"/>
          </w:tcPr>
          <w:p w14:paraId="64F23247">
            <w:pPr>
              <w:pStyle w:val="32"/>
              <w:spacing w:after="0" w:line="360" w:lineRule="exact"/>
              <w:ind w:left="0" w:leftChars="0" w:firstLine="0" w:firstLineChars="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大</w:t>
            </w:r>
          </w:p>
        </w:tc>
        <w:tc>
          <w:tcPr>
            <w:tcW w:w="420" w:type="pct"/>
            <w:vAlign w:val="center"/>
          </w:tcPr>
          <w:p w14:paraId="6716415E">
            <w:pPr>
              <w:pStyle w:val="32"/>
              <w:spacing w:after="0" w:line="360" w:lineRule="exact"/>
              <w:ind w:left="0" w:leftChars="0" w:firstLine="0" w:firstLineChars="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中</w:t>
            </w:r>
          </w:p>
        </w:tc>
        <w:tc>
          <w:tcPr>
            <w:tcW w:w="376" w:type="pct"/>
            <w:vAlign w:val="center"/>
          </w:tcPr>
          <w:p w14:paraId="7B95F584">
            <w:pPr>
              <w:pStyle w:val="32"/>
              <w:spacing w:after="0" w:line="360" w:lineRule="exact"/>
              <w:ind w:left="0" w:leftChars="0" w:firstLine="0" w:firstLineChars="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小</w:t>
            </w:r>
          </w:p>
        </w:tc>
        <w:tc>
          <w:tcPr>
            <w:tcW w:w="392" w:type="pct"/>
            <w:vAlign w:val="center"/>
          </w:tcPr>
          <w:p w14:paraId="36829A2B">
            <w:pPr>
              <w:pStyle w:val="32"/>
              <w:spacing w:after="0" w:line="360" w:lineRule="exact"/>
              <w:ind w:left="0" w:leftChars="0" w:firstLine="0" w:firstLineChars="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大</w:t>
            </w:r>
          </w:p>
        </w:tc>
        <w:tc>
          <w:tcPr>
            <w:tcW w:w="382" w:type="pct"/>
            <w:vAlign w:val="center"/>
          </w:tcPr>
          <w:p w14:paraId="7E598A7B">
            <w:pPr>
              <w:pStyle w:val="32"/>
              <w:spacing w:after="0" w:line="360" w:lineRule="exact"/>
              <w:ind w:left="0" w:leftChars="0" w:firstLine="0" w:firstLineChars="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中</w:t>
            </w:r>
          </w:p>
        </w:tc>
        <w:tc>
          <w:tcPr>
            <w:tcW w:w="406" w:type="pct"/>
            <w:tcBorders>
              <w:right w:val="single" w:color="auto" w:sz="12" w:space="0"/>
            </w:tcBorders>
            <w:vAlign w:val="center"/>
          </w:tcPr>
          <w:p w14:paraId="29ED9D61">
            <w:pPr>
              <w:pStyle w:val="32"/>
              <w:spacing w:after="0" w:line="360" w:lineRule="exact"/>
              <w:ind w:left="0" w:leftChars="0" w:firstLine="0" w:firstLineChars="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小</w:t>
            </w:r>
          </w:p>
        </w:tc>
      </w:tr>
      <w:tr w14:paraId="781F7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47" w:type="pct"/>
            <w:tcBorders>
              <w:left w:val="single" w:color="auto" w:sz="12" w:space="0"/>
            </w:tcBorders>
            <w:vAlign w:val="center"/>
          </w:tcPr>
          <w:p w14:paraId="48F391FF">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敏感</w:t>
            </w:r>
          </w:p>
        </w:tc>
        <w:tc>
          <w:tcPr>
            <w:tcW w:w="400" w:type="pct"/>
            <w:shd w:val="clear" w:color="auto" w:fill="auto"/>
            <w:vAlign w:val="center"/>
          </w:tcPr>
          <w:p w14:paraId="43D69221">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shd w:val="clear"/>
              </w:rPr>
              <w:t>一级</w:t>
            </w:r>
          </w:p>
        </w:tc>
        <w:tc>
          <w:tcPr>
            <w:tcW w:w="410" w:type="pct"/>
            <w:vAlign w:val="center"/>
          </w:tcPr>
          <w:p w14:paraId="50CB9ED6">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一级</w:t>
            </w:r>
          </w:p>
        </w:tc>
        <w:tc>
          <w:tcPr>
            <w:tcW w:w="379" w:type="pct"/>
            <w:vAlign w:val="center"/>
          </w:tcPr>
          <w:p w14:paraId="4E2C36BE">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一级</w:t>
            </w:r>
          </w:p>
        </w:tc>
        <w:tc>
          <w:tcPr>
            <w:tcW w:w="385" w:type="pct"/>
            <w:vAlign w:val="center"/>
          </w:tcPr>
          <w:p w14:paraId="2E9C0519">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二级</w:t>
            </w:r>
          </w:p>
        </w:tc>
        <w:tc>
          <w:tcPr>
            <w:tcW w:w="420" w:type="pct"/>
            <w:vAlign w:val="center"/>
          </w:tcPr>
          <w:p w14:paraId="31AB2C1C">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二级</w:t>
            </w:r>
          </w:p>
        </w:tc>
        <w:tc>
          <w:tcPr>
            <w:tcW w:w="376" w:type="pct"/>
            <w:vAlign w:val="center"/>
          </w:tcPr>
          <w:p w14:paraId="239052DB">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二级</w:t>
            </w:r>
          </w:p>
        </w:tc>
        <w:tc>
          <w:tcPr>
            <w:tcW w:w="392" w:type="pct"/>
            <w:vAlign w:val="center"/>
          </w:tcPr>
          <w:p w14:paraId="1C66AD0E">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三级</w:t>
            </w:r>
          </w:p>
        </w:tc>
        <w:tc>
          <w:tcPr>
            <w:tcW w:w="382" w:type="pct"/>
            <w:vAlign w:val="center"/>
          </w:tcPr>
          <w:p w14:paraId="2515F18E">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三级</w:t>
            </w:r>
          </w:p>
        </w:tc>
        <w:tc>
          <w:tcPr>
            <w:tcW w:w="406" w:type="pct"/>
            <w:tcBorders>
              <w:right w:val="single" w:color="auto" w:sz="12" w:space="0"/>
            </w:tcBorders>
            <w:vAlign w:val="center"/>
          </w:tcPr>
          <w:p w14:paraId="1A57C0B2">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三级</w:t>
            </w:r>
          </w:p>
        </w:tc>
      </w:tr>
      <w:tr w14:paraId="0737E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47" w:type="pct"/>
            <w:tcBorders>
              <w:left w:val="single" w:color="auto" w:sz="12" w:space="0"/>
            </w:tcBorders>
            <w:vAlign w:val="center"/>
          </w:tcPr>
          <w:p w14:paraId="47030AAB">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较敏感</w:t>
            </w:r>
          </w:p>
        </w:tc>
        <w:tc>
          <w:tcPr>
            <w:tcW w:w="400" w:type="pct"/>
            <w:vAlign w:val="center"/>
          </w:tcPr>
          <w:p w14:paraId="7DD47682">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一级</w:t>
            </w:r>
          </w:p>
        </w:tc>
        <w:tc>
          <w:tcPr>
            <w:tcW w:w="410" w:type="pct"/>
            <w:vAlign w:val="center"/>
          </w:tcPr>
          <w:p w14:paraId="3BF4C0A0">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一级</w:t>
            </w:r>
          </w:p>
        </w:tc>
        <w:tc>
          <w:tcPr>
            <w:tcW w:w="379" w:type="pct"/>
            <w:vAlign w:val="center"/>
          </w:tcPr>
          <w:p w14:paraId="1E7661F2">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二级</w:t>
            </w:r>
          </w:p>
        </w:tc>
        <w:tc>
          <w:tcPr>
            <w:tcW w:w="385" w:type="pct"/>
            <w:vAlign w:val="center"/>
          </w:tcPr>
          <w:p w14:paraId="79DE2983">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二级</w:t>
            </w:r>
          </w:p>
        </w:tc>
        <w:tc>
          <w:tcPr>
            <w:tcW w:w="420" w:type="pct"/>
            <w:vAlign w:val="center"/>
          </w:tcPr>
          <w:p w14:paraId="5442EF14">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二级</w:t>
            </w:r>
          </w:p>
        </w:tc>
        <w:tc>
          <w:tcPr>
            <w:tcW w:w="376" w:type="pct"/>
            <w:vAlign w:val="center"/>
          </w:tcPr>
          <w:p w14:paraId="0615A835">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三级</w:t>
            </w:r>
          </w:p>
        </w:tc>
        <w:tc>
          <w:tcPr>
            <w:tcW w:w="392" w:type="pct"/>
            <w:vAlign w:val="center"/>
          </w:tcPr>
          <w:p w14:paraId="2BE6ACE3">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三级</w:t>
            </w:r>
          </w:p>
        </w:tc>
        <w:tc>
          <w:tcPr>
            <w:tcW w:w="382" w:type="pct"/>
            <w:vAlign w:val="center"/>
          </w:tcPr>
          <w:p w14:paraId="6C29A2A6">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三级</w:t>
            </w:r>
          </w:p>
        </w:tc>
        <w:tc>
          <w:tcPr>
            <w:tcW w:w="406" w:type="pct"/>
            <w:tcBorders>
              <w:right w:val="single" w:color="auto" w:sz="12" w:space="0"/>
            </w:tcBorders>
            <w:vAlign w:val="center"/>
          </w:tcPr>
          <w:p w14:paraId="497331C9">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w:t>
            </w:r>
          </w:p>
        </w:tc>
      </w:tr>
      <w:tr w14:paraId="316CC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47" w:type="pct"/>
            <w:tcBorders>
              <w:left w:val="single" w:color="auto" w:sz="12" w:space="0"/>
            </w:tcBorders>
            <w:vAlign w:val="center"/>
          </w:tcPr>
          <w:p w14:paraId="49DFF137">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不敏感</w:t>
            </w:r>
          </w:p>
        </w:tc>
        <w:tc>
          <w:tcPr>
            <w:tcW w:w="400" w:type="pct"/>
            <w:vAlign w:val="center"/>
          </w:tcPr>
          <w:p w14:paraId="7FBB778E">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一级</w:t>
            </w:r>
          </w:p>
        </w:tc>
        <w:tc>
          <w:tcPr>
            <w:tcW w:w="410" w:type="pct"/>
            <w:vAlign w:val="center"/>
          </w:tcPr>
          <w:p w14:paraId="503C46FC">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二级</w:t>
            </w:r>
          </w:p>
        </w:tc>
        <w:tc>
          <w:tcPr>
            <w:tcW w:w="379" w:type="pct"/>
            <w:vAlign w:val="center"/>
          </w:tcPr>
          <w:p w14:paraId="208662F6">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二级</w:t>
            </w:r>
          </w:p>
        </w:tc>
        <w:tc>
          <w:tcPr>
            <w:tcW w:w="385" w:type="pct"/>
            <w:vAlign w:val="center"/>
          </w:tcPr>
          <w:p w14:paraId="281D34CB">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二级</w:t>
            </w:r>
          </w:p>
        </w:tc>
        <w:tc>
          <w:tcPr>
            <w:tcW w:w="420" w:type="pct"/>
            <w:vAlign w:val="center"/>
          </w:tcPr>
          <w:p w14:paraId="09C5F529">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三级</w:t>
            </w:r>
          </w:p>
        </w:tc>
        <w:tc>
          <w:tcPr>
            <w:tcW w:w="376" w:type="pct"/>
            <w:vAlign w:val="center"/>
          </w:tcPr>
          <w:p w14:paraId="2593E50E">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三级</w:t>
            </w:r>
          </w:p>
        </w:tc>
        <w:tc>
          <w:tcPr>
            <w:tcW w:w="392" w:type="pct"/>
            <w:vAlign w:val="center"/>
          </w:tcPr>
          <w:p w14:paraId="63F17ABC">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三级</w:t>
            </w:r>
          </w:p>
        </w:tc>
        <w:tc>
          <w:tcPr>
            <w:tcW w:w="382" w:type="pct"/>
            <w:vAlign w:val="center"/>
          </w:tcPr>
          <w:p w14:paraId="6880F0E5">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w:t>
            </w:r>
          </w:p>
        </w:tc>
        <w:tc>
          <w:tcPr>
            <w:tcW w:w="406" w:type="pct"/>
            <w:tcBorders>
              <w:right w:val="single" w:color="auto" w:sz="12" w:space="0"/>
            </w:tcBorders>
            <w:vAlign w:val="center"/>
          </w:tcPr>
          <w:p w14:paraId="4E6F761D">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w:t>
            </w:r>
          </w:p>
        </w:tc>
      </w:tr>
      <w:tr w14:paraId="5AF77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000" w:type="pct"/>
            <w:gridSpan w:val="10"/>
            <w:tcBorders>
              <w:left w:val="single" w:color="auto" w:sz="12" w:space="0"/>
              <w:bottom w:val="single" w:color="auto" w:sz="12" w:space="0"/>
              <w:right w:val="single" w:color="auto" w:sz="12" w:space="0"/>
            </w:tcBorders>
            <w:vAlign w:val="center"/>
          </w:tcPr>
          <w:p w14:paraId="562E1DBB">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注：</w:t>
            </w:r>
            <w:r>
              <w:rPr>
                <w:rFonts w:hint="eastAsia" w:cs="Times New Roman"/>
                <w:bCs/>
                <w:color w:val="auto"/>
                <w:kern w:val="0"/>
                <w:szCs w:val="21"/>
                <w:highlight w:val="none"/>
                <w:lang w:eastAsia="zh-CN"/>
              </w:rPr>
              <w:t>“</w:t>
            </w:r>
            <w:r>
              <w:rPr>
                <w:rFonts w:hint="default" w:ascii="Times New Roman" w:hAnsi="Times New Roman" w:cs="Times New Roman"/>
                <w:bCs/>
                <w:color w:val="auto"/>
                <w:kern w:val="0"/>
                <w:szCs w:val="21"/>
                <w:highlight w:val="none"/>
              </w:rPr>
              <w:t>-</w:t>
            </w:r>
            <w:r>
              <w:rPr>
                <w:rFonts w:hint="eastAsia" w:cs="Times New Roman"/>
                <w:bCs/>
                <w:color w:val="auto"/>
                <w:kern w:val="0"/>
                <w:szCs w:val="21"/>
                <w:highlight w:val="none"/>
                <w:lang w:eastAsia="zh-CN"/>
              </w:rPr>
              <w:t>”</w:t>
            </w:r>
            <w:r>
              <w:rPr>
                <w:rFonts w:hint="default" w:ascii="Times New Roman" w:hAnsi="Times New Roman" w:cs="Times New Roman"/>
                <w:bCs/>
                <w:color w:val="auto"/>
                <w:kern w:val="0"/>
                <w:szCs w:val="21"/>
                <w:highlight w:val="none"/>
              </w:rPr>
              <w:t>表示可不开展土壤环境影响评价工作</w:t>
            </w:r>
          </w:p>
        </w:tc>
      </w:tr>
    </w:tbl>
    <w:p w14:paraId="06DA2163">
      <w:pPr>
        <w:overflowPunct w:val="0"/>
        <w:topLinePunct/>
        <w:ind w:firstLine="48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本项目区域土壤环境影响评价项目类别为类，所在区域土壤环境敏感程度为</w:t>
      </w:r>
      <w:r>
        <w:rPr>
          <w:rFonts w:hint="default" w:ascii="Times New Roman" w:hAnsi="Times New Roman" w:cs="Times New Roman"/>
          <w:color w:val="auto"/>
          <w:highlight w:val="none"/>
          <w:lang w:val="en-US" w:eastAsia="zh-CN"/>
        </w:rPr>
        <w:t>不</w:t>
      </w:r>
      <w:r>
        <w:rPr>
          <w:rFonts w:hint="default" w:ascii="Times New Roman" w:hAnsi="Times New Roman" w:cs="Times New Roman"/>
          <w:color w:val="auto"/>
          <w:highlight w:val="none"/>
        </w:rPr>
        <w:t>敏感，本项目</w:t>
      </w:r>
      <w:r>
        <w:rPr>
          <w:rFonts w:hint="default" w:ascii="Times New Roman" w:hAnsi="Times New Roman" w:cs="Times New Roman"/>
          <w:color w:val="auto"/>
          <w:highlight w:val="none"/>
          <w:lang w:eastAsia="zh-CN"/>
        </w:rPr>
        <w:t>选矿厂</w:t>
      </w:r>
      <w:r>
        <w:rPr>
          <w:rFonts w:hint="default" w:ascii="Times New Roman" w:hAnsi="Times New Roman" w:cs="Times New Roman"/>
          <w:color w:val="auto"/>
          <w:highlight w:val="none"/>
        </w:rPr>
        <w:t>占地面积</w:t>
      </w:r>
      <w:r>
        <w:rPr>
          <w:rFonts w:hint="eastAsia" w:cs="Times New Roman"/>
          <w:color w:val="auto"/>
          <w:highlight w:val="none"/>
          <w:lang w:val="en-US" w:eastAsia="zh-CN"/>
        </w:rPr>
        <w:t>3.5603</w:t>
      </w:r>
      <w:r>
        <w:rPr>
          <w:rFonts w:hint="default" w:ascii="Times New Roman" w:hAnsi="Times New Roman" w:cs="Times New Roman"/>
          <w:color w:val="auto"/>
          <w:highlight w:val="none"/>
        </w:rPr>
        <w:t>h</w:t>
      </w:r>
      <w:r>
        <w:rPr>
          <w:rFonts w:hint="default" w:ascii="Times New Roman" w:hAnsi="Times New Roman" w:cs="Times New Roman"/>
          <w:color w:val="auto"/>
          <w:kern w:val="0"/>
          <w:highlight w:val="none"/>
        </w:rPr>
        <w:t>m</w:t>
      </w:r>
      <w:r>
        <w:rPr>
          <w:rFonts w:hint="default" w:ascii="Times New Roman" w:hAnsi="Times New Roman" w:cs="Times New Roman"/>
          <w:color w:val="auto"/>
          <w:kern w:val="0"/>
          <w:highlight w:val="none"/>
          <w:vertAlign w:val="superscript"/>
        </w:rPr>
        <w:t>2</w:t>
      </w:r>
      <w:r>
        <w:rPr>
          <w:rFonts w:hint="default" w:ascii="Times New Roman" w:hAnsi="Times New Roman" w:cs="Times New Roman"/>
          <w:color w:val="auto"/>
          <w:kern w:val="0"/>
          <w:highlight w:val="none"/>
        </w:rPr>
        <w:t>，占地规模为</w:t>
      </w:r>
      <w:r>
        <w:rPr>
          <w:rFonts w:hint="default" w:ascii="Times New Roman" w:hAnsi="Times New Roman" w:cs="Times New Roman"/>
          <w:color w:val="auto"/>
          <w:kern w:val="0"/>
          <w:highlight w:val="none"/>
          <w:lang w:val="en-US" w:eastAsia="zh-CN"/>
        </w:rPr>
        <w:t>小</w:t>
      </w:r>
      <w:r>
        <w:rPr>
          <w:rFonts w:hint="default" w:ascii="Times New Roman" w:hAnsi="Times New Roman" w:cs="Times New Roman"/>
          <w:color w:val="auto"/>
          <w:kern w:val="0"/>
          <w:highlight w:val="none"/>
        </w:rPr>
        <w:t>型</w:t>
      </w:r>
      <w:r>
        <w:rPr>
          <w:rFonts w:hint="default" w:ascii="Times New Roman" w:hAnsi="Times New Roman" w:cs="Times New Roman"/>
          <w:color w:val="auto"/>
          <w:kern w:val="0"/>
          <w:highlight w:val="none"/>
          <w:lang w:eastAsia="zh-CN"/>
        </w:rPr>
        <w:t>，尾矿库</w:t>
      </w:r>
      <w:r>
        <w:rPr>
          <w:rFonts w:hint="default" w:ascii="Times New Roman" w:hAnsi="Times New Roman" w:cs="Times New Roman"/>
          <w:color w:val="auto"/>
          <w:highlight w:val="none"/>
        </w:rPr>
        <w:t>占地面积</w:t>
      </w:r>
      <w:r>
        <w:rPr>
          <w:rFonts w:hint="default" w:ascii="Times New Roman" w:hAnsi="Times New Roman" w:cs="Times New Roman"/>
          <w:color w:val="auto"/>
          <w:highlight w:val="none"/>
          <w:lang w:val="en-US" w:eastAsia="zh-CN"/>
        </w:rPr>
        <w:t>16.6</w:t>
      </w:r>
      <w:r>
        <w:rPr>
          <w:rFonts w:hint="default" w:ascii="Times New Roman" w:hAnsi="Times New Roman" w:cs="Times New Roman"/>
          <w:color w:val="auto"/>
          <w:highlight w:val="none"/>
        </w:rPr>
        <w:t>h</w:t>
      </w:r>
      <w:r>
        <w:rPr>
          <w:rFonts w:hint="default" w:ascii="Times New Roman" w:hAnsi="Times New Roman" w:cs="Times New Roman"/>
          <w:color w:val="auto"/>
          <w:kern w:val="0"/>
          <w:highlight w:val="none"/>
        </w:rPr>
        <w:t>m</w:t>
      </w:r>
      <w:r>
        <w:rPr>
          <w:rFonts w:hint="default" w:ascii="Times New Roman" w:hAnsi="Times New Roman" w:cs="Times New Roman"/>
          <w:color w:val="auto"/>
          <w:kern w:val="0"/>
          <w:highlight w:val="none"/>
          <w:vertAlign w:val="superscript"/>
        </w:rPr>
        <w:t>2</w:t>
      </w:r>
      <w:r>
        <w:rPr>
          <w:rFonts w:hint="default" w:ascii="Times New Roman" w:hAnsi="Times New Roman" w:cs="Times New Roman"/>
          <w:color w:val="auto"/>
          <w:kern w:val="0"/>
          <w:highlight w:val="none"/>
        </w:rPr>
        <w:t>，占地规模为</w:t>
      </w:r>
      <w:r>
        <w:rPr>
          <w:rFonts w:hint="default" w:ascii="Times New Roman" w:hAnsi="Times New Roman" w:cs="Times New Roman"/>
          <w:color w:val="auto"/>
          <w:kern w:val="0"/>
          <w:highlight w:val="none"/>
          <w:lang w:val="en-US" w:eastAsia="zh-CN"/>
        </w:rPr>
        <w:t>中</w:t>
      </w:r>
      <w:r>
        <w:rPr>
          <w:rFonts w:hint="default" w:ascii="Times New Roman" w:hAnsi="Times New Roman" w:cs="Times New Roman"/>
          <w:color w:val="auto"/>
          <w:kern w:val="0"/>
          <w:highlight w:val="none"/>
        </w:rPr>
        <w:t>型。</w:t>
      </w:r>
      <w:r>
        <w:rPr>
          <w:rFonts w:hint="default" w:ascii="Times New Roman" w:hAnsi="Times New Roman" w:cs="Times New Roman"/>
          <w:color w:val="auto"/>
          <w:highlight w:val="none"/>
        </w:rPr>
        <w:t>因此，确定本项目</w:t>
      </w:r>
      <w:r>
        <w:rPr>
          <w:rFonts w:hint="default" w:ascii="Times New Roman" w:hAnsi="Times New Roman" w:cs="Times New Roman"/>
          <w:color w:val="auto"/>
          <w:highlight w:val="none"/>
          <w:lang w:eastAsia="zh-CN"/>
        </w:rPr>
        <w:t>选矿厂和尾矿库无需开展土壤环境影响评价，本次仅对土壤环境影响进行简要分析。</w:t>
      </w:r>
    </w:p>
    <w:p w14:paraId="106119B4">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2.6.1.6生态环境影响评价等级</w:t>
      </w:r>
    </w:p>
    <w:p w14:paraId="462E4EB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本项目生态影响评价等级判定情况见表2.6-10。</w:t>
      </w:r>
    </w:p>
    <w:p w14:paraId="74DA8745">
      <w:pPr>
        <w:pStyle w:val="42"/>
        <w:adjustRightInd/>
        <w:snapToGrid/>
        <w:spacing w:line="480" w:lineRule="exact"/>
        <w:ind w:firstLine="482"/>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表2.6-10    本项目生态影响评价等级判定表</w:t>
      </w:r>
    </w:p>
    <w:tbl>
      <w:tblPr>
        <w:tblStyle w:val="33"/>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72"/>
        <w:gridCol w:w="4915"/>
        <w:gridCol w:w="2035"/>
      </w:tblGrid>
      <w:tr w14:paraId="0A7585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572" w:type="dxa"/>
            <w:tcBorders>
              <w:tl2br w:val="nil"/>
              <w:tr2bl w:val="nil"/>
            </w:tcBorders>
            <w:shd w:val="clear" w:color="auto" w:fill="auto"/>
            <w:vAlign w:val="center"/>
          </w:tcPr>
          <w:p w14:paraId="40051DC4">
            <w:pPr>
              <w:pStyle w:val="47"/>
              <w:spacing w:before="0" w:beforeAutospacing="0"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判定依据</w:t>
            </w:r>
          </w:p>
        </w:tc>
        <w:tc>
          <w:tcPr>
            <w:tcW w:w="4915" w:type="dxa"/>
            <w:tcBorders>
              <w:tl2br w:val="nil"/>
              <w:tr2bl w:val="nil"/>
            </w:tcBorders>
            <w:shd w:val="clear" w:color="auto" w:fill="auto"/>
            <w:vAlign w:val="center"/>
          </w:tcPr>
          <w:p w14:paraId="23892DF2">
            <w:pPr>
              <w:pStyle w:val="47"/>
              <w:spacing w:before="0" w:beforeAutospacing="0"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生态影响评价等级判定原则</w:t>
            </w:r>
          </w:p>
        </w:tc>
        <w:tc>
          <w:tcPr>
            <w:tcW w:w="2035" w:type="dxa"/>
            <w:tcBorders>
              <w:tl2br w:val="nil"/>
              <w:tr2bl w:val="nil"/>
            </w:tcBorders>
            <w:shd w:val="clear" w:color="auto" w:fill="auto"/>
            <w:vAlign w:val="center"/>
          </w:tcPr>
          <w:p w14:paraId="08BA9A17">
            <w:pPr>
              <w:pStyle w:val="47"/>
              <w:spacing w:before="0" w:beforeAutospacing="0"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本项目情况</w:t>
            </w:r>
          </w:p>
        </w:tc>
      </w:tr>
      <w:tr w14:paraId="4FB0C9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vMerge w:val="restart"/>
            <w:tcBorders>
              <w:tl2br w:val="nil"/>
              <w:tr2bl w:val="nil"/>
            </w:tcBorders>
            <w:shd w:val="clear" w:color="auto" w:fill="auto"/>
            <w:vAlign w:val="center"/>
          </w:tcPr>
          <w:p w14:paraId="49C23F1D">
            <w:pPr>
              <w:pStyle w:val="47"/>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z w:val="21"/>
                <w:szCs w:val="24"/>
                <w:highlight w:val="none"/>
              </w:rPr>
              <w:t>《环境影响评价技术导则 生态环境》（HJ19-2022）</w:t>
            </w:r>
          </w:p>
        </w:tc>
        <w:tc>
          <w:tcPr>
            <w:tcW w:w="4915" w:type="dxa"/>
            <w:tcBorders>
              <w:tl2br w:val="nil"/>
              <w:tr2bl w:val="nil"/>
            </w:tcBorders>
            <w:shd w:val="clear" w:color="auto" w:fill="auto"/>
            <w:vAlign w:val="center"/>
          </w:tcPr>
          <w:p w14:paraId="02086245">
            <w:pPr>
              <w:pStyle w:val="47"/>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a、涉及国家公园、自然保护区、世界自然遗产、重要生境时，评价等级为一级</w:t>
            </w:r>
          </w:p>
        </w:tc>
        <w:tc>
          <w:tcPr>
            <w:tcW w:w="2035" w:type="dxa"/>
            <w:tcBorders>
              <w:tl2br w:val="nil"/>
              <w:tr2bl w:val="nil"/>
            </w:tcBorders>
            <w:shd w:val="clear" w:color="auto" w:fill="auto"/>
            <w:vAlign w:val="center"/>
          </w:tcPr>
          <w:p w14:paraId="59C81057">
            <w:pPr>
              <w:pStyle w:val="47"/>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不涉及</w:t>
            </w:r>
          </w:p>
        </w:tc>
      </w:tr>
      <w:tr w14:paraId="4CE5AD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vMerge w:val="continue"/>
            <w:tcBorders>
              <w:tl2br w:val="nil"/>
              <w:tr2bl w:val="nil"/>
            </w:tcBorders>
            <w:shd w:val="clear" w:color="auto" w:fill="auto"/>
            <w:vAlign w:val="center"/>
          </w:tcPr>
          <w:p w14:paraId="03D0CF17">
            <w:pPr>
              <w:pStyle w:val="47"/>
              <w:spacing w:before="0" w:beforeAutospacing="0" w:line="360" w:lineRule="exact"/>
              <w:ind w:firstLine="0" w:firstLineChars="0"/>
              <w:jc w:val="center"/>
              <w:rPr>
                <w:rFonts w:hint="default" w:ascii="Times New Roman" w:hAnsi="Times New Roman" w:cs="Times New Roman"/>
                <w:color w:val="auto"/>
                <w:sz w:val="21"/>
                <w:szCs w:val="24"/>
                <w:highlight w:val="none"/>
              </w:rPr>
            </w:pPr>
          </w:p>
        </w:tc>
        <w:tc>
          <w:tcPr>
            <w:tcW w:w="4915" w:type="dxa"/>
            <w:tcBorders>
              <w:tl2br w:val="nil"/>
              <w:tr2bl w:val="nil"/>
            </w:tcBorders>
            <w:shd w:val="clear" w:color="auto" w:fill="auto"/>
            <w:vAlign w:val="center"/>
          </w:tcPr>
          <w:p w14:paraId="3A51669A">
            <w:pPr>
              <w:pStyle w:val="47"/>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b、涉及自然公园时，评价等级为二级</w:t>
            </w:r>
          </w:p>
        </w:tc>
        <w:tc>
          <w:tcPr>
            <w:tcW w:w="2035" w:type="dxa"/>
            <w:tcBorders>
              <w:tl2br w:val="nil"/>
              <w:tr2bl w:val="nil"/>
            </w:tcBorders>
            <w:shd w:val="clear" w:color="auto" w:fill="auto"/>
            <w:vAlign w:val="center"/>
          </w:tcPr>
          <w:p w14:paraId="25BB2209">
            <w:pPr>
              <w:pStyle w:val="47"/>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不涉及</w:t>
            </w:r>
          </w:p>
        </w:tc>
      </w:tr>
      <w:tr w14:paraId="265910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vMerge w:val="continue"/>
            <w:tcBorders>
              <w:tl2br w:val="nil"/>
              <w:tr2bl w:val="nil"/>
            </w:tcBorders>
            <w:shd w:val="clear" w:color="auto" w:fill="auto"/>
            <w:vAlign w:val="center"/>
          </w:tcPr>
          <w:p w14:paraId="7A7ED209">
            <w:pPr>
              <w:pStyle w:val="47"/>
              <w:spacing w:before="0" w:beforeAutospacing="0" w:line="360" w:lineRule="exact"/>
              <w:ind w:firstLine="0" w:firstLineChars="0"/>
              <w:jc w:val="center"/>
              <w:rPr>
                <w:rFonts w:hint="default" w:ascii="Times New Roman" w:hAnsi="Times New Roman" w:cs="Times New Roman"/>
                <w:color w:val="auto"/>
                <w:sz w:val="21"/>
                <w:szCs w:val="24"/>
                <w:highlight w:val="none"/>
              </w:rPr>
            </w:pPr>
          </w:p>
        </w:tc>
        <w:tc>
          <w:tcPr>
            <w:tcW w:w="4915" w:type="dxa"/>
            <w:tcBorders>
              <w:tl2br w:val="nil"/>
              <w:tr2bl w:val="nil"/>
            </w:tcBorders>
            <w:shd w:val="clear" w:color="auto" w:fill="auto"/>
            <w:vAlign w:val="center"/>
          </w:tcPr>
          <w:p w14:paraId="4A14AA80">
            <w:pPr>
              <w:pStyle w:val="47"/>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c、涉及生态保护红线时，评价等级不低于二级</w:t>
            </w:r>
          </w:p>
        </w:tc>
        <w:tc>
          <w:tcPr>
            <w:tcW w:w="2035" w:type="dxa"/>
            <w:tcBorders>
              <w:tl2br w:val="nil"/>
              <w:tr2bl w:val="nil"/>
            </w:tcBorders>
            <w:shd w:val="clear" w:color="auto" w:fill="auto"/>
            <w:vAlign w:val="center"/>
          </w:tcPr>
          <w:p w14:paraId="248C9A25">
            <w:pPr>
              <w:pStyle w:val="47"/>
              <w:spacing w:before="0" w:beforeAutospacing="0" w:line="360" w:lineRule="exact"/>
              <w:ind w:firstLine="0" w:firstLineChars="0"/>
              <w:jc w:val="center"/>
              <w:rPr>
                <w:rFonts w:hint="default" w:ascii="Times New Roman" w:hAnsi="Times New Roman" w:cs="Times New Roman"/>
                <w:b/>
                <w:color w:val="auto"/>
                <w:spacing w:val="-1"/>
                <w:sz w:val="21"/>
                <w:szCs w:val="21"/>
                <w:highlight w:val="none"/>
              </w:rPr>
            </w:pPr>
            <w:r>
              <w:rPr>
                <w:rFonts w:hint="default" w:ascii="Times New Roman" w:hAnsi="Times New Roman" w:cs="Times New Roman"/>
                <w:color w:val="auto"/>
                <w:spacing w:val="-1"/>
                <w:sz w:val="21"/>
                <w:szCs w:val="21"/>
                <w:highlight w:val="none"/>
              </w:rPr>
              <w:t>不涉及</w:t>
            </w:r>
          </w:p>
        </w:tc>
      </w:tr>
      <w:tr w14:paraId="50EB3F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vMerge w:val="continue"/>
            <w:tcBorders>
              <w:tl2br w:val="nil"/>
              <w:tr2bl w:val="nil"/>
            </w:tcBorders>
            <w:shd w:val="clear" w:color="auto" w:fill="auto"/>
            <w:vAlign w:val="center"/>
          </w:tcPr>
          <w:p w14:paraId="6CCFD300">
            <w:pPr>
              <w:pStyle w:val="47"/>
              <w:spacing w:before="0" w:beforeAutospacing="0" w:line="360" w:lineRule="exact"/>
              <w:ind w:firstLine="0" w:firstLineChars="0"/>
              <w:jc w:val="center"/>
              <w:rPr>
                <w:rFonts w:hint="default" w:ascii="Times New Roman" w:hAnsi="Times New Roman" w:cs="Times New Roman"/>
                <w:color w:val="auto"/>
                <w:sz w:val="21"/>
                <w:szCs w:val="24"/>
                <w:highlight w:val="none"/>
              </w:rPr>
            </w:pPr>
          </w:p>
        </w:tc>
        <w:tc>
          <w:tcPr>
            <w:tcW w:w="4915" w:type="dxa"/>
            <w:tcBorders>
              <w:tl2br w:val="nil"/>
              <w:tr2bl w:val="nil"/>
            </w:tcBorders>
            <w:shd w:val="clear" w:color="auto" w:fill="auto"/>
            <w:vAlign w:val="center"/>
          </w:tcPr>
          <w:p w14:paraId="19E2ACED">
            <w:pPr>
              <w:pStyle w:val="47"/>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d、根据HJ2.3判断属于水文要素影响型且地表水评价等级不低于二级的建设项目，生态影响评价等级不低于二级</w:t>
            </w:r>
          </w:p>
        </w:tc>
        <w:tc>
          <w:tcPr>
            <w:tcW w:w="2035" w:type="dxa"/>
            <w:tcBorders>
              <w:tl2br w:val="nil"/>
              <w:tr2bl w:val="nil"/>
            </w:tcBorders>
            <w:shd w:val="clear" w:color="auto" w:fill="auto"/>
            <w:vAlign w:val="center"/>
          </w:tcPr>
          <w:p w14:paraId="6100549E">
            <w:pPr>
              <w:pStyle w:val="47"/>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本项目不属于水文要素影响型项目，地表水评价等级为三级B</w:t>
            </w:r>
          </w:p>
        </w:tc>
      </w:tr>
      <w:tr w14:paraId="3E11E7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vMerge w:val="continue"/>
            <w:tcBorders>
              <w:tl2br w:val="nil"/>
              <w:tr2bl w:val="nil"/>
            </w:tcBorders>
            <w:shd w:val="clear" w:color="auto" w:fill="auto"/>
            <w:vAlign w:val="center"/>
          </w:tcPr>
          <w:p w14:paraId="784ED11A">
            <w:pPr>
              <w:pStyle w:val="47"/>
              <w:spacing w:before="0" w:beforeAutospacing="0" w:line="360" w:lineRule="exact"/>
              <w:ind w:firstLine="0" w:firstLineChars="0"/>
              <w:jc w:val="center"/>
              <w:rPr>
                <w:rFonts w:hint="default" w:ascii="Times New Roman" w:hAnsi="Times New Roman" w:cs="Times New Roman"/>
                <w:color w:val="auto"/>
                <w:sz w:val="21"/>
                <w:szCs w:val="24"/>
                <w:highlight w:val="none"/>
              </w:rPr>
            </w:pPr>
          </w:p>
        </w:tc>
        <w:tc>
          <w:tcPr>
            <w:tcW w:w="4915" w:type="dxa"/>
            <w:tcBorders>
              <w:tl2br w:val="nil"/>
              <w:tr2bl w:val="nil"/>
            </w:tcBorders>
            <w:shd w:val="clear" w:color="auto" w:fill="auto"/>
            <w:vAlign w:val="center"/>
          </w:tcPr>
          <w:p w14:paraId="574F8871">
            <w:pPr>
              <w:pStyle w:val="47"/>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e、根据HJ610、HJ964判断地下水水位或土壤影响范围内分布有天然林、公益林、湿地等生态保护目标的建设项目，生态影响评价等级不低于二级</w:t>
            </w:r>
          </w:p>
        </w:tc>
        <w:tc>
          <w:tcPr>
            <w:tcW w:w="2035" w:type="dxa"/>
            <w:tcBorders>
              <w:tl2br w:val="nil"/>
              <w:tr2bl w:val="nil"/>
            </w:tcBorders>
            <w:shd w:val="clear" w:color="auto" w:fill="auto"/>
            <w:vAlign w:val="center"/>
          </w:tcPr>
          <w:p w14:paraId="78388019">
            <w:pPr>
              <w:pStyle w:val="47"/>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不涉及</w:t>
            </w:r>
          </w:p>
        </w:tc>
      </w:tr>
      <w:tr w14:paraId="1469B1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vMerge w:val="continue"/>
            <w:tcBorders>
              <w:tl2br w:val="nil"/>
              <w:tr2bl w:val="nil"/>
            </w:tcBorders>
            <w:shd w:val="clear" w:color="auto" w:fill="auto"/>
            <w:vAlign w:val="center"/>
          </w:tcPr>
          <w:p w14:paraId="5C8FF22B">
            <w:pPr>
              <w:pStyle w:val="47"/>
              <w:spacing w:before="0" w:beforeAutospacing="0" w:line="360" w:lineRule="exact"/>
              <w:ind w:firstLine="0" w:firstLineChars="0"/>
              <w:jc w:val="center"/>
              <w:rPr>
                <w:rFonts w:hint="default" w:ascii="Times New Roman" w:hAnsi="Times New Roman" w:cs="Times New Roman"/>
                <w:color w:val="auto"/>
                <w:sz w:val="21"/>
                <w:szCs w:val="24"/>
                <w:highlight w:val="none"/>
              </w:rPr>
            </w:pPr>
          </w:p>
        </w:tc>
        <w:tc>
          <w:tcPr>
            <w:tcW w:w="4915" w:type="dxa"/>
            <w:tcBorders>
              <w:tl2br w:val="nil"/>
              <w:tr2bl w:val="nil"/>
            </w:tcBorders>
            <w:shd w:val="clear" w:color="auto" w:fill="auto"/>
            <w:vAlign w:val="center"/>
          </w:tcPr>
          <w:p w14:paraId="02C043DA">
            <w:pPr>
              <w:pStyle w:val="47"/>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f、当工程占地规模大于20km</w:t>
            </w:r>
            <w:r>
              <w:rPr>
                <w:rFonts w:hint="default" w:ascii="Times New Roman" w:hAnsi="Times New Roman" w:cs="Times New Roman"/>
                <w:color w:val="auto"/>
                <w:spacing w:val="-1"/>
                <w:sz w:val="21"/>
                <w:szCs w:val="21"/>
                <w:highlight w:val="none"/>
                <w:vertAlign w:val="superscript"/>
              </w:rPr>
              <w:t>2</w:t>
            </w:r>
            <w:r>
              <w:rPr>
                <w:rFonts w:hint="default" w:ascii="Times New Roman" w:hAnsi="Times New Roman" w:cs="Times New Roman"/>
                <w:color w:val="auto"/>
                <w:spacing w:val="-1"/>
                <w:sz w:val="21"/>
                <w:szCs w:val="21"/>
                <w:highlight w:val="none"/>
              </w:rPr>
              <w:t>时（包括永久和临时占用陆域和水域），评价等级不低于二级；改</w:t>
            </w:r>
            <w:r>
              <w:rPr>
                <w:rFonts w:hint="default" w:ascii="Times New Roman" w:hAnsi="Times New Roman" w:cs="Times New Roman"/>
                <w:color w:val="auto"/>
                <w:spacing w:val="-1"/>
                <w:sz w:val="21"/>
                <w:szCs w:val="21"/>
                <w:highlight w:val="none"/>
                <w:lang w:eastAsia="zh-CN"/>
              </w:rPr>
              <w:t>新建</w:t>
            </w:r>
            <w:r>
              <w:rPr>
                <w:rFonts w:hint="default" w:ascii="Times New Roman" w:hAnsi="Times New Roman" w:cs="Times New Roman"/>
                <w:color w:val="auto"/>
                <w:spacing w:val="-1"/>
                <w:sz w:val="21"/>
                <w:szCs w:val="21"/>
                <w:highlight w:val="none"/>
              </w:rPr>
              <w:t>项目的占地范围以新增占地（包括陆域和水域）确定</w:t>
            </w:r>
          </w:p>
        </w:tc>
        <w:tc>
          <w:tcPr>
            <w:tcW w:w="2035" w:type="dxa"/>
            <w:tcBorders>
              <w:tl2br w:val="nil"/>
              <w:tr2bl w:val="nil"/>
            </w:tcBorders>
            <w:shd w:val="clear" w:color="auto" w:fill="auto"/>
            <w:vAlign w:val="center"/>
          </w:tcPr>
          <w:p w14:paraId="679CB7D3">
            <w:pPr>
              <w:pStyle w:val="47"/>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本项目为</w:t>
            </w:r>
            <w:r>
              <w:rPr>
                <w:rFonts w:hint="default" w:ascii="Times New Roman" w:hAnsi="Times New Roman" w:cs="Times New Roman"/>
                <w:color w:val="auto"/>
                <w:spacing w:val="-1"/>
                <w:sz w:val="21"/>
                <w:szCs w:val="21"/>
                <w:highlight w:val="none"/>
                <w:lang w:eastAsia="zh-CN"/>
              </w:rPr>
              <w:t>新建</w:t>
            </w:r>
            <w:r>
              <w:rPr>
                <w:rFonts w:hint="default" w:ascii="Times New Roman" w:hAnsi="Times New Roman" w:cs="Times New Roman"/>
                <w:color w:val="auto"/>
                <w:spacing w:val="-1"/>
                <w:sz w:val="21"/>
                <w:szCs w:val="21"/>
                <w:highlight w:val="none"/>
              </w:rPr>
              <w:t>项目，新增占地面积</w:t>
            </w:r>
            <w:r>
              <w:rPr>
                <w:rFonts w:hint="default" w:ascii="Times New Roman" w:hAnsi="Times New Roman" w:cs="Times New Roman"/>
                <w:color w:val="auto"/>
                <w:spacing w:val="-1"/>
                <w:sz w:val="21"/>
                <w:szCs w:val="21"/>
                <w:highlight w:val="none"/>
                <w:lang w:val="en-US" w:eastAsia="zh-CN"/>
              </w:rPr>
              <w:t>0.201603</w:t>
            </w:r>
            <w:r>
              <w:rPr>
                <w:rFonts w:hint="default" w:ascii="Times New Roman" w:hAnsi="Times New Roman" w:cs="Times New Roman"/>
                <w:color w:val="auto"/>
                <w:spacing w:val="-1"/>
                <w:sz w:val="21"/>
                <w:szCs w:val="21"/>
                <w:highlight w:val="none"/>
              </w:rPr>
              <w:t>hm</w:t>
            </w:r>
            <w:r>
              <w:rPr>
                <w:rFonts w:hint="default" w:ascii="Times New Roman" w:hAnsi="Times New Roman" w:cs="Times New Roman"/>
                <w:color w:val="auto"/>
                <w:spacing w:val="-1"/>
                <w:sz w:val="21"/>
                <w:szCs w:val="21"/>
                <w:highlight w:val="none"/>
                <w:vertAlign w:val="superscript"/>
              </w:rPr>
              <w:t>2</w:t>
            </w:r>
            <w:r>
              <w:rPr>
                <w:rFonts w:hint="default" w:ascii="Times New Roman" w:hAnsi="Times New Roman" w:cs="Times New Roman"/>
                <w:color w:val="auto"/>
                <w:spacing w:val="-1"/>
                <w:sz w:val="21"/>
                <w:szCs w:val="21"/>
                <w:highlight w:val="none"/>
              </w:rPr>
              <w:t>，小于20km</w:t>
            </w:r>
            <w:r>
              <w:rPr>
                <w:rFonts w:hint="default" w:ascii="Times New Roman" w:hAnsi="Times New Roman" w:cs="Times New Roman"/>
                <w:color w:val="auto"/>
                <w:spacing w:val="-1"/>
                <w:sz w:val="21"/>
                <w:szCs w:val="21"/>
                <w:highlight w:val="none"/>
                <w:vertAlign w:val="superscript"/>
              </w:rPr>
              <w:t>2</w:t>
            </w:r>
          </w:p>
        </w:tc>
      </w:tr>
      <w:tr w14:paraId="66FFC3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vMerge w:val="continue"/>
            <w:tcBorders>
              <w:tl2br w:val="nil"/>
              <w:tr2bl w:val="nil"/>
            </w:tcBorders>
            <w:shd w:val="clear" w:color="auto" w:fill="auto"/>
            <w:vAlign w:val="center"/>
          </w:tcPr>
          <w:p w14:paraId="13042F90">
            <w:pPr>
              <w:pStyle w:val="47"/>
              <w:spacing w:before="0" w:beforeAutospacing="0" w:line="360" w:lineRule="exact"/>
              <w:ind w:firstLine="0" w:firstLineChars="0"/>
              <w:jc w:val="center"/>
              <w:rPr>
                <w:rFonts w:hint="default" w:ascii="Times New Roman" w:hAnsi="Times New Roman" w:cs="Times New Roman"/>
                <w:color w:val="auto"/>
                <w:sz w:val="21"/>
                <w:szCs w:val="24"/>
                <w:highlight w:val="none"/>
              </w:rPr>
            </w:pPr>
          </w:p>
        </w:tc>
        <w:tc>
          <w:tcPr>
            <w:tcW w:w="4915" w:type="dxa"/>
            <w:tcBorders>
              <w:tl2br w:val="nil"/>
              <w:tr2bl w:val="nil"/>
            </w:tcBorders>
            <w:shd w:val="clear" w:color="auto" w:fill="auto"/>
            <w:vAlign w:val="center"/>
          </w:tcPr>
          <w:p w14:paraId="73AA9AF6">
            <w:pPr>
              <w:pStyle w:val="47"/>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g、除本条a、b、c、d、e、f以外的情况，评价等级为三级</w:t>
            </w:r>
          </w:p>
        </w:tc>
        <w:tc>
          <w:tcPr>
            <w:tcW w:w="2035" w:type="dxa"/>
            <w:tcBorders>
              <w:tl2br w:val="nil"/>
              <w:tr2bl w:val="nil"/>
            </w:tcBorders>
            <w:shd w:val="clear" w:color="auto" w:fill="auto"/>
            <w:vAlign w:val="center"/>
          </w:tcPr>
          <w:p w14:paraId="54D56BC8">
            <w:pPr>
              <w:pStyle w:val="47"/>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属于</w:t>
            </w:r>
          </w:p>
        </w:tc>
      </w:tr>
      <w:tr w14:paraId="5F0B55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72" w:type="dxa"/>
            <w:vMerge w:val="continue"/>
            <w:tcBorders>
              <w:tl2br w:val="nil"/>
              <w:tr2bl w:val="nil"/>
            </w:tcBorders>
            <w:shd w:val="clear" w:color="auto" w:fill="auto"/>
            <w:vAlign w:val="center"/>
          </w:tcPr>
          <w:p w14:paraId="56C8E3FB">
            <w:pPr>
              <w:pStyle w:val="47"/>
              <w:spacing w:before="0" w:beforeAutospacing="0" w:line="360" w:lineRule="exact"/>
              <w:ind w:firstLine="0" w:firstLineChars="0"/>
              <w:jc w:val="center"/>
              <w:rPr>
                <w:rFonts w:hint="default" w:ascii="Times New Roman" w:hAnsi="Times New Roman" w:cs="Times New Roman"/>
                <w:color w:val="auto"/>
                <w:sz w:val="21"/>
                <w:szCs w:val="24"/>
                <w:highlight w:val="none"/>
              </w:rPr>
            </w:pPr>
          </w:p>
        </w:tc>
        <w:tc>
          <w:tcPr>
            <w:tcW w:w="4915" w:type="dxa"/>
            <w:tcBorders>
              <w:tl2br w:val="nil"/>
              <w:tr2bl w:val="nil"/>
            </w:tcBorders>
            <w:shd w:val="clear" w:color="auto" w:fill="auto"/>
            <w:vAlign w:val="center"/>
          </w:tcPr>
          <w:p w14:paraId="7FFF15BD">
            <w:pPr>
              <w:pStyle w:val="47"/>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h、当评价等级判定同时符合上述多种情况时，应采用其中最高的评价等级</w:t>
            </w:r>
          </w:p>
        </w:tc>
        <w:tc>
          <w:tcPr>
            <w:tcW w:w="2035" w:type="dxa"/>
            <w:tcBorders>
              <w:tl2br w:val="nil"/>
              <w:tr2bl w:val="nil"/>
            </w:tcBorders>
            <w:shd w:val="clear" w:color="auto" w:fill="auto"/>
            <w:vAlign w:val="center"/>
          </w:tcPr>
          <w:p w14:paraId="2B83694C">
            <w:pPr>
              <w:pStyle w:val="47"/>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w:t>
            </w:r>
          </w:p>
        </w:tc>
      </w:tr>
    </w:tbl>
    <w:p w14:paraId="7F1A76A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 生态环境》（HJ19-2022）的评价等级判定要求，确定本项目生态影响评价等级为</w:t>
      </w:r>
      <w:r>
        <w:rPr>
          <w:rFonts w:hint="default" w:ascii="Times New Roman" w:hAnsi="Times New Roman" w:cs="Times New Roman"/>
          <w:color w:val="auto"/>
          <w:highlight w:val="none"/>
          <w:lang w:eastAsia="zh-CN"/>
        </w:rPr>
        <w:t>三</w:t>
      </w:r>
      <w:r>
        <w:rPr>
          <w:rFonts w:hint="default" w:ascii="Times New Roman" w:hAnsi="Times New Roman" w:cs="Times New Roman"/>
          <w:color w:val="auto"/>
          <w:highlight w:val="none"/>
        </w:rPr>
        <w:t>级</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在萤石矿选尾项目的建设可能导致矿区土地利用类型明显改变，评价等级应上调一级，</w:t>
      </w:r>
      <w:r>
        <w:rPr>
          <w:rFonts w:hint="default" w:ascii="Times New Roman" w:hAnsi="Times New Roman" w:cs="Times New Roman"/>
          <w:color w:val="auto"/>
          <w:highlight w:val="none"/>
        </w:rPr>
        <w:t>确定本项目生态影响评价等级为</w:t>
      </w:r>
      <w:r>
        <w:rPr>
          <w:rFonts w:hint="default" w:ascii="Times New Roman" w:hAnsi="Times New Roman" w:cs="Times New Roman"/>
          <w:color w:val="auto"/>
          <w:highlight w:val="none"/>
          <w:lang w:eastAsia="zh-CN"/>
        </w:rPr>
        <w:t>二</w:t>
      </w:r>
      <w:r>
        <w:rPr>
          <w:rFonts w:hint="default" w:ascii="Times New Roman" w:hAnsi="Times New Roman" w:cs="Times New Roman"/>
          <w:color w:val="auto"/>
          <w:highlight w:val="none"/>
        </w:rPr>
        <w:t>级。</w:t>
      </w:r>
    </w:p>
    <w:p w14:paraId="517A7A86">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2.6.1.7环境风险评价等级</w:t>
      </w:r>
    </w:p>
    <w:p w14:paraId="52425FF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（1）生产单元</w:t>
      </w:r>
    </w:p>
    <w:p w14:paraId="2FD65D9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根据《建设项目环境风险评价技术导则》（HJ169-2018），建设项目涉及的物质及工艺系统危险性和所在地的环境敏感性确定环境风险潜势，按照表2.6-11确定评价工作等级。风险潜势为</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4 \* ROMAN \* MERGEFORMAT </w:instrText>
      </w:r>
      <w:r>
        <w:rPr>
          <w:rFonts w:hint="default" w:ascii="Times New Roman" w:hAnsi="Times New Roman" w:cs="Times New Roman"/>
          <w:color w:val="auto"/>
          <w:highlight w:val="none"/>
        </w:rPr>
        <w:fldChar w:fldCharType="separate"/>
      </w:r>
      <w:r>
        <w:rPr>
          <w:rFonts w:hint="eastAsia" w:cs="Times New Roman"/>
          <w:color w:val="auto"/>
          <w:highlight w:val="none"/>
          <w:lang w:eastAsia="zh-CN"/>
        </w:rPr>
        <w:t>Ⅳ</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及以上，进行一级评价；风险潜势为</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3 \* ROMAN \* MERGEFORMAT </w:instrText>
      </w:r>
      <w:r>
        <w:rPr>
          <w:rFonts w:hint="default" w:ascii="Times New Roman" w:hAnsi="Times New Roman" w:cs="Times New Roman"/>
          <w:color w:val="auto"/>
          <w:highlight w:val="none"/>
        </w:rPr>
        <w:fldChar w:fldCharType="separate"/>
      </w:r>
      <w:r>
        <w:rPr>
          <w:rFonts w:hint="eastAsia" w:cs="Times New Roman"/>
          <w:color w:val="auto"/>
          <w:highlight w:val="none"/>
          <w:lang w:eastAsia="zh-CN"/>
        </w:rPr>
        <w:t>Ⅲ</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，进行二级评价；风险潜势为</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2 \* ROMAN \* MERGEFORMAT </w:instrText>
      </w:r>
      <w:r>
        <w:rPr>
          <w:rFonts w:hint="default" w:ascii="Times New Roman" w:hAnsi="Times New Roman" w:cs="Times New Roman"/>
          <w:color w:val="auto"/>
          <w:highlight w:val="none"/>
        </w:rPr>
        <w:fldChar w:fldCharType="separate"/>
      </w:r>
      <w:r>
        <w:rPr>
          <w:rFonts w:hint="eastAsia" w:cs="Times New Roman"/>
          <w:color w:val="auto"/>
          <w:highlight w:val="none"/>
          <w:lang w:eastAsia="zh-CN"/>
        </w:rPr>
        <w:t>Ⅱ</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，进行三级评价；风险潜势为</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1 \* ROMAN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I</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，可开展简单分析。</w:t>
      </w:r>
    </w:p>
    <w:p w14:paraId="5E0BC62F">
      <w:pPr>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color w:val="auto"/>
          <w:kern w:val="0"/>
          <w:highlight w:val="none"/>
        </w:rPr>
        <w:t>表2.6-11    评价工作等级划分</w:t>
      </w:r>
    </w:p>
    <w:tbl>
      <w:tblPr>
        <w:tblStyle w:val="33"/>
        <w:tblW w:w="85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71"/>
        <w:gridCol w:w="1671"/>
        <w:gridCol w:w="1636"/>
        <w:gridCol w:w="1680"/>
        <w:gridCol w:w="1661"/>
      </w:tblGrid>
      <w:tr w14:paraId="3A5352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1" w:type="dxa"/>
            <w:tcBorders>
              <w:tl2br w:val="nil"/>
              <w:tr2bl w:val="nil"/>
            </w:tcBorders>
            <w:vAlign w:val="center"/>
          </w:tcPr>
          <w:p w14:paraId="464BDC0A">
            <w:pPr>
              <w:pStyle w:val="32"/>
              <w:spacing w:after="0" w:line="360" w:lineRule="exact"/>
              <w:ind w:left="0" w:leftChars="0" w:firstLine="0" w:firstLineChars="0"/>
              <w:jc w:val="center"/>
              <w:rPr>
                <w:rFonts w:hint="default" w:ascii="Times New Roman" w:hAnsi="Times New Roman" w:cs="Times New Roman"/>
                <w:b/>
                <w:color w:val="auto"/>
                <w:kern w:val="0"/>
                <w:szCs w:val="16"/>
                <w:highlight w:val="none"/>
              </w:rPr>
            </w:pPr>
            <w:r>
              <w:rPr>
                <w:rFonts w:hint="default" w:ascii="Times New Roman" w:hAnsi="Times New Roman" w:cs="Times New Roman"/>
                <w:b/>
                <w:color w:val="auto"/>
                <w:kern w:val="0"/>
                <w:szCs w:val="16"/>
                <w:highlight w:val="none"/>
              </w:rPr>
              <w:t>环境风险潜势</w:t>
            </w:r>
          </w:p>
        </w:tc>
        <w:tc>
          <w:tcPr>
            <w:tcW w:w="1671" w:type="dxa"/>
            <w:tcBorders>
              <w:tl2br w:val="nil"/>
              <w:tr2bl w:val="nil"/>
            </w:tcBorders>
            <w:vAlign w:val="center"/>
          </w:tcPr>
          <w:p w14:paraId="453A6034">
            <w:pPr>
              <w:pStyle w:val="32"/>
              <w:spacing w:after="0" w:line="360" w:lineRule="exact"/>
              <w:ind w:left="0" w:leftChars="0" w:firstLine="0" w:firstLineChars="0"/>
              <w:jc w:val="center"/>
              <w:rPr>
                <w:rFonts w:hint="default" w:ascii="Times New Roman" w:hAnsi="Times New Roman" w:cs="Times New Roman"/>
                <w:b/>
                <w:color w:val="auto"/>
                <w:kern w:val="0"/>
                <w:szCs w:val="16"/>
                <w:highlight w:val="none"/>
              </w:rPr>
            </w:pPr>
            <w:r>
              <w:rPr>
                <w:rFonts w:hint="default" w:ascii="Times New Roman" w:hAnsi="Times New Roman" w:cs="Times New Roman"/>
                <w:b/>
                <w:color w:val="auto"/>
                <w:kern w:val="0"/>
                <w:szCs w:val="16"/>
                <w:highlight w:val="none"/>
              </w:rPr>
              <w:fldChar w:fldCharType="begin"/>
            </w:r>
            <w:r>
              <w:rPr>
                <w:rFonts w:hint="default" w:ascii="Times New Roman" w:hAnsi="Times New Roman" w:cs="Times New Roman"/>
                <w:b/>
                <w:color w:val="auto"/>
                <w:kern w:val="0"/>
                <w:szCs w:val="16"/>
                <w:highlight w:val="none"/>
              </w:rPr>
              <w:instrText xml:space="preserve"> = 4 \* ROMAN \* MERGEFORMAT </w:instrText>
            </w:r>
            <w:r>
              <w:rPr>
                <w:rFonts w:hint="default" w:ascii="Times New Roman" w:hAnsi="Times New Roman" w:cs="Times New Roman"/>
                <w:b/>
                <w:color w:val="auto"/>
                <w:kern w:val="0"/>
                <w:szCs w:val="16"/>
                <w:highlight w:val="none"/>
              </w:rPr>
              <w:fldChar w:fldCharType="separate"/>
            </w:r>
            <w:r>
              <w:rPr>
                <w:rFonts w:hint="eastAsia" w:cs="Times New Roman"/>
                <w:b/>
                <w:color w:val="auto"/>
                <w:kern w:val="0"/>
                <w:szCs w:val="16"/>
                <w:highlight w:val="none"/>
                <w:lang w:eastAsia="zh-CN"/>
              </w:rPr>
              <w:t>Ⅳ</w:t>
            </w:r>
            <w:r>
              <w:rPr>
                <w:rFonts w:hint="default" w:ascii="Times New Roman" w:hAnsi="Times New Roman" w:cs="Times New Roman"/>
                <w:b/>
                <w:color w:val="auto"/>
                <w:kern w:val="0"/>
                <w:szCs w:val="16"/>
                <w:highlight w:val="none"/>
              </w:rPr>
              <w:fldChar w:fldCharType="end"/>
            </w:r>
            <w:r>
              <w:rPr>
                <w:rFonts w:hint="default" w:ascii="Times New Roman" w:hAnsi="Times New Roman" w:cs="Times New Roman"/>
                <w:b/>
                <w:color w:val="auto"/>
                <w:kern w:val="0"/>
                <w:szCs w:val="16"/>
                <w:highlight w:val="none"/>
              </w:rPr>
              <w:t>、</w:t>
            </w:r>
            <w:r>
              <w:rPr>
                <w:rFonts w:hint="default" w:ascii="Times New Roman" w:hAnsi="Times New Roman" w:cs="Times New Roman"/>
                <w:b/>
                <w:color w:val="auto"/>
                <w:kern w:val="0"/>
                <w:szCs w:val="16"/>
                <w:highlight w:val="none"/>
              </w:rPr>
              <w:fldChar w:fldCharType="begin"/>
            </w:r>
            <w:r>
              <w:rPr>
                <w:rFonts w:hint="default" w:ascii="Times New Roman" w:hAnsi="Times New Roman" w:cs="Times New Roman"/>
                <w:b/>
                <w:color w:val="auto"/>
                <w:kern w:val="0"/>
                <w:szCs w:val="16"/>
                <w:highlight w:val="none"/>
              </w:rPr>
              <w:instrText xml:space="preserve"> = 4 \* ROMAN \* MERGEFORMAT </w:instrText>
            </w:r>
            <w:r>
              <w:rPr>
                <w:rFonts w:hint="default" w:ascii="Times New Roman" w:hAnsi="Times New Roman" w:cs="Times New Roman"/>
                <w:b/>
                <w:color w:val="auto"/>
                <w:kern w:val="0"/>
                <w:szCs w:val="16"/>
                <w:highlight w:val="none"/>
              </w:rPr>
              <w:fldChar w:fldCharType="separate"/>
            </w:r>
            <w:r>
              <w:rPr>
                <w:rFonts w:hint="default" w:ascii="Times New Roman" w:hAnsi="Times New Roman" w:cs="Times New Roman"/>
                <w:b/>
                <w:color w:val="auto"/>
                <w:kern w:val="0"/>
                <w:szCs w:val="16"/>
                <w:highlight w:val="none"/>
              </w:rPr>
              <w:t>IV</w:t>
            </w:r>
            <w:r>
              <w:rPr>
                <w:rFonts w:hint="default" w:ascii="Times New Roman" w:hAnsi="Times New Roman" w:cs="Times New Roman"/>
                <w:b/>
                <w:color w:val="auto"/>
                <w:kern w:val="0"/>
                <w:szCs w:val="16"/>
                <w:highlight w:val="none"/>
              </w:rPr>
              <w:fldChar w:fldCharType="end"/>
            </w:r>
            <w:r>
              <w:rPr>
                <w:rFonts w:hint="default" w:ascii="Times New Roman" w:hAnsi="Times New Roman" w:cs="Times New Roman"/>
                <w:b/>
                <w:color w:val="auto"/>
                <w:kern w:val="0"/>
                <w:szCs w:val="16"/>
                <w:highlight w:val="none"/>
              </w:rPr>
              <w:t>+</w:t>
            </w:r>
          </w:p>
        </w:tc>
        <w:tc>
          <w:tcPr>
            <w:tcW w:w="1636" w:type="dxa"/>
            <w:tcBorders>
              <w:tl2br w:val="nil"/>
              <w:tr2bl w:val="nil"/>
            </w:tcBorders>
            <w:vAlign w:val="center"/>
          </w:tcPr>
          <w:p w14:paraId="379773A2">
            <w:pPr>
              <w:pStyle w:val="32"/>
              <w:spacing w:after="0" w:line="360" w:lineRule="exact"/>
              <w:ind w:left="0" w:leftChars="0" w:firstLine="0" w:firstLineChars="0"/>
              <w:jc w:val="center"/>
              <w:rPr>
                <w:rFonts w:hint="default" w:ascii="Times New Roman" w:hAnsi="Times New Roman" w:cs="Times New Roman"/>
                <w:b/>
                <w:color w:val="auto"/>
                <w:kern w:val="0"/>
                <w:szCs w:val="16"/>
                <w:highlight w:val="none"/>
              </w:rPr>
            </w:pPr>
            <w:r>
              <w:rPr>
                <w:rFonts w:hint="default" w:ascii="Times New Roman" w:hAnsi="Times New Roman" w:cs="Times New Roman"/>
                <w:b/>
                <w:color w:val="auto"/>
                <w:kern w:val="0"/>
                <w:szCs w:val="16"/>
                <w:highlight w:val="none"/>
              </w:rPr>
              <w:fldChar w:fldCharType="begin"/>
            </w:r>
            <w:r>
              <w:rPr>
                <w:rFonts w:hint="default" w:ascii="Times New Roman" w:hAnsi="Times New Roman" w:cs="Times New Roman"/>
                <w:b/>
                <w:color w:val="auto"/>
                <w:kern w:val="0"/>
                <w:szCs w:val="16"/>
                <w:highlight w:val="none"/>
              </w:rPr>
              <w:instrText xml:space="preserve"> = 3 \* ROMAN \* MERGEFORMAT </w:instrText>
            </w:r>
            <w:r>
              <w:rPr>
                <w:rFonts w:hint="default" w:ascii="Times New Roman" w:hAnsi="Times New Roman" w:cs="Times New Roman"/>
                <w:b/>
                <w:color w:val="auto"/>
                <w:kern w:val="0"/>
                <w:szCs w:val="16"/>
                <w:highlight w:val="none"/>
              </w:rPr>
              <w:fldChar w:fldCharType="separate"/>
            </w:r>
            <w:r>
              <w:rPr>
                <w:rFonts w:hint="eastAsia" w:cs="Times New Roman"/>
                <w:b/>
                <w:color w:val="auto"/>
                <w:kern w:val="0"/>
                <w:szCs w:val="16"/>
                <w:highlight w:val="none"/>
                <w:lang w:eastAsia="zh-CN"/>
              </w:rPr>
              <w:t>Ⅲ</w:t>
            </w:r>
            <w:r>
              <w:rPr>
                <w:rFonts w:hint="default" w:ascii="Times New Roman" w:hAnsi="Times New Roman" w:cs="Times New Roman"/>
                <w:b/>
                <w:color w:val="auto"/>
                <w:kern w:val="0"/>
                <w:szCs w:val="16"/>
                <w:highlight w:val="none"/>
              </w:rPr>
              <w:fldChar w:fldCharType="end"/>
            </w:r>
          </w:p>
        </w:tc>
        <w:tc>
          <w:tcPr>
            <w:tcW w:w="1680" w:type="dxa"/>
            <w:tcBorders>
              <w:tl2br w:val="nil"/>
              <w:tr2bl w:val="nil"/>
            </w:tcBorders>
            <w:vAlign w:val="center"/>
          </w:tcPr>
          <w:p w14:paraId="51A424C6">
            <w:pPr>
              <w:pStyle w:val="32"/>
              <w:spacing w:after="0" w:line="360" w:lineRule="exact"/>
              <w:ind w:left="0" w:leftChars="0" w:firstLine="0" w:firstLineChars="0"/>
              <w:jc w:val="center"/>
              <w:rPr>
                <w:rFonts w:hint="default" w:ascii="Times New Roman" w:hAnsi="Times New Roman" w:cs="Times New Roman"/>
                <w:b/>
                <w:color w:val="auto"/>
                <w:kern w:val="0"/>
                <w:szCs w:val="16"/>
                <w:highlight w:val="none"/>
              </w:rPr>
            </w:pPr>
            <w:r>
              <w:rPr>
                <w:rFonts w:hint="default" w:ascii="Times New Roman" w:hAnsi="Times New Roman" w:cs="Times New Roman"/>
                <w:b/>
                <w:color w:val="auto"/>
                <w:kern w:val="0"/>
                <w:szCs w:val="16"/>
                <w:highlight w:val="none"/>
              </w:rPr>
              <w:fldChar w:fldCharType="begin"/>
            </w:r>
            <w:r>
              <w:rPr>
                <w:rFonts w:hint="default" w:ascii="Times New Roman" w:hAnsi="Times New Roman" w:cs="Times New Roman"/>
                <w:b/>
                <w:color w:val="auto"/>
                <w:kern w:val="0"/>
                <w:szCs w:val="16"/>
                <w:highlight w:val="none"/>
              </w:rPr>
              <w:instrText xml:space="preserve"> = 2 \* ROMAN \* MERGEFORMAT </w:instrText>
            </w:r>
            <w:r>
              <w:rPr>
                <w:rFonts w:hint="default" w:ascii="Times New Roman" w:hAnsi="Times New Roman" w:cs="Times New Roman"/>
                <w:b/>
                <w:color w:val="auto"/>
                <w:kern w:val="0"/>
                <w:szCs w:val="16"/>
                <w:highlight w:val="none"/>
              </w:rPr>
              <w:fldChar w:fldCharType="separate"/>
            </w:r>
            <w:r>
              <w:rPr>
                <w:rFonts w:hint="default" w:ascii="Times New Roman" w:hAnsi="Times New Roman" w:cs="Times New Roman"/>
                <w:b/>
                <w:color w:val="auto"/>
                <w:kern w:val="0"/>
                <w:szCs w:val="16"/>
                <w:highlight w:val="none"/>
              </w:rPr>
              <w:t>II</w:t>
            </w:r>
            <w:r>
              <w:rPr>
                <w:rFonts w:hint="default" w:ascii="Times New Roman" w:hAnsi="Times New Roman" w:cs="Times New Roman"/>
                <w:b/>
                <w:color w:val="auto"/>
                <w:kern w:val="0"/>
                <w:szCs w:val="16"/>
                <w:highlight w:val="none"/>
              </w:rPr>
              <w:fldChar w:fldCharType="end"/>
            </w:r>
          </w:p>
        </w:tc>
        <w:tc>
          <w:tcPr>
            <w:tcW w:w="1661" w:type="dxa"/>
            <w:tcBorders>
              <w:tl2br w:val="nil"/>
              <w:tr2bl w:val="nil"/>
            </w:tcBorders>
            <w:vAlign w:val="center"/>
          </w:tcPr>
          <w:p w14:paraId="6303EF07">
            <w:pPr>
              <w:pStyle w:val="32"/>
              <w:spacing w:after="0" w:line="360" w:lineRule="exact"/>
              <w:ind w:left="0" w:leftChars="0" w:firstLine="0" w:firstLineChars="0"/>
              <w:jc w:val="center"/>
              <w:rPr>
                <w:rFonts w:hint="default" w:ascii="Times New Roman" w:hAnsi="Times New Roman" w:cs="Times New Roman"/>
                <w:b/>
                <w:color w:val="auto"/>
                <w:kern w:val="0"/>
                <w:szCs w:val="16"/>
                <w:highlight w:val="none"/>
              </w:rPr>
            </w:pPr>
            <w:r>
              <w:rPr>
                <w:rFonts w:hint="default" w:ascii="Times New Roman" w:hAnsi="Times New Roman" w:cs="Times New Roman"/>
                <w:b/>
                <w:color w:val="auto"/>
                <w:kern w:val="0"/>
                <w:szCs w:val="16"/>
                <w:highlight w:val="none"/>
              </w:rPr>
              <w:fldChar w:fldCharType="begin"/>
            </w:r>
            <w:r>
              <w:rPr>
                <w:rFonts w:hint="default" w:ascii="Times New Roman" w:hAnsi="Times New Roman" w:cs="Times New Roman"/>
                <w:b/>
                <w:color w:val="auto"/>
                <w:kern w:val="0"/>
                <w:szCs w:val="16"/>
                <w:highlight w:val="none"/>
              </w:rPr>
              <w:instrText xml:space="preserve"> = 1 \* ROMAN \* MERGEFORMAT </w:instrText>
            </w:r>
            <w:r>
              <w:rPr>
                <w:rFonts w:hint="default" w:ascii="Times New Roman" w:hAnsi="Times New Roman" w:cs="Times New Roman"/>
                <w:b/>
                <w:color w:val="auto"/>
                <w:kern w:val="0"/>
                <w:szCs w:val="16"/>
                <w:highlight w:val="none"/>
              </w:rPr>
              <w:fldChar w:fldCharType="separate"/>
            </w:r>
            <w:r>
              <w:rPr>
                <w:rFonts w:hint="default" w:ascii="Times New Roman" w:hAnsi="Times New Roman" w:cs="Times New Roman"/>
                <w:b/>
                <w:color w:val="auto"/>
                <w:kern w:val="0"/>
                <w:szCs w:val="16"/>
                <w:highlight w:val="none"/>
              </w:rPr>
              <w:t>I</w:t>
            </w:r>
            <w:r>
              <w:rPr>
                <w:rFonts w:hint="default" w:ascii="Times New Roman" w:hAnsi="Times New Roman" w:cs="Times New Roman"/>
                <w:b/>
                <w:color w:val="auto"/>
                <w:kern w:val="0"/>
                <w:szCs w:val="16"/>
                <w:highlight w:val="none"/>
              </w:rPr>
              <w:fldChar w:fldCharType="end"/>
            </w:r>
          </w:p>
        </w:tc>
      </w:tr>
      <w:tr w14:paraId="52E024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71" w:type="dxa"/>
            <w:tcBorders>
              <w:tl2br w:val="nil"/>
              <w:tr2bl w:val="nil"/>
            </w:tcBorders>
            <w:vAlign w:val="center"/>
          </w:tcPr>
          <w:p w14:paraId="78D0A955">
            <w:pPr>
              <w:pStyle w:val="32"/>
              <w:spacing w:after="0" w:line="360" w:lineRule="exact"/>
              <w:ind w:left="0" w:leftChars="0" w:firstLine="0" w:firstLineChars="0"/>
              <w:jc w:val="center"/>
              <w:rPr>
                <w:rFonts w:hint="default" w:ascii="Times New Roman" w:hAnsi="Times New Roman" w:cs="Times New Roman"/>
                <w:bCs/>
                <w:color w:val="auto"/>
                <w:kern w:val="0"/>
                <w:szCs w:val="16"/>
                <w:highlight w:val="none"/>
              </w:rPr>
            </w:pPr>
            <w:r>
              <w:rPr>
                <w:rFonts w:hint="default" w:ascii="Times New Roman" w:hAnsi="Times New Roman" w:cs="Times New Roman"/>
                <w:bCs/>
                <w:color w:val="auto"/>
                <w:kern w:val="0"/>
                <w:szCs w:val="16"/>
                <w:highlight w:val="none"/>
              </w:rPr>
              <w:t>评价工作等级</w:t>
            </w:r>
          </w:p>
        </w:tc>
        <w:tc>
          <w:tcPr>
            <w:tcW w:w="1671" w:type="dxa"/>
            <w:tcBorders>
              <w:tl2br w:val="nil"/>
              <w:tr2bl w:val="nil"/>
            </w:tcBorders>
            <w:vAlign w:val="center"/>
          </w:tcPr>
          <w:p w14:paraId="3173E554">
            <w:pPr>
              <w:pStyle w:val="32"/>
              <w:spacing w:after="0" w:line="360" w:lineRule="exact"/>
              <w:ind w:left="0" w:leftChars="0" w:firstLine="0" w:firstLineChars="0"/>
              <w:jc w:val="center"/>
              <w:rPr>
                <w:rFonts w:hint="default" w:ascii="Times New Roman" w:hAnsi="Times New Roman" w:cs="Times New Roman"/>
                <w:bCs/>
                <w:color w:val="auto"/>
                <w:kern w:val="0"/>
                <w:szCs w:val="16"/>
                <w:highlight w:val="none"/>
              </w:rPr>
            </w:pPr>
            <w:r>
              <w:rPr>
                <w:rFonts w:hint="default" w:ascii="Times New Roman" w:hAnsi="Times New Roman" w:cs="Times New Roman"/>
                <w:bCs/>
                <w:color w:val="auto"/>
                <w:kern w:val="0"/>
                <w:szCs w:val="16"/>
                <w:highlight w:val="none"/>
              </w:rPr>
              <w:t>一</w:t>
            </w:r>
          </w:p>
        </w:tc>
        <w:tc>
          <w:tcPr>
            <w:tcW w:w="1636" w:type="dxa"/>
            <w:tcBorders>
              <w:tl2br w:val="nil"/>
              <w:tr2bl w:val="nil"/>
            </w:tcBorders>
            <w:vAlign w:val="center"/>
          </w:tcPr>
          <w:p w14:paraId="0E226141">
            <w:pPr>
              <w:pStyle w:val="32"/>
              <w:spacing w:after="0" w:line="360" w:lineRule="exact"/>
              <w:ind w:left="0" w:leftChars="0" w:firstLine="0" w:firstLineChars="0"/>
              <w:jc w:val="center"/>
              <w:rPr>
                <w:rFonts w:hint="default" w:ascii="Times New Roman" w:hAnsi="Times New Roman" w:cs="Times New Roman"/>
                <w:bCs/>
                <w:color w:val="auto"/>
                <w:kern w:val="0"/>
                <w:szCs w:val="16"/>
                <w:highlight w:val="none"/>
              </w:rPr>
            </w:pPr>
            <w:r>
              <w:rPr>
                <w:rFonts w:hint="default" w:ascii="Times New Roman" w:hAnsi="Times New Roman" w:cs="Times New Roman"/>
                <w:bCs/>
                <w:color w:val="auto"/>
                <w:kern w:val="0"/>
                <w:szCs w:val="16"/>
                <w:highlight w:val="none"/>
              </w:rPr>
              <w:t>二</w:t>
            </w:r>
          </w:p>
        </w:tc>
        <w:tc>
          <w:tcPr>
            <w:tcW w:w="1680" w:type="dxa"/>
            <w:tcBorders>
              <w:tl2br w:val="nil"/>
              <w:tr2bl w:val="nil"/>
            </w:tcBorders>
            <w:vAlign w:val="center"/>
          </w:tcPr>
          <w:p w14:paraId="1F50A610">
            <w:pPr>
              <w:pStyle w:val="32"/>
              <w:spacing w:after="0" w:line="360" w:lineRule="exact"/>
              <w:ind w:left="0" w:leftChars="0" w:firstLine="0" w:firstLineChars="0"/>
              <w:jc w:val="center"/>
              <w:rPr>
                <w:rFonts w:hint="default" w:ascii="Times New Roman" w:hAnsi="Times New Roman" w:cs="Times New Roman"/>
                <w:bCs/>
                <w:color w:val="auto"/>
                <w:kern w:val="0"/>
                <w:szCs w:val="16"/>
                <w:highlight w:val="none"/>
              </w:rPr>
            </w:pPr>
            <w:r>
              <w:rPr>
                <w:rFonts w:hint="default" w:ascii="Times New Roman" w:hAnsi="Times New Roman" w:cs="Times New Roman"/>
                <w:bCs/>
                <w:color w:val="auto"/>
                <w:kern w:val="0"/>
                <w:szCs w:val="16"/>
                <w:highlight w:val="none"/>
              </w:rPr>
              <w:t>三</w:t>
            </w:r>
          </w:p>
        </w:tc>
        <w:tc>
          <w:tcPr>
            <w:tcW w:w="1661" w:type="dxa"/>
            <w:tcBorders>
              <w:tl2br w:val="nil"/>
              <w:tr2bl w:val="nil"/>
            </w:tcBorders>
            <w:vAlign w:val="center"/>
          </w:tcPr>
          <w:p w14:paraId="6A01D218">
            <w:pPr>
              <w:pStyle w:val="32"/>
              <w:spacing w:after="0" w:line="360" w:lineRule="exact"/>
              <w:ind w:left="0" w:leftChars="0" w:firstLine="0" w:firstLineChars="0"/>
              <w:jc w:val="center"/>
              <w:rPr>
                <w:rFonts w:hint="default" w:ascii="Times New Roman" w:hAnsi="Times New Roman" w:cs="Times New Roman"/>
                <w:bCs/>
                <w:color w:val="auto"/>
                <w:kern w:val="0"/>
                <w:szCs w:val="16"/>
                <w:highlight w:val="none"/>
              </w:rPr>
            </w:pPr>
            <w:r>
              <w:rPr>
                <w:rFonts w:hint="default" w:ascii="Times New Roman" w:hAnsi="Times New Roman" w:cs="Times New Roman"/>
                <w:bCs/>
                <w:color w:val="auto"/>
                <w:kern w:val="0"/>
                <w:szCs w:val="16"/>
                <w:highlight w:val="none"/>
              </w:rPr>
              <w:t>简单分析a</w:t>
            </w:r>
          </w:p>
        </w:tc>
      </w:tr>
      <w:tr w14:paraId="024F7E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19" w:type="dxa"/>
            <w:gridSpan w:val="5"/>
            <w:tcBorders>
              <w:tl2br w:val="nil"/>
              <w:tr2bl w:val="nil"/>
            </w:tcBorders>
            <w:vAlign w:val="center"/>
          </w:tcPr>
          <w:p w14:paraId="2EC206F4">
            <w:pPr>
              <w:pStyle w:val="32"/>
              <w:spacing w:after="0" w:line="360" w:lineRule="exact"/>
              <w:ind w:left="0" w:leftChars="0" w:firstLine="0" w:firstLineChars="0"/>
              <w:jc w:val="left"/>
              <w:rPr>
                <w:rFonts w:hint="default" w:ascii="Times New Roman" w:hAnsi="Times New Roman" w:cs="Times New Roman"/>
                <w:color w:val="auto"/>
                <w:szCs w:val="16"/>
                <w:highlight w:val="none"/>
              </w:rPr>
            </w:pPr>
            <w:r>
              <w:rPr>
                <w:rFonts w:hint="default" w:ascii="Times New Roman" w:hAnsi="Times New Roman" w:cs="Times New Roman"/>
                <w:bCs/>
                <w:color w:val="auto"/>
                <w:kern w:val="0"/>
                <w:szCs w:val="16"/>
                <w:highlight w:val="none"/>
              </w:rPr>
              <w:t>a是相对于详细评价工作内容而言，在描述危险物质、环境影响途径、环境危害后果、风险防范措施等方面给出定性的说明。</w:t>
            </w:r>
          </w:p>
        </w:tc>
      </w:tr>
    </w:tbl>
    <w:p w14:paraId="3BDF144E">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fldChar w:fldCharType="begin"/>
      </w:r>
      <w:r>
        <w:rPr>
          <w:rFonts w:hint="default" w:ascii="Times New Roman" w:hAnsi="Times New Roman" w:eastAsia="宋体" w:cs="Times New Roman"/>
          <w:color w:val="auto"/>
          <w:sz w:val="24"/>
          <w:highlight w:val="none"/>
          <w:lang w:eastAsia="zh-CN"/>
        </w:rPr>
        <w:instrText xml:space="preserve"> = 1 \* GB3 \* MERGEFORMAT </w:instrText>
      </w:r>
      <w:r>
        <w:rPr>
          <w:rFonts w:hint="default" w:ascii="Times New Roman" w:hAnsi="Times New Roman" w:eastAsia="宋体" w:cs="Times New Roman"/>
          <w:color w:val="auto"/>
          <w:sz w:val="24"/>
          <w:highlight w:val="none"/>
          <w:lang w:eastAsia="zh-CN"/>
        </w:rPr>
        <w:fldChar w:fldCharType="separate"/>
      </w:r>
      <w:r>
        <w:rPr>
          <w:rFonts w:hint="default" w:ascii="Times New Roman" w:hAnsi="Times New Roman" w:cs="Times New Roman"/>
          <w:color w:val="auto"/>
          <w:highlight w:val="none"/>
        </w:rPr>
        <w:t>①</w:t>
      </w:r>
      <w:r>
        <w:rPr>
          <w:rFonts w:hint="default" w:ascii="Times New Roman" w:hAnsi="Times New Roman" w:eastAsia="宋体" w:cs="Times New Roman"/>
          <w:color w:val="auto"/>
          <w:sz w:val="24"/>
          <w:highlight w:val="none"/>
          <w:lang w:eastAsia="zh-CN"/>
        </w:rPr>
        <w:fldChar w:fldCharType="end"/>
      </w:r>
      <w:r>
        <w:rPr>
          <w:rFonts w:hint="default" w:ascii="Times New Roman" w:hAnsi="Times New Roman" w:eastAsia="宋体" w:cs="Times New Roman"/>
          <w:color w:val="auto"/>
          <w:sz w:val="24"/>
          <w:highlight w:val="none"/>
        </w:rPr>
        <w:t>环境风险潜势划分</w:t>
      </w:r>
    </w:p>
    <w:p w14:paraId="59B13E86">
      <w:pPr>
        <w:spacing w:line="48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建设项目环境风险潜势划分为</w:t>
      </w:r>
      <w:r>
        <w:rPr>
          <w:rFonts w:hint="default" w:ascii="Times New Roman" w:hAnsi="Times New Roman" w:cs="Times New Roman"/>
          <w:color w:val="auto"/>
          <w:sz w:val="24"/>
          <w:highlight w:val="none"/>
          <w:lang w:eastAsia="zh-CN"/>
        </w:rPr>
        <w:t>I</w:t>
      </w:r>
      <w:r>
        <w:rPr>
          <w:rFonts w:hint="default" w:ascii="Times New Roman" w:hAnsi="Times New Roman" w:eastAsia="宋体" w:cs="Times New Roman"/>
          <w:color w:val="auto"/>
          <w:sz w:val="24"/>
          <w:highlight w:val="none"/>
        </w:rPr>
        <w:t>、</w:t>
      </w:r>
      <w:r>
        <w:rPr>
          <w:rFonts w:hint="default" w:ascii="Times New Roman" w:hAnsi="Times New Roman" w:cs="Times New Roman"/>
          <w:color w:val="auto"/>
          <w:sz w:val="24"/>
          <w:highlight w:val="none"/>
          <w:lang w:eastAsia="zh-CN"/>
        </w:rPr>
        <w:t>Ⅱ</w:t>
      </w:r>
      <w:r>
        <w:rPr>
          <w:rFonts w:hint="default" w:ascii="Times New Roman" w:hAnsi="Times New Roman" w:eastAsia="宋体" w:cs="Times New Roman"/>
          <w:color w:val="auto"/>
          <w:sz w:val="24"/>
          <w:highlight w:val="none"/>
        </w:rPr>
        <w:t>、</w:t>
      </w:r>
      <w:r>
        <w:rPr>
          <w:rFonts w:hint="default" w:ascii="Times New Roman" w:hAnsi="Times New Roman" w:cs="Times New Roman"/>
          <w:color w:val="auto"/>
          <w:sz w:val="24"/>
          <w:highlight w:val="none"/>
          <w:lang w:eastAsia="zh-CN"/>
        </w:rPr>
        <w:t>Ⅲ</w:t>
      </w:r>
      <w:r>
        <w:rPr>
          <w:rFonts w:hint="default" w:ascii="Times New Roman" w:hAnsi="Times New Roman" w:eastAsia="宋体" w:cs="Times New Roman"/>
          <w:color w:val="auto"/>
          <w:sz w:val="24"/>
          <w:highlight w:val="none"/>
        </w:rPr>
        <w:t>、</w:t>
      </w:r>
      <w:r>
        <w:rPr>
          <w:rFonts w:hint="default" w:ascii="Times New Roman" w:hAnsi="Times New Roman" w:cs="Times New Roman"/>
          <w:color w:val="auto"/>
          <w:sz w:val="24"/>
          <w:highlight w:val="none"/>
          <w:lang w:eastAsia="zh-CN"/>
        </w:rPr>
        <w:t>IV</w:t>
      </w:r>
      <w:r>
        <w:rPr>
          <w:rFonts w:hint="eastAsia" w:cs="Times New Roman"/>
          <w:color w:val="auto"/>
          <w:sz w:val="24"/>
          <w:highlight w:val="none"/>
          <w:lang w:eastAsia="zh-CN"/>
        </w:rPr>
        <w:t>、</w:t>
      </w:r>
      <w:r>
        <w:rPr>
          <w:rFonts w:hint="default" w:ascii="Times New Roman" w:hAnsi="Times New Roman" w:cs="Times New Roman"/>
          <w:color w:val="auto"/>
          <w:sz w:val="24"/>
          <w:highlight w:val="none"/>
          <w:lang w:eastAsia="zh-CN"/>
        </w:rPr>
        <w:t>IV</w:t>
      </w:r>
      <w:r>
        <w:rPr>
          <w:rFonts w:hint="default" w:ascii="Times New Roman" w:hAnsi="Times New Roman" w:eastAsia="宋体" w:cs="Times New Roman"/>
          <w:color w:val="auto"/>
          <w:sz w:val="24"/>
          <w:highlight w:val="none"/>
          <w:vertAlign w:val="superscript"/>
        </w:rPr>
        <w:t>+</w:t>
      </w:r>
      <w:r>
        <w:rPr>
          <w:rFonts w:hint="default" w:ascii="Times New Roman" w:hAnsi="Times New Roman" w:eastAsia="宋体" w:cs="Times New Roman"/>
          <w:color w:val="auto"/>
          <w:sz w:val="24"/>
          <w:highlight w:val="none"/>
        </w:rPr>
        <w:t>级。根据建设项目涉及的物质和工艺系统的危险性及其所在地的环境敏感程度，结合事故情形下环境影响途径，对建设项目潜在环境危害程度进行概化分析，按照</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"_bookmark10"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color w:val="auto"/>
          <w:sz w:val="24"/>
          <w:highlight w:val="none"/>
        </w:rPr>
        <w:t>表2.</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fldChar w:fldCharType="end"/>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cs="Times New Roman"/>
          <w:color w:val="auto"/>
          <w:sz w:val="24"/>
          <w:highlight w:val="none"/>
          <w:lang w:val="en-US" w:eastAsia="zh-CN"/>
        </w:rPr>
        <w:t>2</w:t>
      </w:r>
      <w:r>
        <w:rPr>
          <w:rFonts w:hint="default" w:ascii="Times New Roman" w:hAnsi="Times New Roman" w:eastAsia="宋体" w:cs="Times New Roman"/>
          <w:color w:val="auto"/>
          <w:sz w:val="24"/>
          <w:highlight w:val="none"/>
        </w:rPr>
        <w:t>确定环境风险潜势。</w:t>
      </w:r>
    </w:p>
    <w:p w14:paraId="033ABA5E">
      <w:pPr>
        <w:spacing w:line="480" w:lineRule="exact"/>
        <w:ind w:left="0" w:leftChars="0" w:firstLine="0" w:firstLineChars="0"/>
        <w:jc w:val="center"/>
        <w:rPr>
          <w:rFonts w:hint="default" w:ascii="Times New Roman" w:hAnsi="Times New Roman" w:cs="Times New Roman"/>
          <w:b/>
          <w:color w:val="auto"/>
          <w:kern w:val="0"/>
          <w:sz w:val="24"/>
          <w:highlight w:val="none"/>
          <w:lang w:val="zh-CN" w:bidi="ar"/>
        </w:rPr>
      </w:pPr>
      <w:r>
        <w:rPr>
          <w:rFonts w:hint="default" w:ascii="Times New Roman" w:hAnsi="Times New Roman" w:cs="Times New Roman"/>
          <w:b/>
          <w:color w:val="auto"/>
          <w:kern w:val="0"/>
          <w:sz w:val="24"/>
          <w:highlight w:val="none"/>
          <w:lang w:val="zh-CN" w:bidi="ar"/>
        </w:rPr>
        <w:t>表2.</w:t>
      </w:r>
      <w:r>
        <w:rPr>
          <w:rFonts w:hint="default" w:ascii="Times New Roman" w:hAnsi="Times New Roman" w:cs="Times New Roman"/>
          <w:b/>
          <w:color w:val="auto"/>
          <w:kern w:val="0"/>
          <w:sz w:val="24"/>
          <w:highlight w:val="none"/>
          <w:lang w:val="en-US" w:eastAsia="zh-CN" w:bidi="ar"/>
        </w:rPr>
        <w:t>6</w:t>
      </w:r>
      <w:r>
        <w:rPr>
          <w:rFonts w:hint="default" w:ascii="Times New Roman" w:hAnsi="Times New Roman" w:cs="Times New Roman"/>
          <w:b/>
          <w:color w:val="auto"/>
          <w:kern w:val="0"/>
          <w:sz w:val="24"/>
          <w:highlight w:val="none"/>
          <w:lang w:val="zh-CN" w:bidi="ar"/>
        </w:rPr>
        <w:t>-</w:t>
      </w:r>
      <w:r>
        <w:rPr>
          <w:rFonts w:hint="default" w:ascii="Times New Roman" w:hAnsi="Times New Roman" w:cs="Times New Roman"/>
          <w:b/>
          <w:color w:val="auto"/>
          <w:kern w:val="0"/>
          <w:sz w:val="24"/>
          <w:highlight w:val="none"/>
          <w:lang w:val="en-US" w:eastAsia="zh-CN" w:bidi="ar"/>
        </w:rPr>
        <w:t>12</w:t>
      </w:r>
      <w:r>
        <w:rPr>
          <w:rFonts w:hint="default" w:ascii="Times New Roman" w:hAnsi="Times New Roman" w:cs="Times New Roman"/>
          <w:b/>
          <w:color w:val="auto"/>
          <w:kern w:val="0"/>
          <w:sz w:val="24"/>
          <w:highlight w:val="none"/>
          <w:lang w:val="zh-CN" w:bidi="ar"/>
        </w:rPr>
        <w:t xml:space="preserve">    建设项目环境风险潜势划分</w:t>
      </w:r>
    </w:p>
    <w:tbl>
      <w:tblPr>
        <w:tblStyle w:val="33"/>
        <w:tblW w:w="4999" w:type="pct"/>
        <w:jc w:val="center"/>
        <w:tblLayout w:type="autofit"/>
        <w:tblCellMar>
          <w:top w:w="0" w:type="dxa"/>
          <w:left w:w="0" w:type="dxa"/>
          <w:bottom w:w="0" w:type="dxa"/>
          <w:right w:w="0" w:type="dxa"/>
        </w:tblCellMar>
      </w:tblPr>
      <w:tblGrid>
        <w:gridCol w:w="2043"/>
        <w:gridCol w:w="1523"/>
        <w:gridCol w:w="1658"/>
        <w:gridCol w:w="1522"/>
        <w:gridCol w:w="1588"/>
      </w:tblGrid>
      <w:tr w14:paraId="72877BF9">
        <w:tblPrEx>
          <w:tblCellMar>
            <w:top w:w="0" w:type="dxa"/>
            <w:left w:w="0" w:type="dxa"/>
            <w:bottom w:w="0" w:type="dxa"/>
            <w:right w:w="0" w:type="dxa"/>
          </w:tblCellMar>
        </w:tblPrEx>
        <w:trPr>
          <w:trHeight w:val="397" w:hRule="atLeast"/>
          <w:tblHeader/>
          <w:jc w:val="center"/>
        </w:trPr>
        <w:tc>
          <w:tcPr>
            <w:tcW w:w="1226" w:type="pct"/>
            <w:vMerge w:val="restart"/>
            <w:tcBorders>
              <w:top w:val="single" w:color="000000" w:sz="12" w:space="0"/>
              <w:left w:val="single" w:color="000000" w:sz="12" w:space="0"/>
              <w:right w:val="single" w:color="000000" w:sz="6" w:space="0"/>
            </w:tcBorders>
            <w:noWrap w:val="0"/>
            <w:vAlign w:val="center"/>
          </w:tcPr>
          <w:p w14:paraId="7E52A4DF">
            <w:pPr>
              <w:pStyle w:val="32"/>
              <w:spacing w:after="0" w:line="360" w:lineRule="exact"/>
              <w:ind w:left="0" w:leftChars="0" w:firstLine="0" w:firstLineChars="0"/>
              <w:jc w:val="center"/>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环境敏感程度（E）</w:t>
            </w:r>
          </w:p>
        </w:tc>
        <w:tc>
          <w:tcPr>
            <w:tcW w:w="3773" w:type="pct"/>
            <w:gridSpan w:val="4"/>
            <w:tcBorders>
              <w:top w:val="single" w:color="000000" w:sz="12" w:space="0"/>
              <w:left w:val="single" w:color="000000" w:sz="6" w:space="0"/>
              <w:bottom w:val="single" w:color="000000" w:sz="6" w:space="0"/>
              <w:right w:val="single" w:color="000000" w:sz="12" w:space="0"/>
            </w:tcBorders>
            <w:noWrap w:val="0"/>
            <w:vAlign w:val="center"/>
          </w:tcPr>
          <w:p w14:paraId="502064C6">
            <w:pPr>
              <w:pStyle w:val="32"/>
              <w:spacing w:after="0" w:line="360" w:lineRule="exact"/>
              <w:ind w:left="0" w:leftChars="0" w:firstLine="0" w:firstLineChars="0"/>
              <w:jc w:val="center"/>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危险物质及工艺系统危险性（P）</w:t>
            </w:r>
          </w:p>
        </w:tc>
      </w:tr>
      <w:tr w14:paraId="472E094E">
        <w:tblPrEx>
          <w:tblCellMar>
            <w:top w:w="0" w:type="dxa"/>
            <w:left w:w="0" w:type="dxa"/>
            <w:bottom w:w="0" w:type="dxa"/>
            <w:right w:w="0" w:type="dxa"/>
          </w:tblCellMar>
        </w:tblPrEx>
        <w:trPr>
          <w:trHeight w:val="397" w:hRule="atLeast"/>
          <w:tblHeader/>
          <w:jc w:val="center"/>
        </w:trPr>
        <w:tc>
          <w:tcPr>
            <w:tcW w:w="1226" w:type="pct"/>
            <w:vMerge w:val="continue"/>
            <w:tcBorders>
              <w:left w:val="single" w:color="000000" w:sz="12" w:space="0"/>
              <w:bottom w:val="single" w:color="000000" w:sz="6" w:space="0"/>
              <w:right w:val="single" w:color="000000" w:sz="6" w:space="0"/>
            </w:tcBorders>
            <w:noWrap w:val="0"/>
            <w:vAlign w:val="center"/>
          </w:tcPr>
          <w:p w14:paraId="0F64EE43">
            <w:pPr>
              <w:pStyle w:val="32"/>
              <w:spacing w:after="0" w:line="360" w:lineRule="exact"/>
              <w:ind w:left="0" w:leftChars="0" w:firstLine="0" w:firstLineChars="0"/>
              <w:jc w:val="center"/>
              <w:rPr>
                <w:rFonts w:hint="default" w:ascii="Times New Roman" w:hAnsi="Times New Roman" w:cs="Times New Roman"/>
                <w:bCs/>
                <w:color w:val="auto"/>
                <w:kern w:val="0"/>
                <w:highlight w:val="none"/>
              </w:rPr>
            </w:pPr>
          </w:p>
        </w:tc>
        <w:tc>
          <w:tcPr>
            <w:tcW w:w="914" w:type="pct"/>
            <w:tcBorders>
              <w:top w:val="single" w:color="000000" w:sz="6" w:space="0"/>
              <w:left w:val="single" w:color="000000" w:sz="6" w:space="0"/>
              <w:bottom w:val="single" w:color="000000" w:sz="6" w:space="0"/>
              <w:right w:val="single" w:color="000000" w:sz="6" w:space="0"/>
            </w:tcBorders>
            <w:noWrap w:val="0"/>
            <w:vAlign w:val="center"/>
          </w:tcPr>
          <w:p w14:paraId="6FB73AF5">
            <w:pPr>
              <w:pStyle w:val="32"/>
              <w:spacing w:after="0" w:line="360" w:lineRule="exact"/>
              <w:ind w:left="0" w:leftChars="0" w:firstLine="0" w:firstLineChars="0"/>
              <w:jc w:val="center"/>
              <w:rPr>
                <w:rFonts w:hint="default" w:ascii="Times New Roman" w:hAnsi="Times New Roman" w:cs="Times New Roman"/>
                <w:bCs/>
                <w:color w:val="auto"/>
                <w:kern w:val="0"/>
                <w:highlight w:val="none"/>
              </w:rPr>
            </w:pPr>
            <w:r>
              <w:rPr>
                <w:rFonts w:hint="default" w:ascii="Times New Roman" w:hAnsi="Times New Roman" w:cs="Times New Roman"/>
                <w:bCs/>
                <w:color w:val="auto"/>
                <w:kern w:val="0"/>
                <w:highlight w:val="none"/>
              </w:rPr>
              <w:t>极高危害（P1）</w:t>
            </w:r>
          </w:p>
        </w:tc>
        <w:tc>
          <w:tcPr>
            <w:tcW w:w="995" w:type="pct"/>
            <w:tcBorders>
              <w:top w:val="single" w:color="000000" w:sz="6" w:space="0"/>
              <w:left w:val="single" w:color="000000" w:sz="6" w:space="0"/>
              <w:bottom w:val="single" w:color="000000" w:sz="6" w:space="0"/>
              <w:right w:val="single" w:color="000000" w:sz="6" w:space="0"/>
            </w:tcBorders>
            <w:noWrap w:val="0"/>
            <w:vAlign w:val="center"/>
          </w:tcPr>
          <w:p w14:paraId="29697B91">
            <w:pPr>
              <w:pStyle w:val="32"/>
              <w:spacing w:after="0" w:line="360" w:lineRule="exact"/>
              <w:ind w:left="0" w:leftChars="0" w:firstLine="0" w:firstLineChars="0"/>
              <w:jc w:val="center"/>
              <w:rPr>
                <w:rFonts w:hint="default" w:ascii="Times New Roman" w:hAnsi="Times New Roman" w:cs="Times New Roman"/>
                <w:bCs/>
                <w:color w:val="auto"/>
                <w:kern w:val="0"/>
                <w:highlight w:val="none"/>
              </w:rPr>
            </w:pPr>
            <w:r>
              <w:rPr>
                <w:rFonts w:hint="default" w:ascii="Times New Roman" w:hAnsi="Times New Roman" w:cs="Times New Roman"/>
                <w:bCs/>
                <w:color w:val="auto"/>
                <w:kern w:val="0"/>
                <w:highlight w:val="none"/>
              </w:rPr>
              <w:t>高度危害（P2）</w:t>
            </w:r>
          </w:p>
        </w:tc>
        <w:tc>
          <w:tcPr>
            <w:tcW w:w="913" w:type="pct"/>
            <w:tcBorders>
              <w:top w:val="single" w:color="000000" w:sz="6" w:space="0"/>
              <w:left w:val="single" w:color="000000" w:sz="6" w:space="0"/>
              <w:bottom w:val="single" w:color="000000" w:sz="6" w:space="0"/>
              <w:right w:val="single" w:color="000000" w:sz="6" w:space="0"/>
            </w:tcBorders>
            <w:noWrap w:val="0"/>
            <w:vAlign w:val="center"/>
          </w:tcPr>
          <w:p w14:paraId="4BE6968E">
            <w:pPr>
              <w:pStyle w:val="32"/>
              <w:spacing w:after="0" w:line="360" w:lineRule="exact"/>
              <w:ind w:left="0" w:leftChars="0" w:firstLine="0" w:firstLineChars="0"/>
              <w:jc w:val="center"/>
              <w:rPr>
                <w:rFonts w:hint="default" w:ascii="Times New Roman" w:hAnsi="Times New Roman" w:cs="Times New Roman"/>
                <w:bCs/>
                <w:color w:val="auto"/>
                <w:kern w:val="0"/>
                <w:highlight w:val="none"/>
              </w:rPr>
            </w:pPr>
            <w:r>
              <w:rPr>
                <w:rFonts w:hint="default" w:ascii="Times New Roman" w:hAnsi="Times New Roman" w:cs="Times New Roman"/>
                <w:bCs/>
                <w:color w:val="auto"/>
                <w:kern w:val="0"/>
                <w:highlight w:val="none"/>
              </w:rPr>
              <w:t>中度危害（P3）</w:t>
            </w:r>
          </w:p>
        </w:tc>
        <w:tc>
          <w:tcPr>
            <w:tcW w:w="950" w:type="pct"/>
            <w:tcBorders>
              <w:top w:val="single" w:color="000000" w:sz="6" w:space="0"/>
              <w:left w:val="single" w:color="000000" w:sz="6" w:space="0"/>
              <w:bottom w:val="single" w:color="000000" w:sz="6" w:space="0"/>
              <w:right w:val="single" w:color="000000" w:sz="12" w:space="0"/>
            </w:tcBorders>
            <w:noWrap w:val="0"/>
            <w:vAlign w:val="center"/>
          </w:tcPr>
          <w:p w14:paraId="5F8F6140">
            <w:pPr>
              <w:pStyle w:val="32"/>
              <w:spacing w:after="0" w:line="360" w:lineRule="exact"/>
              <w:ind w:left="0" w:leftChars="0" w:firstLine="0" w:firstLineChars="0"/>
              <w:jc w:val="center"/>
              <w:rPr>
                <w:rFonts w:hint="default" w:ascii="Times New Roman" w:hAnsi="Times New Roman" w:cs="Times New Roman"/>
                <w:bCs/>
                <w:color w:val="auto"/>
                <w:kern w:val="0"/>
                <w:highlight w:val="none"/>
              </w:rPr>
            </w:pPr>
            <w:r>
              <w:rPr>
                <w:rFonts w:hint="default" w:ascii="Times New Roman" w:hAnsi="Times New Roman" w:cs="Times New Roman"/>
                <w:bCs/>
                <w:color w:val="auto"/>
                <w:kern w:val="0"/>
                <w:highlight w:val="none"/>
              </w:rPr>
              <w:t>轻度危害（P4）</w:t>
            </w:r>
          </w:p>
        </w:tc>
      </w:tr>
      <w:tr w14:paraId="67A4CFC4">
        <w:tblPrEx>
          <w:tblCellMar>
            <w:top w:w="0" w:type="dxa"/>
            <w:left w:w="0" w:type="dxa"/>
            <w:bottom w:w="0" w:type="dxa"/>
            <w:right w:w="0" w:type="dxa"/>
          </w:tblCellMar>
        </w:tblPrEx>
        <w:trPr>
          <w:trHeight w:val="397" w:hRule="atLeast"/>
          <w:jc w:val="center"/>
        </w:trPr>
        <w:tc>
          <w:tcPr>
            <w:tcW w:w="1226" w:type="pct"/>
            <w:tcBorders>
              <w:top w:val="single" w:color="000000" w:sz="6" w:space="0"/>
              <w:left w:val="single" w:color="000000" w:sz="12" w:space="0"/>
              <w:bottom w:val="single" w:color="000000" w:sz="6" w:space="0"/>
              <w:right w:val="single" w:color="000000" w:sz="6" w:space="0"/>
            </w:tcBorders>
            <w:noWrap w:val="0"/>
            <w:vAlign w:val="center"/>
          </w:tcPr>
          <w:p w14:paraId="0B522905">
            <w:pPr>
              <w:pStyle w:val="32"/>
              <w:spacing w:after="0" w:line="360" w:lineRule="exact"/>
              <w:ind w:left="0" w:leftChars="0" w:firstLine="0" w:firstLineChars="0"/>
              <w:jc w:val="center"/>
              <w:rPr>
                <w:rFonts w:hint="default" w:ascii="Times New Roman" w:hAnsi="Times New Roman" w:cs="Times New Roman"/>
                <w:bCs/>
                <w:color w:val="auto"/>
                <w:kern w:val="0"/>
                <w:highlight w:val="none"/>
              </w:rPr>
            </w:pPr>
            <w:r>
              <w:rPr>
                <w:rFonts w:hint="default" w:ascii="Times New Roman" w:hAnsi="Times New Roman" w:cs="Times New Roman"/>
                <w:bCs/>
                <w:color w:val="auto"/>
                <w:kern w:val="0"/>
                <w:highlight w:val="none"/>
              </w:rPr>
              <w:t>环境高度敏感区（E1）</w:t>
            </w:r>
          </w:p>
        </w:tc>
        <w:tc>
          <w:tcPr>
            <w:tcW w:w="914" w:type="pct"/>
            <w:tcBorders>
              <w:top w:val="single" w:color="000000" w:sz="6" w:space="0"/>
              <w:left w:val="single" w:color="000000" w:sz="6" w:space="0"/>
              <w:bottom w:val="single" w:color="000000" w:sz="6" w:space="0"/>
              <w:right w:val="single" w:color="000000" w:sz="6" w:space="0"/>
            </w:tcBorders>
            <w:noWrap w:val="0"/>
            <w:vAlign w:val="center"/>
          </w:tcPr>
          <w:p w14:paraId="7452CFC3">
            <w:pPr>
              <w:pStyle w:val="32"/>
              <w:spacing w:after="0" w:line="360" w:lineRule="exact"/>
              <w:ind w:left="0" w:leftChars="0" w:firstLine="0" w:firstLineChars="0"/>
              <w:jc w:val="center"/>
              <w:rPr>
                <w:rFonts w:hint="default" w:ascii="Times New Roman" w:hAnsi="Times New Roman" w:cs="Times New Roman"/>
                <w:bCs/>
                <w:color w:val="auto"/>
                <w:kern w:val="0"/>
                <w:highlight w:val="none"/>
              </w:rPr>
            </w:pPr>
            <w:r>
              <w:rPr>
                <w:rFonts w:hint="default" w:ascii="Times New Roman" w:hAnsi="Times New Roman" w:cs="Times New Roman"/>
                <w:bCs/>
                <w:color w:val="auto"/>
                <w:kern w:val="0"/>
                <w:highlight w:val="none"/>
                <w:lang w:eastAsia="zh-CN"/>
              </w:rPr>
              <w:t>IV</w:t>
            </w:r>
            <w:r>
              <w:rPr>
                <w:rFonts w:hint="default" w:ascii="Times New Roman" w:hAnsi="Times New Roman" w:cs="Times New Roman"/>
                <w:bCs/>
                <w:color w:val="auto"/>
                <w:kern w:val="0"/>
                <w:highlight w:val="none"/>
                <w:vertAlign w:val="superscript"/>
              </w:rPr>
              <w:t>+</w:t>
            </w:r>
          </w:p>
        </w:tc>
        <w:tc>
          <w:tcPr>
            <w:tcW w:w="995" w:type="pct"/>
            <w:tcBorders>
              <w:top w:val="single" w:color="000000" w:sz="6" w:space="0"/>
              <w:left w:val="single" w:color="000000" w:sz="6" w:space="0"/>
              <w:bottom w:val="single" w:color="000000" w:sz="6" w:space="0"/>
              <w:right w:val="single" w:color="000000" w:sz="6" w:space="0"/>
            </w:tcBorders>
            <w:noWrap w:val="0"/>
            <w:vAlign w:val="center"/>
          </w:tcPr>
          <w:p w14:paraId="2EE9A4E1">
            <w:pPr>
              <w:pStyle w:val="32"/>
              <w:spacing w:after="0" w:line="360" w:lineRule="exact"/>
              <w:ind w:left="0" w:leftChars="0" w:firstLine="0" w:firstLineChars="0"/>
              <w:jc w:val="center"/>
              <w:rPr>
                <w:rFonts w:hint="default" w:ascii="Times New Roman" w:hAnsi="Times New Roman" w:eastAsia="宋体" w:cs="Times New Roman"/>
                <w:bCs/>
                <w:color w:val="auto"/>
                <w:kern w:val="0"/>
                <w:highlight w:val="none"/>
                <w:lang w:eastAsia="zh-CN"/>
              </w:rPr>
            </w:pPr>
            <w:r>
              <w:rPr>
                <w:rFonts w:hint="default" w:ascii="Times New Roman" w:hAnsi="Times New Roman" w:cs="Times New Roman"/>
                <w:bCs/>
                <w:color w:val="auto"/>
                <w:kern w:val="0"/>
                <w:highlight w:val="none"/>
                <w:lang w:eastAsia="zh-CN"/>
              </w:rPr>
              <w:t>IV</w:t>
            </w:r>
          </w:p>
        </w:tc>
        <w:tc>
          <w:tcPr>
            <w:tcW w:w="913" w:type="pct"/>
            <w:tcBorders>
              <w:top w:val="single" w:color="000000" w:sz="6" w:space="0"/>
              <w:left w:val="single" w:color="000000" w:sz="6" w:space="0"/>
              <w:bottom w:val="single" w:color="000000" w:sz="6" w:space="0"/>
              <w:right w:val="single" w:color="000000" w:sz="6" w:space="0"/>
            </w:tcBorders>
            <w:noWrap w:val="0"/>
            <w:vAlign w:val="center"/>
          </w:tcPr>
          <w:p w14:paraId="441F0DF5">
            <w:pPr>
              <w:pStyle w:val="32"/>
              <w:spacing w:after="0" w:line="360" w:lineRule="exact"/>
              <w:ind w:left="0" w:leftChars="0" w:firstLine="0" w:firstLineChars="0"/>
              <w:jc w:val="center"/>
              <w:rPr>
                <w:rFonts w:hint="default" w:ascii="Times New Roman" w:hAnsi="Times New Roman" w:eastAsia="宋体" w:cs="Times New Roman"/>
                <w:bCs/>
                <w:color w:val="auto"/>
                <w:kern w:val="0"/>
                <w:highlight w:val="none"/>
                <w:lang w:eastAsia="zh-CN"/>
              </w:rPr>
            </w:pPr>
            <w:r>
              <w:rPr>
                <w:rFonts w:hint="eastAsia" w:cs="Times New Roman"/>
                <w:bCs/>
                <w:color w:val="auto"/>
                <w:kern w:val="0"/>
                <w:highlight w:val="none"/>
                <w:lang w:eastAsia="zh-CN"/>
              </w:rPr>
              <w:t>Ⅲ</w:t>
            </w:r>
          </w:p>
        </w:tc>
        <w:tc>
          <w:tcPr>
            <w:tcW w:w="950" w:type="pct"/>
            <w:tcBorders>
              <w:top w:val="single" w:color="000000" w:sz="6" w:space="0"/>
              <w:left w:val="single" w:color="000000" w:sz="6" w:space="0"/>
              <w:bottom w:val="single" w:color="000000" w:sz="6" w:space="0"/>
              <w:right w:val="single" w:color="000000" w:sz="12" w:space="0"/>
            </w:tcBorders>
            <w:noWrap w:val="0"/>
            <w:vAlign w:val="center"/>
          </w:tcPr>
          <w:p w14:paraId="3937FE6C">
            <w:pPr>
              <w:pStyle w:val="32"/>
              <w:spacing w:after="0" w:line="360" w:lineRule="exact"/>
              <w:ind w:left="0" w:leftChars="0" w:firstLine="0" w:firstLineChars="0"/>
              <w:jc w:val="center"/>
              <w:rPr>
                <w:rFonts w:hint="default" w:ascii="Times New Roman" w:hAnsi="Times New Roman" w:eastAsia="宋体" w:cs="Times New Roman"/>
                <w:bCs/>
                <w:color w:val="auto"/>
                <w:kern w:val="0"/>
                <w:highlight w:val="none"/>
                <w:lang w:eastAsia="zh-CN"/>
              </w:rPr>
            </w:pPr>
            <w:r>
              <w:rPr>
                <w:rFonts w:hint="eastAsia" w:cs="Times New Roman"/>
                <w:bCs/>
                <w:color w:val="auto"/>
                <w:kern w:val="0"/>
                <w:highlight w:val="none"/>
                <w:lang w:eastAsia="zh-CN"/>
              </w:rPr>
              <w:t>Ⅲ</w:t>
            </w:r>
          </w:p>
        </w:tc>
      </w:tr>
      <w:tr w14:paraId="24E5B688">
        <w:tblPrEx>
          <w:tblCellMar>
            <w:top w:w="0" w:type="dxa"/>
            <w:left w:w="0" w:type="dxa"/>
            <w:bottom w:w="0" w:type="dxa"/>
            <w:right w:w="0" w:type="dxa"/>
          </w:tblCellMar>
        </w:tblPrEx>
        <w:trPr>
          <w:trHeight w:val="397" w:hRule="atLeast"/>
          <w:jc w:val="center"/>
        </w:trPr>
        <w:tc>
          <w:tcPr>
            <w:tcW w:w="1226" w:type="pct"/>
            <w:tcBorders>
              <w:top w:val="single" w:color="000000" w:sz="6" w:space="0"/>
              <w:left w:val="single" w:color="000000" w:sz="12" w:space="0"/>
              <w:bottom w:val="single" w:color="000000" w:sz="6" w:space="0"/>
              <w:right w:val="single" w:color="000000" w:sz="6" w:space="0"/>
            </w:tcBorders>
            <w:noWrap w:val="0"/>
            <w:vAlign w:val="center"/>
          </w:tcPr>
          <w:p w14:paraId="5AC48ADA">
            <w:pPr>
              <w:pStyle w:val="32"/>
              <w:spacing w:after="0" w:line="360" w:lineRule="exact"/>
              <w:ind w:left="0" w:leftChars="0" w:firstLine="0" w:firstLineChars="0"/>
              <w:jc w:val="center"/>
              <w:rPr>
                <w:rFonts w:hint="default" w:ascii="Times New Roman" w:hAnsi="Times New Roman" w:cs="Times New Roman"/>
                <w:bCs/>
                <w:color w:val="auto"/>
                <w:kern w:val="0"/>
                <w:highlight w:val="none"/>
              </w:rPr>
            </w:pPr>
            <w:r>
              <w:rPr>
                <w:rFonts w:hint="default" w:ascii="Times New Roman" w:hAnsi="Times New Roman" w:cs="Times New Roman"/>
                <w:bCs/>
                <w:color w:val="auto"/>
                <w:kern w:val="0"/>
                <w:highlight w:val="none"/>
              </w:rPr>
              <w:t>环境中度敏感区（E2）</w:t>
            </w:r>
          </w:p>
        </w:tc>
        <w:tc>
          <w:tcPr>
            <w:tcW w:w="914" w:type="pct"/>
            <w:tcBorders>
              <w:top w:val="single" w:color="000000" w:sz="6" w:space="0"/>
              <w:left w:val="single" w:color="000000" w:sz="6" w:space="0"/>
              <w:bottom w:val="single" w:color="000000" w:sz="6" w:space="0"/>
              <w:right w:val="single" w:color="000000" w:sz="6" w:space="0"/>
            </w:tcBorders>
            <w:noWrap w:val="0"/>
            <w:vAlign w:val="center"/>
          </w:tcPr>
          <w:p w14:paraId="2BF0E76B">
            <w:pPr>
              <w:pStyle w:val="32"/>
              <w:spacing w:after="0" w:line="360" w:lineRule="exact"/>
              <w:ind w:left="0" w:leftChars="0" w:firstLine="0" w:firstLineChars="0"/>
              <w:jc w:val="center"/>
              <w:rPr>
                <w:rFonts w:hint="default" w:ascii="Times New Roman" w:hAnsi="Times New Roman" w:eastAsia="宋体" w:cs="Times New Roman"/>
                <w:bCs/>
                <w:color w:val="auto"/>
                <w:kern w:val="0"/>
                <w:highlight w:val="none"/>
                <w:lang w:eastAsia="zh-CN"/>
              </w:rPr>
            </w:pPr>
            <w:r>
              <w:rPr>
                <w:rFonts w:hint="default" w:ascii="Times New Roman" w:hAnsi="Times New Roman" w:cs="Times New Roman"/>
                <w:bCs/>
                <w:color w:val="auto"/>
                <w:kern w:val="0"/>
                <w:highlight w:val="none"/>
                <w:lang w:eastAsia="zh-CN"/>
              </w:rPr>
              <w:t>IV</w:t>
            </w:r>
          </w:p>
        </w:tc>
        <w:tc>
          <w:tcPr>
            <w:tcW w:w="995" w:type="pct"/>
            <w:tcBorders>
              <w:top w:val="single" w:color="000000" w:sz="6" w:space="0"/>
              <w:left w:val="single" w:color="000000" w:sz="6" w:space="0"/>
              <w:bottom w:val="single" w:color="000000" w:sz="6" w:space="0"/>
              <w:right w:val="single" w:color="000000" w:sz="6" w:space="0"/>
            </w:tcBorders>
            <w:noWrap w:val="0"/>
            <w:vAlign w:val="center"/>
          </w:tcPr>
          <w:p w14:paraId="7028A67F">
            <w:pPr>
              <w:pStyle w:val="32"/>
              <w:spacing w:after="0" w:line="360" w:lineRule="exact"/>
              <w:ind w:left="0" w:leftChars="0" w:firstLine="0" w:firstLineChars="0"/>
              <w:jc w:val="center"/>
              <w:rPr>
                <w:rFonts w:hint="default" w:ascii="Times New Roman" w:hAnsi="Times New Roman" w:eastAsia="宋体" w:cs="Times New Roman"/>
                <w:bCs/>
                <w:color w:val="auto"/>
                <w:kern w:val="0"/>
                <w:highlight w:val="none"/>
                <w:lang w:eastAsia="zh-CN"/>
              </w:rPr>
            </w:pPr>
            <w:r>
              <w:rPr>
                <w:rFonts w:hint="eastAsia" w:cs="Times New Roman"/>
                <w:bCs/>
                <w:color w:val="auto"/>
                <w:kern w:val="0"/>
                <w:highlight w:val="none"/>
                <w:lang w:eastAsia="zh-CN"/>
              </w:rPr>
              <w:t>Ⅲ</w:t>
            </w:r>
          </w:p>
        </w:tc>
        <w:tc>
          <w:tcPr>
            <w:tcW w:w="913" w:type="pct"/>
            <w:tcBorders>
              <w:top w:val="single" w:color="000000" w:sz="6" w:space="0"/>
              <w:left w:val="single" w:color="000000" w:sz="6" w:space="0"/>
              <w:bottom w:val="single" w:color="000000" w:sz="6" w:space="0"/>
              <w:right w:val="single" w:color="000000" w:sz="6" w:space="0"/>
            </w:tcBorders>
            <w:noWrap w:val="0"/>
            <w:vAlign w:val="center"/>
          </w:tcPr>
          <w:p w14:paraId="561345CE">
            <w:pPr>
              <w:pStyle w:val="32"/>
              <w:spacing w:after="0" w:line="360" w:lineRule="exact"/>
              <w:ind w:left="0" w:leftChars="0" w:firstLine="0" w:firstLineChars="0"/>
              <w:jc w:val="center"/>
              <w:rPr>
                <w:rFonts w:hint="default" w:ascii="Times New Roman" w:hAnsi="Times New Roman" w:eastAsia="宋体" w:cs="Times New Roman"/>
                <w:bCs/>
                <w:color w:val="auto"/>
                <w:kern w:val="0"/>
                <w:highlight w:val="none"/>
                <w:lang w:eastAsia="zh-CN"/>
              </w:rPr>
            </w:pPr>
            <w:r>
              <w:rPr>
                <w:rFonts w:hint="eastAsia" w:cs="Times New Roman"/>
                <w:bCs/>
                <w:color w:val="auto"/>
                <w:kern w:val="0"/>
                <w:highlight w:val="none"/>
                <w:lang w:eastAsia="zh-CN"/>
              </w:rPr>
              <w:t>Ⅲ</w:t>
            </w:r>
          </w:p>
        </w:tc>
        <w:tc>
          <w:tcPr>
            <w:tcW w:w="950" w:type="pct"/>
            <w:tcBorders>
              <w:top w:val="single" w:color="000000" w:sz="6" w:space="0"/>
              <w:left w:val="single" w:color="000000" w:sz="6" w:space="0"/>
              <w:bottom w:val="single" w:color="000000" w:sz="6" w:space="0"/>
              <w:right w:val="single" w:color="000000" w:sz="12" w:space="0"/>
            </w:tcBorders>
            <w:noWrap w:val="0"/>
            <w:vAlign w:val="center"/>
          </w:tcPr>
          <w:p w14:paraId="06E9B546">
            <w:pPr>
              <w:pStyle w:val="32"/>
              <w:spacing w:after="0" w:line="360" w:lineRule="exact"/>
              <w:ind w:left="0" w:leftChars="0" w:firstLine="0" w:firstLineChars="0"/>
              <w:jc w:val="center"/>
              <w:rPr>
                <w:rFonts w:hint="default" w:ascii="Times New Roman" w:hAnsi="Times New Roman" w:eastAsia="宋体" w:cs="Times New Roman"/>
                <w:bCs/>
                <w:color w:val="auto"/>
                <w:kern w:val="0"/>
                <w:highlight w:val="none"/>
                <w:lang w:eastAsia="zh-CN"/>
              </w:rPr>
            </w:pPr>
            <w:r>
              <w:rPr>
                <w:rFonts w:hint="default" w:ascii="Times New Roman" w:hAnsi="Times New Roman" w:cs="Times New Roman"/>
                <w:bCs/>
                <w:color w:val="auto"/>
                <w:kern w:val="0"/>
                <w:highlight w:val="none"/>
                <w:lang w:eastAsia="zh-CN"/>
              </w:rPr>
              <w:t>II</w:t>
            </w:r>
          </w:p>
        </w:tc>
      </w:tr>
      <w:tr w14:paraId="171EC1EE">
        <w:tblPrEx>
          <w:tblCellMar>
            <w:top w:w="0" w:type="dxa"/>
            <w:left w:w="0" w:type="dxa"/>
            <w:bottom w:w="0" w:type="dxa"/>
            <w:right w:w="0" w:type="dxa"/>
          </w:tblCellMar>
        </w:tblPrEx>
        <w:trPr>
          <w:trHeight w:val="397" w:hRule="atLeast"/>
          <w:jc w:val="center"/>
        </w:trPr>
        <w:tc>
          <w:tcPr>
            <w:tcW w:w="1226" w:type="pct"/>
            <w:tcBorders>
              <w:top w:val="single" w:color="000000" w:sz="6" w:space="0"/>
              <w:left w:val="single" w:color="000000" w:sz="12" w:space="0"/>
              <w:bottom w:val="single" w:color="000000" w:sz="6" w:space="0"/>
              <w:right w:val="single" w:color="000000" w:sz="6" w:space="0"/>
            </w:tcBorders>
            <w:noWrap w:val="0"/>
            <w:vAlign w:val="center"/>
          </w:tcPr>
          <w:p w14:paraId="48747CC7">
            <w:pPr>
              <w:pStyle w:val="32"/>
              <w:spacing w:after="0" w:line="360" w:lineRule="exact"/>
              <w:ind w:left="0" w:leftChars="0" w:firstLine="0" w:firstLineChars="0"/>
              <w:jc w:val="center"/>
              <w:rPr>
                <w:rFonts w:hint="default" w:ascii="Times New Roman" w:hAnsi="Times New Roman" w:cs="Times New Roman"/>
                <w:bCs/>
                <w:color w:val="auto"/>
                <w:kern w:val="0"/>
                <w:highlight w:val="none"/>
              </w:rPr>
            </w:pPr>
            <w:r>
              <w:rPr>
                <w:rFonts w:hint="default" w:ascii="Times New Roman" w:hAnsi="Times New Roman" w:cs="Times New Roman"/>
                <w:bCs/>
                <w:color w:val="auto"/>
                <w:kern w:val="0"/>
                <w:highlight w:val="none"/>
              </w:rPr>
              <w:t>环境低度敏感区（E3）</w:t>
            </w:r>
          </w:p>
        </w:tc>
        <w:tc>
          <w:tcPr>
            <w:tcW w:w="914" w:type="pct"/>
            <w:tcBorders>
              <w:top w:val="single" w:color="000000" w:sz="6" w:space="0"/>
              <w:left w:val="single" w:color="000000" w:sz="6" w:space="0"/>
              <w:bottom w:val="single" w:color="000000" w:sz="6" w:space="0"/>
              <w:right w:val="single" w:color="000000" w:sz="6" w:space="0"/>
            </w:tcBorders>
            <w:noWrap w:val="0"/>
            <w:vAlign w:val="center"/>
          </w:tcPr>
          <w:p w14:paraId="66D9FF45">
            <w:pPr>
              <w:pStyle w:val="32"/>
              <w:spacing w:after="0" w:line="360" w:lineRule="exact"/>
              <w:ind w:left="0" w:leftChars="0" w:firstLine="0" w:firstLineChars="0"/>
              <w:jc w:val="center"/>
              <w:rPr>
                <w:rFonts w:hint="default" w:ascii="Times New Roman" w:hAnsi="Times New Roman" w:eastAsia="宋体" w:cs="Times New Roman"/>
                <w:bCs/>
                <w:color w:val="auto"/>
                <w:kern w:val="0"/>
                <w:highlight w:val="none"/>
                <w:lang w:eastAsia="zh-CN"/>
              </w:rPr>
            </w:pPr>
            <w:r>
              <w:rPr>
                <w:rFonts w:hint="eastAsia" w:cs="Times New Roman"/>
                <w:bCs/>
                <w:color w:val="auto"/>
                <w:kern w:val="0"/>
                <w:highlight w:val="none"/>
                <w:lang w:eastAsia="zh-CN"/>
              </w:rPr>
              <w:t>Ⅲ</w:t>
            </w:r>
          </w:p>
        </w:tc>
        <w:tc>
          <w:tcPr>
            <w:tcW w:w="995" w:type="pct"/>
            <w:tcBorders>
              <w:top w:val="single" w:color="000000" w:sz="6" w:space="0"/>
              <w:left w:val="single" w:color="000000" w:sz="6" w:space="0"/>
              <w:bottom w:val="single" w:color="000000" w:sz="6" w:space="0"/>
              <w:right w:val="single" w:color="000000" w:sz="6" w:space="0"/>
            </w:tcBorders>
            <w:noWrap w:val="0"/>
            <w:vAlign w:val="center"/>
          </w:tcPr>
          <w:p w14:paraId="5D58D6BC">
            <w:pPr>
              <w:pStyle w:val="32"/>
              <w:spacing w:after="0" w:line="360" w:lineRule="exact"/>
              <w:ind w:left="0" w:leftChars="0" w:firstLine="0" w:firstLineChars="0"/>
              <w:jc w:val="center"/>
              <w:rPr>
                <w:rFonts w:hint="default" w:ascii="Times New Roman" w:hAnsi="Times New Roman" w:eastAsia="宋体" w:cs="Times New Roman"/>
                <w:bCs/>
                <w:color w:val="auto"/>
                <w:kern w:val="0"/>
                <w:highlight w:val="none"/>
                <w:lang w:eastAsia="zh-CN"/>
              </w:rPr>
            </w:pPr>
            <w:r>
              <w:rPr>
                <w:rFonts w:hint="eastAsia" w:cs="Times New Roman"/>
                <w:bCs/>
                <w:color w:val="auto"/>
                <w:kern w:val="0"/>
                <w:highlight w:val="none"/>
                <w:lang w:eastAsia="zh-CN"/>
              </w:rPr>
              <w:t>Ⅲ</w:t>
            </w:r>
          </w:p>
        </w:tc>
        <w:tc>
          <w:tcPr>
            <w:tcW w:w="913" w:type="pct"/>
            <w:tcBorders>
              <w:top w:val="single" w:color="000000" w:sz="6" w:space="0"/>
              <w:left w:val="single" w:color="000000" w:sz="6" w:space="0"/>
              <w:bottom w:val="single" w:color="000000" w:sz="6" w:space="0"/>
              <w:right w:val="single" w:color="000000" w:sz="6" w:space="0"/>
            </w:tcBorders>
            <w:noWrap w:val="0"/>
            <w:vAlign w:val="center"/>
          </w:tcPr>
          <w:p w14:paraId="19FCDDF0">
            <w:pPr>
              <w:pStyle w:val="32"/>
              <w:spacing w:after="0" w:line="360" w:lineRule="exact"/>
              <w:ind w:left="0" w:leftChars="0" w:firstLine="0" w:firstLineChars="0"/>
              <w:jc w:val="center"/>
              <w:rPr>
                <w:rFonts w:hint="default" w:ascii="Times New Roman" w:hAnsi="Times New Roman" w:eastAsia="宋体" w:cs="Times New Roman"/>
                <w:bCs/>
                <w:color w:val="auto"/>
                <w:kern w:val="0"/>
                <w:highlight w:val="none"/>
                <w:lang w:eastAsia="zh-CN"/>
              </w:rPr>
            </w:pPr>
            <w:r>
              <w:rPr>
                <w:rFonts w:hint="default" w:ascii="Times New Roman" w:hAnsi="Times New Roman" w:cs="Times New Roman"/>
                <w:bCs/>
                <w:color w:val="auto"/>
                <w:kern w:val="0"/>
                <w:highlight w:val="none"/>
                <w:lang w:eastAsia="zh-CN"/>
              </w:rPr>
              <w:t>II</w:t>
            </w:r>
          </w:p>
        </w:tc>
        <w:tc>
          <w:tcPr>
            <w:tcW w:w="950" w:type="pct"/>
            <w:tcBorders>
              <w:top w:val="single" w:color="000000" w:sz="6" w:space="0"/>
              <w:left w:val="single" w:color="000000" w:sz="6" w:space="0"/>
              <w:bottom w:val="single" w:color="000000" w:sz="6" w:space="0"/>
              <w:right w:val="single" w:color="000000" w:sz="12" w:space="0"/>
            </w:tcBorders>
            <w:noWrap w:val="0"/>
            <w:vAlign w:val="center"/>
          </w:tcPr>
          <w:p w14:paraId="7B4747A8">
            <w:pPr>
              <w:pStyle w:val="32"/>
              <w:spacing w:after="0" w:line="360" w:lineRule="exact"/>
              <w:ind w:left="0" w:leftChars="0" w:firstLine="0" w:firstLineChars="0"/>
              <w:jc w:val="center"/>
              <w:rPr>
                <w:rFonts w:hint="default" w:ascii="Times New Roman" w:hAnsi="Times New Roman" w:eastAsia="宋体" w:cs="Times New Roman"/>
                <w:bCs/>
                <w:color w:val="auto"/>
                <w:kern w:val="0"/>
                <w:highlight w:val="none"/>
                <w:lang w:eastAsia="zh-CN"/>
              </w:rPr>
            </w:pPr>
            <w:r>
              <w:rPr>
                <w:rFonts w:hint="default" w:ascii="Times New Roman" w:hAnsi="Times New Roman" w:cs="Times New Roman"/>
                <w:bCs/>
                <w:color w:val="auto"/>
                <w:kern w:val="0"/>
                <w:highlight w:val="none"/>
                <w:lang w:eastAsia="zh-CN"/>
              </w:rPr>
              <w:t>I</w:t>
            </w:r>
          </w:p>
        </w:tc>
      </w:tr>
      <w:tr w14:paraId="21768CD1">
        <w:tblPrEx>
          <w:tblCellMar>
            <w:top w:w="0" w:type="dxa"/>
            <w:left w:w="0" w:type="dxa"/>
            <w:bottom w:w="0" w:type="dxa"/>
            <w:right w:w="0" w:type="dxa"/>
          </w:tblCellMar>
        </w:tblPrEx>
        <w:trPr>
          <w:trHeight w:val="397" w:hRule="atLeast"/>
          <w:jc w:val="center"/>
        </w:trPr>
        <w:tc>
          <w:tcPr>
            <w:tcW w:w="5000" w:type="pct"/>
            <w:gridSpan w:val="5"/>
            <w:tcBorders>
              <w:top w:val="single" w:color="000000" w:sz="6" w:space="0"/>
              <w:left w:val="single" w:color="000000" w:sz="12" w:space="0"/>
              <w:bottom w:val="single" w:color="000000" w:sz="12" w:space="0"/>
              <w:right w:val="single" w:color="000000" w:sz="12" w:space="0"/>
            </w:tcBorders>
            <w:noWrap w:val="0"/>
            <w:vAlign w:val="center"/>
          </w:tcPr>
          <w:p w14:paraId="6E8C9D88">
            <w:pPr>
              <w:pStyle w:val="32"/>
              <w:spacing w:after="0" w:line="360" w:lineRule="exact"/>
              <w:ind w:left="0" w:leftChars="0" w:firstLine="0" w:firstLineChars="0"/>
              <w:jc w:val="left"/>
              <w:rPr>
                <w:rFonts w:hint="default" w:ascii="Times New Roman" w:hAnsi="Times New Roman" w:cs="Times New Roman"/>
                <w:bCs/>
                <w:color w:val="auto"/>
                <w:kern w:val="0"/>
                <w:highlight w:val="none"/>
              </w:rPr>
            </w:pPr>
            <w:r>
              <w:rPr>
                <w:rFonts w:hint="default" w:ascii="Times New Roman" w:hAnsi="Times New Roman" w:cs="Times New Roman"/>
                <w:bCs/>
                <w:color w:val="auto"/>
                <w:kern w:val="0"/>
                <w:highlight w:val="none"/>
              </w:rPr>
              <w:t>注：</w:t>
            </w:r>
            <w:r>
              <w:rPr>
                <w:rFonts w:hint="eastAsia" w:cs="Times New Roman"/>
                <w:bCs/>
                <w:color w:val="auto"/>
                <w:kern w:val="0"/>
                <w:highlight w:val="none"/>
                <w:lang w:eastAsia="zh-CN"/>
              </w:rPr>
              <w:t>Ⅳ</w:t>
            </w:r>
            <w:r>
              <w:rPr>
                <w:rFonts w:hint="default" w:ascii="Times New Roman" w:hAnsi="Times New Roman" w:cs="Times New Roman"/>
                <w:bCs/>
                <w:color w:val="auto"/>
                <w:kern w:val="0"/>
                <w:highlight w:val="none"/>
              </w:rPr>
              <w:t>+为极高环境风险</w:t>
            </w:r>
          </w:p>
        </w:tc>
      </w:tr>
    </w:tbl>
    <w:p w14:paraId="5495F557">
      <w:pPr>
        <w:spacing w:line="480" w:lineRule="exact"/>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fldChar w:fldCharType="begin"/>
      </w:r>
      <w:r>
        <w:rPr>
          <w:rFonts w:hint="default" w:ascii="Times New Roman" w:hAnsi="Times New Roman" w:eastAsia="宋体" w:cs="Times New Roman"/>
          <w:color w:val="auto"/>
          <w:sz w:val="24"/>
          <w:highlight w:val="none"/>
          <w:lang w:eastAsia="zh-CN"/>
        </w:rPr>
        <w:instrText xml:space="preserve"> = 2 \* GB3 \* MERGEFORMAT </w:instrText>
      </w:r>
      <w:r>
        <w:rPr>
          <w:rFonts w:hint="default" w:ascii="Times New Roman" w:hAnsi="Times New Roman" w:eastAsia="宋体" w:cs="Times New Roman"/>
          <w:color w:val="auto"/>
          <w:sz w:val="24"/>
          <w:highlight w:val="none"/>
          <w:lang w:eastAsia="zh-CN"/>
        </w:rPr>
        <w:fldChar w:fldCharType="separate"/>
      </w:r>
      <w:r>
        <w:rPr>
          <w:rFonts w:hint="default" w:ascii="Times New Roman" w:hAnsi="Times New Roman" w:cs="Times New Roman"/>
          <w:color w:val="auto"/>
          <w:highlight w:val="none"/>
        </w:rPr>
        <w:t>②</w:t>
      </w:r>
      <w:r>
        <w:rPr>
          <w:rFonts w:hint="default" w:ascii="Times New Roman" w:hAnsi="Times New Roman" w:eastAsia="宋体" w:cs="Times New Roman"/>
          <w:color w:val="auto"/>
          <w:sz w:val="24"/>
          <w:highlight w:val="none"/>
          <w:lang w:eastAsia="zh-CN"/>
        </w:rPr>
        <w:fldChar w:fldCharType="end"/>
      </w:r>
      <w:r>
        <w:rPr>
          <w:rFonts w:hint="default" w:ascii="Times New Roman" w:hAnsi="Times New Roman" w:eastAsia="宋体" w:cs="Times New Roman"/>
          <w:color w:val="auto"/>
          <w:sz w:val="24"/>
          <w:highlight w:val="none"/>
          <w:lang w:eastAsia="zh-CN"/>
        </w:rPr>
        <w:t>P的分级确定</w:t>
      </w:r>
    </w:p>
    <w:p w14:paraId="02B25C0A">
      <w:pPr>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分析建设项目生产、使用、储存过程中涉及的有毒有害、易燃易爆物质，根据HJ169-2018附录B确定危险物质的临界量。定量分析危险物质数量与临界量的比值（Q）和所属行业及生产工艺特点（M），按照HJ169-2018附录C对危险物质及工艺系统危险性（P</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"_bookmark11"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color w:val="auto"/>
          <w:sz w:val="24"/>
          <w:highlight w:val="none"/>
        </w:rPr>
        <w:t>）等级进行判断，如表2.</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fldChar w:fldCharType="end"/>
      </w:r>
      <w:r>
        <w:rPr>
          <w:rFonts w:hint="default" w:ascii="Times New Roman" w:hAnsi="Times New Roman" w:cs="Times New Roman"/>
          <w:color w:val="auto"/>
          <w:sz w:val="24"/>
          <w:highlight w:val="none"/>
          <w:lang w:val="en-US" w:eastAsia="zh-CN"/>
        </w:rPr>
        <w:t>3</w:t>
      </w:r>
      <w:r>
        <w:rPr>
          <w:rFonts w:hint="default" w:ascii="Times New Roman" w:hAnsi="Times New Roman" w:eastAsia="宋体" w:cs="Times New Roman"/>
          <w:color w:val="auto"/>
          <w:sz w:val="24"/>
          <w:highlight w:val="none"/>
        </w:rPr>
        <w:t>所示，分别以P1、P2、P3、P4表示。</w:t>
      </w:r>
    </w:p>
    <w:p w14:paraId="0DD633F6">
      <w:pPr>
        <w:spacing w:line="360" w:lineRule="exact"/>
        <w:ind w:firstLine="0" w:firstLineChars="0"/>
        <w:jc w:val="center"/>
        <w:rPr>
          <w:rFonts w:hint="default" w:ascii="Times New Roman" w:hAnsi="Times New Roman" w:eastAsia="宋体" w:cs="Times New Roman"/>
          <w:b/>
          <w:color w:val="auto"/>
          <w:kern w:val="0"/>
          <w:sz w:val="24"/>
          <w:highlight w:val="none"/>
        </w:rPr>
      </w:pPr>
      <w:bookmarkStart w:id="263" w:name="_bookmark11"/>
      <w:bookmarkEnd w:id="263"/>
      <w:r>
        <w:rPr>
          <w:rFonts w:hint="default" w:ascii="Times New Roman" w:hAnsi="Times New Roman" w:cs="Times New Roman"/>
          <w:b/>
          <w:color w:val="auto"/>
          <w:kern w:val="0"/>
          <w:sz w:val="24"/>
          <w:highlight w:val="none"/>
          <w:lang w:val="zh-CN" w:bidi="ar"/>
        </w:rPr>
        <w:t>表2.</w:t>
      </w:r>
      <w:r>
        <w:rPr>
          <w:rFonts w:hint="default" w:ascii="Times New Roman" w:hAnsi="Times New Roman" w:cs="Times New Roman"/>
          <w:b/>
          <w:color w:val="auto"/>
          <w:kern w:val="0"/>
          <w:sz w:val="24"/>
          <w:highlight w:val="none"/>
          <w:lang w:val="en-US" w:eastAsia="zh-CN" w:bidi="ar"/>
        </w:rPr>
        <w:t>6</w:t>
      </w:r>
      <w:r>
        <w:rPr>
          <w:rFonts w:hint="default" w:ascii="Times New Roman" w:hAnsi="Times New Roman" w:cs="Times New Roman"/>
          <w:b/>
          <w:color w:val="auto"/>
          <w:kern w:val="0"/>
          <w:sz w:val="24"/>
          <w:highlight w:val="none"/>
          <w:lang w:val="zh-CN" w:bidi="ar"/>
        </w:rPr>
        <w:t>-</w:t>
      </w:r>
      <w:r>
        <w:rPr>
          <w:rFonts w:hint="default" w:ascii="Times New Roman" w:hAnsi="Times New Roman" w:cs="Times New Roman"/>
          <w:b/>
          <w:color w:val="auto"/>
          <w:kern w:val="0"/>
          <w:sz w:val="24"/>
          <w:highlight w:val="none"/>
          <w:lang w:val="en-US" w:eastAsia="zh-CN" w:bidi="ar"/>
        </w:rPr>
        <w:t>13</w:t>
      </w:r>
      <w:r>
        <w:rPr>
          <w:rFonts w:hint="default" w:ascii="Times New Roman" w:hAnsi="Times New Roman" w:cs="Times New Roman"/>
          <w:b/>
          <w:color w:val="auto"/>
          <w:kern w:val="0"/>
          <w:sz w:val="24"/>
          <w:highlight w:val="none"/>
          <w:lang w:val="zh-CN" w:bidi="ar"/>
        </w:rPr>
        <w:t xml:space="preserve">    危险物质及工艺系统危险性等级判断（P）</w:t>
      </w:r>
    </w:p>
    <w:tbl>
      <w:tblPr>
        <w:tblStyle w:val="33"/>
        <w:tblW w:w="4999" w:type="pct"/>
        <w:jc w:val="center"/>
        <w:tblLayout w:type="autofit"/>
        <w:tblCellMar>
          <w:top w:w="0" w:type="dxa"/>
          <w:left w:w="0" w:type="dxa"/>
          <w:bottom w:w="0" w:type="dxa"/>
          <w:right w:w="0" w:type="dxa"/>
        </w:tblCellMar>
      </w:tblPr>
      <w:tblGrid>
        <w:gridCol w:w="1664"/>
        <w:gridCol w:w="1667"/>
        <w:gridCol w:w="1667"/>
        <w:gridCol w:w="1667"/>
        <w:gridCol w:w="1669"/>
      </w:tblGrid>
      <w:tr w14:paraId="1E0CC4EE">
        <w:tblPrEx>
          <w:tblCellMar>
            <w:top w:w="0" w:type="dxa"/>
            <w:left w:w="0" w:type="dxa"/>
            <w:bottom w:w="0" w:type="dxa"/>
            <w:right w:w="0" w:type="dxa"/>
          </w:tblCellMar>
        </w:tblPrEx>
        <w:trPr>
          <w:trHeight w:val="397" w:hRule="atLeast"/>
          <w:tblHeader/>
          <w:jc w:val="center"/>
        </w:trPr>
        <w:tc>
          <w:tcPr>
            <w:tcW w:w="998" w:type="pct"/>
            <w:vMerge w:val="restart"/>
            <w:tcBorders>
              <w:top w:val="single" w:color="000000" w:sz="12" w:space="0"/>
              <w:left w:val="single" w:color="000000" w:sz="12" w:space="0"/>
              <w:right w:val="single" w:color="000000" w:sz="6" w:space="0"/>
            </w:tcBorders>
            <w:noWrap w:val="0"/>
            <w:vAlign w:val="center"/>
          </w:tcPr>
          <w:p w14:paraId="1467C8BD">
            <w:pPr>
              <w:pStyle w:val="47"/>
              <w:spacing w:before="0" w:beforeAutospacing="0" w:line="36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1"/>
                <w:sz w:val="21"/>
                <w:szCs w:val="21"/>
                <w:highlight w:val="none"/>
              </w:rPr>
              <w:t>危险物质数量与</w:t>
            </w:r>
            <w:r>
              <w:rPr>
                <w:rFonts w:hint="default" w:ascii="Times New Roman" w:hAnsi="Times New Roman" w:eastAsia="宋体" w:cs="Times New Roman"/>
                <w:b/>
                <w:bCs/>
                <w:color w:val="auto"/>
                <w:sz w:val="21"/>
                <w:szCs w:val="21"/>
                <w:highlight w:val="none"/>
              </w:rPr>
              <w:t>临界</w:t>
            </w:r>
            <w:r>
              <w:rPr>
                <w:rFonts w:hint="default" w:ascii="Times New Roman" w:hAnsi="Times New Roman" w:eastAsia="宋体" w:cs="Times New Roman"/>
                <w:b/>
                <w:bCs/>
                <w:color w:val="auto"/>
                <w:spacing w:val="-3"/>
                <w:sz w:val="21"/>
                <w:szCs w:val="21"/>
                <w:highlight w:val="none"/>
              </w:rPr>
              <w:t>量</w:t>
            </w:r>
            <w:r>
              <w:rPr>
                <w:rFonts w:hint="default" w:ascii="Times New Roman" w:hAnsi="Times New Roman" w:eastAsia="宋体" w:cs="Times New Roman"/>
                <w:b/>
                <w:bCs/>
                <w:color w:val="auto"/>
                <w:sz w:val="21"/>
                <w:szCs w:val="21"/>
                <w:highlight w:val="none"/>
              </w:rPr>
              <w:t>比</w:t>
            </w:r>
            <w:r>
              <w:rPr>
                <w:rFonts w:hint="default" w:ascii="Times New Roman" w:hAnsi="Times New Roman" w:eastAsia="宋体" w:cs="Times New Roman"/>
                <w:b/>
                <w:bCs/>
                <w:color w:val="auto"/>
                <w:spacing w:val="-29"/>
                <w:sz w:val="21"/>
                <w:szCs w:val="21"/>
                <w:highlight w:val="none"/>
              </w:rPr>
              <w:t>值</w:t>
            </w:r>
            <w:r>
              <w:rPr>
                <w:rFonts w:hint="default" w:ascii="Times New Roman" w:hAnsi="Times New Roman" w:eastAsia="宋体" w:cs="Times New Roman"/>
                <w:b/>
                <w:bCs/>
                <w:color w:val="auto"/>
                <w:spacing w:val="-3"/>
                <w:sz w:val="21"/>
                <w:szCs w:val="21"/>
                <w:highlight w:val="none"/>
              </w:rPr>
              <w:t>（</w:t>
            </w:r>
            <w:r>
              <w:rPr>
                <w:rFonts w:hint="default" w:ascii="Times New Roman" w:hAnsi="Times New Roman" w:eastAsia="Times New Roman" w:cs="Times New Roman"/>
                <w:b/>
                <w:bCs/>
                <w:color w:val="auto"/>
                <w:spacing w:val="-2"/>
                <w:sz w:val="21"/>
                <w:szCs w:val="21"/>
                <w:highlight w:val="none"/>
              </w:rPr>
              <w:t>Q</w:t>
            </w:r>
            <w:r>
              <w:rPr>
                <w:rFonts w:hint="default" w:ascii="Times New Roman" w:hAnsi="Times New Roman" w:eastAsia="宋体" w:cs="Times New Roman"/>
                <w:b/>
                <w:bCs/>
                <w:color w:val="auto"/>
                <w:sz w:val="21"/>
                <w:szCs w:val="21"/>
                <w:highlight w:val="none"/>
              </w:rPr>
              <w:t>）</w:t>
            </w:r>
          </w:p>
        </w:tc>
        <w:tc>
          <w:tcPr>
            <w:tcW w:w="4001" w:type="pct"/>
            <w:gridSpan w:val="4"/>
            <w:tcBorders>
              <w:top w:val="single" w:color="000000" w:sz="12" w:space="0"/>
              <w:left w:val="single" w:color="000000" w:sz="6" w:space="0"/>
              <w:bottom w:val="single" w:color="000000" w:sz="6" w:space="0"/>
              <w:right w:val="single" w:color="000000" w:sz="12" w:space="0"/>
            </w:tcBorders>
            <w:noWrap w:val="0"/>
            <w:vAlign w:val="center"/>
          </w:tcPr>
          <w:p w14:paraId="1F093ADA">
            <w:pPr>
              <w:pStyle w:val="47"/>
              <w:spacing w:before="0" w:beforeAutospacing="0" w:line="36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2"/>
                <w:sz w:val="21"/>
                <w:szCs w:val="21"/>
                <w:highlight w:val="none"/>
              </w:rPr>
              <w:t>行业及生产工艺（</w:t>
            </w:r>
            <w:r>
              <w:rPr>
                <w:rFonts w:hint="default" w:ascii="Times New Roman" w:hAnsi="Times New Roman" w:eastAsia="Times New Roman" w:cs="Times New Roman"/>
                <w:b/>
                <w:bCs/>
                <w:color w:val="auto"/>
                <w:spacing w:val="-2"/>
                <w:sz w:val="21"/>
                <w:szCs w:val="21"/>
                <w:highlight w:val="none"/>
              </w:rPr>
              <w:t>M</w:t>
            </w:r>
            <w:r>
              <w:rPr>
                <w:rFonts w:hint="default" w:ascii="Times New Roman" w:hAnsi="Times New Roman" w:eastAsia="宋体" w:cs="Times New Roman"/>
                <w:b/>
                <w:bCs/>
                <w:color w:val="auto"/>
                <w:spacing w:val="-2"/>
                <w:sz w:val="21"/>
                <w:szCs w:val="21"/>
                <w:highlight w:val="none"/>
              </w:rPr>
              <w:t>）</w:t>
            </w:r>
          </w:p>
        </w:tc>
      </w:tr>
      <w:tr w14:paraId="0836AD9B">
        <w:tblPrEx>
          <w:tblCellMar>
            <w:top w:w="0" w:type="dxa"/>
            <w:left w:w="0" w:type="dxa"/>
            <w:bottom w:w="0" w:type="dxa"/>
            <w:right w:w="0" w:type="dxa"/>
          </w:tblCellMar>
        </w:tblPrEx>
        <w:trPr>
          <w:trHeight w:val="397" w:hRule="atLeast"/>
          <w:tblHeader/>
          <w:jc w:val="center"/>
        </w:trPr>
        <w:tc>
          <w:tcPr>
            <w:tcW w:w="998" w:type="pct"/>
            <w:vMerge w:val="continue"/>
            <w:tcBorders>
              <w:left w:val="single" w:color="000000" w:sz="12" w:space="0"/>
              <w:bottom w:val="single" w:color="000000" w:sz="6" w:space="0"/>
              <w:right w:val="single" w:color="000000" w:sz="6" w:space="0"/>
            </w:tcBorders>
            <w:noWrap w:val="0"/>
            <w:vAlign w:val="center"/>
          </w:tcPr>
          <w:p w14:paraId="463A1814">
            <w:pPr>
              <w:spacing w:line="360" w:lineRule="exact"/>
              <w:ind w:firstLine="0" w:firstLineChars="0"/>
              <w:jc w:val="center"/>
              <w:rPr>
                <w:rFonts w:hint="default" w:ascii="Times New Roman" w:hAnsi="Times New Roman" w:cs="Times New Roman"/>
                <w:color w:val="auto"/>
                <w:highlight w:val="none"/>
              </w:rPr>
            </w:pPr>
          </w:p>
        </w:tc>
        <w:tc>
          <w:tcPr>
            <w:tcW w:w="1000" w:type="pct"/>
            <w:tcBorders>
              <w:top w:val="single" w:color="000000" w:sz="6" w:space="0"/>
              <w:left w:val="single" w:color="000000" w:sz="6" w:space="0"/>
              <w:bottom w:val="single" w:color="000000" w:sz="6" w:space="0"/>
              <w:right w:val="single" w:color="000000" w:sz="6" w:space="0"/>
            </w:tcBorders>
            <w:noWrap w:val="0"/>
            <w:vAlign w:val="center"/>
          </w:tcPr>
          <w:p w14:paraId="05725782">
            <w:pPr>
              <w:pStyle w:val="47"/>
              <w:spacing w:before="0" w:beforeAutospacing="0" w:line="360" w:lineRule="exact"/>
              <w:ind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cs="Times New Roman"/>
                <w:color w:val="auto"/>
                <w:spacing w:val="-1"/>
                <w:sz w:val="21"/>
                <w:highlight w:val="none"/>
              </w:rPr>
              <w:t>M1</w:t>
            </w:r>
          </w:p>
        </w:tc>
        <w:tc>
          <w:tcPr>
            <w:tcW w:w="1000" w:type="pct"/>
            <w:tcBorders>
              <w:top w:val="single" w:color="000000" w:sz="6" w:space="0"/>
              <w:left w:val="single" w:color="000000" w:sz="6" w:space="0"/>
              <w:bottom w:val="single" w:color="000000" w:sz="6" w:space="0"/>
              <w:right w:val="single" w:color="000000" w:sz="6" w:space="0"/>
            </w:tcBorders>
            <w:noWrap w:val="0"/>
            <w:vAlign w:val="center"/>
          </w:tcPr>
          <w:p w14:paraId="0C797737">
            <w:pPr>
              <w:pStyle w:val="47"/>
              <w:spacing w:before="0" w:beforeAutospacing="0" w:line="360" w:lineRule="exact"/>
              <w:ind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cs="Times New Roman"/>
                <w:color w:val="auto"/>
                <w:spacing w:val="-1"/>
                <w:sz w:val="21"/>
                <w:highlight w:val="none"/>
              </w:rPr>
              <w:t>M2</w:t>
            </w:r>
          </w:p>
        </w:tc>
        <w:tc>
          <w:tcPr>
            <w:tcW w:w="1000" w:type="pct"/>
            <w:tcBorders>
              <w:top w:val="single" w:color="000000" w:sz="6" w:space="0"/>
              <w:left w:val="single" w:color="000000" w:sz="6" w:space="0"/>
              <w:bottom w:val="single" w:color="000000" w:sz="6" w:space="0"/>
              <w:right w:val="single" w:color="000000" w:sz="6" w:space="0"/>
            </w:tcBorders>
            <w:noWrap w:val="0"/>
            <w:vAlign w:val="center"/>
          </w:tcPr>
          <w:p w14:paraId="43E69FD9">
            <w:pPr>
              <w:pStyle w:val="47"/>
              <w:spacing w:before="0" w:beforeAutospacing="0" w:line="360" w:lineRule="exact"/>
              <w:ind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cs="Times New Roman"/>
                <w:color w:val="auto"/>
                <w:spacing w:val="-1"/>
                <w:sz w:val="21"/>
                <w:highlight w:val="none"/>
              </w:rPr>
              <w:t>M3</w:t>
            </w:r>
          </w:p>
        </w:tc>
        <w:tc>
          <w:tcPr>
            <w:tcW w:w="1000" w:type="pct"/>
            <w:tcBorders>
              <w:top w:val="single" w:color="000000" w:sz="6" w:space="0"/>
              <w:left w:val="single" w:color="000000" w:sz="6" w:space="0"/>
              <w:bottom w:val="single" w:color="000000" w:sz="6" w:space="0"/>
              <w:right w:val="single" w:color="000000" w:sz="12" w:space="0"/>
            </w:tcBorders>
            <w:noWrap w:val="0"/>
            <w:vAlign w:val="center"/>
          </w:tcPr>
          <w:p w14:paraId="03788220">
            <w:pPr>
              <w:pStyle w:val="47"/>
              <w:spacing w:before="0" w:beforeAutospacing="0" w:line="360" w:lineRule="exact"/>
              <w:ind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cs="Times New Roman"/>
                <w:color w:val="auto"/>
                <w:spacing w:val="-1"/>
                <w:sz w:val="21"/>
                <w:highlight w:val="none"/>
              </w:rPr>
              <w:t>M4</w:t>
            </w:r>
          </w:p>
        </w:tc>
      </w:tr>
      <w:tr w14:paraId="16A9FD68">
        <w:tblPrEx>
          <w:tblCellMar>
            <w:top w:w="0" w:type="dxa"/>
            <w:left w:w="0" w:type="dxa"/>
            <w:bottom w:w="0" w:type="dxa"/>
            <w:right w:w="0" w:type="dxa"/>
          </w:tblCellMar>
        </w:tblPrEx>
        <w:trPr>
          <w:trHeight w:val="397" w:hRule="atLeast"/>
          <w:jc w:val="center"/>
        </w:trPr>
        <w:tc>
          <w:tcPr>
            <w:tcW w:w="998" w:type="pct"/>
            <w:tcBorders>
              <w:top w:val="single" w:color="000000" w:sz="6" w:space="0"/>
              <w:left w:val="single" w:color="000000" w:sz="12" w:space="0"/>
              <w:bottom w:val="single" w:color="000000" w:sz="6" w:space="0"/>
              <w:right w:val="single" w:color="000000" w:sz="6" w:space="0"/>
            </w:tcBorders>
            <w:noWrap w:val="0"/>
            <w:vAlign w:val="center"/>
          </w:tcPr>
          <w:p w14:paraId="0041E38B">
            <w:pPr>
              <w:pStyle w:val="47"/>
              <w:spacing w:before="0" w:beforeAutospacing="0" w:line="360" w:lineRule="exact"/>
              <w:ind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Q≥100</w:t>
            </w:r>
          </w:p>
        </w:tc>
        <w:tc>
          <w:tcPr>
            <w:tcW w:w="1000" w:type="pct"/>
            <w:tcBorders>
              <w:top w:val="single" w:color="000000" w:sz="6" w:space="0"/>
              <w:left w:val="single" w:color="000000" w:sz="6" w:space="0"/>
              <w:bottom w:val="single" w:color="000000" w:sz="6" w:space="0"/>
              <w:right w:val="single" w:color="000000" w:sz="6" w:space="0"/>
            </w:tcBorders>
            <w:noWrap w:val="0"/>
            <w:vAlign w:val="center"/>
          </w:tcPr>
          <w:p w14:paraId="6A148451">
            <w:pPr>
              <w:pStyle w:val="47"/>
              <w:spacing w:before="0" w:beforeAutospacing="0" w:line="360" w:lineRule="exact"/>
              <w:ind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cs="Times New Roman"/>
                <w:color w:val="auto"/>
                <w:sz w:val="21"/>
                <w:highlight w:val="none"/>
              </w:rPr>
              <w:t>P1</w:t>
            </w:r>
          </w:p>
        </w:tc>
        <w:tc>
          <w:tcPr>
            <w:tcW w:w="1000" w:type="pct"/>
            <w:tcBorders>
              <w:top w:val="single" w:color="000000" w:sz="6" w:space="0"/>
              <w:left w:val="single" w:color="000000" w:sz="6" w:space="0"/>
              <w:bottom w:val="single" w:color="000000" w:sz="6" w:space="0"/>
              <w:right w:val="single" w:color="000000" w:sz="6" w:space="0"/>
            </w:tcBorders>
            <w:noWrap w:val="0"/>
            <w:vAlign w:val="center"/>
          </w:tcPr>
          <w:p w14:paraId="62C2F661">
            <w:pPr>
              <w:pStyle w:val="47"/>
              <w:spacing w:before="0" w:beforeAutospacing="0" w:line="360" w:lineRule="exact"/>
              <w:ind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cs="Times New Roman"/>
                <w:color w:val="auto"/>
                <w:sz w:val="21"/>
                <w:highlight w:val="none"/>
              </w:rPr>
              <w:t>P1</w:t>
            </w:r>
          </w:p>
        </w:tc>
        <w:tc>
          <w:tcPr>
            <w:tcW w:w="1000" w:type="pct"/>
            <w:tcBorders>
              <w:top w:val="single" w:color="000000" w:sz="6" w:space="0"/>
              <w:left w:val="single" w:color="000000" w:sz="6" w:space="0"/>
              <w:bottom w:val="single" w:color="000000" w:sz="6" w:space="0"/>
              <w:right w:val="single" w:color="000000" w:sz="6" w:space="0"/>
            </w:tcBorders>
            <w:noWrap w:val="0"/>
            <w:vAlign w:val="center"/>
          </w:tcPr>
          <w:p w14:paraId="6FE5DB0D">
            <w:pPr>
              <w:pStyle w:val="47"/>
              <w:spacing w:before="0" w:beforeAutospacing="0" w:line="360" w:lineRule="exact"/>
              <w:ind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cs="Times New Roman"/>
                <w:color w:val="auto"/>
                <w:sz w:val="21"/>
                <w:highlight w:val="none"/>
              </w:rPr>
              <w:t>P2</w:t>
            </w:r>
          </w:p>
        </w:tc>
        <w:tc>
          <w:tcPr>
            <w:tcW w:w="1000" w:type="pct"/>
            <w:tcBorders>
              <w:top w:val="single" w:color="000000" w:sz="6" w:space="0"/>
              <w:left w:val="single" w:color="000000" w:sz="6" w:space="0"/>
              <w:bottom w:val="single" w:color="000000" w:sz="6" w:space="0"/>
              <w:right w:val="single" w:color="000000" w:sz="12" w:space="0"/>
            </w:tcBorders>
            <w:noWrap w:val="0"/>
            <w:vAlign w:val="center"/>
          </w:tcPr>
          <w:p w14:paraId="7186E518">
            <w:pPr>
              <w:pStyle w:val="47"/>
              <w:spacing w:before="0" w:beforeAutospacing="0" w:line="360" w:lineRule="exact"/>
              <w:ind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cs="Times New Roman"/>
                <w:color w:val="auto"/>
                <w:sz w:val="21"/>
                <w:highlight w:val="none"/>
              </w:rPr>
              <w:t>P3</w:t>
            </w:r>
          </w:p>
        </w:tc>
      </w:tr>
      <w:tr w14:paraId="1F3F64B4">
        <w:tblPrEx>
          <w:tblCellMar>
            <w:top w:w="0" w:type="dxa"/>
            <w:left w:w="0" w:type="dxa"/>
            <w:bottom w:w="0" w:type="dxa"/>
            <w:right w:w="0" w:type="dxa"/>
          </w:tblCellMar>
        </w:tblPrEx>
        <w:trPr>
          <w:trHeight w:val="397" w:hRule="atLeast"/>
          <w:jc w:val="center"/>
        </w:trPr>
        <w:tc>
          <w:tcPr>
            <w:tcW w:w="998" w:type="pct"/>
            <w:tcBorders>
              <w:top w:val="single" w:color="000000" w:sz="6" w:space="0"/>
              <w:left w:val="single" w:color="000000" w:sz="12" w:space="0"/>
              <w:bottom w:val="single" w:color="000000" w:sz="6" w:space="0"/>
              <w:right w:val="single" w:color="000000" w:sz="6" w:space="0"/>
            </w:tcBorders>
            <w:noWrap w:val="0"/>
            <w:vAlign w:val="center"/>
          </w:tcPr>
          <w:p w14:paraId="2697D6C2">
            <w:pPr>
              <w:pStyle w:val="47"/>
              <w:spacing w:before="0" w:beforeAutospacing="0" w:line="360" w:lineRule="exact"/>
              <w:ind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10</w:t>
            </w:r>
            <w:r>
              <w:rPr>
                <w:rFonts w:hint="default" w:ascii="Times New Roman" w:hAnsi="Times New Roman" w:eastAsia="宋体" w:cs="Times New Roman"/>
                <w:color w:val="auto"/>
                <w:spacing w:val="-1"/>
                <w:sz w:val="21"/>
                <w:szCs w:val="21"/>
                <w:highlight w:val="none"/>
              </w:rPr>
              <w:t>≤</w:t>
            </w:r>
            <w:r>
              <w:rPr>
                <w:rFonts w:hint="default" w:ascii="Times New Roman" w:hAnsi="Times New Roman" w:eastAsia="Times New Roman" w:cs="Times New Roman"/>
                <w:color w:val="auto"/>
                <w:spacing w:val="-1"/>
                <w:sz w:val="21"/>
                <w:szCs w:val="21"/>
                <w:highlight w:val="none"/>
              </w:rPr>
              <w:t>Q</w:t>
            </w:r>
            <w:r>
              <w:rPr>
                <w:rFonts w:hint="default" w:ascii="Times New Roman" w:hAnsi="Times New Roman" w:eastAsia="宋体" w:cs="Times New Roman"/>
                <w:color w:val="auto"/>
                <w:spacing w:val="-1"/>
                <w:sz w:val="21"/>
                <w:szCs w:val="21"/>
                <w:highlight w:val="none"/>
              </w:rPr>
              <w:t>＜</w:t>
            </w:r>
            <w:r>
              <w:rPr>
                <w:rFonts w:hint="default" w:ascii="Times New Roman" w:hAnsi="Times New Roman" w:eastAsia="Times New Roman" w:cs="Times New Roman"/>
                <w:color w:val="auto"/>
                <w:spacing w:val="-1"/>
                <w:sz w:val="21"/>
                <w:szCs w:val="21"/>
                <w:highlight w:val="none"/>
              </w:rPr>
              <w:t>100</w:t>
            </w:r>
          </w:p>
        </w:tc>
        <w:tc>
          <w:tcPr>
            <w:tcW w:w="1000" w:type="pct"/>
            <w:tcBorders>
              <w:top w:val="single" w:color="000000" w:sz="6" w:space="0"/>
              <w:left w:val="single" w:color="000000" w:sz="6" w:space="0"/>
              <w:bottom w:val="single" w:color="000000" w:sz="6" w:space="0"/>
              <w:right w:val="single" w:color="000000" w:sz="6" w:space="0"/>
            </w:tcBorders>
            <w:noWrap w:val="0"/>
            <w:vAlign w:val="center"/>
          </w:tcPr>
          <w:p w14:paraId="2B47C833">
            <w:pPr>
              <w:pStyle w:val="47"/>
              <w:spacing w:before="0" w:beforeAutospacing="0" w:line="360" w:lineRule="exact"/>
              <w:ind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cs="Times New Roman"/>
                <w:color w:val="auto"/>
                <w:sz w:val="21"/>
                <w:highlight w:val="none"/>
              </w:rPr>
              <w:t>P1</w:t>
            </w:r>
          </w:p>
        </w:tc>
        <w:tc>
          <w:tcPr>
            <w:tcW w:w="1000" w:type="pct"/>
            <w:tcBorders>
              <w:top w:val="single" w:color="000000" w:sz="6" w:space="0"/>
              <w:left w:val="single" w:color="000000" w:sz="6" w:space="0"/>
              <w:bottom w:val="single" w:color="000000" w:sz="6" w:space="0"/>
              <w:right w:val="single" w:color="000000" w:sz="6" w:space="0"/>
            </w:tcBorders>
            <w:noWrap w:val="0"/>
            <w:vAlign w:val="center"/>
          </w:tcPr>
          <w:p w14:paraId="23EF5201">
            <w:pPr>
              <w:pStyle w:val="47"/>
              <w:spacing w:before="0" w:beforeAutospacing="0" w:line="360" w:lineRule="exact"/>
              <w:ind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cs="Times New Roman"/>
                <w:color w:val="auto"/>
                <w:sz w:val="21"/>
                <w:highlight w:val="none"/>
              </w:rPr>
              <w:t>P2</w:t>
            </w:r>
          </w:p>
        </w:tc>
        <w:tc>
          <w:tcPr>
            <w:tcW w:w="1000" w:type="pct"/>
            <w:tcBorders>
              <w:top w:val="single" w:color="000000" w:sz="6" w:space="0"/>
              <w:left w:val="single" w:color="000000" w:sz="6" w:space="0"/>
              <w:bottom w:val="single" w:color="000000" w:sz="6" w:space="0"/>
              <w:right w:val="single" w:color="000000" w:sz="6" w:space="0"/>
            </w:tcBorders>
            <w:noWrap w:val="0"/>
            <w:vAlign w:val="center"/>
          </w:tcPr>
          <w:p w14:paraId="73A2FB7B">
            <w:pPr>
              <w:pStyle w:val="47"/>
              <w:spacing w:before="0" w:beforeAutospacing="0" w:line="360" w:lineRule="exact"/>
              <w:ind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cs="Times New Roman"/>
                <w:color w:val="auto"/>
                <w:sz w:val="21"/>
                <w:highlight w:val="none"/>
              </w:rPr>
              <w:t>P3</w:t>
            </w:r>
          </w:p>
        </w:tc>
        <w:tc>
          <w:tcPr>
            <w:tcW w:w="1000" w:type="pct"/>
            <w:tcBorders>
              <w:top w:val="single" w:color="000000" w:sz="6" w:space="0"/>
              <w:left w:val="single" w:color="000000" w:sz="6" w:space="0"/>
              <w:bottom w:val="single" w:color="000000" w:sz="6" w:space="0"/>
              <w:right w:val="single" w:color="000000" w:sz="12" w:space="0"/>
            </w:tcBorders>
            <w:noWrap w:val="0"/>
            <w:vAlign w:val="center"/>
          </w:tcPr>
          <w:p w14:paraId="3FC89E4A">
            <w:pPr>
              <w:pStyle w:val="47"/>
              <w:spacing w:before="0" w:beforeAutospacing="0" w:line="360" w:lineRule="exact"/>
              <w:ind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cs="Times New Roman"/>
                <w:color w:val="auto"/>
                <w:sz w:val="21"/>
                <w:highlight w:val="none"/>
              </w:rPr>
              <w:t>P4</w:t>
            </w:r>
          </w:p>
        </w:tc>
      </w:tr>
      <w:tr w14:paraId="5091545A">
        <w:tblPrEx>
          <w:tblCellMar>
            <w:top w:w="0" w:type="dxa"/>
            <w:left w:w="0" w:type="dxa"/>
            <w:bottom w:w="0" w:type="dxa"/>
            <w:right w:w="0" w:type="dxa"/>
          </w:tblCellMar>
        </w:tblPrEx>
        <w:trPr>
          <w:trHeight w:val="397" w:hRule="atLeast"/>
          <w:jc w:val="center"/>
        </w:trPr>
        <w:tc>
          <w:tcPr>
            <w:tcW w:w="998" w:type="pct"/>
            <w:tcBorders>
              <w:top w:val="single" w:color="000000" w:sz="6" w:space="0"/>
              <w:left w:val="single" w:color="000000" w:sz="12" w:space="0"/>
              <w:bottom w:val="single" w:color="000000" w:sz="12" w:space="0"/>
              <w:right w:val="single" w:color="000000" w:sz="6" w:space="0"/>
            </w:tcBorders>
            <w:noWrap w:val="0"/>
            <w:vAlign w:val="center"/>
          </w:tcPr>
          <w:p w14:paraId="2B2D7953">
            <w:pPr>
              <w:pStyle w:val="47"/>
              <w:spacing w:before="0" w:beforeAutospacing="0" w:line="360" w:lineRule="exact"/>
              <w:ind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2"/>
                <w:sz w:val="21"/>
                <w:szCs w:val="21"/>
                <w:highlight w:val="none"/>
              </w:rPr>
              <w:t>1</w:t>
            </w:r>
            <w:r>
              <w:rPr>
                <w:rFonts w:hint="default" w:ascii="Times New Roman" w:hAnsi="Times New Roman" w:eastAsia="宋体" w:cs="Times New Roman"/>
                <w:color w:val="auto"/>
                <w:spacing w:val="-2"/>
                <w:sz w:val="21"/>
                <w:szCs w:val="21"/>
                <w:highlight w:val="none"/>
              </w:rPr>
              <w:t>≤</w:t>
            </w:r>
            <w:r>
              <w:rPr>
                <w:rFonts w:hint="default" w:ascii="Times New Roman" w:hAnsi="Times New Roman" w:eastAsia="Times New Roman" w:cs="Times New Roman"/>
                <w:color w:val="auto"/>
                <w:spacing w:val="-2"/>
                <w:sz w:val="21"/>
                <w:szCs w:val="21"/>
                <w:highlight w:val="none"/>
              </w:rPr>
              <w:t>Q</w:t>
            </w:r>
            <w:r>
              <w:rPr>
                <w:rFonts w:hint="default" w:ascii="Times New Roman" w:hAnsi="Times New Roman" w:eastAsia="宋体" w:cs="Times New Roman"/>
                <w:color w:val="auto"/>
                <w:spacing w:val="-2"/>
                <w:sz w:val="21"/>
                <w:szCs w:val="21"/>
                <w:highlight w:val="none"/>
              </w:rPr>
              <w:t>＜</w:t>
            </w:r>
            <w:r>
              <w:rPr>
                <w:rFonts w:hint="default" w:ascii="Times New Roman" w:hAnsi="Times New Roman" w:eastAsia="Times New Roman" w:cs="Times New Roman"/>
                <w:color w:val="auto"/>
                <w:spacing w:val="-2"/>
                <w:sz w:val="21"/>
                <w:szCs w:val="21"/>
                <w:highlight w:val="none"/>
              </w:rPr>
              <w:t>10</w:t>
            </w:r>
          </w:p>
        </w:tc>
        <w:tc>
          <w:tcPr>
            <w:tcW w:w="1000" w:type="pct"/>
            <w:tcBorders>
              <w:top w:val="single" w:color="000000" w:sz="6" w:space="0"/>
              <w:left w:val="single" w:color="000000" w:sz="6" w:space="0"/>
              <w:bottom w:val="single" w:color="000000" w:sz="12" w:space="0"/>
              <w:right w:val="single" w:color="000000" w:sz="6" w:space="0"/>
            </w:tcBorders>
            <w:noWrap w:val="0"/>
            <w:vAlign w:val="center"/>
          </w:tcPr>
          <w:p w14:paraId="2EAB88EC">
            <w:pPr>
              <w:pStyle w:val="47"/>
              <w:spacing w:before="0" w:beforeAutospacing="0" w:line="360" w:lineRule="exact"/>
              <w:ind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cs="Times New Roman"/>
                <w:color w:val="auto"/>
                <w:sz w:val="21"/>
                <w:highlight w:val="none"/>
              </w:rPr>
              <w:t>P2</w:t>
            </w:r>
          </w:p>
        </w:tc>
        <w:tc>
          <w:tcPr>
            <w:tcW w:w="1000" w:type="pct"/>
            <w:tcBorders>
              <w:top w:val="single" w:color="000000" w:sz="6" w:space="0"/>
              <w:left w:val="single" w:color="000000" w:sz="6" w:space="0"/>
              <w:bottom w:val="single" w:color="000000" w:sz="12" w:space="0"/>
              <w:right w:val="single" w:color="000000" w:sz="6" w:space="0"/>
            </w:tcBorders>
            <w:noWrap w:val="0"/>
            <w:vAlign w:val="center"/>
          </w:tcPr>
          <w:p w14:paraId="51827BB9">
            <w:pPr>
              <w:pStyle w:val="47"/>
              <w:spacing w:before="0" w:beforeAutospacing="0" w:line="360" w:lineRule="exact"/>
              <w:ind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cs="Times New Roman"/>
                <w:color w:val="auto"/>
                <w:sz w:val="21"/>
                <w:highlight w:val="none"/>
              </w:rPr>
              <w:t>P3</w:t>
            </w:r>
          </w:p>
        </w:tc>
        <w:tc>
          <w:tcPr>
            <w:tcW w:w="1000" w:type="pct"/>
            <w:tcBorders>
              <w:top w:val="single" w:color="000000" w:sz="6" w:space="0"/>
              <w:left w:val="single" w:color="000000" w:sz="6" w:space="0"/>
              <w:bottom w:val="single" w:color="000000" w:sz="12" w:space="0"/>
              <w:right w:val="single" w:color="000000" w:sz="6" w:space="0"/>
            </w:tcBorders>
            <w:noWrap w:val="0"/>
            <w:vAlign w:val="center"/>
          </w:tcPr>
          <w:p w14:paraId="4C7B8434">
            <w:pPr>
              <w:pStyle w:val="47"/>
              <w:spacing w:before="0" w:beforeAutospacing="0" w:line="360" w:lineRule="exact"/>
              <w:ind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cs="Times New Roman"/>
                <w:color w:val="auto"/>
                <w:sz w:val="21"/>
                <w:highlight w:val="none"/>
              </w:rPr>
              <w:t>P4</w:t>
            </w:r>
          </w:p>
        </w:tc>
        <w:tc>
          <w:tcPr>
            <w:tcW w:w="1000" w:type="pct"/>
            <w:tcBorders>
              <w:top w:val="single" w:color="000000" w:sz="6" w:space="0"/>
              <w:left w:val="single" w:color="000000" w:sz="6" w:space="0"/>
              <w:bottom w:val="single" w:color="000000" w:sz="12" w:space="0"/>
              <w:right w:val="single" w:color="000000" w:sz="12" w:space="0"/>
            </w:tcBorders>
            <w:noWrap w:val="0"/>
            <w:vAlign w:val="center"/>
          </w:tcPr>
          <w:p w14:paraId="770CFA4E">
            <w:pPr>
              <w:pStyle w:val="47"/>
              <w:spacing w:before="0" w:beforeAutospacing="0" w:line="360" w:lineRule="exact"/>
              <w:ind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cs="Times New Roman"/>
                <w:color w:val="auto"/>
                <w:sz w:val="21"/>
                <w:highlight w:val="none"/>
              </w:rPr>
              <w:t>P4</w:t>
            </w:r>
          </w:p>
        </w:tc>
      </w:tr>
    </w:tbl>
    <w:p w14:paraId="502688CB">
      <w:pPr>
        <w:ind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危险物质数量与临界量的比值（Q）</w:t>
      </w:r>
      <w:r>
        <w:rPr>
          <w:rFonts w:hint="default" w:ascii="Times New Roman" w:hAnsi="Times New Roman" w:eastAsia="宋体" w:cs="Times New Roman"/>
          <w:color w:val="auto"/>
          <w:sz w:val="24"/>
          <w:highlight w:val="none"/>
          <w:lang w:eastAsia="zh-CN"/>
        </w:rPr>
        <w:t>：</w:t>
      </w:r>
    </w:p>
    <w:p w14:paraId="431E81F7">
      <w:pPr>
        <w:ind w:firstLine="480"/>
        <w:rPr>
          <w:rFonts w:hint="default" w:ascii="Times New Roman" w:hAnsi="Times New Roman" w:cs="Times New Roman"/>
          <w:b/>
          <w:color w:val="auto"/>
          <w:kern w:val="0"/>
          <w:sz w:val="24"/>
          <w:highlight w:val="none"/>
          <w:lang w:val="en-US" w:eastAsia="zh-CN"/>
        </w:rPr>
      </w:pPr>
      <w:r>
        <w:rPr>
          <w:rFonts w:hint="default" w:ascii="Times New Roman" w:hAnsi="Times New Roman" w:eastAsia="宋体" w:cs="Times New Roman"/>
          <w:color w:val="auto"/>
          <w:sz w:val="24"/>
          <w:highlight w:val="none"/>
          <w:lang w:eastAsia="zh-CN"/>
        </w:rPr>
        <w:t>本</w:t>
      </w:r>
      <w:r>
        <w:rPr>
          <w:rFonts w:hint="default" w:ascii="Times New Roman" w:hAnsi="Times New Roman" w:cs="Times New Roman"/>
          <w:color w:val="auto"/>
          <w:sz w:val="24"/>
          <w:highlight w:val="none"/>
          <w:lang w:val="en-US" w:eastAsia="zh-CN"/>
        </w:rPr>
        <w:t>项目</w:t>
      </w:r>
      <w:r>
        <w:rPr>
          <w:rFonts w:hint="default" w:ascii="Times New Roman" w:hAnsi="Times New Roman" w:eastAsia="宋体" w:cs="Times New Roman"/>
          <w:color w:val="auto"/>
          <w:sz w:val="24"/>
          <w:highlight w:val="none"/>
        </w:rPr>
        <w:t>主要涉及的可燃、易燃和爆炸危险性物质为柴油</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废机油</w:t>
      </w:r>
      <w:r>
        <w:rPr>
          <w:rFonts w:hint="default" w:ascii="Times New Roman" w:hAnsi="Times New Roman" w:eastAsia="宋体" w:cs="Times New Roman"/>
          <w:color w:val="auto"/>
          <w:sz w:val="24"/>
          <w:highlight w:val="none"/>
          <w:lang w:val="en-US" w:eastAsia="zh-CN"/>
        </w:rPr>
        <w:t>。</w:t>
      </w:r>
      <w:r>
        <w:rPr>
          <w:rFonts w:hint="default" w:ascii="Times New Roman" w:hAnsi="Times New Roman" w:cs="Times New Roman"/>
          <w:color w:val="auto"/>
          <w:szCs w:val="28"/>
          <w:highlight w:val="none"/>
          <w:lang w:val="en-US" w:eastAsia="zh-CN"/>
        </w:rPr>
        <w:t>项目配备</w:t>
      </w:r>
      <w:r>
        <w:rPr>
          <w:rFonts w:hint="default" w:ascii="Times New Roman" w:hAnsi="Times New Roman" w:eastAsia="宋体" w:cs="Times New Roman"/>
          <w:color w:val="auto"/>
          <w:sz w:val="24"/>
          <w:highlight w:val="none"/>
          <w:lang w:val="en-US" w:eastAsia="zh-CN"/>
        </w:rPr>
        <w:t>2台</w:t>
      </w:r>
      <w:r>
        <w:rPr>
          <w:rFonts w:hint="default" w:ascii="Times New Roman" w:hAnsi="Times New Roman" w:cs="Times New Roman"/>
          <w:color w:val="auto"/>
          <w:sz w:val="24"/>
          <w:highlight w:val="none"/>
          <w:lang w:val="en-US" w:eastAsia="zh-CN"/>
        </w:rPr>
        <w:t>应急</w:t>
      </w:r>
      <w:r>
        <w:rPr>
          <w:rFonts w:hint="default" w:ascii="Times New Roman" w:hAnsi="Times New Roman" w:eastAsia="宋体" w:cs="Times New Roman"/>
          <w:color w:val="auto"/>
          <w:sz w:val="24"/>
          <w:highlight w:val="none"/>
          <w:lang w:val="en-US" w:eastAsia="zh-CN"/>
        </w:rPr>
        <w:t>柴油发电机</w:t>
      </w:r>
      <w:r>
        <w:rPr>
          <w:rFonts w:hint="default" w:ascii="Times New Roman" w:hAnsi="Times New Roman" w:cs="Times New Roman"/>
          <w:color w:val="auto"/>
          <w:sz w:val="24"/>
          <w:highlight w:val="none"/>
          <w:vertAlign w:val="baseline"/>
          <w:lang w:val="en-US" w:eastAsia="zh-CN"/>
        </w:rPr>
        <w:t>，</w:t>
      </w:r>
      <w:r>
        <w:rPr>
          <w:rFonts w:hint="default" w:ascii="Times New Roman" w:hAnsi="Times New Roman" w:eastAsia="宋体" w:cs="Times New Roman"/>
          <w:color w:val="auto"/>
          <w:sz w:val="24"/>
          <w:highlight w:val="none"/>
          <w:vertAlign w:val="baseline"/>
        </w:rPr>
        <w:t>柴油最大储存量为</w:t>
      </w:r>
      <w:r>
        <w:rPr>
          <w:rFonts w:hint="default" w:ascii="Times New Roman" w:hAnsi="Times New Roman" w:cs="Times New Roman"/>
          <w:color w:val="auto"/>
          <w:sz w:val="24"/>
          <w:highlight w:val="none"/>
          <w:vertAlign w:val="baseline"/>
          <w:lang w:val="en-US" w:eastAsia="zh-CN"/>
        </w:rPr>
        <w:t>0.1</w:t>
      </w:r>
      <w:r>
        <w:rPr>
          <w:rFonts w:hint="default" w:ascii="Times New Roman" w:hAnsi="Times New Roman" w:eastAsia="宋体" w:cs="Times New Roman"/>
          <w:color w:val="auto"/>
          <w:sz w:val="24"/>
          <w:highlight w:val="none"/>
          <w:vertAlign w:val="baseline"/>
        </w:rPr>
        <w:t>t，柴油</w:t>
      </w:r>
      <w:r>
        <w:rPr>
          <w:rFonts w:hint="eastAsia" w:cs="Times New Roman"/>
          <w:color w:val="auto"/>
          <w:sz w:val="24"/>
          <w:highlight w:val="none"/>
          <w:vertAlign w:val="baseline"/>
          <w:lang w:val="en-US" w:eastAsia="zh-CN"/>
        </w:rPr>
        <w:t>存在于柴油发电机内</w:t>
      </w:r>
      <w:r>
        <w:rPr>
          <w:rFonts w:hint="default" w:ascii="Times New Roman" w:hAnsi="Times New Roman" w:cs="Times New Roman"/>
          <w:color w:val="auto"/>
          <w:sz w:val="24"/>
          <w:highlight w:val="none"/>
          <w:lang w:eastAsia="zh-CN"/>
        </w:rPr>
        <w:t>。废机油产生量约为</w:t>
      </w:r>
      <w:r>
        <w:rPr>
          <w:rFonts w:hint="eastAsia" w:cs="Times New Roman"/>
          <w:color w:val="auto"/>
          <w:sz w:val="24"/>
          <w:highlight w:val="none"/>
          <w:lang w:val="en-US" w:eastAsia="zh-CN"/>
        </w:rPr>
        <w:t>0.3</w:t>
      </w:r>
      <w:r>
        <w:rPr>
          <w:rFonts w:hint="default" w:ascii="Times New Roman" w:hAnsi="Times New Roman" w:cs="Times New Roman"/>
          <w:color w:val="auto"/>
          <w:sz w:val="24"/>
          <w:highlight w:val="none"/>
          <w:lang w:val="en-US" w:eastAsia="zh-CN"/>
        </w:rPr>
        <w:t>t</w:t>
      </w:r>
      <w:r>
        <w:rPr>
          <w:rFonts w:hint="eastAsia"/>
          <w:color w:val="auto"/>
          <w:highlight w:val="none"/>
          <w:lang w:val="en-US" w:eastAsia="zh-CN"/>
        </w:rPr>
        <w:t>/a</w:t>
      </w:r>
      <w:r>
        <w:rPr>
          <w:rFonts w:hint="default"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rPr>
        <w:t>根据计算Q值等于</w:t>
      </w:r>
      <w:r>
        <w:rPr>
          <w:rFonts w:hint="default" w:ascii="Times New Roman" w:hAnsi="Times New Roman" w:eastAsia="宋体" w:cs="Times New Roman"/>
          <w:color w:val="auto"/>
          <w:sz w:val="24"/>
          <w:highlight w:val="none"/>
          <w:lang w:val="en-US" w:eastAsia="zh-CN"/>
        </w:rPr>
        <w:t>0.</w:t>
      </w:r>
      <w:r>
        <w:rPr>
          <w:rFonts w:hint="default" w:ascii="Times New Roman" w:hAnsi="Times New Roman" w:cs="Times New Roman"/>
          <w:color w:val="auto"/>
          <w:sz w:val="24"/>
          <w:highlight w:val="none"/>
          <w:lang w:val="en-US" w:eastAsia="zh-CN"/>
        </w:rPr>
        <w:t>000</w:t>
      </w:r>
      <w:r>
        <w:rPr>
          <w:rFonts w:hint="eastAsia" w:cs="Times New Roman"/>
          <w:color w:val="auto"/>
          <w:sz w:val="24"/>
          <w:highlight w:val="none"/>
          <w:lang w:val="en-US" w:eastAsia="zh-CN"/>
        </w:rPr>
        <w:t>16</w:t>
      </w:r>
      <w:r>
        <w:rPr>
          <w:rFonts w:hint="default" w:ascii="Times New Roman" w:hAnsi="Times New Roman" w:eastAsia="宋体" w:cs="Times New Roman"/>
          <w:color w:val="auto"/>
          <w:sz w:val="24"/>
          <w:highlight w:val="none"/>
        </w:rPr>
        <w:t>，小于1。根据判定环境风险潜势为</w:t>
      </w:r>
      <w:r>
        <w:rPr>
          <w:rFonts w:hint="default" w:ascii="Times New Roman" w:hAnsi="Times New Roman" w:cs="Times New Roman"/>
          <w:color w:val="auto"/>
          <w:sz w:val="24"/>
          <w:highlight w:val="none"/>
          <w:lang w:eastAsia="zh-CN"/>
        </w:rPr>
        <w:t>I</w:t>
      </w:r>
      <w:r>
        <w:rPr>
          <w:rFonts w:hint="default" w:ascii="Times New Roman" w:hAnsi="Times New Roman" w:eastAsia="宋体" w:cs="Times New Roman"/>
          <w:color w:val="auto"/>
          <w:sz w:val="24"/>
          <w:highlight w:val="none"/>
        </w:rPr>
        <w:t>类，根据评价导则要求，本次评价参照标准进行风险识别和对事故风险进行简要分析，重点提出防范、减缓和应急措施，对事故影响范围和影响程度进行分析。</w:t>
      </w:r>
      <w:r>
        <w:rPr>
          <w:rFonts w:hint="default" w:ascii="Times New Roman" w:hAnsi="Times New Roman" w:eastAsia="宋体" w:cs="Times New Roman"/>
          <w:color w:val="auto"/>
          <w:sz w:val="24"/>
          <w:highlight w:val="none"/>
          <w:lang w:eastAsia="zh-CN"/>
        </w:rPr>
        <w:t>本工程</w:t>
      </w:r>
      <w:r>
        <w:rPr>
          <w:rFonts w:hint="default" w:ascii="Times New Roman" w:hAnsi="Times New Roman" w:eastAsia="宋体" w:cs="Times New Roman"/>
          <w:color w:val="auto"/>
          <w:sz w:val="24"/>
          <w:highlight w:val="none"/>
        </w:rPr>
        <w:t>危险物质数量与临界量比值见下表。</w:t>
      </w:r>
    </w:p>
    <w:p w14:paraId="26C1C0A4">
      <w:pPr>
        <w:ind w:left="0" w:leftChars="0" w:firstLine="0" w:firstLineChars="0"/>
        <w:jc w:val="center"/>
        <w:rPr>
          <w:rFonts w:hint="default" w:ascii="Times New Roman" w:hAnsi="Times New Roman" w:cs="Times New Roman"/>
          <w:color w:val="auto"/>
          <w:sz w:val="12"/>
          <w:szCs w:val="12"/>
          <w:highlight w:val="none"/>
        </w:rPr>
      </w:pPr>
      <w:r>
        <w:rPr>
          <w:rFonts w:hint="default" w:ascii="Times New Roman" w:hAnsi="Times New Roman" w:eastAsia="宋体" w:cs="Times New Roman"/>
          <w:b/>
          <w:color w:val="auto"/>
          <w:kern w:val="0"/>
          <w:sz w:val="24"/>
          <w:highlight w:val="none"/>
        </w:rPr>
        <w:t>表</w:t>
      </w:r>
      <w:r>
        <w:rPr>
          <w:rFonts w:hint="default" w:ascii="Times New Roman" w:hAnsi="Times New Roman" w:eastAsia="宋体" w:cs="Times New Roman"/>
          <w:b/>
          <w:color w:val="auto"/>
          <w:kern w:val="0"/>
          <w:sz w:val="24"/>
          <w:highlight w:val="none"/>
          <w:lang w:val="en-US" w:eastAsia="zh-CN"/>
        </w:rPr>
        <w:t>2.</w:t>
      </w:r>
      <w:r>
        <w:rPr>
          <w:rFonts w:hint="eastAsia" w:cs="Times New Roman"/>
          <w:b/>
          <w:color w:val="auto"/>
          <w:kern w:val="0"/>
          <w:sz w:val="24"/>
          <w:highlight w:val="none"/>
          <w:lang w:val="en-US" w:eastAsia="zh-CN"/>
        </w:rPr>
        <w:t>6</w:t>
      </w:r>
      <w:r>
        <w:rPr>
          <w:rFonts w:hint="default" w:ascii="Times New Roman" w:hAnsi="Times New Roman" w:eastAsia="宋体" w:cs="Times New Roman"/>
          <w:b/>
          <w:color w:val="auto"/>
          <w:kern w:val="0"/>
          <w:sz w:val="24"/>
          <w:highlight w:val="none"/>
          <w:lang w:val="en-US" w:eastAsia="zh-CN"/>
        </w:rPr>
        <w:t>-1</w:t>
      </w:r>
      <w:r>
        <w:rPr>
          <w:rFonts w:hint="eastAsia" w:cs="Times New Roman"/>
          <w:b/>
          <w:color w:val="auto"/>
          <w:kern w:val="0"/>
          <w:sz w:val="24"/>
          <w:highlight w:val="none"/>
          <w:lang w:val="en-US" w:eastAsia="zh-CN"/>
        </w:rPr>
        <w:t>4</w:t>
      </w:r>
      <w:r>
        <w:rPr>
          <w:rFonts w:hint="default" w:ascii="Times New Roman" w:hAnsi="Times New Roman" w:eastAsia="宋体" w:cs="Times New Roman"/>
          <w:b/>
          <w:color w:val="auto"/>
          <w:kern w:val="0"/>
          <w:sz w:val="24"/>
          <w:highlight w:val="none"/>
        </w:rPr>
        <w:t xml:space="preserve">    本工程危险物质数量与临界量的比值</w:t>
      </w:r>
    </w:p>
    <w:tbl>
      <w:tblPr>
        <w:tblStyle w:val="33"/>
        <w:tblW w:w="5052"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635"/>
        <w:gridCol w:w="1763"/>
        <w:gridCol w:w="1724"/>
        <w:gridCol w:w="1685"/>
        <w:gridCol w:w="1616"/>
      </w:tblGrid>
      <w:tr w14:paraId="674F6B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blHeader/>
          <w:jc w:val="center"/>
        </w:trPr>
        <w:tc>
          <w:tcPr>
            <w:tcW w:w="970" w:type="pct"/>
            <w:tcBorders>
              <w:tl2br w:val="nil"/>
              <w:tr2bl w:val="nil"/>
            </w:tcBorders>
            <w:noWrap w:val="0"/>
            <w:vAlign w:val="center"/>
          </w:tcPr>
          <w:p w14:paraId="1537D805">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spacing w:val="-1"/>
                <w:sz w:val="21"/>
                <w:szCs w:val="21"/>
                <w:highlight w:val="none"/>
              </w:rPr>
            </w:pPr>
            <w:r>
              <w:rPr>
                <w:rFonts w:hint="default" w:ascii="Times New Roman" w:hAnsi="Times New Roman" w:eastAsia="宋体" w:cs="Times New Roman"/>
                <w:b/>
                <w:bCs/>
                <w:color w:val="auto"/>
                <w:spacing w:val="-1"/>
                <w:sz w:val="21"/>
                <w:szCs w:val="21"/>
                <w:highlight w:val="none"/>
              </w:rPr>
              <w:t>设施</w:t>
            </w:r>
          </w:p>
        </w:tc>
        <w:tc>
          <w:tcPr>
            <w:tcW w:w="1046" w:type="pct"/>
            <w:tcBorders>
              <w:tl2br w:val="nil"/>
              <w:tr2bl w:val="nil"/>
            </w:tcBorders>
            <w:noWrap w:val="0"/>
            <w:vAlign w:val="center"/>
          </w:tcPr>
          <w:p w14:paraId="4BD17DAF">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spacing w:val="-1"/>
                <w:sz w:val="21"/>
                <w:szCs w:val="21"/>
                <w:highlight w:val="none"/>
              </w:rPr>
            </w:pPr>
            <w:r>
              <w:rPr>
                <w:rFonts w:hint="default" w:ascii="Times New Roman" w:hAnsi="Times New Roman" w:eastAsia="宋体" w:cs="Times New Roman"/>
                <w:b/>
                <w:bCs/>
                <w:color w:val="auto"/>
                <w:spacing w:val="-1"/>
                <w:sz w:val="21"/>
                <w:szCs w:val="21"/>
                <w:highlight w:val="none"/>
              </w:rPr>
              <w:t>物质名称</w:t>
            </w:r>
          </w:p>
        </w:tc>
        <w:tc>
          <w:tcPr>
            <w:tcW w:w="1023" w:type="pct"/>
            <w:tcBorders>
              <w:tl2br w:val="nil"/>
              <w:tr2bl w:val="nil"/>
            </w:tcBorders>
            <w:noWrap w:val="0"/>
            <w:vAlign w:val="center"/>
          </w:tcPr>
          <w:p w14:paraId="07BB3E0F">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spacing w:val="-1"/>
                <w:sz w:val="21"/>
                <w:szCs w:val="21"/>
                <w:highlight w:val="none"/>
              </w:rPr>
            </w:pPr>
            <w:r>
              <w:rPr>
                <w:rFonts w:hint="default" w:ascii="Times New Roman" w:hAnsi="Times New Roman" w:eastAsia="宋体" w:cs="Times New Roman"/>
                <w:b/>
                <w:bCs/>
                <w:color w:val="auto"/>
                <w:spacing w:val="-1"/>
                <w:sz w:val="21"/>
                <w:szCs w:val="21"/>
                <w:highlight w:val="none"/>
              </w:rPr>
              <w:t>临界量/t</w:t>
            </w:r>
          </w:p>
        </w:tc>
        <w:tc>
          <w:tcPr>
            <w:tcW w:w="1000" w:type="pct"/>
            <w:tcBorders>
              <w:tl2br w:val="nil"/>
              <w:tr2bl w:val="nil"/>
            </w:tcBorders>
            <w:noWrap w:val="0"/>
            <w:vAlign w:val="center"/>
          </w:tcPr>
          <w:p w14:paraId="01AF2C56">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spacing w:val="-1"/>
                <w:sz w:val="21"/>
                <w:szCs w:val="21"/>
                <w:highlight w:val="none"/>
              </w:rPr>
            </w:pPr>
            <w:r>
              <w:rPr>
                <w:rFonts w:hint="default" w:ascii="Times New Roman" w:hAnsi="Times New Roman" w:eastAsia="宋体" w:cs="Times New Roman"/>
                <w:b/>
                <w:bCs/>
                <w:color w:val="auto"/>
                <w:spacing w:val="-1"/>
                <w:sz w:val="21"/>
                <w:szCs w:val="21"/>
                <w:highlight w:val="none"/>
              </w:rPr>
              <w:t>储存量/t</w:t>
            </w:r>
          </w:p>
        </w:tc>
        <w:tc>
          <w:tcPr>
            <w:tcW w:w="959" w:type="pct"/>
            <w:tcBorders>
              <w:tl2br w:val="nil"/>
              <w:tr2bl w:val="nil"/>
            </w:tcBorders>
            <w:noWrap w:val="0"/>
            <w:vAlign w:val="center"/>
          </w:tcPr>
          <w:p w14:paraId="678BAFC8">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spacing w:val="-1"/>
                <w:sz w:val="21"/>
                <w:szCs w:val="21"/>
                <w:highlight w:val="none"/>
              </w:rPr>
            </w:pPr>
            <w:r>
              <w:rPr>
                <w:rFonts w:hint="default" w:ascii="Times New Roman" w:hAnsi="Times New Roman" w:eastAsia="宋体" w:cs="Times New Roman"/>
                <w:b/>
                <w:bCs/>
                <w:color w:val="auto"/>
                <w:spacing w:val="-1"/>
                <w:sz w:val="21"/>
                <w:szCs w:val="21"/>
                <w:highlight w:val="none"/>
              </w:rPr>
              <w:t>Q</w:t>
            </w:r>
          </w:p>
        </w:tc>
      </w:tr>
      <w:tr w14:paraId="144B68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70" w:type="pct"/>
            <w:tcBorders>
              <w:tl2br w:val="nil"/>
              <w:tr2bl w:val="nil"/>
            </w:tcBorders>
            <w:noWrap w:val="0"/>
            <w:vAlign w:val="center"/>
          </w:tcPr>
          <w:p w14:paraId="481E926E">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eastAsia="宋体" w:cs="Times New Roman"/>
                <w:color w:val="auto"/>
                <w:spacing w:val="-1"/>
                <w:sz w:val="21"/>
                <w:szCs w:val="21"/>
                <w:highlight w:val="none"/>
                <w:lang w:val="en-US" w:eastAsia="zh-CN"/>
              </w:rPr>
              <w:t>应急</w:t>
            </w:r>
            <w:r>
              <w:rPr>
                <w:rFonts w:hint="default" w:ascii="Times New Roman" w:hAnsi="Times New Roman" w:cs="Times New Roman"/>
                <w:color w:val="auto"/>
                <w:spacing w:val="-1"/>
                <w:sz w:val="21"/>
                <w:szCs w:val="21"/>
                <w:highlight w:val="none"/>
                <w:lang w:val="en-US" w:eastAsia="zh-CN"/>
              </w:rPr>
              <w:t>柴油</w:t>
            </w:r>
            <w:r>
              <w:rPr>
                <w:rFonts w:hint="default" w:ascii="Times New Roman" w:hAnsi="Times New Roman" w:eastAsia="宋体" w:cs="Times New Roman"/>
                <w:color w:val="auto"/>
                <w:spacing w:val="-1"/>
                <w:sz w:val="21"/>
                <w:szCs w:val="21"/>
                <w:highlight w:val="none"/>
                <w:lang w:val="en-US" w:eastAsia="zh-CN"/>
              </w:rPr>
              <w:t>发电机</w:t>
            </w:r>
          </w:p>
        </w:tc>
        <w:tc>
          <w:tcPr>
            <w:tcW w:w="1046" w:type="pct"/>
            <w:tcBorders>
              <w:tl2br w:val="nil"/>
              <w:tr2bl w:val="nil"/>
            </w:tcBorders>
            <w:noWrap w:val="0"/>
            <w:vAlign w:val="center"/>
          </w:tcPr>
          <w:p w14:paraId="64FE67CE">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eastAsia="宋体" w:cs="Times New Roman"/>
                <w:color w:val="auto"/>
                <w:spacing w:val="-1"/>
                <w:sz w:val="21"/>
                <w:szCs w:val="21"/>
                <w:highlight w:val="none"/>
                <w:lang w:val="en-US" w:eastAsia="zh-CN"/>
              </w:rPr>
              <w:t>柴油</w:t>
            </w:r>
          </w:p>
        </w:tc>
        <w:tc>
          <w:tcPr>
            <w:tcW w:w="1023" w:type="pct"/>
            <w:tcBorders>
              <w:tl2br w:val="nil"/>
              <w:tr2bl w:val="nil"/>
            </w:tcBorders>
            <w:noWrap w:val="0"/>
            <w:vAlign w:val="center"/>
          </w:tcPr>
          <w:p w14:paraId="32A633A1">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1"/>
                <w:sz w:val="21"/>
                <w:szCs w:val="21"/>
                <w:highlight w:val="none"/>
              </w:rPr>
            </w:pPr>
            <w:r>
              <w:rPr>
                <w:rFonts w:hint="default" w:ascii="Times New Roman" w:hAnsi="Times New Roman" w:eastAsia="宋体" w:cs="Times New Roman"/>
                <w:color w:val="auto"/>
                <w:spacing w:val="-1"/>
                <w:sz w:val="21"/>
                <w:szCs w:val="21"/>
                <w:highlight w:val="none"/>
              </w:rPr>
              <w:t>2500</w:t>
            </w:r>
          </w:p>
        </w:tc>
        <w:tc>
          <w:tcPr>
            <w:tcW w:w="1000" w:type="pct"/>
            <w:tcBorders>
              <w:tl2br w:val="nil"/>
              <w:tr2bl w:val="nil"/>
            </w:tcBorders>
            <w:noWrap w:val="0"/>
            <w:vAlign w:val="center"/>
          </w:tcPr>
          <w:p w14:paraId="326DDD68">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cs="Times New Roman"/>
                <w:color w:val="auto"/>
                <w:spacing w:val="-1"/>
                <w:sz w:val="21"/>
                <w:szCs w:val="21"/>
                <w:highlight w:val="none"/>
                <w:lang w:val="en-US" w:eastAsia="zh-CN"/>
              </w:rPr>
              <w:t>0.1</w:t>
            </w:r>
          </w:p>
        </w:tc>
        <w:tc>
          <w:tcPr>
            <w:tcW w:w="959" w:type="pct"/>
            <w:tcBorders>
              <w:tl2br w:val="nil"/>
              <w:tr2bl w:val="nil"/>
            </w:tcBorders>
            <w:noWrap w:val="0"/>
            <w:vAlign w:val="center"/>
          </w:tcPr>
          <w:p w14:paraId="67CBC4D7">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eastAsia="宋体" w:cs="Times New Roman"/>
                <w:color w:val="auto"/>
                <w:spacing w:val="-1"/>
                <w:sz w:val="21"/>
                <w:szCs w:val="21"/>
                <w:highlight w:val="none"/>
                <w:lang w:val="en-US" w:eastAsia="zh-CN"/>
              </w:rPr>
              <w:t>0.</w:t>
            </w:r>
            <w:r>
              <w:rPr>
                <w:rFonts w:hint="default" w:ascii="Times New Roman" w:hAnsi="Times New Roman" w:cs="Times New Roman"/>
                <w:color w:val="auto"/>
                <w:spacing w:val="-1"/>
                <w:sz w:val="21"/>
                <w:szCs w:val="21"/>
                <w:highlight w:val="none"/>
                <w:lang w:val="en-US" w:eastAsia="zh-CN"/>
              </w:rPr>
              <w:t>00004</w:t>
            </w:r>
          </w:p>
        </w:tc>
      </w:tr>
      <w:tr w14:paraId="56A60C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970" w:type="pct"/>
            <w:tcBorders>
              <w:tl2br w:val="nil"/>
              <w:tr2bl w:val="nil"/>
            </w:tcBorders>
            <w:noWrap w:val="0"/>
            <w:vAlign w:val="center"/>
          </w:tcPr>
          <w:p w14:paraId="2B245DFF">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1"/>
                <w:sz w:val="21"/>
                <w:szCs w:val="21"/>
                <w:highlight w:val="none"/>
                <w:lang w:val="en-US" w:eastAsia="zh-CN"/>
              </w:rPr>
            </w:pPr>
            <w:r>
              <w:rPr>
                <w:rFonts w:hint="eastAsia" w:cs="Times New Roman"/>
                <w:color w:val="auto"/>
                <w:spacing w:val="-1"/>
                <w:sz w:val="21"/>
                <w:szCs w:val="21"/>
                <w:highlight w:val="none"/>
                <w:lang w:val="en-US" w:eastAsia="zh-CN"/>
              </w:rPr>
              <w:t>危废贮存点</w:t>
            </w:r>
          </w:p>
        </w:tc>
        <w:tc>
          <w:tcPr>
            <w:tcW w:w="1046" w:type="pct"/>
            <w:tcBorders>
              <w:tl2br w:val="nil"/>
              <w:tr2bl w:val="nil"/>
            </w:tcBorders>
            <w:noWrap w:val="0"/>
            <w:vAlign w:val="center"/>
          </w:tcPr>
          <w:p w14:paraId="40DED761">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cs="Times New Roman"/>
                <w:color w:val="auto"/>
                <w:spacing w:val="-1"/>
                <w:sz w:val="21"/>
                <w:szCs w:val="21"/>
                <w:highlight w:val="none"/>
                <w:lang w:val="en-US" w:eastAsia="zh-CN"/>
              </w:rPr>
              <w:t>废机油</w:t>
            </w:r>
          </w:p>
        </w:tc>
        <w:tc>
          <w:tcPr>
            <w:tcW w:w="1023" w:type="pct"/>
            <w:tcBorders>
              <w:tl2br w:val="nil"/>
              <w:tr2bl w:val="nil"/>
            </w:tcBorders>
            <w:noWrap w:val="0"/>
            <w:vAlign w:val="center"/>
          </w:tcPr>
          <w:p w14:paraId="2F1B61B7">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cs="Times New Roman"/>
                <w:color w:val="auto"/>
                <w:spacing w:val="-1"/>
                <w:sz w:val="21"/>
                <w:szCs w:val="21"/>
                <w:highlight w:val="none"/>
                <w:lang w:val="en-US" w:eastAsia="zh-CN"/>
              </w:rPr>
              <w:t>2500</w:t>
            </w:r>
          </w:p>
        </w:tc>
        <w:tc>
          <w:tcPr>
            <w:tcW w:w="1000" w:type="pct"/>
            <w:tcBorders>
              <w:tl2br w:val="nil"/>
              <w:tr2bl w:val="nil"/>
            </w:tcBorders>
            <w:noWrap w:val="0"/>
            <w:vAlign w:val="center"/>
          </w:tcPr>
          <w:p w14:paraId="0D3DFDEA">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cs="Times New Roman"/>
                <w:color w:val="auto"/>
                <w:spacing w:val="-1"/>
                <w:sz w:val="21"/>
                <w:szCs w:val="21"/>
                <w:highlight w:val="none"/>
                <w:lang w:val="en-US" w:eastAsia="zh-CN"/>
              </w:rPr>
            </w:pPr>
            <w:r>
              <w:rPr>
                <w:rFonts w:hint="eastAsia" w:cs="Times New Roman"/>
                <w:color w:val="auto"/>
                <w:spacing w:val="-1"/>
                <w:sz w:val="21"/>
                <w:szCs w:val="21"/>
                <w:highlight w:val="none"/>
                <w:lang w:val="en-US" w:eastAsia="zh-CN"/>
              </w:rPr>
              <w:t>0.3</w:t>
            </w:r>
          </w:p>
        </w:tc>
        <w:tc>
          <w:tcPr>
            <w:tcW w:w="959" w:type="pct"/>
            <w:tcBorders>
              <w:tl2br w:val="nil"/>
              <w:tr2bl w:val="nil"/>
            </w:tcBorders>
            <w:noWrap w:val="0"/>
            <w:vAlign w:val="center"/>
          </w:tcPr>
          <w:p w14:paraId="41E46445">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cs="Times New Roman"/>
                <w:color w:val="auto"/>
                <w:spacing w:val="-1"/>
                <w:sz w:val="21"/>
                <w:szCs w:val="21"/>
                <w:highlight w:val="none"/>
                <w:lang w:val="en-US" w:eastAsia="zh-CN"/>
              </w:rPr>
              <w:t>0.000</w:t>
            </w:r>
            <w:r>
              <w:rPr>
                <w:rFonts w:hint="eastAsia" w:cs="Times New Roman"/>
                <w:color w:val="auto"/>
                <w:spacing w:val="-1"/>
                <w:sz w:val="21"/>
                <w:szCs w:val="21"/>
                <w:highlight w:val="none"/>
                <w:lang w:val="en-US" w:eastAsia="zh-CN"/>
              </w:rPr>
              <w:t>12</w:t>
            </w:r>
          </w:p>
        </w:tc>
      </w:tr>
    </w:tbl>
    <w:p w14:paraId="48473B57">
      <w:pPr>
        <w:ind w:firstLine="480"/>
        <w:rPr>
          <w:rFonts w:hint="default" w:ascii="Times New Roman" w:hAnsi="Times New Roman" w:cs="Times New Roman"/>
          <w:color w:val="auto"/>
          <w:highlight w:val="none"/>
        </w:rPr>
      </w:pPr>
      <w:r>
        <w:rPr>
          <w:rFonts w:hint="default" w:ascii="Times New Roman" w:hAnsi="Times New Roman" w:eastAsia="宋体" w:cs="Times New Roman"/>
          <w:color w:val="auto"/>
          <w:sz w:val="24"/>
          <w:highlight w:val="none"/>
        </w:rPr>
        <w:t>因此，本工程Q值为</w:t>
      </w:r>
      <w:r>
        <w:rPr>
          <w:rFonts w:hint="default" w:ascii="Times New Roman" w:hAnsi="Times New Roman" w:eastAsia="宋体" w:cs="Times New Roman"/>
          <w:color w:val="auto"/>
          <w:sz w:val="24"/>
          <w:highlight w:val="none"/>
          <w:lang w:val="en-US" w:eastAsia="zh-CN"/>
        </w:rPr>
        <w:t>0.</w:t>
      </w:r>
      <w:r>
        <w:rPr>
          <w:rFonts w:hint="default" w:ascii="Times New Roman" w:hAnsi="Times New Roman" w:cs="Times New Roman"/>
          <w:color w:val="auto"/>
          <w:sz w:val="24"/>
          <w:highlight w:val="none"/>
          <w:lang w:val="en-US" w:eastAsia="zh-CN"/>
        </w:rPr>
        <w:t>000</w:t>
      </w:r>
      <w:r>
        <w:rPr>
          <w:rFonts w:hint="eastAsia" w:cs="Times New Roman"/>
          <w:color w:val="auto"/>
          <w:sz w:val="24"/>
          <w:highlight w:val="none"/>
          <w:lang w:val="en-US" w:eastAsia="zh-CN"/>
        </w:rPr>
        <w:t>16</w:t>
      </w:r>
      <w:r>
        <w:rPr>
          <w:rFonts w:hint="default" w:ascii="Times New Roman" w:hAnsi="Times New Roman" w:eastAsia="宋体" w:cs="Times New Roman"/>
          <w:color w:val="auto"/>
          <w:sz w:val="24"/>
          <w:highlight w:val="none"/>
        </w:rPr>
        <w:t>＜1，则判定</w:t>
      </w:r>
      <w:r>
        <w:rPr>
          <w:rFonts w:hint="default" w:ascii="Times New Roman" w:hAnsi="Times New Roman" w:eastAsia="宋体" w:cs="Times New Roman"/>
          <w:color w:val="auto"/>
          <w:sz w:val="24"/>
          <w:highlight w:val="none"/>
          <w:lang w:eastAsia="zh-CN"/>
        </w:rPr>
        <w:t>本工程</w:t>
      </w:r>
      <w:r>
        <w:rPr>
          <w:rFonts w:hint="default" w:ascii="Times New Roman" w:hAnsi="Times New Roman" w:eastAsia="宋体" w:cs="Times New Roman"/>
          <w:color w:val="auto"/>
          <w:sz w:val="24"/>
          <w:highlight w:val="none"/>
        </w:rPr>
        <w:t>环境风险潜势为</w:t>
      </w:r>
      <w:r>
        <w:rPr>
          <w:rFonts w:hint="default" w:ascii="Times New Roman" w:hAnsi="Times New Roman" w:cs="Times New Roman"/>
          <w:color w:val="auto"/>
          <w:sz w:val="24"/>
          <w:highlight w:val="none"/>
          <w:lang w:eastAsia="zh-CN"/>
        </w:rPr>
        <w:t>I</w:t>
      </w:r>
      <w:r>
        <w:rPr>
          <w:rFonts w:hint="default" w:ascii="Times New Roman" w:hAnsi="Times New Roman" w:eastAsia="宋体" w:cs="Times New Roman"/>
          <w:color w:val="auto"/>
          <w:sz w:val="24"/>
          <w:highlight w:val="none"/>
        </w:rPr>
        <w:t>。</w:t>
      </w:r>
    </w:p>
    <w:p w14:paraId="1AF7C083">
      <w:pPr>
        <w:ind w:firstLine="48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fldChar w:fldCharType="begin"/>
      </w:r>
      <w:r>
        <w:rPr>
          <w:rFonts w:hint="default" w:ascii="Times New Roman" w:hAnsi="Times New Roman" w:eastAsia="宋体" w:cs="Times New Roman"/>
          <w:color w:val="auto"/>
          <w:sz w:val="24"/>
          <w:highlight w:val="none"/>
          <w:lang w:eastAsia="zh-CN"/>
        </w:rPr>
        <w:instrText xml:space="preserve"> = 3 \* GB3 \* MERGEFORMAT </w:instrText>
      </w:r>
      <w:r>
        <w:rPr>
          <w:rFonts w:hint="default" w:ascii="Times New Roman" w:hAnsi="Times New Roman" w:eastAsia="宋体" w:cs="Times New Roman"/>
          <w:color w:val="auto"/>
          <w:sz w:val="24"/>
          <w:highlight w:val="none"/>
          <w:lang w:eastAsia="zh-CN"/>
        </w:rPr>
        <w:fldChar w:fldCharType="separate"/>
      </w:r>
      <w:r>
        <w:rPr>
          <w:rFonts w:hint="default" w:ascii="Times New Roman" w:hAnsi="Times New Roman" w:eastAsia="宋体" w:cs="Times New Roman"/>
          <w:color w:val="auto"/>
          <w:sz w:val="24"/>
          <w:highlight w:val="none"/>
        </w:rPr>
        <w:t>③</w:t>
      </w:r>
      <w:r>
        <w:rPr>
          <w:rFonts w:hint="default" w:ascii="Times New Roman" w:hAnsi="Times New Roman" w:eastAsia="宋体" w:cs="Times New Roman"/>
          <w:color w:val="auto"/>
          <w:sz w:val="24"/>
          <w:highlight w:val="none"/>
          <w:lang w:eastAsia="zh-CN"/>
        </w:rPr>
        <w:fldChar w:fldCharType="end"/>
      </w:r>
      <w:r>
        <w:rPr>
          <w:rFonts w:hint="default" w:ascii="Times New Roman" w:hAnsi="Times New Roman" w:eastAsia="宋体" w:cs="Times New Roman"/>
          <w:color w:val="auto"/>
          <w:sz w:val="24"/>
          <w:highlight w:val="none"/>
          <w:lang w:eastAsia="zh-CN"/>
        </w:rPr>
        <w:t>评价工作等级判断</w:t>
      </w:r>
    </w:p>
    <w:p w14:paraId="0D4DE988">
      <w:pPr>
        <w:ind w:firstLine="480"/>
        <w:rPr>
          <w:rFonts w:hint="default" w:ascii="Times New Roman" w:hAnsi="Times New Roman" w:cs="Times New Roman"/>
          <w:color w:val="auto"/>
          <w:highlight w:val="none"/>
        </w:rPr>
      </w:pPr>
      <w:r>
        <w:rPr>
          <w:rFonts w:hint="default" w:ascii="Times New Roman" w:hAnsi="Times New Roman" w:eastAsia="宋体" w:cs="Times New Roman"/>
          <w:color w:val="auto"/>
          <w:sz w:val="24"/>
          <w:highlight w:val="none"/>
        </w:rPr>
        <w:t>综上可知，</w:t>
      </w:r>
      <w:r>
        <w:rPr>
          <w:rFonts w:hint="default" w:ascii="Times New Roman" w:hAnsi="Times New Roman" w:eastAsia="宋体" w:cs="Times New Roman"/>
          <w:color w:val="auto"/>
          <w:sz w:val="24"/>
          <w:highlight w:val="none"/>
          <w:lang w:eastAsia="zh-CN"/>
        </w:rPr>
        <w:t>本工程</w:t>
      </w:r>
      <w:r>
        <w:rPr>
          <w:rFonts w:hint="default" w:ascii="Times New Roman" w:hAnsi="Times New Roman" w:eastAsia="宋体" w:cs="Times New Roman"/>
          <w:color w:val="auto"/>
          <w:sz w:val="24"/>
          <w:highlight w:val="none"/>
        </w:rPr>
        <w:t>环境风险潜势为</w:t>
      </w:r>
      <w:r>
        <w:rPr>
          <w:rFonts w:hint="default" w:ascii="Times New Roman" w:hAnsi="Times New Roman" w:eastAsia="宋体" w:cs="Times New Roman"/>
          <w:color w:val="auto"/>
          <w:sz w:val="24"/>
          <w:highlight w:val="none"/>
          <w:lang w:eastAsia="zh-CN"/>
        </w:rPr>
        <w:t>I</w:t>
      </w:r>
      <w:r>
        <w:rPr>
          <w:rFonts w:hint="default" w:ascii="Times New Roman" w:hAnsi="Times New Roman" w:eastAsia="宋体" w:cs="Times New Roman"/>
          <w:color w:val="auto"/>
          <w:sz w:val="24"/>
          <w:highlight w:val="none"/>
        </w:rPr>
        <w:t>，进行简单分析。</w:t>
      </w:r>
    </w:p>
    <w:p w14:paraId="5492F01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根据本次评价</w:t>
      </w:r>
      <w:r>
        <w:rPr>
          <w:rFonts w:hint="eastAsia" w:cs="Times New Roman"/>
          <w:color w:val="auto"/>
          <w:highlight w:val="none"/>
          <w:lang w:eastAsia="zh-CN"/>
        </w:rPr>
        <w:t>“</w:t>
      </w:r>
      <w:r>
        <w:rPr>
          <w:rFonts w:hint="default" w:ascii="Times New Roman" w:hAnsi="Times New Roman" w:cs="Times New Roman"/>
          <w:color w:val="auto"/>
          <w:highlight w:val="none"/>
        </w:rPr>
        <w:t>5.3环境风险分析</w:t>
      </w:r>
      <w:r>
        <w:rPr>
          <w:rFonts w:hint="eastAsia" w:cs="Times New Roman"/>
          <w:color w:val="auto"/>
          <w:highlight w:val="none"/>
          <w:lang w:eastAsia="zh-CN"/>
        </w:rPr>
        <w:t>”</w:t>
      </w:r>
      <w:r>
        <w:rPr>
          <w:rFonts w:hint="default" w:ascii="Times New Roman" w:hAnsi="Times New Roman" w:cs="Times New Roman"/>
          <w:color w:val="auto"/>
          <w:highlight w:val="none"/>
        </w:rPr>
        <w:t>，本项目所涉及的危险化学品主要为油酸、水玻璃、碳酸钙抑制剂</w:t>
      </w:r>
      <w:r>
        <w:rPr>
          <w:rFonts w:hint="default" w:ascii="Times New Roman" w:hAnsi="Times New Roman" w:cs="Times New Roman"/>
          <w:color w:val="auto"/>
          <w:highlight w:val="none"/>
          <w:lang w:eastAsia="zh-CN"/>
        </w:rPr>
        <w:t>等</w:t>
      </w:r>
      <w:r>
        <w:rPr>
          <w:rFonts w:hint="default" w:ascii="Times New Roman" w:hAnsi="Times New Roman" w:cs="Times New Roman"/>
          <w:color w:val="auto"/>
          <w:highlight w:val="none"/>
        </w:rPr>
        <w:t>，均属于低毒物质。但均不属于《建设项目环境风险评价技术导则》（HJ169-2018）提到的</w:t>
      </w:r>
      <w:r>
        <w:rPr>
          <w:rFonts w:hint="eastAsia" w:cs="Times New Roman"/>
          <w:color w:val="auto"/>
          <w:highlight w:val="none"/>
          <w:lang w:val="en-US" w:eastAsia="zh-CN"/>
        </w:rPr>
        <w:t>危险物质</w:t>
      </w:r>
      <w:r>
        <w:rPr>
          <w:rFonts w:hint="default" w:ascii="Times New Roman" w:hAnsi="Times New Roman" w:cs="Times New Roman"/>
          <w:color w:val="auto"/>
          <w:highlight w:val="none"/>
        </w:rPr>
        <w:t>。因此判定本项目Q＜1。选矿厂区仅进行简单分析。</w:t>
      </w:r>
    </w:p>
    <w:p w14:paraId="5019621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除选矿厂外，其余涉及的环境风险主要为尾矿库风险，因此，参照《尾矿库环境风险评估技术导则（试行）》（HJ740-2015）对项目环境风险等级进行评估并提出环境风险防范措施。</w:t>
      </w:r>
    </w:p>
    <w:p w14:paraId="567AB0D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（2）尾矿库</w:t>
      </w:r>
    </w:p>
    <w:p w14:paraId="1BFECFA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《尾矿库环境风险评估技术导则（试行）》（HJ740-2015）从尾矿库的环境危害性（H）、周边环境敏感性（S）、控制机制可靠性（R）三个方面进行环境风险等级的划分。本次评价尾矿库环境风险等级均为一般（H3S</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R3）</w:t>
      </w:r>
      <w:r>
        <w:rPr>
          <w:rFonts w:hint="eastAsia" w:ascii="Times New Roman" w:hAnsi="Times New Roman" w:cs="Times New Roman"/>
          <w:color w:val="auto"/>
          <w:highlight w:val="none"/>
          <w:lang w:eastAsia="zh-CN"/>
        </w:rPr>
        <w:t>，</w:t>
      </w:r>
      <w:r>
        <w:rPr>
          <w:rFonts w:hint="eastAsia" w:cs="Times New Roman"/>
          <w:color w:val="auto"/>
          <w:highlight w:val="none"/>
          <w:lang w:val="en-US" w:eastAsia="zh-CN"/>
        </w:rPr>
        <w:t>尾矿库环境风险潜势判定详见本报告“</w:t>
      </w:r>
      <w:r>
        <w:rPr>
          <w:rFonts w:hint="default" w:ascii="Times New Roman" w:hAnsi="Times New Roman" w:cs="Times New Roman"/>
          <w:color w:val="auto"/>
          <w:highlight w:val="none"/>
        </w:rPr>
        <w:t>5.3.2环境风险潜势初判</w:t>
      </w:r>
      <w:r>
        <w:rPr>
          <w:rFonts w:hint="eastAsia" w:cs="Times New Roman"/>
          <w:color w:val="auto"/>
          <w:highlight w:val="none"/>
          <w:lang w:val="en-US" w:eastAsia="zh-CN"/>
        </w:rPr>
        <w:t>”章节</w:t>
      </w:r>
      <w:r>
        <w:rPr>
          <w:rFonts w:hint="default" w:ascii="Times New Roman" w:hAnsi="Times New Roman" w:cs="Times New Roman"/>
          <w:color w:val="auto"/>
          <w:highlight w:val="none"/>
        </w:rPr>
        <w:t>。</w:t>
      </w:r>
    </w:p>
    <w:p w14:paraId="0C6EA558">
      <w:pPr>
        <w:pStyle w:val="4"/>
        <w:rPr>
          <w:rFonts w:hint="default" w:ascii="Times New Roman" w:hAnsi="Times New Roman" w:cs="Times New Roman"/>
          <w:color w:val="auto"/>
          <w:highlight w:val="none"/>
        </w:rPr>
      </w:pPr>
      <w:bookmarkStart w:id="264" w:name="_Toc21557"/>
      <w:bookmarkStart w:id="265" w:name="_Toc19418"/>
      <w:bookmarkStart w:id="266" w:name="_Toc4804"/>
      <w:bookmarkStart w:id="267" w:name="_Toc14513"/>
      <w:bookmarkStart w:id="268" w:name="_Toc9002"/>
      <w:bookmarkStart w:id="269" w:name="_Toc12187"/>
      <w:bookmarkStart w:id="270" w:name="_Toc5262"/>
      <w:bookmarkStart w:id="271" w:name="_Toc22727"/>
      <w:bookmarkStart w:id="272" w:name="_Toc5345"/>
      <w:r>
        <w:rPr>
          <w:rFonts w:hint="default" w:ascii="Times New Roman" w:hAnsi="Times New Roman" w:cs="Times New Roman"/>
          <w:color w:val="auto"/>
          <w:highlight w:val="none"/>
        </w:rPr>
        <w:t>2.6.2评价范围</w:t>
      </w:r>
      <w:bookmarkEnd w:id="264"/>
      <w:bookmarkEnd w:id="265"/>
      <w:bookmarkEnd w:id="266"/>
      <w:bookmarkEnd w:id="267"/>
      <w:bookmarkEnd w:id="268"/>
      <w:bookmarkEnd w:id="269"/>
      <w:bookmarkEnd w:id="270"/>
      <w:bookmarkEnd w:id="271"/>
      <w:bookmarkEnd w:id="272"/>
    </w:p>
    <w:p w14:paraId="5C537EF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根据评价工作等级及当地气象条件、自然环境状况确定各环境要素评价范围如下：</w:t>
      </w:r>
    </w:p>
    <w:p w14:paraId="3612A99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（1）环境空气</w:t>
      </w:r>
    </w:p>
    <w:p w14:paraId="0627046A">
      <w:pPr>
        <w:pStyle w:val="80"/>
        <w:widowControl/>
        <w:overflowPunct w:val="0"/>
        <w:topLinePunct/>
        <w:spacing w:line="500" w:lineRule="exact"/>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根据《环境影响评价技术导则 大气环境》（HJ2.2-2018）规定，本项目大气环境影响评价等级为</w:t>
      </w:r>
      <w:r>
        <w:rPr>
          <w:rFonts w:hint="default" w:ascii="Times New Roman" w:hAnsi="Times New Roman" w:cs="Times New Roman"/>
          <w:color w:val="auto"/>
          <w:szCs w:val="24"/>
          <w:highlight w:val="none"/>
          <w:lang w:eastAsia="zh-CN"/>
        </w:rPr>
        <w:t>二</w:t>
      </w:r>
      <w:r>
        <w:rPr>
          <w:rFonts w:hint="default" w:ascii="Times New Roman" w:hAnsi="Times New Roman" w:cs="Times New Roman"/>
          <w:color w:val="auto"/>
          <w:szCs w:val="24"/>
          <w:highlight w:val="none"/>
        </w:rPr>
        <w:t>级，故本项目大气环境影响评价范围为以</w:t>
      </w:r>
      <w:r>
        <w:rPr>
          <w:rFonts w:hint="eastAsia" w:hAnsi="Times New Roman" w:cs="Times New Roman"/>
          <w:color w:val="auto"/>
          <w:szCs w:val="24"/>
          <w:highlight w:val="none"/>
          <w:lang w:val="en-US" w:eastAsia="zh-CN"/>
        </w:rPr>
        <w:t>项目区</w:t>
      </w:r>
      <w:r>
        <w:rPr>
          <w:rFonts w:hint="default" w:ascii="Times New Roman" w:hAnsi="Times New Roman" w:cs="Times New Roman"/>
          <w:color w:val="auto"/>
          <w:szCs w:val="24"/>
          <w:highlight w:val="none"/>
        </w:rPr>
        <w:t>为中心，</w:t>
      </w:r>
      <w:r>
        <w:rPr>
          <w:rFonts w:hint="default" w:ascii="Times New Roman" w:hAnsi="Times New Roman" w:cs="Times New Roman"/>
          <w:color w:val="auto"/>
          <w:szCs w:val="24"/>
          <w:highlight w:val="none"/>
          <w:lang w:eastAsia="zh-CN"/>
        </w:rPr>
        <w:t>边长为</w:t>
      </w:r>
      <w:r>
        <w:rPr>
          <w:rFonts w:hint="default" w:ascii="Times New Roman" w:hAnsi="Times New Roman" w:cs="Times New Roman"/>
          <w:color w:val="auto"/>
          <w:szCs w:val="24"/>
          <w:highlight w:val="none"/>
          <w:lang w:val="en-US" w:eastAsia="zh-CN"/>
        </w:rPr>
        <w:t>5</w:t>
      </w:r>
      <w:r>
        <w:rPr>
          <w:rFonts w:hint="default" w:ascii="Times New Roman" w:hAnsi="Times New Roman" w:cs="Times New Roman"/>
          <w:color w:val="auto"/>
          <w:szCs w:val="24"/>
          <w:highlight w:val="none"/>
        </w:rPr>
        <w:t>km的矩形区域。</w:t>
      </w:r>
    </w:p>
    <w:p w14:paraId="602EFF5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（2）水环境</w:t>
      </w:r>
    </w:p>
    <w:p w14:paraId="74C4AF2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地表水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本项目地表水评价等级为三级B，根据《环境影响评价技术导则 地表水环境》（HJ2.3-2018），确定本项目地表水环境影响评价范围为污水处理设施的环境可行性分析。</w:t>
      </w:r>
    </w:p>
    <w:p w14:paraId="11DD4BD2">
      <w:pPr>
        <w:shd w:val="clea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根据区域水文地质资料，评价区地下水主要补给源为大气降水、冰雪消融水，这些补给水源通过地表风化裂隙、构造裂隙、岩石孔隙等通道缓慢渗透补给。地下水总体上是由西南向东北方向运移。根据查表法，地下水</w:t>
      </w:r>
      <w:r>
        <w:rPr>
          <w:rFonts w:hint="default" w:ascii="Times New Roman" w:hAnsi="Times New Roman" w:cs="Times New Roman"/>
          <w:color w:val="auto"/>
          <w:highlight w:val="none"/>
          <w:lang w:val="en-US" w:eastAsia="zh-CN"/>
        </w:rPr>
        <w:t>三</w:t>
      </w:r>
      <w:r>
        <w:rPr>
          <w:rFonts w:hint="default" w:ascii="Times New Roman" w:hAnsi="Times New Roman" w:cs="Times New Roman"/>
          <w:color w:val="auto"/>
          <w:highlight w:val="none"/>
        </w:rPr>
        <w:t>级评价的评价范围为</w:t>
      </w:r>
      <w:r>
        <w:rPr>
          <w:rFonts w:hint="default" w:ascii="Times New Roman" w:hAnsi="Times New Roman" w:cs="Times New Roman"/>
          <w:color w:val="auto"/>
          <w:highlight w:val="none"/>
          <w:lang w:val="en-US" w:eastAsia="zh-CN"/>
        </w:rPr>
        <w:t>小于等于6</w:t>
      </w:r>
      <w:r>
        <w:rPr>
          <w:rFonts w:hint="default" w:ascii="Times New Roman" w:hAnsi="Times New Roman" w:cs="Times New Roman"/>
          <w:color w:val="auto"/>
          <w:highlight w:val="none"/>
        </w:rPr>
        <w:t>km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，必要时可适当扩大范围；本项目地下水评价范围以</w:t>
      </w:r>
      <w:r>
        <w:rPr>
          <w:rFonts w:hint="eastAsia" w:cs="Times New Roman"/>
          <w:color w:val="auto"/>
          <w:highlight w:val="none"/>
          <w:lang w:val="en-US" w:eastAsia="zh-CN"/>
        </w:rPr>
        <w:t>项目区</w:t>
      </w:r>
      <w:r>
        <w:rPr>
          <w:rFonts w:hint="default" w:ascii="Times New Roman" w:hAnsi="Times New Roman" w:cs="Times New Roman"/>
          <w:color w:val="auto"/>
          <w:highlight w:val="none"/>
        </w:rPr>
        <w:t>为中心，向地下水上游延伸1km、下游延伸</w:t>
      </w:r>
      <w:r>
        <w:rPr>
          <w:rFonts w:hint="default" w:ascii="Times New Roman" w:hAnsi="Times New Roman" w:cs="Times New Roman"/>
          <w:color w:val="auto"/>
          <w:highlight w:val="none"/>
          <w:lang w:eastAsia="zh-CN"/>
        </w:rPr>
        <w:t>至</w:t>
      </w:r>
      <w:r>
        <w:rPr>
          <w:rFonts w:hint="default" w:ascii="Times New Roman" w:hAnsi="Times New Roman" w:cs="Times New Roman"/>
          <w:color w:val="auto"/>
          <w:highlight w:val="none"/>
          <w:lang w:val="en-US" w:eastAsia="zh-CN"/>
        </w:rPr>
        <w:t>2km</w:t>
      </w:r>
      <w:r>
        <w:rPr>
          <w:rFonts w:hint="default" w:ascii="Times New Roman" w:hAnsi="Times New Roman" w:cs="Times New Roman"/>
          <w:color w:val="auto"/>
          <w:highlight w:val="none"/>
        </w:rPr>
        <w:t>，向地下水流侧向各延伸</w:t>
      </w:r>
      <w:r>
        <w:rPr>
          <w:rFonts w:hint="default" w:ascii="Times New Roman" w:hAnsi="Times New Roman" w:cs="Times New Roman"/>
          <w:color w:val="auto"/>
          <w:highlight w:val="none"/>
          <w:lang w:val="en-US" w:eastAsia="zh-CN"/>
        </w:rPr>
        <w:t>1km</w:t>
      </w:r>
      <w:r>
        <w:rPr>
          <w:rFonts w:hint="default" w:ascii="Times New Roman" w:hAnsi="Times New Roman" w:cs="Times New Roman"/>
          <w:color w:val="auto"/>
          <w:highlight w:val="none"/>
        </w:rPr>
        <w:t>，项目地下水环境评价范围最终确定为</w:t>
      </w:r>
      <w:r>
        <w:rPr>
          <w:rFonts w:hint="eastAsia" w:cs="Times New Roman"/>
          <w:color w:val="auto"/>
          <w:highlight w:val="none"/>
          <w:lang w:val="en-US" w:eastAsia="zh-CN"/>
        </w:rPr>
        <w:t>6</w:t>
      </w:r>
      <w:r>
        <w:rPr>
          <w:rFonts w:hint="default" w:ascii="Times New Roman" w:hAnsi="Times New Roman" w:cs="Times New Roman"/>
          <w:color w:val="auto"/>
          <w:highlight w:val="none"/>
        </w:rPr>
        <w:t>km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，评价范围见图2.6-2。</w:t>
      </w:r>
    </w:p>
    <w:p w14:paraId="58D271D4">
      <w:pPr>
        <w:shd w:val="clea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（3）声环境</w:t>
      </w:r>
    </w:p>
    <w:p w14:paraId="2DDA6EBC">
      <w:pPr>
        <w:shd w:val="clea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本项目声环境评价范围为选矿厂、尾矿库边界外</w:t>
      </w:r>
      <w:r>
        <w:rPr>
          <w:rFonts w:hint="default" w:ascii="Times New Roman" w:hAnsi="Times New Roman" w:cs="Times New Roman"/>
          <w:color w:val="auto"/>
          <w:highlight w:val="none"/>
          <w:lang w:val="en-US" w:eastAsia="zh-CN"/>
        </w:rPr>
        <w:t>200</w:t>
      </w:r>
      <w:r>
        <w:rPr>
          <w:rFonts w:hint="default" w:ascii="Times New Roman" w:hAnsi="Times New Roman" w:cs="Times New Roman"/>
          <w:color w:val="auto"/>
          <w:highlight w:val="none"/>
        </w:rPr>
        <w:t>m范围，评价范围见图2.6-2。</w:t>
      </w:r>
    </w:p>
    <w:p w14:paraId="0F0ACDA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（4）土壤环境</w:t>
      </w:r>
    </w:p>
    <w:p w14:paraId="1B08043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w:t>
      </w:r>
      <w:r>
        <w:rPr>
          <w:rFonts w:hint="default" w:ascii="Times New Roman" w:hAnsi="Times New Roman" w:cs="Times New Roman"/>
          <w:color w:val="auto"/>
          <w:highlight w:val="none"/>
        </w:rPr>
        <w:t>无需开展土壤环境影响评价，本次仅对土壤环境影响进行简要分析。</w:t>
      </w:r>
    </w:p>
    <w:p w14:paraId="7B4E019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（5）生态环境</w:t>
      </w:r>
    </w:p>
    <w:p w14:paraId="690FADE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本项目生态环境评价范围为尾矿库、选矿厂边界外延500m、输水管线两侧外延300m范围内，评价范围见图2.6-2。</w:t>
      </w:r>
    </w:p>
    <w:p w14:paraId="5A88EC92">
      <w:pPr>
        <w:numPr>
          <w:ilvl w:val="0"/>
          <w:numId w:val="0"/>
        </w:numPr>
        <w:overflowPunct w:val="0"/>
        <w:topLinePunct/>
        <w:ind w:firstLine="480" w:firstLineChars="200"/>
        <w:rPr>
          <w:rFonts w:hint="eastAsia" w:cs="Times New Roman"/>
          <w:color w:val="auto"/>
          <w:highlight w:val="none"/>
          <w:lang w:eastAsia="zh-CN"/>
        </w:rPr>
      </w:pPr>
      <w:r>
        <w:rPr>
          <w:rFonts w:hint="eastAsia" w:ascii="Times New Roman" w:hAnsi="Times New Roman" w:eastAsia="宋体" w:cs="Times New Roman"/>
          <w:color w:val="auto"/>
          <w:kern w:val="2"/>
          <w:sz w:val="24"/>
          <w:szCs w:val="24"/>
          <w:highlight w:val="none"/>
          <w:lang w:val="en-US" w:eastAsia="zh-CN" w:bidi="ar-SA"/>
        </w:rPr>
        <w:t>（6）</w:t>
      </w:r>
      <w:r>
        <w:rPr>
          <w:rFonts w:hint="default" w:ascii="Times New Roman" w:hAnsi="Times New Roman" w:cs="Times New Roman"/>
          <w:color w:val="auto"/>
          <w:highlight w:val="none"/>
        </w:rPr>
        <w:t>环境风险：本项目选厂不使用剧毒或存放可燃、易燃、爆炸性物质，根据风险潜势初判，选矿厂风险潜势为</w:t>
      </w:r>
      <w:r>
        <w:rPr>
          <w:rFonts w:hint="default" w:ascii="Times New Roman" w:hAnsi="Times New Roman" w:cs="Times New Roman"/>
          <w:color w:val="auto"/>
          <w:highlight w:val="none"/>
          <w:lang w:eastAsia="zh-CN"/>
        </w:rPr>
        <w:t>I</w:t>
      </w:r>
      <w:r>
        <w:rPr>
          <w:rFonts w:hint="default" w:ascii="Times New Roman" w:hAnsi="Times New Roman" w:cs="Times New Roman"/>
          <w:color w:val="auto"/>
          <w:highlight w:val="none"/>
        </w:rPr>
        <w:t>，因此环境风险评价等级为简单分析。主要的环境风险为尾矿库溃坝风险，因此环境风险评价范围为</w:t>
      </w:r>
      <w:r>
        <w:rPr>
          <w:rFonts w:hint="default" w:ascii="Times New Roman" w:hAnsi="Times New Roman" w:cs="Times New Roman"/>
          <w:color w:val="auto"/>
          <w:kern w:val="0"/>
          <w:highlight w:val="none"/>
        </w:rPr>
        <w:t>尾矿库</w:t>
      </w:r>
      <w:r>
        <w:rPr>
          <w:rFonts w:hint="eastAsia" w:cs="Times New Roman"/>
          <w:color w:val="auto"/>
          <w:kern w:val="0"/>
          <w:highlight w:val="none"/>
          <w:lang w:val="en-US" w:eastAsia="zh-CN"/>
        </w:rPr>
        <w:t>下游不小于40倍坝高</w:t>
      </w:r>
      <w:r>
        <w:rPr>
          <w:rFonts w:hint="default" w:ascii="Times New Roman" w:hAnsi="Times New Roman" w:cs="Times New Roman"/>
          <w:color w:val="auto"/>
          <w:kern w:val="0"/>
          <w:highlight w:val="none"/>
        </w:rPr>
        <w:t>范围的区域</w:t>
      </w:r>
      <w:r>
        <w:rPr>
          <w:rFonts w:hint="default" w:ascii="Times New Roman" w:hAnsi="Times New Roman" w:cs="Times New Roman"/>
          <w:color w:val="auto"/>
          <w:highlight w:val="none"/>
        </w:rPr>
        <w:t>，评价范围见图2.6-2</w:t>
      </w:r>
      <w:r>
        <w:rPr>
          <w:rFonts w:hint="eastAsia" w:cs="Times New Roman"/>
          <w:color w:val="auto"/>
          <w:highlight w:val="none"/>
          <w:lang w:eastAsia="zh-CN"/>
        </w:rPr>
        <w:t>。</w:t>
      </w:r>
    </w:p>
    <w:p w14:paraId="5C927F56">
      <w:pPr>
        <w:ind w:firstLine="0" w:firstLineChars="0"/>
        <w:jc w:val="center"/>
        <w:rPr>
          <w:rFonts w:hint="eastAsia" w:ascii="Times New Roman" w:hAnsi="Times New Roman" w:eastAsia="宋体" w:cs="Times New Roman"/>
          <w:color w:val="auto"/>
          <w:highlight w:val="none"/>
          <w:lang w:val="en-US" w:eastAsia="zh-CN"/>
        </w:rPr>
      </w:pPr>
      <w:r>
        <w:rPr>
          <w:rFonts w:hint="default" w:ascii="Times New Roman" w:hAnsi="Times New Roman" w:cs="Times New Roman"/>
          <w:b/>
          <w:color w:val="auto"/>
          <w:szCs w:val="21"/>
          <w:highlight w:val="none"/>
          <w:lang w:val="zh-CN" w:bidi="ar"/>
        </w:rPr>
        <w:t>表</w:t>
      </w:r>
      <w:r>
        <w:rPr>
          <w:rFonts w:hint="default" w:ascii="Times New Roman" w:hAnsi="Times New Roman" w:cs="Times New Roman"/>
          <w:b/>
          <w:color w:val="auto"/>
          <w:szCs w:val="21"/>
          <w:highlight w:val="none"/>
          <w:lang w:bidi="ar"/>
        </w:rPr>
        <w:t>2.6-</w:t>
      </w:r>
      <w:r>
        <w:rPr>
          <w:rFonts w:hint="eastAsia" w:cs="Times New Roman"/>
          <w:b/>
          <w:color w:val="auto"/>
          <w:szCs w:val="21"/>
          <w:highlight w:val="none"/>
          <w:lang w:val="en-US" w:eastAsia="zh-CN" w:bidi="ar"/>
        </w:rPr>
        <w:t>15</w:t>
      </w:r>
      <w:r>
        <w:rPr>
          <w:rFonts w:hint="default" w:ascii="Times New Roman" w:hAnsi="Times New Roman" w:cs="Times New Roman"/>
          <w:b/>
          <w:color w:val="auto"/>
          <w:szCs w:val="21"/>
          <w:highlight w:val="none"/>
          <w:lang w:bidi="ar"/>
        </w:rPr>
        <w:t xml:space="preserve">    </w:t>
      </w:r>
      <w:r>
        <w:rPr>
          <w:rFonts w:hint="eastAsia" w:cs="Times New Roman"/>
          <w:b/>
          <w:color w:val="auto"/>
          <w:szCs w:val="21"/>
          <w:highlight w:val="none"/>
          <w:lang w:val="en-US" w:eastAsia="zh-CN" w:bidi="ar"/>
        </w:rPr>
        <w:t>项目</w:t>
      </w:r>
      <w:r>
        <w:rPr>
          <w:rFonts w:hint="default" w:ascii="Times New Roman" w:hAnsi="Times New Roman" w:cs="Times New Roman"/>
          <w:b/>
          <w:color w:val="auto"/>
          <w:szCs w:val="21"/>
          <w:highlight w:val="none"/>
          <w:lang w:bidi="ar"/>
        </w:rPr>
        <w:t>评价范围</w:t>
      </w:r>
      <w:r>
        <w:rPr>
          <w:rFonts w:hint="eastAsia" w:cs="Times New Roman"/>
          <w:b/>
          <w:color w:val="auto"/>
          <w:szCs w:val="21"/>
          <w:highlight w:val="none"/>
          <w:lang w:val="en-US" w:eastAsia="zh-CN" w:bidi="ar"/>
        </w:rPr>
        <w:t>表</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1930"/>
        <w:gridCol w:w="1730"/>
        <w:gridCol w:w="4850"/>
      </w:tblGrid>
      <w:tr w14:paraId="265595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15" w:type="dxa"/>
            <w:left w:w="15" w:type="dxa"/>
            <w:bottom w:w="15" w:type="dxa"/>
            <w:right w:w="15" w:type="dxa"/>
          </w:tblCellMar>
        </w:tblPrEx>
        <w:trPr>
          <w:tblHeader/>
          <w:jc w:val="center"/>
        </w:trPr>
        <w:tc>
          <w:tcPr>
            <w:tcW w:w="1134" w:type="pct"/>
            <w:shd w:val="clear" w:color="auto" w:fill="auto"/>
            <w:tcMar>
              <w:top w:w="0" w:type="dxa"/>
              <w:left w:w="102" w:type="dxa"/>
              <w:bottom w:w="0" w:type="dxa"/>
              <w:right w:w="102" w:type="dxa"/>
            </w:tcMar>
            <w:vAlign w:val="center"/>
          </w:tcPr>
          <w:p w14:paraId="312DB4D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环境要素</w:t>
            </w:r>
          </w:p>
        </w:tc>
        <w:tc>
          <w:tcPr>
            <w:tcW w:w="1016" w:type="pct"/>
            <w:shd w:val="clear" w:color="auto" w:fill="auto"/>
            <w:tcMar>
              <w:top w:w="0" w:type="dxa"/>
              <w:left w:w="102" w:type="dxa"/>
              <w:bottom w:w="0" w:type="dxa"/>
              <w:right w:w="102" w:type="dxa"/>
            </w:tcMar>
            <w:vAlign w:val="center"/>
          </w:tcPr>
          <w:p w14:paraId="3DDE5E5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评价等级</w:t>
            </w:r>
          </w:p>
        </w:tc>
        <w:tc>
          <w:tcPr>
            <w:tcW w:w="2849" w:type="pct"/>
            <w:shd w:val="clear" w:color="auto" w:fill="auto"/>
            <w:tcMar>
              <w:top w:w="0" w:type="dxa"/>
              <w:left w:w="102" w:type="dxa"/>
              <w:bottom w:w="0" w:type="dxa"/>
              <w:right w:w="102" w:type="dxa"/>
            </w:tcMar>
            <w:vAlign w:val="center"/>
          </w:tcPr>
          <w:p w14:paraId="12F2CC0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评价范围</w:t>
            </w:r>
          </w:p>
        </w:tc>
      </w:tr>
      <w:tr w14:paraId="0155B5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1134" w:type="pct"/>
            <w:shd w:val="clear" w:color="auto" w:fill="auto"/>
            <w:tcMar>
              <w:top w:w="0" w:type="dxa"/>
              <w:left w:w="102" w:type="dxa"/>
              <w:bottom w:w="0" w:type="dxa"/>
              <w:right w:w="102" w:type="dxa"/>
            </w:tcMar>
            <w:vAlign w:val="center"/>
          </w:tcPr>
          <w:p w14:paraId="02E4EBC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环境空气</w:t>
            </w:r>
          </w:p>
        </w:tc>
        <w:tc>
          <w:tcPr>
            <w:tcW w:w="1016" w:type="pct"/>
            <w:shd w:val="clear" w:color="auto" w:fill="auto"/>
            <w:tcMar>
              <w:top w:w="0" w:type="dxa"/>
              <w:left w:w="102" w:type="dxa"/>
              <w:bottom w:w="0" w:type="dxa"/>
              <w:right w:w="102" w:type="dxa"/>
            </w:tcMar>
            <w:vAlign w:val="center"/>
          </w:tcPr>
          <w:p w14:paraId="7FE62E2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二级</w:t>
            </w:r>
          </w:p>
        </w:tc>
        <w:tc>
          <w:tcPr>
            <w:tcW w:w="2849" w:type="pct"/>
            <w:shd w:val="clear" w:color="auto" w:fill="auto"/>
            <w:tcMar>
              <w:top w:w="0" w:type="dxa"/>
              <w:left w:w="102" w:type="dxa"/>
              <w:bottom w:w="0" w:type="dxa"/>
              <w:right w:w="102" w:type="dxa"/>
            </w:tcMar>
            <w:vAlign w:val="center"/>
          </w:tcPr>
          <w:p w14:paraId="77161A6D">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以项目区为中心，边长为5km的矩形区域</w:t>
            </w:r>
            <w:r>
              <w:rPr>
                <w:rFonts w:hint="eastAsia" w:cs="Times New Roman"/>
                <w:color w:val="auto"/>
                <w:sz w:val="21"/>
                <w:szCs w:val="21"/>
                <w:highlight w:val="none"/>
                <w:lang w:eastAsia="zh-CN"/>
              </w:rPr>
              <w:t>。</w:t>
            </w:r>
          </w:p>
        </w:tc>
      </w:tr>
      <w:tr w14:paraId="090134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134" w:type="pct"/>
            <w:shd w:val="clear" w:color="auto" w:fill="auto"/>
            <w:tcMar>
              <w:top w:w="0" w:type="dxa"/>
              <w:left w:w="102" w:type="dxa"/>
              <w:bottom w:w="0" w:type="dxa"/>
              <w:right w:w="102" w:type="dxa"/>
            </w:tcMar>
            <w:vAlign w:val="center"/>
          </w:tcPr>
          <w:p w14:paraId="6800EA7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地表水环境</w:t>
            </w:r>
          </w:p>
        </w:tc>
        <w:tc>
          <w:tcPr>
            <w:tcW w:w="1016" w:type="pct"/>
            <w:shd w:val="clear" w:color="auto" w:fill="auto"/>
            <w:tcMar>
              <w:top w:w="0" w:type="dxa"/>
              <w:left w:w="102" w:type="dxa"/>
              <w:bottom w:w="0" w:type="dxa"/>
              <w:right w:w="102" w:type="dxa"/>
            </w:tcMar>
            <w:vAlign w:val="center"/>
          </w:tcPr>
          <w:p w14:paraId="488B762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三级B</w:t>
            </w:r>
          </w:p>
        </w:tc>
        <w:tc>
          <w:tcPr>
            <w:tcW w:w="2849" w:type="pct"/>
            <w:shd w:val="clear" w:color="auto" w:fill="auto"/>
            <w:tcMar>
              <w:top w:w="0" w:type="dxa"/>
              <w:left w:w="102" w:type="dxa"/>
              <w:bottom w:w="0" w:type="dxa"/>
              <w:right w:w="102" w:type="dxa"/>
            </w:tcMar>
            <w:vAlign w:val="center"/>
          </w:tcPr>
          <w:p w14:paraId="466BC226">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污水处理设施的环境可行性分析（不设具体范围，重点论证废水不外排及依托可行性）</w:t>
            </w:r>
            <w:r>
              <w:rPr>
                <w:rFonts w:hint="eastAsia" w:cs="Times New Roman"/>
                <w:color w:val="auto"/>
                <w:sz w:val="21"/>
                <w:szCs w:val="21"/>
                <w:highlight w:val="none"/>
                <w:lang w:eastAsia="zh-CN"/>
              </w:rPr>
              <w:t>。</w:t>
            </w:r>
          </w:p>
        </w:tc>
      </w:tr>
      <w:tr w14:paraId="373CC0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134" w:type="pct"/>
            <w:shd w:val="clear" w:color="auto" w:fill="auto"/>
            <w:tcMar>
              <w:top w:w="0" w:type="dxa"/>
              <w:left w:w="102" w:type="dxa"/>
              <w:bottom w:w="0" w:type="dxa"/>
              <w:right w:w="102" w:type="dxa"/>
            </w:tcMar>
            <w:vAlign w:val="center"/>
          </w:tcPr>
          <w:p w14:paraId="59E2ED2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地下水环境</w:t>
            </w:r>
          </w:p>
        </w:tc>
        <w:tc>
          <w:tcPr>
            <w:tcW w:w="1016" w:type="pct"/>
            <w:shd w:val="clear" w:color="auto" w:fill="auto"/>
            <w:tcMar>
              <w:top w:w="0" w:type="dxa"/>
              <w:left w:w="102" w:type="dxa"/>
              <w:bottom w:w="0" w:type="dxa"/>
              <w:right w:w="102" w:type="dxa"/>
            </w:tcMar>
            <w:vAlign w:val="center"/>
          </w:tcPr>
          <w:p w14:paraId="3EB8B82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三级</w:t>
            </w:r>
          </w:p>
        </w:tc>
        <w:tc>
          <w:tcPr>
            <w:tcW w:w="2849" w:type="pct"/>
            <w:shd w:val="clear" w:color="auto" w:fill="auto"/>
            <w:tcMar>
              <w:top w:w="0" w:type="dxa"/>
              <w:left w:w="102" w:type="dxa"/>
              <w:bottom w:w="0" w:type="dxa"/>
              <w:right w:w="102" w:type="dxa"/>
            </w:tcMar>
            <w:vAlign w:val="center"/>
          </w:tcPr>
          <w:p w14:paraId="5CCD5FF6">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以项目区为中心，向地下水上游延伸1km、下游延伸至2km，向地下水流侧向各延伸1km，总面积约6k</w:t>
            </w:r>
            <w:r>
              <w:rPr>
                <w:rFonts w:hint="eastAsia" w:cs="Times New Roman"/>
                <w:color w:val="auto"/>
                <w:sz w:val="21"/>
                <w:szCs w:val="21"/>
                <w:highlight w:val="none"/>
                <w:lang w:val="en-US" w:eastAsia="zh-CN"/>
              </w:rPr>
              <w:t>m</w:t>
            </w:r>
            <w:r>
              <w:rPr>
                <w:rFonts w:hint="eastAsia" w:cs="Times New Roman"/>
                <w:color w:val="auto"/>
                <w:sz w:val="21"/>
                <w:szCs w:val="21"/>
                <w:highlight w:val="none"/>
                <w:vertAlign w:val="superscript"/>
                <w:lang w:val="en-US" w:eastAsia="zh-CN"/>
              </w:rPr>
              <w:t>2</w:t>
            </w:r>
          </w:p>
        </w:tc>
      </w:tr>
      <w:tr w14:paraId="296049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jc w:val="center"/>
        </w:trPr>
        <w:tc>
          <w:tcPr>
            <w:tcW w:w="1134" w:type="pct"/>
            <w:shd w:val="clear" w:color="auto" w:fill="auto"/>
            <w:tcMar>
              <w:top w:w="0" w:type="dxa"/>
              <w:left w:w="102" w:type="dxa"/>
              <w:bottom w:w="0" w:type="dxa"/>
              <w:right w:w="102" w:type="dxa"/>
            </w:tcMar>
            <w:vAlign w:val="center"/>
          </w:tcPr>
          <w:p w14:paraId="310404B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声环境</w:t>
            </w:r>
          </w:p>
        </w:tc>
        <w:tc>
          <w:tcPr>
            <w:tcW w:w="1016" w:type="pct"/>
            <w:shd w:val="clear" w:color="auto" w:fill="auto"/>
            <w:tcMar>
              <w:top w:w="0" w:type="dxa"/>
              <w:left w:w="102" w:type="dxa"/>
              <w:bottom w:w="0" w:type="dxa"/>
              <w:right w:w="102" w:type="dxa"/>
            </w:tcMar>
            <w:vAlign w:val="center"/>
          </w:tcPr>
          <w:p w14:paraId="359E78E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二级</w:t>
            </w:r>
          </w:p>
        </w:tc>
        <w:tc>
          <w:tcPr>
            <w:tcW w:w="2849" w:type="pct"/>
            <w:shd w:val="clear" w:color="auto" w:fill="auto"/>
            <w:tcMar>
              <w:top w:w="0" w:type="dxa"/>
              <w:left w:w="102" w:type="dxa"/>
              <w:bottom w:w="0" w:type="dxa"/>
              <w:right w:w="102" w:type="dxa"/>
            </w:tcMar>
            <w:vAlign w:val="center"/>
          </w:tcPr>
          <w:p w14:paraId="3B4E6838">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选矿厂、尾矿库边界外200m范围</w:t>
            </w:r>
            <w:r>
              <w:rPr>
                <w:rFonts w:hint="eastAsia" w:cs="Times New Roman"/>
                <w:color w:val="auto"/>
                <w:sz w:val="21"/>
                <w:szCs w:val="21"/>
                <w:highlight w:val="none"/>
                <w:lang w:eastAsia="zh-CN"/>
              </w:rPr>
              <w:t>。</w:t>
            </w:r>
          </w:p>
        </w:tc>
      </w:tr>
      <w:tr w14:paraId="6B8481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134" w:type="pct"/>
            <w:shd w:val="clear" w:color="auto" w:fill="auto"/>
            <w:tcMar>
              <w:top w:w="0" w:type="dxa"/>
              <w:left w:w="102" w:type="dxa"/>
              <w:bottom w:w="0" w:type="dxa"/>
              <w:right w:w="102" w:type="dxa"/>
            </w:tcMar>
            <w:vAlign w:val="center"/>
          </w:tcPr>
          <w:p w14:paraId="14291ED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土壤环境</w:t>
            </w:r>
          </w:p>
        </w:tc>
        <w:tc>
          <w:tcPr>
            <w:tcW w:w="1016" w:type="pct"/>
            <w:shd w:val="clear" w:color="auto" w:fill="auto"/>
            <w:tcMar>
              <w:top w:w="0" w:type="dxa"/>
              <w:left w:w="102" w:type="dxa"/>
              <w:bottom w:w="0" w:type="dxa"/>
              <w:right w:w="102" w:type="dxa"/>
            </w:tcMar>
            <w:vAlign w:val="center"/>
          </w:tcPr>
          <w:p w14:paraId="57F559E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简单分析</w:t>
            </w:r>
          </w:p>
        </w:tc>
        <w:tc>
          <w:tcPr>
            <w:tcW w:w="2849" w:type="pct"/>
            <w:shd w:val="clear" w:color="auto" w:fill="auto"/>
            <w:tcMar>
              <w:top w:w="0" w:type="dxa"/>
              <w:left w:w="102" w:type="dxa"/>
              <w:bottom w:w="0" w:type="dxa"/>
              <w:right w:w="102" w:type="dxa"/>
            </w:tcMar>
            <w:vAlign w:val="center"/>
          </w:tcPr>
          <w:p w14:paraId="28631720">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不设评价范围，仅进行简要分析</w:t>
            </w:r>
            <w:r>
              <w:rPr>
                <w:rFonts w:hint="eastAsia" w:cs="Times New Roman"/>
                <w:color w:val="auto"/>
                <w:sz w:val="21"/>
                <w:szCs w:val="21"/>
                <w:highlight w:val="none"/>
                <w:lang w:val="en-US" w:eastAsia="zh-CN"/>
              </w:rPr>
              <w:t>。</w:t>
            </w:r>
          </w:p>
        </w:tc>
      </w:tr>
      <w:tr w14:paraId="517A91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134" w:type="pct"/>
            <w:shd w:val="clear" w:color="auto" w:fill="auto"/>
            <w:tcMar>
              <w:top w:w="0" w:type="dxa"/>
              <w:left w:w="102" w:type="dxa"/>
              <w:bottom w:w="0" w:type="dxa"/>
              <w:right w:w="102" w:type="dxa"/>
            </w:tcMar>
            <w:vAlign w:val="center"/>
          </w:tcPr>
          <w:p w14:paraId="0BA152E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生态环境</w:t>
            </w:r>
          </w:p>
        </w:tc>
        <w:tc>
          <w:tcPr>
            <w:tcW w:w="1016" w:type="pct"/>
            <w:shd w:val="clear" w:color="auto" w:fill="auto"/>
            <w:tcMar>
              <w:top w:w="0" w:type="dxa"/>
              <w:left w:w="102" w:type="dxa"/>
              <w:bottom w:w="0" w:type="dxa"/>
              <w:right w:w="102" w:type="dxa"/>
            </w:tcMar>
            <w:vAlign w:val="center"/>
          </w:tcPr>
          <w:p w14:paraId="48CA891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二级</w:t>
            </w:r>
          </w:p>
        </w:tc>
        <w:tc>
          <w:tcPr>
            <w:tcW w:w="2849" w:type="pct"/>
            <w:shd w:val="clear" w:color="auto" w:fill="auto"/>
            <w:tcMar>
              <w:top w:w="0" w:type="dxa"/>
              <w:left w:w="102" w:type="dxa"/>
              <w:bottom w:w="0" w:type="dxa"/>
              <w:right w:w="102" w:type="dxa"/>
            </w:tcMar>
            <w:vAlign w:val="center"/>
          </w:tcPr>
          <w:p w14:paraId="2992E17F">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尾矿库、选矿厂边界外延500m，输水管线两侧外延300m范围内</w:t>
            </w:r>
            <w:r>
              <w:rPr>
                <w:rFonts w:hint="eastAsia" w:cs="Times New Roman"/>
                <w:color w:val="auto"/>
                <w:sz w:val="21"/>
                <w:szCs w:val="21"/>
                <w:highlight w:val="none"/>
                <w:lang w:eastAsia="zh-CN"/>
              </w:rPr>
              <w:t>。</w:t>
            </w:r>
          </w:p>
        </w:tc>
      </w:tr>
      <w:tr w14:paraId="75AEAF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134" w:type="pct"/>
            <w:shd w:val="clear" w:color="auto" w:fill="auto"/>
            <w:tcMar>
              <w:top w:w="0" w:type="dxa"/>
              <w:left w:w="102" w:type="dxa"/>
              <w:bottom w:w="0" w:type="dxa"/>
              <w:right w:w="102" w:type="dxa"/>
            </w:tcMar>
            <w:vAlign w:val="center"/>
          </w:tcPr>
          <w:p w14:paraId="79D17C5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环境风险</w:t>
            </w:r>
          </w:p>
        </w:tc>
        <w:tc>
          <w:tcPr>
            <w:tcW w:w="1016" w:type="pct"/>
            <w:shd w:val="clear" w:color="auto" w:fill="auto"/>
            <w:tcMar>
              <w:top w:w="0" w:type="dxa"/>
              <w:left w:w="102" w:type="dxa"/>
              <w:bottom w:w="0" w:type="dxa"/>
              <w:right w:w="102" w:type="dxa"/>
            </w:tcMar>
            <w:vAlign w:val="center"/>
          </w:tcPr>
          <w:p w14:paraId="1D74849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简单分析+一般</w:t>
            </w:r>
          </w:p>
        </w:tc>
        <w:tc>
          <w:tcPr>
            <w:tcW w:w="2849" w:type="pct"/>
            <w:shd w:val="clear" w:color="auto" w:fill="auto"/>
            <w:tcMar>
              <w:top w:w="0" w:type="dxa"/>
              <w:left w:w="102" w:type="dxa"/>
              <w:bottom w:w="0" w:type="dxa"/>
              <w:right w:w="102" w:type="dxa"/>
            </w:tcMar>
            <w:vAlign w:val="center"/>
          </w:tcPr>
          <w:p w14:paraId="3BE6C6E6">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选矿厂：风险潜势I，简单分析（定性描述）</w:t>
            </w:r>
            <w:r>
              <w:rPr>
                <w:rFonts w:hint="eastAsia" w:cs="Times New Roman"/>
                <w:color w:val="auto"/>
                <w:sz w:val="21"/>
                <w:szCs w:val="21"/>
                <w:highlight w:val="none"/>
                <w:lang w:eastAsia="zh-CN"/>
              </w:rPr>
              <w:t>。</w:t>
            </w:r>
          </w:p>
          <w:p w14:paraId="4048E42B">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尾矿库：环境风险等级</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一般</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H3S3R3</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，评价范围取下游不小于40倍坝高，风险评价范围综合确定为下游800m区域。</w:t>
            </w:r>
          </w:p>
        </w:tc>
      </w:tr>
    </w:tbl>
    <w:p w14:paraId="342897FC">
      <w:pPr>
        <w:pStyle w:val="3"/>
        <w:rPr>
          <w:rFonts w:hint="default" w:ascii="Times New Roman" w:hAnsi="Times New Roman" w:cs="Times New Roman"/>
          <w:color w:val="auto"/>
          <w:highlight w:val="none"/>
        </w:rPr>
      </w:pPr>
      <w:bookmarkStart w:id="273" w:name="_Toc24725"/>
      <w:bookmarkStart w:id="274" w:name="_Toc608"/>
      <w:bookmarkStart w:id="275" w:name="_Toc2244"/>
      <w:bookmarkStart w:id="276" w:name="_Toc13137"/>
      <w:bookmarkStart w:id="277" w:name="_Toc29172"/>
      <w:bookmarkStart w:id="278" w:name="_Toc107414650"/>
      <w:bookmarkStart w:id="279" w:name="_Toc2877"/>
      <w:bookmarkStart w:id="280" w:name="_Toc22576"/>
      <w:bookmarkStart w:id="281" w:name="_Toc14359"/>
      <w:bookmarkStart w:id="282" w:name="_Toc8160"/>
      <w:bookmarkStart w:id="283" w:name="_Toc8946"/>
      <w:bookmarkStart w:id="284" w:name="_Toc107413883"/>
      <w:bookmarkStart w:id="285" w:name="_Toc25882"/>
      <w:bookmarkStart w:id="286" w:name="_Toc5734"/>
      <w:bookmarkStart w:id="287" w:name="_Toc345"/>
      <w:bookmarkStart w:id="288" w:name="_Toc30962"/>
      <w:bookmarkStart w:id="289" w:name="_Toc27638"/>
      <w:bookmarkStart w:id="290" w:name="_Toc3436"/>
      <w:bookmarkStart w:id="291" w:name="_Toc844"/>
      <w:r>
        <w:rPr>
          <w:rFonts w:hint="default" w:ascii="Times New Roman" w:hAnsi="Times New Roman" w:cs="Times New Roman"/>
          <w:color w:val="auto"/>
          <w:highlight w:val="none"/>
        </w:rPr>
        <w:t>2.7</w:t>
      </w:r>
      <w:bookmarkEnd w:id="256"/>
      <w:bookmarkEnd w:id="257"/>
      <w:bookmarkEnd w:id="258"/>
      <w:bookmarkEnd w:id="259"/>
      <w:bookmarkEnd w:id="260"/>
      <w:bookmarkEnd w:id="261"/>
      <w:bookmarkEnd w:id="262"/>
      <w:r>
        <w:rPr>
          <w:rFonts w:hint="default" w:ascii="Times New Roman" w:hAnsi="Times New Roman" w:cs="Times New Roman"/>
          <w:color w:val="auto"/>
          <w:highlight w:val="none"/>
        </w:rPr>
        <w:t>评价重点</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0279720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根据项目区周边自然环境概况和环境质量现状，结合建设项目环境影响识别与评价因子的筛选结果，确定本次评价工作重点为：在工程分析的基础上，</w:t>
      </w:r>
      <w:r>
        <w:rPr>
          <w:rFonts w:hint="default" w:ascii="Times New Roman" w:hAnsi="Times New Roman" w:cs="Times New Roman"/>
          <w:color w:val="auto"/>
          <w:kern w:val="0"/>
          <w:highlight w:val="none"/>
        </w:rPr>
        <w:t>以环境空气预测与影响分析、固体废物处理处置分析、环境风险分析、选址合理性分析</w:t>
      </w:r>
      <w:r>
        <w:rPr>
          <w:rFonts w:hint="default" w:ascii="Times New Roman" w:hAnsi="Times New Roman" w:cs="Times New Roman"/>
          <w:color w:val="auto"/>
          <w:highlight w:val="none"/>
        </w:rPr>
        <w:t>，同时关注影响范围内公众对本项目的意见和建议。</w:t>
      </w:r>
    </w:p>
    <w:p w14:paraId="6761CC1F">
      <w:pPr>
        <w:pStyle w:val="3"/>
        <w:rPr>
          <w:rFonts w:hint="default" w:ascii="Times New Roman" w:hAnsi="Times New Roman" w:cs="Times New Roman"/>
          <w:color w:val="auto"/>
          <w:highlight w:val="none"/>
        </w:rPr>
      </w:pPr>
      <w:bookmarkStart w:id="292" w:name="_Toc23105"/>
      <w:bookmarkStart w:id="293" w:name="_Toc30976"/>
      <w:bookmarkStart w:id="294" w:name="_Toc13331"/>
      <w:bookmarkStart w:id="295" w:name="_Toc1768"/>
      <w:bookmarkStart w:id="296" w:name="_Toc107413884"/>
      <w:bookmarkStart w:id="297" w:name="_Toc5384"/>
      <w:bookmarkStart w:id="298" w:name="_Toc31751"/>
      <w:bookmarkStart w:id="299" w:name="_Toc10016"/>
      <w:bookmarkStart w:id="300" w:name="_Toc32291"/>
      <w:bookmarkStart w:id="301" w:name="_Toc26798"/>
      <w:bookmarkStart w:id="302" w:name="_Toc484105092"/>
      <w:bookmarkStart w:id="303" w:name="_Toc3493"/>
      <w:bookmarkStart w:id="304" w:name="_Toc1979"/>
      <w:bookmarkStart w:id="305" w:name="_Toc107414651"/>
      <w:bookmarkStart w:id="306" w:name="_Toc15615"/>
      <w:bookmarkStart w:id="307" w:name="_Toc493523096"/>
      <w:bookmarkStart w:id="308" w:name="_Toc20394"/>
      <w:bookmarkStart w:id="309" w:name="_Toc15606"/>
      <w:bookmarkStart w:id="310" w:name="_Toc2971"/>
      <w:bookmarkStart w:id="311" w:name="_Toc2585"/>
      <w:bookmarkStart w:id="312" w:name="_Toc287"/>
      <w:bookmarkStart w:id="313" w:name="_Toc6410"/>
      <w:bookmarkStart w:id="314" w:name="_Toc26918"/>
      <w:r>
        <w:rPr>
          <w:rFonts w:hint="default" w:ascii="Times New Roman" w:hAnsi="Times New Roman" w:cs="Times New Roman"/>
          <w:color w:val="auto"/>
          <w:highlight w:val="none"/>
        </w:rPr>
        <w:t>2.8主要环境保护目标和环境敏感目标</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2738AA99">
      <w:pPr>
        <w:pStyle w:val="4"/>
        <w:rPr>
          <w:rFonts w:hint="default" w:ascii="Times New Roman" w:hAnsi="Times New Roman" w:cs="Times New Roman"/>
          <w:color w:val="auto"/>
          <w:highlight w:val="none"/>
        </w:rPr>
      </w:pPr>
      <w:bookmarkStart w:id="315" w:name="_Toc10590"/>
      <w:bookmarkStart w:id="316" w:name="_Toc3084"/>
      <w:bookmarkStart w:id="317" w:name="_Toc1019"/>
      <w:bookmarkStart w:id="318" w:name="_Toc1182"/>
      <w:bookmarkStart w:id="319" w:name="_Toc4199"/>
      <w:bookmarkStart w:id="320" w:name="_Toc18437"/>
      <w:bookmarkStart w:id="321" w:name="_Toc6584"/>
      <w:bookmarkStart w:id="322" w:name="_Toc12567"/>
      <w:bookmarkStart w:id="323" w:name="_Toc22431"/>
      <w:r>
        <w:rPr>
          <w:rFonts w:hint="default" w:ascii="Times New Roman" w:hAnsi="Times New Roman" w:cs="Times New Roman"/>
          <w:color w:val="auto"/>
          <w:highlight w:val="none"/>
        </w:rPr>
        <w:t>2.8.1主要环境保护目标</w:t>
      </w:r>
      <w:bookmarkEnd w:id="315"/>
      <w:bookmarkEnd w:id="316"/>
      <w:bookmarkEnd w:id="317"/>
      <w:bookmarkEnd w:id="318"/>
      <w:bookmarkEnd w:id="319"/>
      <w:bookmarkEnd w:id="320"/>
      <w:bookmarkEnd w:id="321"/>
      <w:bookmarkEnd w:id="322"/>
      <w:bookmarkEnd w:id="323"/>
    </w:p>
    <w:p w14:paraId="598AC4A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（1）大气环境</w:t>
      </w:r>
    </w:p>
    <w:p w14:paraId="5870EDB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保护评价区环境空气，保证不因本项目而降低区域环境空气质量现状级别</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满足</w:t>
      </w:r>
      <w:r>
        <w:rPr>
          <w:rFonts w:hint="eastAsia" w:cs="Times New Roman"/>
          <w:color w:val="auto"/>
          <w:highlight w:val="none"/>
          <w:lang w:eastAsia="zh-CN"/>
        </w:rPr>
        <w:t>《环境空气质量标准》（GB3095-2026）</w:t>
      </w:r>
      <w:r>
        <w:rPr>
          <w:rFonts w:hint="default" w:ascii="Times New Roman" w:hAnsi="Times New Roman" w:cs="Times New Roman"/>
          <w:color w:val="auto"/>
          <w:highlight w:val="none"/>
        </w:rPr>
        <w:t>。应确保评价区域内的大气环境质量不受本项目排放大气污染物的明显影响。</w:t>
      </w:r>
    </w:p>
    <w:p w14:paraId="0A81F18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（2）地表水环境</w:t>
      </w:r>
    </w:p>
    <w:p w14:paraId="5513FA4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项目周边5km范围内无地表水</w:t>
      </w:r>
      <w:r>
        <w:rPr>
          <w:rFonts w:hint="eastAsia" w:cs="Times New Roman"/>
          <w:color w:val="auto"/>
          <w:highlight w:val="none"/>
          <w:lang w:val="en-US" w:eastAsia="zh-CN"/>
        </w:rPr>
        <w:t>，无地表水环境保护目标</w:t>
      </w:r>
      <w:r>
        <w:rPr>
          <w:rFonts w:hint="default" w:ascii="Times New Roman" w:hAnsi="Times New Roman" w:cs="Times New Roman"/>
          <w:color w:val="auto"/>
          <w:highlight w:val="none"/>
        </w:rPr>
        <w:t>。</w:t>
      </w:r>
    </w:p>
    <w:p w14:paraId="0B2CFC3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（3）地下水环境</w:t>
      </w:r>
    </w:p>
    <w:p w14:paraId="69C16E8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保护厂址上游及下游区域地下水水质，保证不因本项目而降低区域地下水环境质量现状级别</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满足</w:t>
      </w:r>
      <w:r>
        <w:rPr>
          <w:rFonts w:hint="default" w:ascii="Times New Roman" w:hAnsi="Times New Roman" w:cs="Times New Roman"/>
          <w:color w:val="auto"/>
          <w:highlight w:val="none"/>
        </w:rPr>
        <w:t>《地下水质量标准》（GB/T14848-2017）</w:t>
      </w:r>
      <w:r>
        <w:rPr>
          <w:rFonts w:hint="default" w:ascii="Times New Roman" w:hAnsi="Times New Roman" w:cs="Times New Roman"/>
          <w:color w:val="auto"/>
          <w:highlight w:val="none"/>
          <w:lang w:val="en-US" w:eastAsia="zh-CN"/>
        </w:rPr>
        <w:t>中Ⅲ类</w:t>
      </w:r>
      <w:r>
        <w:rPr>
          <w:rFonts w:hint="default" w:ascii="Times New Roman" w:hAnsi="Times New Roman" w:cs="Times New Roman"/>
          <w:color w:val="auto"/>
          <w:highlight w:val="none"/>
        </w:rPr>
        <w:t>标准。</w:t>
      </w:r>
    </w:p>
    <w:p w14:paraId="4A85691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（4）声环境</w:t>
      </w:r>
    </w:p>
    <w:p w14:paraId="5EAC2E4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控制厂界噪声满足《工业企业厂界环境噪声排放标准》（GB12348-2008）中</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类标准。确保本项目区域声环境依旧满足《声环境质量标准》（GB3096-2008）中的</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类区要求。</w:t>
      </w:r>
    </w:p>
    <w:p w14:paraId="7483BEA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（5）土壤环境</w:t>
      </w:r>
    </w:p>
    <w:p w14:paraId="68663AD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保护项目区域土壤环境，保证不因本项目而降低区域土壤环境质量现状</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项目区内土壤环境质量满足《土壤环境质量 建设用地土壤污染风险管控标准（试行）》（GB36600-2018）的第二类筛选值标准</w:t>
      </w:r>
      <w:r>
        <w:rPr>
          <w:rFonts w:hint="default" w:ascii="Times New Roman" w:hAnsi="Times New Roman" w:cs="Times New Roman"/>
          <w:color w:val="auto"/>
          <w:spacing w:val="-1"/>
          <w:highlight w:val="none"/>
        </w:rPr>
        <w:t>。</w:t>
      </w:r>
    </w:p>
    <w:p w14:paraId="392F6D4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（6）环境风险保护目标</w:t>
      </w:r>
    </w:p>
    <w:p w14:paraId="0538317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降低环境风险发生概率，保证环境风险发生时能够得到及时控制，保护选厂</w:t>
      </w:r>
      <w:r>
        <w:rPr>
          <w:rFonts w:hint="default" w:ascii="Times New Roman" w:hAnsi="Times New Roman" w:cs="Times New Roman"/>
          <w:color w:val="auto"/>
          <w:highlight w:val="none"/>
          <w:lang w:eastAsia="zh-CN"/>
        </w:rPr>
        <w:t>工作</w:t>
      </w:r>
      <w:r>
        <w:rPr>
          <w:rFonts w:hint="default" w:ascii="Times New Roman" w:hAnsi="Times New Roman" w:cs="Times New Roman"/>
          <w:color w:val="auto"/>
          <w:highlight w:val="none"/>
        </w:rPr>
        <w:t>人员，降低事故状态下对区域地表水质量的影响。</w:t>
      </w:r>
    </w:p>
    <w:p w14:paraId="5BCB54B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（7）生态环境</w:t>
      </w:r>
    </w:p>
    <w:p w14:paraId="20C757A4">
      <w:pPr>
        <w:overflowPunct w:val="0"/>
        <w:topLinePunct/>
        <w:ind w:firstLine="480"/>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保护区域生物多样性，</w:t>
      </w:r>
      <w:r>
        <w:rPr>
          <w:rFonts w:hint="default" w:ascii="Times New Roman" w:hAnsi="Times New Roman" w:cs="Times New Roman"/>
          <w:color w:val="auto"/>
          <w:highlight w:val="none"/>
        </w:rPr>
        <w:t>维持区域生态功能，将生态环境影响降低到最小；保护项目区</w:t>
      </w:r>
      <w:r>
        <w:rPr>
          <w:rFonts w:hint="default" w:ascii="Times New Roman" w:hAnsi="Times New Roman" w:cs="Times New Roman"/>
          <w:bCs/>
          <w:color w:val="auto"/>
          <w:kern w:val="0"/>
          <w:szCs w:val="21"/>
          <w:highlight w:val="none"/>
        </w:rPr>
        <w:t>地表植被、动物、土壤</w:t>
      </w:r>
      <w:r>
        <w:rPr>
          <w:rFonts w:hint="default" w:ascii="Times New Roman" w:hAnsi="Times New Roman" w:cs="Times New Roman"/>
          <w:color w:val="auto"/>
          <w:highlight w:val="none"/>
        </w:rPr>
        <w:t>环境，</w:t>
      </w:r>
      <w:r>
        <w:rPr>
          <w:rFonts w:hint="default" w:ascii="Times New Roman" w:hAnsi="Times New Roman" w:cs="Times New Roman"/>
          <w:bCs/>
          <w:color w:val="auto"/>
          <w:kern w:val="0"/>
          <w:szCs w:val="21"/>
          <w:highlight w:val="none"/>
        </w:rPr>
        <w:t>保护生态系统结构和功能的完整性、稳定性，防止水土流失。</w:t>
      </w:r>
    </w:p>
    <w:p w14:paraId="2C018883">
      <w:pPr>
        <w:pStyle w:val="4"/>
        <w:rPr>
          <w:rFonts w:hint="default" w:ascii="Times New Roman" w:hAnsi="Times New Roman" w:cs="Times New Roman"/>
          <w:color w:val="auto"/>
          <w:highlight w:val="none"/>
        </w:rPr>
      </w:pPr>
      <w:bookmarkStart w:id="324" w:name="_Toc25672"/>
      <w:bookmarkStart w:id="325" w:name="_Toc14964"/>
      <w:bookmarkStart w:id="326" w:name="_Toc20745"/>
      <w:bookmarkStart w:id="327" w:name="_Toc9345"/>
      <w:bookmarkStart w:id="328" w:name="_Toc14966"/>
      <w:bookmarkStart w:id="329" w:name="_Toc12398"/>
      <w:bookmarkStart w:id="330" w:name="_Toc5013"/>
      <w:bookmarkStart w:id="331" w:name="_Toc6951"/>
      <w:bookmarkStart w:id="332" w:name="_Toc23801"/>
      <w:r>
        <w:rPr>
          <w:rFonts w:hint="default" w:ascii="Times New Roman" w:hAnsi="Times New Roman" w:cs="Times New Roman"/>
          <w:color w:val="auto"/>
          <w:highlight w:val="none"/>
        </w:rPr>
        <w:t>2.8.2环境敏感目标分布</w:t>
      </w:r>
      <w:bookmarkEnd w:id="324"/>
      <w:bookmarkEnd w:id="325"/>
      <w:bookmarkEnd w:id="326"/>
      <w:bookmarkEnd w:id="327"/>
      <w:bookmarkEnd w:id="328"/>
      <w:bookmarkEnd w:id="329"/>
      <w:bookmarkEnd w:id="330"/>
      <w:bookmarkEnd w:id="331"/>
      <w:bookmarkEnd w:id="332"/>
    </w:p>
    <w:p w14:paraId="6277F4D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本项目环境敏感目标见表2.8-1。</w:t>
      </w:r>
    </w:p>
    <w:p w14:paraId="01495932">
      <w:pPr>
        <w:pStyle w:val="49"/>
        <w:widowControl w:val="0"/>
        <w:rPr>
          <w:rFonts w:hint="default" w:ascii="Times New Roman" w:hAnsi="Times New Roman" w:cs="Times New Roman"/>
          <w:color w:val="auto"/>
          <w:szCs w:val="32"/>
          <w:highlight w:val="none"/>
          <w:lang w:val="zh-CN"/>
        </w:rPr>
      </w:pPr>
      <w:r>
        <w:rPr>
          <w:rFonts w:hint="default" w:ascii="Times New Roman" w:hAnsi="Times New Roman" w:cs="Times New Roman"/>
          <w:color w:val="auto"/>
          <w:szCs w:val="32"/>
          <w:highlight w:val="none"/>
          <w:lang w:val="zh-CN"/>
        </w:rPr>
        <w:t>表</w:t>
      </w:r>
      <w:r>
        <w:rPr>
          <w:rFonts w:hint="default" w:ascii="Times New Roman" w:hAnsi="Times New Roman" w:cs="Times New Roman"/>
          <w:color w:val="auto"/>
          <w:szCs w:val="32"/>
          <w:highlight w:val="none"/>
        </w:rPr>
        <w:t>2</w:t>
      </w:r>
      <w:r>
        <w:rPr>
          <w:rFonts w:hint="default" w:ascii="Times New Roman" w:hAnsi="Times New Roman" w:cs="Times New Roman"/>
          <w:color w:val="auto"/>
          <w:szCs w:val="32"/>
          <w:highlight w:val="none"/>
          <w:lang w:val="zh-CN"/>
        </w:rPr>
        <w:t>.</w:t>
      </w:r>
      <w:r>
        <w:rPr>
          <w:rFonts w:hint="default" w:ascii="Times New Roman" w:hAnsi="Times New Roman" w:cs="Times New Roman"/>
          <w:color w:val="auto"/>
          <w:szCs w:val="32"/>
          <w:highlight w:val="none"/>
        </w:rPr>
        <w:t>8</w:t>
      </w:r>
      <w:r>
        <w:rPr>
          <w:rFonts w:hint="default" w:ascii="Times New Roman" w:hAnsi="Times New Roman" w:cs="Times New Roman"/>
          <w:color w:val="auto"/>
          <w:szCs w:val="32"/>
          <w:highlight w:val="none"/>
          <w:lang w:val="zh-CN"/>
        </w:rPr>
        <w:t>-1</w:t>
      </w:r>
      <w:r>
        <w:rPr>
          <w:rFonts w:hint="default" w:ascii="Times New Roman" w:hAnsi="Times New Roman" w:cs="Times New Roman"/>
          <w:color w:val="auto"/>
          <w:szCs w:val="32"/>
          <w:highlight w:val="none"/>
        </w:rPr>
        <w:t xml:space="preserve">    </w:t>
      </w:r>
      <w:r>
        <w:rPr>
          <w:rFonts w:hint="default" w:ascii="Times New Roman" w:hAnsi="Times New Roman" w:cs="Times New Roman"/>
          <w:color w:val="auto"/>
          <w:szCs w:val="32"/>
          <w:highlight w:val="none"/>
          <w:lang w:val="zh-CN"/>
        </w:rPr>
        <w:t>本项目的环境敏感目标</w:t>
      </w:r>
    </w:p>
    <w:tbl>
      <w:tblPr>
        <w:tblStyle w:val="3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318"/>
        <w:gridCol w:w="697"/>
        <w:gridCol w:w="1198"/>
        <w:gridCol w:w="2231"/>
        <w:gridCol w:w="2221"/>
      </w:tblGrid>
      <w:tr w14:paraId="68E69F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0" w:hRule="atLeast"/>
          <w:tblHeader/>
          <w:jc w:val="center"/>
        </w:trPr>
        <w:tc>
          <w:tcPr>
            <w:tcW w:w="501" w:type="pct"/>
            <w:vMerge w:val="restart"/>
            <w:vAlign w:val="center"/>
          </w:tcPr>
          <w:p w14:paraId="19883A91">
            <w:pPr>
              <w:pStyle w:val="32"/>
              <w:spacing w:after="0" w:line="360" w:lineRule="exact"/>
              <w:ind w:left="0" w:leftChars="0" w:firstLine="0" w:firstLineChars="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环境</w:t>
            </w:r>
          </w:p>
          <w:p w14:paraId="6D816938">
            <w:pPr>
              <w:pStyle w:val="32"/>
              <w:spacing w:after="0" w:line="360" w:lineRule="exact"/>
              <w:ind w:left="0" w:leftChars="0" w:firstLine="0" w:firstLineChars="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要素</w:t>
            </w:r>
          </w:p>
        </w:tc>
        <w:tc>
          <w:tcPr>
            <w:tcW w:w="773" w:type="pct"/>
            <w:vMerge w:val="restart"/>
            <w:vAlign w:val="center"/>
          </w:tcPr>
          <w:p w14:paraId="4184B453">
            <w:pPr>
              <w:pStyle w:val="32"/>
              <w:spacing w:after="0" w:line="360" w:lineRule="exact"/>
              <w:ind w:left="0" w:leftChars="0" w:firstLine="0" w:firstLineChars="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保护对象</w:t>
            </w:r>
          </w:p>
        </w:tc>
        <w:tc>
          <w:tcPr>
            <w:tcW w:w="1112" w:type="pct"/>
            <w:gridSpan w:val="2"/>
            <w:vAlign w:val="center"/>
          </w:tcPr>
          <w:p w14:paraId="0C65F60F">
            <w:pPr>
              <w:pStyle w:val="32"/>
              <w:spacing w:after="0" w:line="360" w:lineRule="exact"/>
              <w:ind w:left="0" w:leftChars="0" w:firstLine="0" w:firstLineChars="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相对本项目</w:t>
            </w:r>
          </w:p>
        </w:tc>
        <w:tc>
          <w:tcPr>
            <w:tcW w:w="1309" w:type="pct"/>
            <w:vMerge w:val="restart"/>
            <w:vAlign w:val="center"/>
          </w:tcPr>
          <w:p w14:paraId="7E48B9FE">
            <w:pPr>
              <w:pStyle w:val="32"/>
              <w:spacing w:after="0" w:line="360" w:lineRule="exact"/>
              <w:ind w:left="0" w:leftChars="0" w:firstLine="0" w:firstLineChars="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保护内容</w:t>
            </w:r>
          </w:p>
        </w:tc>
        <w:tc>
          <w:tcPr>
            <w:tcW w:w="1303" w:type="pct"/>
            <w:vMerge w:val="restart"/>
            <w:vAlign w:val="center"/>
          </w:tcPr>
          <w:p w14:paraId="6160EB3F">
            <w:pPr>
              <w:pStyle w:val="32"/>
              <w:spacing w:after="0" w:line="360" w:lineRule="exact"/>
              <w:ind w:left="0" w:leftChars="0" w:firstLine="0" w:firstLineChars="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保护目标</w:t>
            </w:r>
          </w:p>
        </w:tc>
      </w:tr>
      <w:tr w14:paraId="0F996D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 w:hRule="atLeast"/>
          <w:tblHeader/>
          <w:jc w:val="center"/>
        </w:trPr>
        <w:tc>
          <w:tcPr>
            <w:tcW w:w="501" w:type="pct"/>
            <w:vMerge w:val="continue"/>
            <w:vAlign w:val="center"/>
          </w:tcPr>
          <w:p w14:paraId="205EB5D3">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p>
        </w:tc>
        <w:tc>
          <w:tcPr>
            <w:tcW w:w="773" w:type="pct"/>
            <w:vMerge w:val="continue"/>
            <w:vAlign w:val="center"/>
          </w:tcPr>
          <w:p w14:paraId="4FAFD652">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p>
        </w:tc>
        <w:tc>
          <w:tcPr>
            <w:tcW w:w="409" w:type="pct"/>
            <w:vAlign w:val="center"/>
          </w:tcPr>
          <w:p w14:paraId="3ACF7185">
            <w:pPr>
              <w:pStyle w:val="32"/>
              <w:spacing w:after="0" w:line="360" w:lineRule="exact"/>
              <w:ind w:left="0" w:leftChars="0" w:firstLine="0" w:firstLineChars="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方位</w:t>
            </w:r>
          </w:p>
        </w:tc>
        <w:tc>
          <w:tcPr>
            <w:tcW w:w="703" w:type="pct"/>
            <w:vAlign w:val="center"/>
          </w:tcPr>
          <w:p w14:paraId="390E0340">
            <w:pPr>
              <w:pStyle w:val="32"/>
              <w:spacing w:after="0" w:line="360" w:lineRule="exact"/>
              <w:ind w:left="0" w:leftChars="0" w:firstLine="0" w:firstLineChars="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距离（km）</w:t>
            </w:r>
          </w:p>
        </w:tc>
        <w:tc>
          <w:tcPr>
            <w:tcW w:w="1309" w:type="pct"/>
            <w:vMerge w:val="continue"/>
            <w:vAlign w:val="center"/>
          </w:tcPr>
          <w:p w14:paraId="324C72D7">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p>
        </w:tc>
        <w:tc>
          <w:tcPr>
            <w:tcW w:w="1303" w:type="pct"/>
            <w:vMerge w:val="continue"/>
            <w:vAlign w:val="center"/>
          </w:tcPr>
          <w:p w14:paraId="0562E366">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p>
        </w:tc>
      </w:tr>
      <w:tr w14:paraId="17D837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501" w:type="pct"/>
            <w:vAlign w:val="center"/>
          </w:tcPr>
          <w:p w14:paraId="1A7F9A78">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地下水</w:t>
            </w:r>
          </w:p>
        </w:tc>
        <w:tc>
          <w:tcPr>
            <w:tcW w:w="773" w:type="pct"/>
            <w:vAlign w:val="center"/>
          </w:tcPr>
          <w:p w14:paraId="0E05B9F0">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项目区</w:t>
            </w:r>
          </w:p>
          <w:p w14:paraId="2ED3622E">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地下水</w:t>
            </w:r>
          </w:p>
        </w:tc>
        <w:tc>
          <w:tcPr>
            <w:tcW w:w="409" w:type="pct"/>
            <w:vAlign w:val="center"/>
          </w:tcPr>
          <w:p w14:paraId="3AD3B3D1">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w:t>
            </w:r>
          </w:p>
        </w:tc>
        <w:tc>
          <w:tcPr>
            <w:tcW w:w="703" w:type="pct"/>
            <w:vAlign w:val="center"/>
          </w:tcPr>
          <w:p w14:paraId="780C66C6">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w:t>
            </w:r>
          </w:p>
        </w:tc>
        <w:tc>
          <w:tcPr>
            <w:tcW w:w="1309" w:type="pct"/>
            <w:vAlign w:val="center"/>
          </w:tcPr>
          <w:p w14:paraId="467150A8">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选矿厂、尾矿库周边地下水</w:t>
            </w:r>
            <w:r>
              <w:rPr>
                <w:rFonts w:hint="default" w:ascii="Times New Roman" w:hAnsi="Times New Roman" w:cs="Times New Roman"/>
                <w:bCs/>
                <w:color w:val="auto"/>
                <w:kern w:val="0"/>
                <w:szCs w:val="21"/>
                <w:highlight w:val="none"/>
                <w:lang w:eastAsia="zh-CN"/>
              </w:rPr>
              <w:t>潜水</w:t>
            </w:r>
            <w:r>
              <w:rPr>
                <w:rFonts w:hint="default" w:ascii="Times New Roman" w:hAnsi="Times New Roman" w:cs="Times New Roman"/>
                <w:bCs/>
                <w:color w:val="auto"/>
                <w:kern w:val="0"/>
                <w:szCs w:val="21"/>
                <w:highlight w:val="none"/>
              </w:rPr>
              <w:t>水量和水质</w:t>
            </w:r>
          </w:p>
        </w:tc>
        <w:tc>
          <w:tcPr>
            <w:tcW w:w="1303" w:type="pct"/>
            <w:vAlign w:val="center"/>
          </w:tcPr>
          <w:p w14:paraId="46C90B04">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szCs w:val="21"/>
                <w:highlight w:val="none"/>
              </w:rPr>
              <w:t>《地下水质量标准》（GB/T14848-2017）类</w:t>
            </w:r>
          </w:p>
        </w:tc>
      </w:tr>
      <w:tr w14:paraId="0B3104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501" w:type="pct"/>
            <w:vAlign w:val="center"/>
          </w:tcPr>
          <w:p w14:paraId="061762EA">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环境</w:t>
            </w:r>
          </w:p>
          <w:p w14:paraId="6C64626C">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空气</w:t>
            </w:r>
          </w:p>
        </w:tc>
        <w:tc>
          <w:tcPr>
            <w:tcW w:w="773" w:type="pct"/>
            <w:vAlign w:val="center"/>
          </w:tcPr>
          <w:p w14:paraId="744C95E2">
            <w:pPr>
              <w:pStyle w:val="32"/>
              <w:spacing w:after="0" w:line="360" w:lineRule="exact"/>
              <w:ind w:left="0" w:leftChars="0" w:firstLine="0" w:firstLineChars="0"/>
              <w:jc w:val="center"/>
              <w:rPr>
                <w:rFonts w:hint="default" w:ascii="Times New Roman" w:hAnsi="Times New Roman" w:eastAsia="宋体" w:cs="Times New Roman"/>
                <w:bCs/>
                <w:color w:val="auto"/>
                <w:kern w:val="0"/>
                <w:szCs w:val="21"/>
                <w:highlight w:val="none"/>
                <w:lang w:val="en-US" w:eastAsia="zh-CN"/>
              </w:rPr>
            </w:pPr>
            <w:r>
              <w:rPr>
                <w:rFonts w:hint="eastAsia" w:cs="Times New Roman"/>
                <w:bCs/>
                <w:color w:val="auto"/>
                <w:kern w:val="0"/>
                <w:szCs w:val="21"/>
                <w:highlight w:val="none"/>
                <w:lang w:val="en-US" w:eastAsia="zh-CN"/>
              </w:rPr>
              <w:t>/</w:t>
            </w:r>
          </w:p>
        </w:tc>
        <w:tc>
          <w:tcPr>
            <w:tcW w:w="1112" w:type="pct"/>
            <w:gridSpan w:val="2"/>
            <w:vAlign w:val="center"/>
          </w:tcPr>
          <w:p w14:paraId="1E76EC37">
            <w:pPr>
              <w:pStyle w:val="32"/>
              <w:spacing w:after="0" w:line="360" w:lineRule="exact"/>
              <w:ind w:left="0" w:leftChars="0" w:firstLine="0" w:firstLineChars="0"/>
              <w:jc w:val="center"/>
              <w:rPr>
                <w:rFonts w:hint="eastAsia" w:ascii="Times New Roman" w:hAnsi="Times New Roman" w:eastAsia="宋体" w:cs="Times New Roman"/>
                <w:bCs/>
                <w:color w:val="auto"/>
                <w:kern w:val="0"/>
                <w:szCs w:val="21"/>
                <w:highlight w:val="none"/>
                <w:lang w:eastAsia="zh-CN"/>
              </w:rPr>
            </w:pPr>
            <w:r>
              <w:rPr>
                <w:rFonts w:hint="eastAsia" w:cs="Times New Roman"/>
                <w:bCs/>
                <w:color w:val="auto"/>
                <w:kern w:val="0"/>
                <w:szCs w:val="21"/>
                <w:highlight w:val="none"/>
                <w:lang w:val="en-US" w:eastAsia="zh-CN"/>
              </w:rPr>
              <w:t>/</w:t>
            </w:r>
          </w:p>
        </w:tc>
        <w:tc>
          <w:tcPr>
            <w:tcW w:w="1309" w:type="pct"/>
            <w:vAlign w:val="center"/>
          </w:tcPr>
          <w:p w14:paraId="436022BE">
            <w:pPr>
              <w:pStyle w:val="32"/>
              <w:spacing w:after="0" w:line="360" w:lineRule="exact"/>
              <w:ind w:left="0" w:leftChars="0" w:firstLine="0" w:firstLineChars="0"/>
              <w:jc w:val="center"/>
              <w:rPr>
                <w:rFonts w:hint="default" w:ascii="Times New Roman" w:hAnsi="Times New Roman" w:eastAsia="宋体" w:cs="Times New Roman"/>
                <w:bCs/>
                <w:color w:val="auto"/>
                <w:kern w:val="0"/>
                <w:szCs w:val="21"/>
                <w:highlight w:val="none"/>
                <w:lang w:val="en-US" w:eastAsia="zh-CN"/>
              </w:rPr>
            </w:pPr>
            <w:r>
              <w:rPr>
                <w:rFonts w:hint="eastAsia" w:cs="Times New Roman"/>
                <w:bCs/>
                <w:color w:val="auto"/>
                <w:kern w:val="0"/>
                <w:szCs w:val="21"/>
                <w:highlight w:val="none"/>
                <w:lang w:val="en-US" w:eastAsia="zh-CN"/>
              </w:rPr>
              <w:t>项目区控制质量</w:t>
            </w:r>
          </w:p>
        </w:tc>
        <w:tc>
          <w:tcPr>
            <w:tcW w:w="1303" w:type="pct"/>
            <w:vAlign w:val="center"/>
          </w:tcPr>
          <w:p w14:paraId="1F3422F9">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eastAsia" w:cs="Times New Roman"/>
                <w:bCs/>
                <w:color w:val="auto"/>
                <w:kern w:val="0"/>
                <w:szCs w:val="21"/>
                <w:highlight w:val="none"/>
                <w:lang w:eastAsia="zh-CN"/>
              </w:rPr>
              <w:t>《环境空气质量标准》（GB3095-2026）</w:t>
            </w:r>
          </w:p>
        </w:tc>
      </w:tr>
      <w:tr w14:paraId="15196A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501" w:type="pct"/>
            <w:vAlign w:val="center"/>
          </w:tcPr>
          <w:p w14:paraId="10335077">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声环境</w:t>
            </w:r>
          </w:p>
        </w:tc>
        <w:tc>
          <w:tcPr>
            <w:tcW w:w="1885" w:type="pct"/>
            <w:gridSpan w:val="3"/>
            <w:vAlign w:val="center"/>
          </w:tcPr>
          <w:p w14:paraId="3EC794A2">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项目区厂界外</w:t>
            </w:r>
            <w:r>
              <w:rPr>
                <w:rFonts w:hint="default" w:ascii="Times New Roman" w:hAnsi="Times New Roman" w:cs="Times New Roman"/>
                <w:bCs/>
                <w:color w:val="auto"/>
                <w:kern w:val="0"/>
                <w:szCs w:val="21"/>
                <w:highlight w:val="none"/>
                <w:lang w:val="en-US" w:eastAsia="zh-CN"/>
              </w:rPr>
              <w:t>200</w:t>
            </w:r>
            <w:r>
              <w:rPr>
                <w:rFonts w:hint="default" w:ascii="Times New Roman" w:hAnsi="Times New Roman" w:cs="Times New Roman"/>
                <w:bCs/>
                <w:color w:val="auto"/>
                <w:kern w:val="0"/>
                <w:szCs w:val="21"/>
                <w:highlight w:val="none"/>
              </w:rPr>
              <w:t>m</w:t>
            </w:r>
          </w:p>
        </w:tc>
        <w:tc>
          <w:tcPr>
            <w:tcW w:w="1309" w:type="pct"/>
            <w:vAlign w:val="center"/>
          </w:tcPr>
          <w:p w14:paraId="012E1174">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厂界噪声达标排放</w:t>
            </w:r>
          </w:p>
        </w:tc>
        <w:tc>
          <w:tcPr>
            <w:tcW w:w="1303" w:type="pct"/>
            <w:vAlign w:val="center"/>
          </w:tcPr>
          <w:p w14:paraId="5B4938BE">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《声环境质量标准》（GB3096-2008）</w:t>
            </w:r>
            <w:r>
              <w:rPr>
                <w:rFonts w:hint="default" w:ascii="Times New Roman" w:hAnsi="Times New Roman" w:cs="Times New Roman"/>
                <w:bCs/>
                <w:color w:val="auto"/>
                <w:kern w:val="0"/>
                <w:szCs w:val="21"/>
                <w:highlight w:val="none"/>
                <w:lang w:val="en-US" w:eastAsia="zh-CN"/>
              </w:rPr>
              <w:t>2</w:t>
            </w:r>
            <w:r>
              <w:rPr>
                <w:rFonts w:hint="default" w:ascii="Times New Roman" w:hAnsi="Times New Roman" w:cs="Times New Roman"/>
                <w:bCs/>
                <w:color w:val="auto"/>
                <w:kern w:val="0"/>
                <w:szCs w:val="21"/>
                <w:highlight w:val="none"/>
              </w:rPr>
              <w:t>类</w:t>
            </w:r>
          </w:p>
        </w:tc>
      </w:tr>
      <w:tr w14:paraId="14062E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501" w:type="pct"/>
            <w:vAlign w:val="center"/>
          </w:tcPr>
          <w:p w14:paraId="59F89BF5">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土壤</w:t>
            </w:r>
          </w:p>
          <w:p w14:paraId="0784A538">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环境</w:t>
            </w:r>
          </w:p>
        </w:tc>
        <w:tc>
          <w:tcPr>
            <w:tcW w:w="1885" w:type="pct"/>
            <w:gridSpan w:val="3"/>
            <w:vAlign w:val="center"/>
          </w:tcPr>
          <w:p w14:paraId="435F236B">
            <w:pPr>
              <w:pStyle w:val="32"/>
              <w:spacing w:after="0" w:line="360" w:lineRule="exact"/>
              <w:ind w:left="0" w:leftChars="0" w:firstLine="0" w:firstLineChars="0"/>
              <w:jc w:val="center"/>
              <w:rPr>
                <w:rFonts w:hint="default" w:ascii="Times New Roman" w:hAnsi="Times New Roman" w:eastAsia="宋体" w:cs="Times New Roman"/>
                <w:bCs/>
                <w:color w:val="auto"/>
                <w:kern w:val="0"/>
                <w:szCs w:val="21"/>
                <w:highlight w:val="none"/>
                <w:lang w:eastAsia="zh-CN"/>
              </w:rPr>
            </w:pPr>
            <w:r>
              <w:rPr>
                <w:rFonts w:hint="default" w:ascii="Times New Roman" w:hAnsi="Times New Roman" w:cs="Times New Roman"/>
                <w:color w:val="auto"/>
                <w:szCs w:val="21"/>
                <w:highlight w:val="none"/>
              </w:rPr>
              <w:t>选厂</w:t>
            </w:r>
            <w:r>
              <w:rPr>
                <w:rFonts w:hint="default" w:ascii="Times New Roman" w:hAnsi="Times New Roman" w:cs="Times New Roman"/>
                <w:color w:val="auto"/>
                <w:szCs w:val="21"/>
                <w:highlight w:val="none"/>
                <w:lang w:eastAsia="zh-CN"/>
              </w:rPr>
              <w:t>、尾矿库</w:t>
            </w:r>
            <w:r>
              <w:rPr>
                <w:rFonts w:hint="default" w:ascii="Times New Roman" w:hAnsi="Times New Roman" w:cs="Times New Roman"/>
                <w:color w:val="auto"/>
                <w:szCs w:val="21"/>
                <w:highlight w:val="none"/>
              </w:rPr>
              <w:t>用地范围</w:t>
            </w:r>
          </w:p>
        </w:tc>
        <w:tc>
          <w:tcPr>
            <w:tcW w:w="1309" w:type="pct"/>
            <w:vAlign w:val="center"/>
          </w:tcPr>
          <w:p w14:paraId="5C5A297F">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不受明显影响</w:t>
            </w:r>
          </w:p>
        </w:tc>
        <w:tc>
          <w:tcPr>
            <w:tcW w:w="1303" w:type="pct"/>
            <w:vAlign w:val="center"/>
          </w:tcPr>
          <w:p w14:paraId="30EE76CC">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《土壤环境质量 建设用地土壤污染风险管控标准（试行）》（GB36600-2018）</w:t>
            </w:r>
          </w:p>
        </w:tc>
      </w:tr>
      <w:tr w14:paraId="619F3E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1" w:type="pct"/>
            <w:vAlign w:val="center"/>
          </w:tcPr>
          <w:p w14:paraId="6D0A0570">
            <w:pPr>
              <w:pStyle w:val="32"/>
              <w:spacing w:after="0" w:line="360" w:lineRule="exact"/>
              <w:ind w:left="0" w:leftChars="0" w:firstLine="0" w:firstLineChars="0"/>
              <w:jc w:val="center"/>
              <w:rPr>
                <w:rFonts w:hint="default" w:ascii="Times New Roman" w:hAnsi="Times New Roman" w:eastAsia="宋体" w:cs="Times New Roman"/>
                <w:bCs/>
                <w:color w:val="auto"/>
                <w:kern w:val="0"/>
                <w:szCs w:val="21"/>
                <w:highlight w:val="none"/>
                <w:lang w:eastAsia="zh-CN"/>
              </w:rPr>
            </w:pPr>
            <w:r>
              <w:rPr>
                <w:rFonts w:hint="default" w:ascii="Times New Roman" w:hAnsi="Times New Roman" w:cs="Times New Roman"/>
                <w:bCs/>
                <w:color w:val="auto"/>
                <w:kern w:val="0"/>
                <w:szCs w:val="21"/>
                <w:highlight w:val="none"/>
                <w:lang w:eastAsia="zh-CN"/>
              </w:rPr>
              <w:t>生态</w:t>
            </w:r>
          </w:p>
        </w:tc>
        <w:tc>
          <w:tcPr>
            <w:tcW w:w="1885" w:type="pct"/>
            <w:gridSpan w:val="3"/>
            <w:vAlign w:val="center"/>
          </w:tcPr>
          <w:p w14:paraId="5DF1EF81">
            <w:pPr>
              <w:pStyle w:val="32"/>
              <w:spacing w:after="0" w:line="360" w:lineRule="exact"/>
              <w:ind w:left="0" w:leftChars="0" w:firstLine="0" w:firstLineChars="0"/>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尾矿库、选矿厂边界外延500m</w:t>
            </w:r>
            <w:r>
              <w:rPr>
                <w:rFonts w:hint="default" w:ascii="Times New Roman" w:hAnsi="Times New Roman" w:cs="Times New Roman"/>
                <w:color w:val="auto"/>
                <w:highlight w:val="none"/>
                <w:lang w:eastAsia="zh-CN"/>
              </w:rPr>
              <w:t>范围内</w:t>
            </w:r>
            <w:r>
              <w:rPr>
                <w:rFonts w:hint="default" w:ascii="Times New Roman" w:hAnsi="Times New Roman" w:cs="Times New Roman"/>
                <w:color w:val="auto"/>
                <w:highlight w:val="none"/>
              </w:rPr>
              <w:t>、输水管线两侧外延300m</w:t>
            </w:r>
            <w:r>
              <w:rPr>
                <w:rFonts w:hint="default" w:ascii="Times New Roman" w:hAnsi="Times New Roman" w:cs="Times New Roman"/>
                <w:color w:val="auto"/>
                <w:highlight w:val="none"/>
                <w:lang w:eastAsia="zh-CN"/>
              </w:rPr>
              <w:t>范围内</w:t>
            </w:r>
          </w:p>
        </w:tc>
        <w:tc>
          <w:tcPr>
            <w:tcW w:w="1309" w:type="pct"/>
            <w:vAlign w:val="center"/>
          </w:tcPr>
          <w:p w14:paraId="7BFB8CFF">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地表植被、动物、土壤</w:t>
            </w:r>
          </w:p>
        </w:tc>
        <w:tc>
          <w:tcPr>
            <w:tcW w:w="1303" w:type="pct"/>
            <w:vAlign w:val="center"/>
          </w:tcPr>
          <w:p w14:paraId="2AAB3D1D">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保护生态系统结构和功能的完整性、稳定性；防止水土流失</w:t>
            </w:r>
          </w:p>
        </w:tc>
      </w:tr>
      <w:tr w14:paraId="69AE34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01" w:type="pct"/>
            <w:vMerge w:val="restart"/>
            <w:vAlign w:val="center"/>
          </w:tcPr>
          <w:p w14:paraId="28FA07AA">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环境</w:t>
            </w:r>
          </w:p>
          <w:p w14:paraId="599A4F10">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风险</w:t>
            </w:r>
          </w:p>
        </w:tc>
        <w:tc>
          <w:tcPr>
            <w:tcW w:w="773" w:type="pct"/>
            <w:vAlign w:val="center"/>
          </w:tcPr>
          <w:p w14:paraId="6FB7671A">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lang w:val="en-US" w:eastAsia="zh-CN"/>
              </w:rPr>
              <w:t>项目办公生活区</w:t>
            </w:r>
          </w:p>
        </w:tc>
        <w:tc>
          <w:tcPr>
            <w:tcW w:w="1112" w:type="pct"/>
            <w:gridSpan w:val="2"/>
            <w:vAlign w:val="center"/>
          </w:tcPr>
          <w:p w14:paraId="085C6C02">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选厂</w:t>
            </w:r>
            <w:r>
              <w:rPr>
                <w:rFonts w:hint="default" w:ascii="Times New Roman" w:hAnsi="Times New Roman" w:cs="Times New Roman"/>
                <w:bCs/>
                <w:color w:val="auto"/>
                <w:kern w:val="0"/>
                <w:szCs w:val="21"/>
                <w:highlight w:val="none"/>
                <w:lang w:eastAsia="zh-CN"/>
              </w:rPr>
              <w:t>西</w:t>
            </w:r>
            <w:r>
              <w:rPr>
                <w:rFonts w:hint="default" w:ascii="Times New Roman" w:hAnsi="Times New Roman" w:cs="Times New Roman"/>
                <w:bCs/>
                <w:color w:val="auto"/>
                <w:kern w:val="0"/>
                <w:szCs w:val="21"/>
                <w:highlight w:val="none"/>
              </w:rPr>
              <w:t>侧</w:t>
            </w:r>
          </w:p>
        </w:tc>
        <w:tc>
          <w:tcPr>
            <w:tcW w:w="2612" w:type="pct"/>
            <w:gridSpan w:val="2"/>
            <w:vAlign w:val="center"/>
          </w:tcPr>
          <w:p w14:paraId="6320DC44">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不受风险事故明显影响</w:t>
            </w:r>
          </w:p>
        </w:tc>
      </w:tr>
      <w:tr w14:paraId="33541F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01" w:type="pct"/>
            <w:vMerge w:val="continue"/>
            <w:vAlign w:val="center"/>
          </w:tcPr>
          <w:p w14:paraId="7926565A">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p>
        </w:tc>
        <w:tc>
          <w:tcPr>
            <w:tcW w:w="1885" w:type="pct"/>
            <w:gridSpan w:val="3"/>
            <w:vAlign w:val="center"/>
          </w:tcPr>
          <w:p w14:paraId="68AC0680">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尾矿库</w:t>
            </w:r>
          </w:p>
        </w:tc>
        <w:tc>
          <w:tcPr>
            <w:tcW w:w="1309" w:type="pct"/>
            <w:vAlign w:val="center"/>
          </w:tcPr>
          <w:p w14:paraId="5F2E452B">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防止溃坝</w:t>
            </w:r>
          </w:p>
        </w:tc>
        <w:tc>
          <w:tcPr>
            <w:tcW w:w="1303" w:type="pct"/>
            <w:vAlign w:val="center"/>
          </w:tcPr>
          <w:p w14:paraId="5C023E4C">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环境风险可控</w:t>
            </w:r>
          </w:p>
        </w:tc>
      </w:tr>
    </w:tbl>
    <w:p w14:paraId="7A1FA22F">
      <w:pPr>
        <w:pStyle w:val="43"/>
        <w:ind w:left="0" w:leftChars="0" w:firstLine="0" w:firstLineChars="0"/>
        <w:rPr>
          <w:rFonts w:hint="default" w:ascii="Times New Roman" w:hAnsi="Times New Roman" w:cs="Times New Roman"/>
          <w:color w:val="auto"/>
          <w:szCs w:val="24"/>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E3309BC">
      <w:pPr>
        <w:pStyle w:val="2"/>
        <w:spacing w:line="720" w:lineRule="exact"/>
        <w:rPr>
          <w:rFonts w:hint="default" w:ascii="Times New Roman" w:hAnsi="Times New Roman" w:cs="Times New Roman"/>
          <w:color w:val="auto"/>
          <w:highlight w:val="none"/>
        </w:rPr>
      </w:pPr>
      <w:bookmarkStart w:id="333" w:name="_Toc107414652"/>
      <w:bookmarkStart w:id="334" w:name="_Toc7126"/>
      <w:bookmarkStart w:id="335" w:name="_Toc10705"/>
      <w:bookmarkStart w:id="336" w:name="_Toc107413885"/>
      <w:bookmarkStart w:id="337" w:name="_Toc24602"/>
      <w:bookmarkStart w:id="338" w:name="_Toc19143"/>
      <w:bookmarkStart w:id="339" w:name="_Toc28574"/>
      <w:r>
        <w:rPr>
          <w:rFonts w:hint="default" w:ascii="Times New Roman" w:hAnsi="Times New Roman" w:cs="Times New Roman"/>
          <w:color w:val="auto"/>
          <w:highlight w:val="none"/>
        </w:rPr>
        <w:t>3建设项目工程分析</w:t>
      </w:r>
      <w:bookmarkEnd w:id="333"/>
      <w:bookmarkEnd w:id="334"/>
      <w:bookmarkEnd w:id="335"/>
      <w:bookmarkEnd w:id="336"/>
      <w:bookmarkEnd w:id="337"/>
      <w:bookmarkEnd w:id="338"/>
      <w:bookmarkEnd w:id="339"/>
    </w:p>
    <w:p w14:paraId="1C4E253F">
      <w:pPr>
        <w:pStyle w:val="3"/>
        <w:spacing w:line="560" w:lineRule="atLeast"/>
        <w:rPr>
          <w:rFonts w:hint="default" w:ascii="Times New Roman" w:hAnsi="Times New Roman" w:cs="Times New Roman"/>
          <w:color w:val="auto"/>
          <w:highlight w:val="none"/>
        </w:rPr>
      </w:pPr>
      <w:bookmarkStart w:id="340" w:name="_Toc20486"/>
      <w:bookmarkStart w:id="341" w:name="_Toc4438"/>
      <w:bookmarkStart w:id="342" w:name="_Toc9545"/>
      <w:bookmarkStart w:id="343" w:name="_Toc107413887"/>
      <w:bookmarkStart w:id="344" w:name="_Toc1236"/>
      <w:bookmarkStart w:id="345" w:name="_Toc107414654"/>
      <w:bookmarkStart w:id="346" w:name="_Toc31573"/>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项目概况</w:t>
      </w:r>
      <w:bookmarkEnd w:id="340"/>
      <w:bookmarkEnd w:id="341"/>
      <w:bookmarkEnd w:id="342"/>
      <w:bookmarkEnd w:id="343"/>
      <w:bookmarkEnd w:id="344"/>
      <w:bookmarkEnd w:id="345"/>
      <w:bookmarkEnd w:id="346"/>
    </w:p>
    <w:p w14:paraId="0A9B1BA7">
      <w:pPr>
        <w:pStyle w:val="4"/>
        <w:rPr>
          <w:rFonts w:hint="default" w:ascii="Times New Roman" w:hAnsi="Times New Roman" w:cs="Times New Roman"/>
          <w:color w:val="auto"/>
          <w:highlight w:val="none"/>
        </w:rPr>
      </w:pPr>
      <w:bookmarkStart w:id="347" w:name="_Toc9874"/>
      <w:bookmarkStart w:id="348" w:name="_Toc19593"/>
      <w:bookmarkStart w:id="349" w:name="_Toc27767"/>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.1本项目基本情况</w:t>
      </w:r>
      <w:bookmarkEnd w:id="347"/>
      <w:bookmarkEnd w:id="348"/>
      <w:bookmarkEnd w:id="349"/>
    </w:p>
    <w:p w14:paraId="3861B60F">
      <w:pPr>
        <w:pStyle w:val="55"/>
        <w:overflowPunct w:val="0"/>
        <w:topLinePunct/>
        <w:snapToGrid w:val="0"/>
        <w:ind w:firstLine="480" w:firstLineChars="20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项目名称：</w:t>
      </w:r>
      <w:r>
        <w:rPr>
          <w:rFonts w:hint="eastAsia" w:cs="Times New Roman"/>
          <w:color w:val="auto"/>
          <w:highlight w:val="none"/>
          <w:lang w:eastAsia="zh-CN"/>
        </w:rPr>
        <w:t>新疆嘉西矿业有限公司哈密市伊州区雅满苏镇M1033萤石选矿厂及尾矿库建设项目</w:t>
      </w:r>
    </w:p>
    <w:p w14:paraId="38305F53">
      <w:pPr>
        <w:pStyle w:val="55"/>
        <w:overflowPunct w:val="0"/>
        <w:topLinePunct/>
        <w:snapToGrid w:val="0"/>
        <w:ind w:firstLine="480" w:firstLineChars="20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建设单位：</w:t>
      </w:r>
      <w:r>
        <w:rPr>
          <w:rFonts w:hint="default" w:ascii="Times New Roman" w:hAnsi="Times New Roman" w:cs="Times New Roman"/>
          <w:color w:val="auto"/>
          <w:highlight w:val="none"/>
          <w:lang w:eastAsia="zh-CN"/>
        </w:rPr>
        <w:t>新疆嘉西矿业有限公司</w:t>
      </w:r>
    </w:p>
    <w:p w14:paraId="4204336D">
      <w:pPr>
        <w:pStyle w:val="55"/>
        <w:overflowPunct w:val="0"/>
        <w:topLinePunct/>
        <w:snapToGrid w:val="0"/>
        <w:ind w:firstLine="480" w:firstLineChars="20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建设性质：</w:t>
      </w:r>
      <w:r>
        <w:rPr>
          <w:rFonts w:hint="default" w:ascii="Times New Roman" w:hAnsi="Times New Roman" w:cs="Times New Roman"/>
          <w:color w:val="auto"/>
          <w:highlight w:val="none"/>
          <w:lang w:eastAsia="zh-CN"/>
        </w:rPr>
        <w:t>新建</w:t>
      </w:r>
    </w:p>
    <w:p w14:paraId="19CB2AEF">
      <w:pPr>
        <w:pStyle w:val="55"/>
        <w:overflowPunct w:val="0"/>
        <w:topLinePunct/>
        <w:snapToGrid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建设规模：年处理</w:t>
      </w:r>
      <w:r>
        <w:rPr>
          <w:rFonts w:hint="default" w:ascii="Times New Roman" w:hAnsi="Times New Roman" w:cs="Times New Roman"/>
          <w:color w:val="auto"/>
          <w:highlight w:val="none"/>
          <w:lang w:eastAsia="zh-CN"/>
        </w:rPr>
        <w:t>萤石</w:t>
      </w:r>
      <w:r>
        <w:rPr>
          <w:rFonts w:hint="default" w:ascii="Times New Roman" w:hAnsi="Times New Roman" w:cs="Times New Roman"/>
          <w:color w:val="auto"/>
          <w:highlight w:val="none"/>
        </w:rPr>
        <w:t>矿石</w:t>
      </w:r>
      <w:r>
        <w:rPr>
          <w:rFonts w:hint="default" w:ascii="Times New Roman" w:hAnsi="Times New Roman" w:cs="Times New Roman"/>
          <w:color w:val="auto"/>
          <w:highlight w:val="none"/>
          <w:lang w:val="en-US" w:eastAsia="zh-CN"/>
        </w:rPr>
        <w:t>60</w:t>
      </w:r>
      <w:r>
        <w:rPr>
          <w:rFonts w:hint="default" w:ascii="Times New Roman" w:hAnsi="Times New Roman" w:cs="Times New Roman"/>
          <w:color w:val="auto"/>
          <w:highlight w:val="none"/>
        </w:rPr>
        <w:t>万t。</w:t>
      </w:r>
    </w:p>
    <w:p w14:paraId="3C5BE14B">
      <w:pPr>
        <w:pStyle w:val="55"/>
        <w:overflowPunct w:val="0"/>
        <w:topLinePunct/>
        <w:snapToGrid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建设地点：</w:t>
      </w:r>
      <w:r>
        <w:rPr>
          <w:rFonts w:hint="default" w:ascii="Times New Roman" w:hAnsi="Times New Roman" w:cs="Times New Roman"/>
          <w:color w:val="auto"/>
          <w:highlight w:val="none"/>
          <w:lang w:eastAsia="zh-CN"/>
        </w:rPr>
        <w:t>本项目位于新疆维吾尔自治区哈密市伊州区170°方向直线距离184km，雅满苏镇正南方约90km处，行政区划属新疆维吾尔自治区哈密市伊州区管辖</w:t>
      </w:r>
      <w:r>
        <w:rPr>
          <w:rFonts w:hint="default" w:ascii="Times New Roman" w:hAnsi="Times New Roman" w:cs="Times New Roman"/>
          <w:color w:val="auto"/>
          <w:highlight w:val="none"/>
        </w:rPr>
        <w:t>。</w:t>
      </w:r>
      <w:r>
        <w:rPr>
          <w:rFonts w:hint="default" w:ascii="Times New Roman" w:hAnsi="Times New Roman" w:cs="Times New Roman"/>
          <w:color w:val="auto"/>
          <w:szCs w:val="24"/>
          <w:highlight w:val="none"/>
        </w:rPr>
        <w:t>本项目选矿厂</w:t>
      </w:r>
      <w:r>
        <w:rPr>
          <w:rFonts w:hint="default" w:ascii="Times New Roman" w:hAnsi="Times New Roman" w:cs="Times New Roman"/>
          <w:color w:val="auto"/>
          <w:szCs w:val="24"/>
          <w:highlight w:val="none"/>
          <w:lang w:val="en-US" w:eastAsia="zh-CN"/>
        </w:rPr>
        <w:t>西</w:t>
      </w:r>
      <w:r>
        <w:rPr>
          <w:rFonts w:hint="default" w:ascii="Times New Roman" w:hAnsi="Times New Roman" w:cs="Times New Roman"/>
          <w:color w:val="auto"/>
          <w:szCs w:val="24"/>
          <w:highlight w:val="none"/>
        </w:rPr>
        <w:t>北</w:t>
      </w:r>
      <w:r>
        <w:rPr>
          <w:rFonts w:hint="default" w:ascii="Times New Roman" w:hAnsi="Times New Roman" w:cs="Times New Roman"/>
          <w:color w:val="auto"/>
          <w:szCs w:val="24"/>
          <w:highlight w:val="none"/>
          <w:lang w:eastAsia="zh-CN"/>
        </w:rPr>
        <w:t>侧</w:t>
      </w:r>
      <w:r>
        <w:rPr>
          <w:rFonts w:hint="default" w:ascii="Times New Roman" w:hAnsi="Times New Roman" w:cs="Times New Roman"/>
          <w:color w:val="auto"/>
          <w:szCs w:val="24"/>
          <w:highlight w:val="none"/>
        </w:rPr>
        <w:t>距离</w:t>
      </w:r>
      <w:r>
        <w:rPr>
          <w:rFonts w:hint="default" w:ascii="Times New Roman" w:hAnsi="Times New Roman" w:cs="Times New Roman"/>
          <w:color w:val="auto"/>
          <w:szCs w:val="24"/>
          <w:highlight w:val="none"/>
          <w:lang w:eastAsia="zh-CN"/>
        </w:rPr>
        <w:t>萤石矿</w:t>
      </w:r>
      <w:r>
        <w:rPr>
          <w:rFonts w:hint="default" w:ascii="Times New Roman" w:hAnsi="Times New Roman" w:cs="Times New Roman"/>
          <w:color w:val="auto"/>
          <w:highlight w:val="none"/>
        </w:rPr>
        <w:t>采矿工程</w:t>
      </w:r>
      <w:r>
        <w:rPr>
          <w:rFonts w:hint="default" w:ascii="Times New Roman" w:hAnsi="Times New Roman" w:cs="Times New Roman"/>
          <w:color w:val="auto"/>
          <w:szCs w:val="24"/>
          <w:highlight w:val="none"/>
        </w:rPr>
        <w:t>矿区直距约</w:t>
      </w:r>
      <w:r>
        <w:rPr>
          <w:rFonts w:hint="default" w:ascii="Times New Roman" w:hAnsi="Times New Roman" w:cs="Times New Roman"/>
          <w:color w:val="auto"/>
          <w:szCs w:val="24"/>
          <w:highlight w:val="none"/>
          <w:lang w:val="en-US" w:eastAsia="zh-CN"/>
        </w:rPr>
        <w:t>600</w:t>
      </w:r>
      <w:r>
        <w:rPr>
          <w:rFonts w:hint="default" w:ascii="Times New Roman" w:hAnsi="Times New Roman" w:cs="Times New Roman"/>
          <w:color w:val="auto"/>
          <w:szCs w:val="24"/>
          <w:highlight w:val="none"/>
        </w:rPr>
        <w:t>m</w:t>
      </w:r>
      <w:r>
        <w:rPr>
          <w:rFonts w:hint="default" w:ascii="Times New Roman" w:hAnsi="Times New Roman" w:cs="Times New Roman"/>
          <w:color w:val="auto"/>
          <w:szCs w:val="24"/>
          <w:highlight w:val="none"/>
          <w:lang w:eastAsia="zh-CN"/>
        </w:rPr>
        <w:t>，尾矿库位于选矿厂</w:t>
      </w:r>
      <w:r>
        <w:rPr>
          <w:rFonts w:hint="default" w:ascii="Times New Roman" w:hAnsi="Times New Roman" w:cs="Times New Roman"/>
          <w:color w:val="auto"/>
          <w:szCs w:val="24"/>
          <w:highlight w:val="none"/>
          <w:lang w:val="en-US" w:eastAsia="zh-CN"/>
        </w:rPr>
        <w:t>北侧260m处</w:t>
      </w:r>
      <w:r>
        <w:rPr>
          <w:rFonts w:hint="default" w:ascii="Times New Roman" w:hAnsi="Times New Roman" w:cs="Times New Roman"/>
          <w:color w:val="auto"/>
          <w:szCs w:val="24"/>
          <w:highlight w:val="none"/>
        </w:rPr>
        <w:t>。</w:t>
      </w:r>
      <w:r>
        <w:rPr>
          <w:rFonts w:hint="default" w:ascii="Times New Roman" w:hAnsi="Times New Roman" w:cs="Times New Roman"/>
          <w:color w:val="auto"/>
          <w:szCs w:val="24"/>
          <w:highlight w:val="none"/>
          <w:lang w:eastAsia="zh-CN"/>
        </w:rPr>
        <w:t>项目区</w:t>
      </w:r>
      <w:r>
        <w:rPr>
          <w:rFonts w:hint="default" w:ascii="Times New Roman" w:hAnsi="Times New Roman" w:cs="Times New Roman"/>
          <w:color w:val="auto"/>
          <w:szCs w:val="24"/>
          <w:highlight w:val="none"/>
          <w:lang w:val="en-US" w:eastAsia="zh-CN"/>
        </w:rPr>
        <w:t>中心</w:t>
      </w:r>
      <w:r>
        <w:rPr>
          <w:rFonts w:hint="default" w:ascii="Times New Roman" w:hAnsi="Times New Roman" w:cs="Times New Roman"/>
          <w:color w:val="auto"/>
          <w:szCs w:val="24"/>
          <w:highlight w:val="none"/>
          <w:lang w:eastAsia="zh-CN"/>
        </w:rPr>
        <w:t>坐标为</w:t>
      </w:r>
      <w:r>
        <w:rPr>
          <w:rFonts w:hint="default" w:ascii="Times New Roman" w:hAnsi="Times New Roman" w:cs="Times New Roman"/>
          <w:color w:val="auto"/>
          <w:szCs w:val="24"/>
          <w:highlight w:val="none"/>
        </w:rPr>
        <w:t>E</w:t>
      </w:r>
      <w:r>
        <w:rPr>
          <w:rFonts w:hint="default" w:ascii="Times New Roman" w:hAnsi="Times New Roman" w:cs="Times New Roman"/>
          <w:color w:val="auto"/>
          <w:szCs w:val="24"/>
          <w:highlight w:val="none"/>
          <w:lang w:eastAsia="zh-CN"/>
        </w:rPr>
        <w:t>93°55</w:t>
      </w:r>
      <w:r>
        <w:rPr>
          <w:rFonts w:hint="default" w:ascii="Times New Roman" w:hAnsi="Times New Roman" w:cs="Times New Roman"/>
          <w:color w:val="auto"/>
          <w:szCs w:val="24"/>
          <w:highlight w:val="none"/>
          <w:lang w:val="en-US" w:eastAsia="zh-CN"/>
        </w:rPr>
        <w:t>′</w:t>
      </w:r>
      <w:r>
        <w:rPr>
          <w:rFonts w:hint="default" w:ascii="Times New Roman" w:hAnsi="Times New Roman" w:cs="Times New Roman"/>
          <w:color w:val="auto"/>
          <w:szCs w:val="24"/>
          <w:highlight w:val="none"/>
          <w:lang w:eastAsia="zh-CN"/>
        </w:rPr>
        <w:t>35.865"，</w:t>
      </w:r>
      <w:r>
        <w:rPr>
          <w:rFonts w:hint="default" w:ascii="Times New Roman" w:hAnsi="Times New Roman" w:cs="Times New Roman"/>
          <w:color w:val="auto"/>
          <w:szCs w:val="24"/>
          <w:highlight w:val="none"/>
        </w:rPr>
        <w:t>N</w:t>
      </w:r>
      <w:r>
        <w:rPr>
          <w:rFonts w:hint="default" w:ascii="Times New Roman" w:hAnsi="Times New Roman" w:cs="Times New Roman"/>
          <w:color w:val="auto"/>
          <w:szCs w:val="24"/>
          <w:highlight w:val="none"/>
          <w:lang w:eastAsia="zh-CN"/>
        </w:rPr>
        <w:t>41°12</w:t>
      </w:r>
      <w:r>
        <w:rPr>
          <w:rFonts w:hint="default" w:ascii="Times New Roman" w:hAnsi="Times New Roman" w:cs="Times New Roman"/>
          <w:color w:val="auto"/>
          <w:szCs w:val="24"/>
          <w:highlight w:val="none"/>
          <w:lang w:val="en-US" w:eastAsia="zh-CN"/>
        </w:rPr>
        <w:t>′</w:t>
      </w:r>
      <w:r>
        <w:rPr>
          <w:rFonts w:hint="default" w:ascii="Times New Roman" w:hAnsi="Times New Roman" w:cs="Times New Roman"/>
          <w:color w:val="auto"/>
          <w:szCs w:val="24"/>
          <w:highlight w:val="none"/>
          <w:lang w:eastAsia="zh-CN"/>
        </w:rPr>
        <w:t>10.511"。</w:t>
      </w:r>
      <w:r>
        <w:rPr>
          <w:rFonts w:hint="default" w:ascii="Times New Roman" w:hAnsi="Times New Roman" w:cs="Times New Roman"/>
          <w:color w:val="auto"/>
          <w:highlight w:val="none"/>
        </w:rPr>
        <w:t>本项目地理位置见图3.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-1、区域位置图见图3.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-2。</w:t>
      </w:r>
    </w:p>
    <w:p w14:paraId="54A9688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服务年限：选矿厂</w:t>
      </w:r>
      <w:r>
        <w:rPr>
          <w:rFonts w:hint="default" w:ascii="Times New Roman" w:hAnsi="Times New Roman" w:cs="Times New Roman"/>
          <w:color w:val="auto"/>
          <w:highlight w:val="none"/>
          <w:lang w:val="en-US" w:eastAsia="zh-CN"/>
        </w:rPr>
        <w:t>设计</w:t>
      </w:r>
      <w:r>
        <w:rPr>
          <w:rFonts w:hint="default" w:ascii="Times New Roman" w:hAnsi="Times New Roman" w:cs="Times New Roman"/>
          <w:color w:val="auto"/>
          <w:highlight w:val="none"/>
        </w:rPr>
        <w:t>服务年限为</w:t>
      </w:r>
      <w:r>
        <w:rPr>
          <w:rFonts w:hint="default" w:ascii="Times New Roman" w:hAnsi="Times New Roman" w:cs="Times New Roman"/>
          <w:color w:val="auto"/>
          <w:highlight w:val="none"/>
          <w:lang w:val="en-US" w:eastAsia="zh-CN"/>
        </w:rPr>
        <w:t>15</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尾矿库</w:t>
      </w:r>
      <w:r>
        <w:rPr>
          <w:rFonts w:hint="default" w:ascii="Times New Roman" w:hAnsi="Times New Roman" w:cs="Times New Roman"/>
          <w:color w:val="auto"/>
          <w:highlight w:val="none"/>
          <w:lang w:val="en-US" w:eastAsia="zh-CN"/>
        </w:rPr>
        <w:t>设计</w:t>
      </w:r>
      <w:r>
        <w:rPr>
          <w:rFonts w:hint="default" w:ascii="Times New Roman" w:hAnsi="Times New Roman" w:cs="Times New Roman"/>
          <w:color w:val="auto"/>
          <w:highlight w:val="none"/>
        </w:rPr>
        <w:t>服务年限为</w:t>
      </w:r>
      <w:r>
        <w:rPr>
          <w:rFonts w:hint="default" w:ascii="Times New Roman" w:hAnsi="Times New Roman" w:cs="Times New Roman"/>
          <w:color w:val="auto"/>
          <w:highlight w:val="none"/>
          <w:lang w:val="en-US" w:eastAsia="zh-CN"/>
        </w:rPr>
        <w:t>5.2</w:t>
      </w:r>
      <w:r>
        <w:rPr>
          <w:rFonts w:hint="default" w:ascii="Times New Roman" w:hAnsi="Times New Roman" w:cs="Times New Roman"/>
          <w:color w:val="auto"/>
          <w:highlight w:val="none"/>
        </w:rPr>
        <w:t>年。</w:t>
      </w:r>
    </w:p>
    <w:p w14:paraId="3B0B6694">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项目建设周期：计划开工时间为202</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年</w:t>
      </w:r>
      <w:r>
        <w:rPr>
          <w:rFonts w:hint="eastAsia" w:cs="Times New Roman"/>
          <w:color w:val="auto"/>
          <w:highlight w:val="none"/>
          <w:lang w:val="en-US" w:eastAsia="zh-CN"/>
        </w:rPr>
        <w:t>8</w:t>
      </w:r>
      <w:r>
        <w:rPr>
          <w:rFonts w:hint="default" w:ascii="Times New Roman" w:hAnsi="Times New Roman" w:cs="Times New Roman"/>
          <w:color w:val="auto"/>
          <w:highlight w:val="none"/>
        </w:rPr>
        <w:t>月，计划建设周期为</w:t>
      </w:r>
      <w:r>
        <w:rPr>
          <w:rFonts w:hint="default" w:ascii="Times New Roman" w:hAnsi="Times New Roman" w:cs="Times New Roman"/>
          <w:color w:val="auto"/>
          <w:highlight w:val="none"/>
          <w:lang w:val="en-US" w:eastAsia="zh-CN"/>
        </w:rPr>
        <w:t>12</w:t>
      </w:r>
      <w:r>
        <w:rPr>
          <w:rFonts w:hint="default" w:ascii="Times New Roman" w:hAnsi="Times New Roman" w:cs="Times New Roman"/>
          <w:color w:val="auto"/>
          <w:highlight w:val="none"/>
        </w:rPr>
        <w:t>个月。</w:t>
      </w:r>
    </w:p>
    <w:p w14:paraId="4F509ADD">
      <w:pPr>
        <w:pStyle w:val="55"/>
        <w:overflowPunct w:val="0"/>
        <w:topLinePunct/>
        <w:snapToGrid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项目总投资：本项目总投资为</w:t>
      </w:r>
      <w:r>
        <w:rPr>
          <w:rFonts w:hint="default" w:ascii="Times New Roman" w:hAnsi="Times New Roman" w:cs="Times New Roman"/>
          <w:color w:val="auto"/>
          <w:highlight w:val="none"/>
          <w:lang w:val="en-US" w:eastAsia="zh-CN"/>
        </w:rPr>
        <w:t>17672.96</w:t>
      </w:r>
      <w:r>
        <w:rPr>
          <w:rFonts w:hint="default" w:ascii="Times New Roman" w:hAnsi="Times New Roman" w:cs="Times New Roman"/>
          <w:color w:val="auto"/>
          <w:highlight w:val="none"/>
        </w:rPr>
        <w:t>万元，均为企业自筹。</w:t>
      </w:r>
    </w:p>
    <w:p w14:paraId="016C15E4">
      <w:pPr>
        <w:pStyle w:val="43"/>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工作制度：选矿厂的工作制度为连续工作制。全年运转</w:t>
      </w:r>
      <w:r>
        <w:rPr>
          <w:rFonts w:hint="default" w:ascii="Times New Roman" w:hAnsi="Times New Roman" w:cs="Times New Roman"/>
          <w:color w:val="auto"/>
          <w:szCs w:val="24"/>
          <w:highlight w:val="none"/>
          <w:lang w:val="en-US" w:eastAsia="zh-CN"/>
        </w:rPr>
        <w:t>7200</w:t>
      </w:r>
      <w:r>
        <w:rPr>
          <w:rFonts w:hint="default" w:ascii="Times New Roman" w:hAnsi="Times New Roman" w:cs="Times New Roman"/>
          <w:color w:val="auto"/>
          <w:szCs w:val="24"/>
          <w:highlight w:val="none"/>
        </w:rPr>
        <w:t>小时，相当于年工作3</w:t>
      </w:r>
      <w:r>
        <w:rPr>
          <w:rFonts w:hint="default" w:ascii="Times New Roman" w:hAnsi="Times New Roman" w:cs="Times New Roman"/>
          <w:color w:val="auto"/>
          <w:szCs w:val="24"/>
          <w:highlight w:val="none"/>
          <w:lang w:val="en-US" w:eastAsia="zh-CN"/>
        </w:rPr>
        <w:t>00</w:t>
      </w:r>
      <w:r>
        <w:rPr>
          <w:rFonts w:hint="default" w:ascii="Times New Roman" w:hAnsi="Times New Roman" w:cs="Times New Roman"/>
          <w:color w:val="auto"/>
          <w:szCs w:val="24"/>
          <w:highlight w:val="none"/>
        </w:rPr>
        <w:t>天</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破碎、筛分系统每天2班，每班6小时</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磨矿、浮选、脱水系统每天3班，每班8小时。</w:t>
      </w:r>
    </w:p>
    <w:p w14:paraId="78582243">
      <w:pPr>
        <w:pStyle w:val="43"/>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劳动定员：</w:t>
      </w:r>
      <w:r>
        <w:rPr>
          <w:rFonts w:hint="eastAsia" w:cs="Times New Roman"/>
          <w:color w:val="auto"/>
          <w:highlight w:val="none"/>
          <w:lang w:val="en-US" w:eastAsia="zh-CN"/>
        </w:rPr>
        <w:t>劳动定员</w:t>
      </w:r>
      <w:r>
        <w:rPr>
          <w:rFonts w:hint="default" w:ascii="Times New Roman" w:hAnsi="Times New Roman" w:cs="Times New Roman"/>
          <w:color w:val="auto"/>
          <w:highlight w:val="none"/>
          <w:lang w:val="en-US" w:eastAsia="zh-CN"/>
        </w:rPr>
        <w:t>72</w:t>
      </w:r>
      <w:r>
        <w:rPr>
          <w:rFonts w:hint="default" w:ascii="Times New Roman" w:hAnsi="Times New Roman" w:cs="Times New Roman"/>
          <w:color w:val="auto"/>
          <w:highlight w:val="none"/>
        </w:rPr>
        <w:t>人，其中生产操作及维修人员43人（包括粗碎巡检、筛分巡检、球磨巡检、化验员、浮选巡检、脱水工、装车工、维修工、电工、司磅员等）</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其他管理人员及辅助人员29人（包括生产调度、生产技术、安全环保、财务会计、销售人员、后勤辅助人员等）。</w:t>
      </w:r>
    </w:p>
    <w:p w14:paraId="4C1EDF6A">
      <w:pPr>
        <w:pStyle w:val="55"/>
        <w:overflowPunct w:val="0"/>
        <w:topLinePunct/>
        <w:snapToGrid w:val="0"/>
        <w:ind w:firstLine="480" w:firstLineChars="20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本项目占地：</w:t>
      </w:r>
      <w:r>
        <w:rPr>
          <w:rFonts w:hint="default" w:ascii="Times New Roman" w:hAnsi="Times New Roman" w:cs="Times New Roman"/>
          <w:color w:val="auto"/>
          <w:sz w:val="24"/>
          <w:highlight w:val="none"/>
          <w:lang w:eastAsia="zh-CN"/>
        </w:rPr>
        <w:t>20.1603</w:t>
      </w:r>
      <w:r>
        <w:rPr>
          <w:rFonts w:hint="eastAsia" w:cs="Times New Roman"/>
          <w:color w:val="auto"/>
          <w:sz w:val="24"/>
          <w:highlight w:val="none"/>
          <w:lang w:eastAsia="zh-CN"/>
        </w:rPr>
        <w:t>公顷</w:t>
      </w:r>
    </w:p>
    <w:p w14:paraId="71A3BFDB">
      <w:pPr>
        <w:pStyle w:val="4"/>
        <w:rPr>
          <w:rFonts w:hint="default" w:ascii="Times New Roman" w:hAnsi="Times New Roman" w:cs="Times New Roman"/>
          <w:color w:val="auto"/>
          <w:highlight w:val="none"/>
        </w:rPr>
      </w:pPr>
      <w:bookmarkStart w:id="350" w:name="_Toc23848"/>
      <w:bookmarkStart w:id="351" w:name="_Toc21246"/>
      <w:bookmarkStart w:id="352" w:name="_Toc15707"/>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.2本项目产品方案</w:t>
      </w:r>
      <w:bookmarkEnd w:id="350"/>
      <w:bookmarkEnd w:id="351"/>
      <w:bookmarkEnd w:id="352"/>
    </w:p>
    <w:p w14:paraId="3CB7CD99">
      <w:pPr>
        <w:pStyle w:val="43"/>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本项目选矿产品方案为</w:t>
      </w:r>
      <w:r>
        <w:rPr>
          <w:rFonts w:hint="default" w:ascii="Times New Roman" w:hAnsi="Times New Roman" w:cs="Times New Roman"/>
          <w:color w:val="auto"/>
          <w:highlight w:val="none"/>
          <w:lang w:eastAsia="zh-CN"/>
        </w:rPr>
        <w:t>萤石</w:t>
      </w:r>
      <w:r>
        <w:rPr>
          <w:rFonts w:hint="default" w:ascii="Times New Roman" w:hAnsi="Times New Roman" w:cs="Times New Roman"/>
          <w:color w:val="auto"/>
          <w:highlight w:val="none"/>
        </w:rPr>
        <w:t>精矿</w:t>
      </w:r>
      <w:r>
        <w:rPr>
          <w:rFonts w:hint="default" w:ascii="Times New Roman" w:hAnsi="Times New Roman" w:cs="Times New Roman"/>
          <w:color w:val="auto"/>
          <w:highlight w:val="none"/>
          <w:lang w:eastAsia="zh-CN"/>
        </w:rPr>
        <w:t>，萤石精矿产品的主要用途是用于氟化工行业</w:t>
      </w:r>
      <w:r>
        <w:rPr>
          <w:rFonts w:hint="default" w:ascii="Times New Roman" w:hAnsi="Times New Roman" w:cs="Times New Roman"/>
          <w:color w:val="auto"/>
          <w:highlight w:val="none"/>
        </w:rPr>
        <w:t>。</w:t>
      </w:r>
    </w:p>
    <w:p w14:paraId="42C49F90">
      <w:pPr>
        <w:pStyle w:val="43"/>
        <w:overflowPunct w:val="0"/>
        <w:topLinePunct/>
        <w:spacing w:line="480" w:lineRule="exact"/>
        <w:ind w:firstLine="480"/>
        <w:rPr>
          <w:rFonts w:hint="default" w:ascii="Times New Roman" w:hAnsi="Times New Roman" w:cs="Times New Roman"/>
          <w:bCs/>
          <w:color w:val="auto"/>
          <w:szCs w:val="32"/>
          <w:highlight w:val="none"/>
        </w:rPr>
      </w:pPr>
      <w:r>
        <w:rPr>
          <w:rFonts w:hint="default" w:ascii="Times New Roman" w:hAnsi="Times New Roman" w:cs="Times New Roman"/>
          <w:bCs/>
          <w:color w:val="auto"/>
          <w:szCs w:val="32"/>
          <w:highlight w:val="none"/>
          <w:lang w:val="zh-CN"/>
        </w:rPr>
        <w:t>本项目产品指标见表</w:t>
      </w:r>
      <w:r>
        <w:rPr>
          <w:rFonts w:hint="default" w:ascii="Times New Roman" w:hAnsi="Times New Roman" w:cs="Times New Roman"/>
          <w:bCs/>
          <w:color w:val="auto"/>
          <w:szCs w:val="32"/>
          <w:highlight w:val="none"/>
        </w:rPr>
        <w:t>3.</w:t>
      </w:r>
      <w:r>
        <w:rPr>
          <w:rFonts w:hint="default" w:ascii="Times New Roman" w:hAnsi="Times New Roman" w:cs="Times New Roman"/>
          <w:bCs/>
          <w:color w:val="auto"/>
          <w:szCs w:val="32"/>
          <w:highlight w:val="none"/>
          <w:lang w:val="en-US" w:eastAsia="zh-CN"/>
        </w:rPr>
        <w:t>1</w:t>
      </w:r>
      <w:r>
        <w:rPr>
          <w:rFonts w:hint="default" w:ascii="Times New Roman" w:hAnsi="Times New Roman" w:cs="Times New Roman"/>
          <w:bCs/>
          <w:color w:val="auto"/>
          <w:szCs w:val="32"/>
          <w:highlight w:val="none"/>
        </w:rPr>
        <w:t>-</w:t>
      </w:r>
      <w:r>
        <w:rPr>
          <w:rFonts w:hint="default" w:ascii="Times New Roman" w:hAnsi="Times New Roman" w:cs="Times New Roman"/>
          <w:bCs/>
          <w:color w:val="auto"/>
          <w:szCs w:val="32"/>
          <w:highlight w:val="none"/>
          <w:lang w:val="en-US" w:eastAsia="zh-CN"/>
        </w:rPr>
        <w:t>1</w:t>
      </w:r>
      <w:r>
        <w:rPr>
          <w:rFonts w:hint="default" w:ascii="Times New Roman" w:hAnsi="Times New Roman" w:cs="Times New Roman"/>
          <w:bCs/>
          <w:color w:val="auto"/>
          <w:szCs w:val="32"/>
          <w:highlight w:val="none"/>
        </w:rPr>
        <w:t>。</w:t>
      </w:r>
    </w:p>
    <w:p w14:paraId="67320913">
      <w:pPr>
        <w:pStyle w:val="49"/>
        <w:widowControl w:val="0"/>
        <w:rPr>
          <w:rFonts w:hint="default" w:ascii="Times New Roman" w:hAnsi="Times New Roman" w:cs="Times New Roman"/>
          <w:color w:val="auto"/>
          <w:szCs w:val="32"/>
          <w:highlight w:val="none"/>
        </w:rPr>
      </w:pPr>
      <w:r>
        <w:rPr>
          <w:rFonts w:hint="default" w:ascii="Times New Roman" w:hAnsi="Times New Roman" w:cs="Times New Roman"/>
          <w:color w:val="auto"/>
          <w:szCs w:val="32"/>
          <w:highlight w:val="none"/>
          <w:lang w:val="zh-CN"/>
        </w:rPr>
        <w:t>表</w:t>
      </w:r>
      <w:r>
        <w:rPr>
          <w:rFonts w:hint="default" w:ascii="Times New Roman" w:hAnsi="Times New Roman" w:cs="Times New Roman"/>
          <w:color w:val="auto"/>
          <w:szCs w:val="32"/>
          <w:highlight w:val="none"/>
        </w:rPr>
        <w:t>3</w:t>
      </w:r>
      <w:r>
        <w:rPr>
          <w:rFonts w:hint="default" w:ascii="Times New Roman" w:hAnsi="Times New Roman" w:cs="Times New Roman"/>
          <w:color w:val="auto"/>
          <w:szCs w:val="32"/>
          <w:highlight w:val="none"/>
          <w:lang w:val="zh-CN"/>
        </w:rPr>
        <w:t>.</w:t>
      </w:r>
      <w:r>
        <w:rPr>
          <w:rFonts w:hint="default" w:ascii="Times New Roman" w:hAnsi="Times New Roman" w:cs="Times New Roman"/>
          <w:color w:val="auto"/>
          <w:szCs w:val="32"/>
          <w:highlight w:val="none"/>
          <w:lang w:val="en-US" w:eastAsia="zh-CN"/>
        </w:rPr>
        <w:t>1</w:t>
      </w:r>
      <w:r>
        <w:rPr>
          <w:rFonts w:hint="default" w:ascii="Times New Roman" w:hAnsi="Times New Roman" w:cs="Times New Roman"/>
          <w:color w:val="auto"/>
          <w:szCs w:val="32"/>
          <w:highlight w:val="none"/>
          <w:lang w:val="zh-CN"/>
        </w:rPr>
        <w:t>-</w:t>
      </w:r>
      <w:r>
        <w:rPr>
          <w:rFonts w:hint="default" w:ascii="Times New Roman" w:hAnsi="Times New Roman" w:cs="Times New Roman"/>
          <w:color w:val="auto"/>
          <w:szCs w:val="32"/>
          <w:highlight w:val="none"/>
          <w:lang w:val="en-US" w:eastAsia="zh-CN"/>
        </w:rPr>
        <w:t>1</w:t>
      </w:r>
      <w:r>
        <w:rPr>
          <w:rFonts w:hint="default" w:ascii="Times New Roman" w:hAnsi="Times New Roman" w:cs="Times New Roman"/>
          <w:color w:val="auto"/>
          <w:szCs w:val="32"/>
          <w:highlight w:val="none"/>
        </w:rPr>
        <w:t xml:space="preserve">    </w:t>
      </w:r>
      <w:r>
        <w:rPr>
          <w:rFonts w:hint="default" w:ascii="Times New Roman" w:hAnsi="Times New Roman" w:cs="Times New Roman"/>
          <w:bCs/>
          <w:color w:val="auto"/>
          <w:szCs w:val="32"/>
          <w:highlight w:val="none"/>
          <w:lang w:val="zh-CN"/>
        </w:rPr>
        <w:t>本项目产品指标</w:t>
      </w:r>
      <w:r>
        <w:rPr>
          <w:rFonts w:hint="default" w:ascii="Times New Roman" w:hAnsi="Times New Roman" w:cs="Times New Roman"/>
          <w:bCs/>
          <w:color w:val="auto"/>
          <w:szCs w:val="32"/>
          <w:highlight w:val="none"/>
        </w:rPr>
        <w:t>一览表</w:t>
      </w:r>
    </w:p>
    <w:tbl>
      <w:tblPr>
        <w:tblStyle w:val="33"/>
        <w:tblW w:w="904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337"/>
        <w:gridCol w:w="1672"/>
        <w:gridCol w:w="1804"/>
        <w:gridCol w:w="1506"/>
        <w:gridCol w:w="1344"/>
        <w:gridCol w:w="1386"/>
      </w:tblGrid>
      <w:tr w14:paraId="57143D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tblHeader/>
          <w:jc w:val="center"/>
        </w:trPr>
        <w:tc>
          <w:tcPr>
            <w:tcW w:w="1337" w:type="dxa"/>
            <w:tcBorders>
              <w:tl2br w:val="nil"/>
              <w:tr2bl w:val="nil"/>
            </w:tcBorders>
            <w:vAlign w:val="center"/>
          </w:tcPr>
          <w:p w14:paraId="2671A89C">
            <w:pPr>
              <w:pStyle w:val="47"/>
              <w:spacing w:before="0" w:beforeAutospacing="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pacing w:val="-1"/>
                <w:sz w:val="21"/>
                <w:szCs w:val="21"/>
                <w:highlight w:val="none"/>
              </w:rPr>
              <w:t>产品名称</w:t>
            </w:r>
          </w:p>
        </w:tc>
        <w:tc>
          <w:tcPr>
            <w:tcW w:w="1672" w:type="dxa"/>
            <w:tcBorders>
              <w:tl2br w:val="nil"/>
              <w:tr2bl w:val="nil"/>
            </w:tcBorders>
            <w:vAlign w:val="center"/>
          </w:tcPr>
          <w:p w14:paraId="27BD3AA5">
            <w:pPr>
              <w:pStyle w:val="47"/>
              <w:spacing w:before="0" w:beforeAutospacing="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年产量（万t</w:t>
            </w:r>
            <w:r>
              <w:rPr>
                <w:rFonts w:hint="default" w:ascii="Times New Roman" w:hAnsi="Times New Roman" w:cs="Times New Roman"/>
                <w:b/>
                <w:bCs/>
                <w:color w:val="auto"/>
                <w:spacing w:val="-3"/>
                <w:sz w:val="21"/>
                <w:szCs w:val="21"/>
                <w:highlight w:val="none"/>
              </w:rPr>
              <w:t>）</w:t>
            </w:r>
          </w:p>
        </w:tc>
        <w:tc>
          <w:tcPr>
            <w:tcW w:w="1804" w:type="dxa"/>
            <w:tcBorders>
              <w:tl2br w:val="nil"/>
              <w:tr2bl w:val="nil"/>
            </w:tcBorders>
            <w:vAlign w:val="center"/>
          </w:tcPr>
          <w:p w14:paraId="211E5093">
            <w:pPr>
              <w:pStyle w:val="47"/>
              <w:spacing w:before="0" w:beforeAutospacing="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pacing w:val="-4"/>
                <w:sz w:val="21"/>
                <w:szCs w:val="21"/>
                <w:highlight w:val="none"/>
              </w:rPr>
              <w:t>产量（t/d）</w:t>
            </w:r>
          </w:p>
        </w:tc>
        <w:tc>
          <w:tcPr>
            <w:tcW w:w="1506" w:type="dxa"/>
            <w:tcBorders>
              <w:tl2br w:val="nil"/>
              <w:tr2bl w:val="nil"/>
            </w:tcBorders>
            <w:vAlign w:val="center"/>
          </w:tcPr>
          <w:p w14:paraId="29C485AA">
            <w:pPr>
              <w:pStyle w:val="47"/>
              <w:spacing w:before="0" w:beforeAutospacing="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pacing w:val="-4"/>
                <w:sz w:val="21"/>
                <w:szCs w:val="21"/>
                <w:highlight w:val="none"/>
              </w:rPr>
              <w:t>产量（t/h）</w:t>
            </w:r>
          </w:p>
        </w:tc>
        <w:tc>
          <w:tcPr>
            <w:tcW w:w="1344" w:type="dxa"/>
            <w:tcBorders>
              <w:tl2br w:val="nil"/>
              <w:tr2bl w:val="nil"/>
            </w:tcBorders>
            <w:vAlign w:val="center"/>
          </w:tcPr>
          <w:p w14:paraId="4B0B01C5">
            <w:pPr>
              <w:pStyle w:val="47"/>
              <w:spacing w:before="0" w:beforeAutospacing="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pacing w:val="-3"/>
                <w:sz w:val="21"/>
                <w:szCs w:val="21"/>
                <w:highlight w:val="none"/>
              </w:rPr>
              <w:t>品位</w:t>
            </w:r>
            <w:r>
              <w:rPr>
                <w:rFonts w:hint="default" w:ascii="Times New Roman" w:hAnsi="Times New Roman" w:cs="Times New Roman"/>
                <w:b/>
                <w:bCs/>
                <w:color w:val="auto"/>
                <w:sz w:val="21"/>
                <w:szCs w:val="21"/>
                <w:highlight w:val="none"/>
              </w:rPr>
              <w:t>（%）</w:t>
            </w:r>
          </w:p>
        </w:tc>
        <w:tc>
          <w:tcPr>
            <w:tcW w:w="1386" w:type="dxa"/>
            <w:tcBorders>
              <w:tl2br w:val="nil"/>
              <w:tr2bl w:val="nil"/>
            </w:tcBorders>
            <w:vAlign w:val="center"/>
          </w:tcPr>
          <w:p w14:paraId="269B8554">
            <w:pPr>
              <w:pStyle w:val="47"/>
              <w:spacing w:before="0" w:beforeAutospacing="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回收率（%）</w:t>
            </w:r>
          </w:p>
        </w:tc>
      </w:tr>
      <w:tr w14:paraId="0D6A2B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37" w:type="dxa"/>
            <w:tcBorders>
              <w:tl2br w:val="nil"/>
              <w:tr2bl w:val="nil"/>
            </w:tcBorders>
            <w:vAlign w:val="center"/>
          </w:tcPr>
          <w:p w14:paraId="269F1EA9">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萤石</w:t>
            </w:r>
            <w:r>
              <w:rPr>
                <w:rFonts w:hint="default" w:ascii="Times New Roman" w:hAnsi="Times New Roman" w:cs="Times New Roman"/>
                <w:color w:val="auto"/>
                <w:sz w:val="21"/>
                <w:szCs w:val="21"/>
                <w:highlight w:val="none"/>
              </w:rPr>
              <w:t>精矿</w:t>
            </w:r>
          </w:p>
        </w:tc>
        <w:tc>
          <w:tcPr>
            <w:tcW w:w="1672" w:type="dxa"/>
            <w:tcBorders>
              <w:tl2br w:val="nil"/>
              <w:tr2bl w:val="nil"/>
            </w:tcBorders>
            <w:vAlign w:val="center"/>
          </w:tcPr>
          <w:p w14:paraId="0C5564B5">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13.38</w:t>
            </w:r>
          </w:p>
        </w:tc>
        <w:tc>
          <w:tcPr>
            <w:tcW w:w="1804" w:type="dxa"/>
            <w:tcBorders>
              <w:tl2br w:val="nil"/>
              <w:tr2bl w:val="nil"/>
            </w:tcBorders>
            <w:vAlign w:val="center"/>
          </w:tcPr>
          <w:p w14:paraId="39770CFD">
            <w:pPr>
              <w:pStyle w:val="47"/>
              <w:spacing w:before="0" w:beforeAutospacing="0" w:line="360" w:lineRule="exact"/>
              <w:ind w:firstLine="0" w:firstLineChars="0"/>
              <w:jc w:val="center"/>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cs="Times New Roman"/>
                <w:color w:val="auto"/>
                <w:spacing w:val="-1"/>
                <w:sz w:val="21"/>
                <w:szCs w:val="21"/>
                <w:highlight w:val="none"/>
                <w:lang w:val="en-US" w:eastAsia="zh-CN"/>
              </w:rPr>
              <w:t>446</w:t>
            </w:r>
          </w:p>
        </w:tc>
        <w:tc>
          <w:tcPr>
            <w:tcW w:w="1506" w:type="dxa"/>
            <w:tcBorders>
              <w:tl2br w:val="nil"/>
              <w:tr2bl w:val="nil"/>
            </w:tcBorders>
            <w:vAlign w:val="center"/>
          </w:tcPr>
          <w:p w14:paraId="260A099E">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18.58</w:t>
            </w:r>
          </w:p>
        </w:tc>
        <w:tc>
          <w:tcPr>
            <w:tcW w:w="1344" w:type="dxa"/>
            <w:tcBorders>
              <w:tl2br w:val="nil"/>
              <w:tr2bl w:val="nil"/>
            </w:tcBorders>
            <w:vAlign w:val="center"/>
          </w:tcPr>
          <w:p w14:paraId="360621FA">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94.00</w:t>
            </w:r>
          </w:p>
        </w:tc>
        <w:tc>
          <w:tcPr>
            <w:tcW w:w="1386" w:type="dxa"/>
            <w:tcBorders>
              <w:tl2br w:val="nil"/>
              <w:tr2bl w:val="nil"/>
            </w:tcBorders>
            <w:vAlign w:val="center"/>
          </w:tcPr>
          <w:p w14:paraId="439D210B">
            <w:pPr>
              <w:pStyle w:val="47"/>
              <w:spacing w:before="0" w:beforeAutospacing="0"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83.32</w:t>
            </w:r>
          </w:p>
        </w:tc>
      </w:tr>
    </w:tbl>
    <w:p w14:paraId="4979EDD9">
      <w:pPr>
        <w:keepNext w:val="0"/>
        <w:keepLines w:val="0"/>
        <w:pageBreakBefore w:val="0"/>
        <w:widowControl w:val="0"/>
        <w:kinsoku/>
        <w:wordWrap/>
        <w:overflowPunct/>
        <w:autoSpaceDE/>
        <w:autoSpaceDN/>
        <w:bidi w:val="0"/>
        <w:adjustRightInd/>
        <w:snapToGrid/>
        <w:spacing w:line="480" w:lineRule="exa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根据矿石化学全分析及光谱结果，矿石化学成分主要为</w:t>
      </w:r>
      <w:r>
        <w:rPr>
          <w:rFonts w:hint="default" w:ascii="Times New Roman" w:hAnsi="Times New Roman" w:eastAsia="宋体" w:cs="Times New Roman"/>
          <w:color w:val="auto"/>
          <w:szCs w:val="28"/>
          <w:highlight w:val="none"/>
        </w:rPr>
        <w:t>CaO、SiO</w:t>
      </w:r>
      <w:r>
        <w:rPr>
          <w:rFonts w:hint="default" w:ascii="Times New Roman" w:hAnsi="Times New Roman" w:eastAsia="宋体" w:cs="Times New Roman"/>
          <w:color w:val="auto"/>
          <w:szCs w:val="28"/>
          <w:highlight w:val="none"/>
          <w:vertAlign w:val="subscript"/>
        </w:rPr>
        <w:t>2</w:t>
      </w:r>
      <w:r>
        <w:rPr>
          <w:rFonts w:hint="default" w:ascii="Times New Roman" w:hAnsi="Times New Roman" w:eastAsia="宋体" w:cs="Times New Roman"/>
          <w:color w:val="auto"/>
          <w:szCs w:val="28"/>
          <w:highlight w:val="none"/>
        </w:rPr>
        <w:t>、CO</w:t>
      </w:r>
      <w:r>
        <w:rPr>
          <w:rFonts w:hint="default" w:ascii="Times New Roman" w:hAnsi="Times New Roman" w:eastAsia="宋体" w:cs="Times New Roman"/>
          <w:color w:val="auto"/>
          <w:szCs w:val="28"/>
          <w:highlight w:val="none"/>
          <w:vertAlign w:val="subscript"/>
        </w:rPr>
        <w:t>2</w:t>
      </w:r>
      <w:r>
        <w:rPr>
          <w:rFonts w:hint="default" w:ascii="Times New Roman" w:hAnsi="Times New Roman" w:eastAsia="宋体" w:cs="Times New Roman"/>
          <w:color w:val="auto"/>
          <w:szCs w:val="28"/>
          <w:highlight w:val="none"/>
        </w:rPr>
        <w:t>、F，占总量的85.04%</w:t>
      </w:r>
      <w:r>
        <w:rPr>
          <w:rFonts w:hint="default" w:ascii="Times New Roman" w:hAnsi="Times New Roman" w:eastAsia="宋体" w:cs="Times New Roman"/>
          <w:color w:val="auto"/>
          <w:szCs w:val="28"/>
          <w:highlight w:val="none"/>
          <w:lang w:eastAsia="zh-CN"/>
        </w:rPr>
        <w:t>，</w:t>
      </w:r>
      <w:r>
        <w:rPr>
          <w:rFonts w:hint="default" w:ascii="Times New Roman" w:hAnsi="Times New Roman" w:eastAsia="宋体" w:cs="Times New Roman"/>
          <w:color w:val="auto"/>
          <w:szCs w:val="28"/>
          <w:highlight w:val="none"/>
        </w:rPr>
        <w:t>Al</w:t>
      </w:r>
      <w:r>
        <w:rPr>
          <w:rFonts w:hint="default" w:ascii="Times New Roman" w:hAnsi="Times New Roman" w:eastAsia="宋体" w:cs="Times New Roman"/>
          <w:color w:val="auto"/>
          <w:szCs w:val="28"/>
          <w:highlight w:val="none"/>
          <w:vertAlign w:val="subscript"/>
        </w:rPr>
        <w:t>2</w:t>
      </w:r>
      <w:r>
        <w:rPr>
          <w:rFonts w:hint="default" w:ascii="Times New Roman" w:hAnsi="Times New Roman" w:eastAsia="宋体" w:cs="Times New Roman"/>
          <w:color w:val="auto"/>
          <w:szCs w:val="28"/>
          <w:highlight w:val="none"/>
        </w:rPr>
        <w:t>O</w:t>
      </w:r>
      <w:r>
        <w:rPr>
          <w:rFonts w:hint="default" w:ascii="Times New Roman" w:hAnsi="Times New Roman" w:eastAsia="宋体" w:cs="Times New Roman"/>
          <w:color w:val="auto"/>
          <w:szCs w:val="28"/>
          <w:highlight w:val="none"/>
          <w:vertAlign w:val="subscript"/>
        </w:rPr>
        <w:t>3</w:t>
      </w:r>
      <w:r>
        <w:rPr>
          <w:rFonts w:hint="default" w:ascii="Times New Roman" w:hAnsi="Times New Roman" w:eastAsia="宋体" w:cs="Times New Roman"/>
          <w:color w:val="auto"/>
          <w:szCs w:val="28"/>
          <w:highlight w:val="none"/>
        </w:rPr>
        <w:t>、MgO、Fe</w:t>
      </w:r>
      <w:r>
        <w:rPr>
          <w:rFonts w:hint="default" w:ascii="Times New Roman" w:hAnsi="Times New Roman" w:eastAsia="宋体" w:cs="Times New Roman"/>
          <w:color w:val="auto"/>
          <w:szCs w:val="28"/>
          <w:highlight w:val="none"/>
          <w:vertAlign w:val="subscript"/>
        </w:rPr>
        <w:t>2</w:t>
      </w:r>
      <w:r>
        <w:rPr>
          <w:rFonts w:hint="default" w:ascii="Times New Roman" w:hAnsi="Times New Roman" w:eastAsia="宋体" w:cs="Times New Roman"/>
          <w:color w:val="auto"/>
          <w:szCs w:val="28"/>
          <w:highlight w:val="none"/>
        </w:rPr>
        <w:t>O</w:t>
      </w:r>
      <w:r>
        <w:rPr>
          <w:rFonts w:hint="default" w:ascii="Times New Roman" w:hAnsi="Times New Roman" w:eastAsia="宋体" w:cs="Times New Roman"/>
          <w:color w:val="auto"/>
          <w:szCs w:val="28"/>
          <w:highlight w:val="none"/>
          <w:vertAlign w:val="subscript"/>
        </w:rPr>
        <w:t>3</w:t>
      </w:r>
      <w:r>
        <w:rPr>
          <w:rFonts w:hint="default" w:ascii="Times New Roman" w:hAnsi="Times New Roman" w:eastAsia="宋体" w:cs="Times New Roman"/>
          <w:color w:val="auto"/>
          <w:szCs w:val="28"/>
          <w:highlight w:val="none"/>
        </w:rPr>
        <w:t>、FeO、K</w:t>
      </w:r>
      <w:r>
        <w:rPr>
          <w:rFonts w:hint="default" w:ascii="Times New Roman" w:hAnsi="Times New Roman" w:eastAsia="宋体" w:cs="Times New Roman"/>
          <w:color w:val="auto"/>
          <w:szCs w:val="28"/>
          <w:highlight w:val="none"/>
          <w:vertAlign w:val="subscript"/>
        </w:rPr>
        <w:t>2</w:t>
      </w:r>
      <w:r>
        <w:rPr>
          <w:rFonts w:hint="default" w:ascii="Times New Roman" w:hAnsi="Times New Roman" w:eastAsia="宋体" w:cs="Times New Roman"/>
          <w:color w:val="auto"/>
          <w:szCs w:val="28"/>
          <w:highlight w:val="none"/>
        </w:rPr>
        <w:t>O、NaO、MnO、BaO、P</w:t>
      </w:r>
      <w:r>
        <w:rPr>
          <w:rFonts w:hint="default" w:ascii="Times New Roman" w:hAnsi="Times New Roman" w:eastAsia="宋体" w:cs="Times New Roman"/>
          <w:color w:val="auto"/>
          <w:szCs w:val="28"/>
          <w:highlight w:val="none"/>
          <w:vertAlign w:val="subscript"/>
        </w:rPr>
        <w:t>2</w:t>
      </w:r>
      <w:r>
        <w:rPr>
          <w:rFonts w:hint="default" w:ascii="Times New Roman" w:hAnsi="Times New Roman" w:eastAsia="宋体" w:cs="Times New Roman"/>
          <w:color w:val="auto"/>
          <w:szCs w:val="28"/>
          <w:highlight w:val="none"/>
        </w:rPr>
        <w:t>O</w:t>
      </w:r>
      <w:r>
        <w:rPr>
          <w:rFonts w:hint="default" w:ascii="Times New Roman" w:hAnsi="Times New Roman" w:eastAsia="宋体" w:cs="Times New Roman"/>
          <w:color w:val="auto"/>
          <w:szCs w:val="28"/>
          <w:highlight w:val="none"/>
          <w:vertAlign w:val="subscript"/>
        </w:rPr>
        <w:t>5</w:t>
      </w:r>
      <w:r>
        <w:rPr>
          <w:rFonts w:hint="default" w:ascii="Times New Roman" w:hAnsi="Times New Roman" w:eastAsia="宋体" w:cs="Times New Roman"/>
          <w:color w:val="auto"/>
          <w:szCs w:val="28"/>
          <w:highlight w:val="none"/>
        </w:rPr>
        <w:t>、SO</w:t>
      </w:r>
      <w:r>
        <w:rPr>
          <w:rFonts w:hint="default" w:ascii="Times New Roman" w:hAnsi="Times New Roman" w:eastAsia="宋体" w:cs="Times New Roman"/>
          <w:color w:val="auto"/>
          <w:szCs w:val="28"/>
          <w:highlight w:val="none"/>
          <w:vertAlign w:val="subscript"/>
        </w:rPr>
        <w:t>3</w:t>
      </w:r>
      <w:r>
        <w:rPr>
          <w:rFonts w:hint="default" w:ascii="Times New Roman" w:hAnsi="Times New Roman" w:eastAsia="宋体" w:cs="Times New Roman"/>
          <w:color w:val="auto"/>
          <w:szCs w:val="28"/>
          <w:highlight w:val="none"/>
        </w:rPr>
        <w:t>、Cl、H</w:t>
      </w:r>
      <w:r>
        <w:rPr>
          <w:rFonts w:hint="default" w:ascii="Times New Roman" w:hAnsi="Times New Roman" w:eastAsia="宋体" w:cs="Times New Roman"/>
          <w:color w:val="auto"/>
          <w:szCs w:val="28"/>
          <w:highlight w:val="none"/>
          <w:vertAlign w:val="subscript"/>
        </w:rPr>
        <w:t>2</w:t>
      </w:r>
      <w:r>
        <w:rPr>
          <w:rFonts w:hint="default" w:ascii="Times New Roman" w:hAnsi="Times New Roman" w:eastAsia="宋体" w:cs="Times New Roman"/>
          <w:color w:val="auto"/>
          <w:szCs w:val="28"/>
          <w:highlight w:val="none"/>
        </w:rPr>
        <w:t>O</w:t>
      </w:r>
      <w:r>
        <w:rPr>
          <w:rFonts w:hint="default" w:ascii="Times New Roman" w:hAnsi="Times New Roman" w:eastAsia="宋体" w:cs="Times New Roman"/>
          <w:color w:val="auto"/>
          <w:szCs w:val="28"/>
          <w:highlight w:val="none"/>
          <w:vertAlign w:val="superscript"/>
        </w:rPr>
        <w:t>+</w:t>
      </w:r>
      <w:r>
        <w:rPr>
          <w:rFonts w:hint="default" w:ascii="Times New Roman" w:hAnsi="Times New Roman" w:eastAsia="宋体" w:cs="Times New Roman"/>
          <w:color w:val="auto"/>
          <w:szCs w:val="28"/>
          <w:highlight w:val="none"/>
        </w:rPr>
        <w:t>、H</w:t>
      </w:r>
      <w:r>
        <w:rPr>
          <w:rFonts w:hint="default" w:ascii="Times New Roman" w:hAnsi="Times New Roman" w:eastAsia="宋体" w:cs="Times New Roman"/>
          <w:color w:val="auto"/>
          <w:szCs w:val="28"/>
          <w:highlight w:val="none"/>
          <w:vertAlign w:val="subscript"/>
        </w:rPr>
        <w:t>2</w:t>
      </w:r>
      <w:r>
        <w:rPr>
          <w:rFonts w:hint="default" w:ascii="Times New Roman" w:hAnsi="Times New Roman" w:eastAsia="宋体" w:cs="Times New Roman"/>
          <w:color w:val="auto"/>
          <w:szCs w:val="28"/>
          <w:highlight w:val="none"/>
        </w:rPr>
        <w:t>O</w:t>
      </w:r>
      <w:r>
        <w:rPr>
          <w:rFonts w:hint="default" w:ascii="Times New Roman" w:hAnsi="Times New Roman" w:eastAsia="宋体" w:cs="Times New Roman"/>
          <w:color w:val="auto"/>
          <w:szCs w:val="28"/>
          <w:highlight w:val="none"/>
          <w:vertAlign w:val="superscript"/>
        </w:rPr>
        <w:t>-</w:t>
      </w:r>
      <w:r>
        <w:rPr>
          <w:rFonts w:hint="default" w:ascii="Times New Roman" w:hAnsi="Times New Roman" w:eastAsia="宋体" w:cs="Times New Roman"/>
          <w:color w:val="auto"/>
          <w:szCs w:val="28"/>
          <w:highlight w:val="none"/>
        </w:rPr>
        <w:t>、Cl等矿石其他化学组分占总量的14.96%。</w:t>
      </w:r>
    </w:p>
    <w:p w14:paraId="0F2AB2A0">
      <w:pPr>
        <w:pStyle w:val="4"/>
        <w:rPr>
          <w:rFonts w:hint="default" w:ascii="Times New Roman" w:hAnsi="Times New Roman" w:cs="Times New Roman"/>
          <w:color w:val="auto"/>
          <w:highlight w:val="none"/>
        </w:rPr>
      </w:pPr>
      <w:bookmarkStart w:id="353" w:name="_Toc2301"/>
      <w:bookmarkStart w:id="354" w:name="_Toc2471"/>
      <w:bookmarkStart w:id="355" w:name="_Toc10631"/>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.3建设内容及依托矿山基本情况</w:t>
      </w:r>
      <w:bookmarkEnd w:id="353"/>
      <w:bookmarkEnd w:id="354"/>
      <w:bookmarkEnd w:id="355"/>
    </w:p>
    <w:p w14:paraId="3723D8E1">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.3.1建设内容</w:t>
      </w:r>
    </w:p>
    <w:p w14:paraId="2C73E57B">
      <w:pPr>
        <w:pStyle w:val="55"/>
        <w:overflowPunct w:val="0"/>
        <w:topLinePunct/>
        <w:snapToGrid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本次新建选矿厂原矿处理能力为</w:t>
      </w:r>
      <w:r>
        <w:rPr>
          <w:rFonts w:hint="default" w:ascii="Times New Roman" w:hAnsi="Times New Roman" w:cs="Times New Roman"/>
          <w:color w:val="auto"/>
          <w:highlight w:val="none"/>
          <w:lang w:val="en-US" w:eastAsia="zh-CN"/>
        </w:rPr>
        <w:t>60</w:t>
      </w:r>
      <w:r>
        <w:rPr>
          <w:rFonts w:hint="default" w:ascii="Times New Roman" w:hAnsi="Times New Roman" w:cs="Times New Roman"/>
          <w:color w:val="auto"/>
          <w:highlight w:val="none"/>
        </w:rPr>
        <w:t>万t/a</w:t>
      </w:r>
      <w:r>
        <w:rPr>
          <w:rFonts w:hint="default" w:ascii="Times New Roman" w:hAnsi="Times New Roman" w:cs="Times New Roman"/>
          <w:color w:val="auto"/>
          <w:highlight w:val="none"/>
          <w:lang w:eastAsia="zh-CN"/>
        </w:rPr>
        <w:t>，与配套矿山开采量匹配</w:t>
      </w:r>
      <w:r>
        <w:rPr>
          <w:rFonts w:hint="default" w:ascii="Times New Roman" w:hAnsi="Times New Roman" w:cs="Times New Roman"/>
          <w:color w:val="auto"/>
          <w:highlight w:val="none"/>
        </w:rPr>
        <w:t>。建设内容包括新建选矿厂、新建尾矿库及尾矿输送系统，</w:t>
      </w:r>
      <w:r>
        <w:rPr>
          <w:rFonts w:hint="default" w:ascii="Times New Roman" w:hAnsi="Times New Roman" w:cs="Times New Roman"/>
          <w:color w:val="auto"/>
          <w:highlight w:val="none"/>
          <w:lang w:eastAsia="zh-CN"/>
        </w:rPr>
        <w:t>以</w:t>
      </w:r>
      <w:r>
        <w:rPr>
          <w:rFonts w:hint="default" w:ascii="Times New Roman" w:hAnsi="Times New Roman" w:cs="Times New Roman"/>
          <w:color w:val="auto"/>
          <w:highlight w:val="none"/>
        </w:rPr>
        <w:t>及</w:t>
      </w:r>
      <w:r>
        <w:rPr>
          <w:rFonts w:hint="default" w:ascii="Times New Roman" w:hAnsi="Times New Roman" w:cs="Times New Roman"/>
          <w:color w:val="auto"/>
          <w:highlight w:val="none"/>
          <w:lang w:eastAsia="zh-CN"/>
        </w:rPr>
        <w:t>其他</w:t>
      </w:r>
      <w:r>
        <w:rPr>
          <w:rFonts w:hint="default" w:ascii="Times New Roman" w:hAnsi="Times New Roman" w:cs="Times New Roman"/>
          <w:color w:val="auto"/>
          <w:highlight w:val="none"/>
        </w:rPr>
        <w:t>辅助生产设施。选矿工艺设施</w:t>
      </w:r>
      <w:r>
        <w:rPr>
          <w:rFonts w:hint="default" w:ascii="Times New Roman" w:hAnsi="Times New Roman" w:cs="Times New Roman"/>
          <w:color w:val="auto"/>
          <w:highlight w:val="none"/>
          <w:lang w:val="en-US" w:eastAsia="zh-CN"/>
        </w:rPr>
        <w:t>主要</w:t>
      </w:r>
      <w:r>
        <w:rPr>
          <w:rFonts w:hint="default" w:ascii="Times New Roman" w:hAnsi="Times New Roman" w:cs="Times New Roman"/>
          <w:color w:val="auto"/>
          <w:highlight w:val="none"/>
        </w:rPr>
        <w:t>包括破碎车间、皮带廊、中碎车间、主厂房、精粉仓库、浓密机、过滤车间、沉淀池、泵房、化验室、机修车间、仓库、选厂办公室等建构筑物。</w:t>
      </w:r>
    </w:p>
    <w:p w14:paraId="5FE4FF2C">
      <w:pPr>
        <w:pStyle w:val="55"/>
        <w:overflowPunct w:val="0"/>
        <w:topLinePunct/>
        <w:snapToGrid w:val="0"/>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highlight w:val="none"/>
        </w:rPr>
        <w:t>新建的尾矿库</w:t>
      </w:r>
      <w:r>
        <w:rPr>
          <w:rFonts w:hint="default" w:ascii="Times New Roman" w:hAnsi="Times New Roman" w:cs="Times New Roman"/>
          <w:color w:val="auto"/>
          <w:szCs w:val="28"/>
          <w:highlight w:val="none"/>
        </w:rPr>
        <w:t>最终堆积标高</w:t>
      </w:r>
      <w:r>
        <w:rPr>
          <w:rFonts w:hint="default" w:ascii="Times New Roman" w:hAnsi="Times New Roman" w:cs="Times New Roman"/>
          <w:color w:val="auto"/>
          <w:szCs w:val="28"/>
          <w:highlight w:val="none"/>
          <w:lang w:val="en-US" w:eastAsia="zh-CN"/>
        </w:rPr>
        <w:t>1187</w:t>
      </w:r>
      <w:r>
        <w:rPr>
          <w:rFonts w:hint="default" w:ascii="Times New Roman" w:hAnsi="Times New Roman" w:cs="Times New Roman"/>
          <w:color w:val="auto"/>
          <w:szCs w:val="28"/>
          <w:highlight w:val="none"/>
        </w:rPr>
        <w:t>m，尾矿库总坝高为16m（一期坝高9m，二期</w:t>
      </w:r>
      <w:r>
        <w:rPr>
          <w:rFonts w:hint="eastAsia" w:cs="Times New Roman"/>
          <w:color w:val="auto"/>
          <w:szCs w:val="28"/>
          <w:highlight w:val="none"/>
          <w:lang w:eastAsia="zh-CN"/>
        </w:rPr>
        <w:t>坝</w:t>
      </w:r>
      <w:r>
        <w:rPr>
          <w:rFonts w:hint="default" w:ascii="Times New Roman" w:hAnsi="Times New Roman" w:cs="Times New Roman"/>
          <w:color w:val="auto"/>
          <w:szCs w:val="28"/>
          <w:highlight w:val="none"/>
        </w:rPr>
        <w:t>高7m），总库容</w:t>
      </w:r>
      <w:r>
        <w:rPr>
          <w:rFonts w:hint="default" w:ascii="Times New Roman" w:hAnsi="Times New Roman" w:cs="Times New Roman"/>
          <w:color w:val="auto"/>
          <w:szCs w:val="28"/>
          <w:highlight w:val="none"/>
          <w:lang w:val="en-US" w:eastAsia="zh-CN"/>
        </w:rPr>
        <w:t>102</w:t>
      </w:r>
      <w:r>
        <w:rPr>
          <w:rFonts w:hint="default" w:ascii="Times New Roman" w:hAnsi="Times New Roman" w:cs="Times New Roman"/>
          <w:color w:val="auto"/>
          <w:szCs w:val="28"/>
          <w:highlight w:val="none"/>
        </w:rPr>
        <w:t>万m</w:t>
      </w:r>
      <w:r>
        <w:rPr>
          <w:rFonts w:hint="default" w:ascii="Times New Roman" w:hAnsi="Times New Roman" w:cs="Times New Roman"/>
          <w:color w:val="auto"/>
          <w:szCs w:val="28"/>
          <w:highlight w:val="none"/>
          <w:vertAlign w:val="superscript"/>
        </w:rPr>
        <w:t>3</w:t>
      </w:r>
      <w:r>
        <w:rPr>
          <w:rFonts w:hint="default" w:ascii="Times New Roman" w:hAnsi="Times New Roman" w:cs="Times New Roman"/>
          <w:color w:val="auto"/>
          <w:szCs w:val="28"/>
          <w:highlight w:val="none"/>
          <w:lang w:eastAsia="zh-CN"/>
        </w:rPr>
        <w:t>，</w:t>
      </w:r>
      <w:r>
        <w:rPr>
          <w:rFonts w:hint="default" w:ascii="Times New Roman" w:hAnsi="Times New Roman" w:cs="Times New Roman"/>
          <w:color w:val="auto"/>
          <w:szCs w:val="28"/>
          <w:highlight w:val="none"/>
        </w:rPr>
        <w:t>尾矿库等别为</w:t>
      </w:r>
      <w:r>
        <w:rPr>
          <w:rFonts w:hint="default" w:ascii="Times New Roman" w:hAnsi="Times New Roman" w:cs="Times New Roman"/>
          <w:color w:val="auto"/>
          <w:szCs w:val="28"/>
          <w:highlight w:val="none"/>
          <w:lang w:val="en-US" w:eastAsia="zh-CN"/>
        </w:rPr>
        <w:t>四</w:t>
      </w:r>
      <w:r>
        <w:rPr>
          <w:rFonts w:hint="default" w:ascii="Times New Roman" w:hAnsi="Times New Roman" w:cs="Times New Roman"/>
          <w:color w:val="auto"/>
          <w:szCs w:val="28"/>
          <w:highlight w:val="none"/>
        </w:rPr>
        <w:t>等，尾矿库可服务约</w:t>
      </w:r>
      <w:r>
        <w:rPr>
          <w:rFonts w:hint="default" w:ascii="Times New Roman" w:hAnsi="Times New Roman" w:cs="Times New Roman"/>
          <w:color w:val="auto"/>
          <w:szCs w:val="28"/>
          <w:highlight w:val="none"/>
          <w:lang w:val="en-US" w:eastAsia="zh-CN"/>
        </w:rPr>
        <w:t>5.2</w:t>
      </w:r>
      <w:r>
        <w:rPr>
          <w:rFonts w:hint="default" w:ascii="Times New Roman" w:hAnsi="Times New Roman" w:cs="Times New Roman"/>
          <w:color w:val="auto"/>
          <w:szCs w:val="28"/>
          <w:highlight w:val="none"/>
        </w:rPr>
        <w:t>年。</w:t>
      </w:r>
      <w:r>
        <w:rPr>
          <w:rFonts w:hint="default" w:ascii="Times New Roman" w:hAnsi="Times New Roman" w:cs="Times New Roman"/>
          <w:color w:val="auto"/>
          <w:sz w:val="24"/>
          <w:highlight w:val="none"/>
        </w:rPr>
        <w:t>本项目组成情况见表3.</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w:t>
      </w:r>
    </w:p>
    <w:p w14:paraId="664C882B">
      <w:pPr>
        <w:pStyle w:val="43"/>
        <w:spacing w:line="480" w:lineRule="exact"/>
        <w:ind w:firstLine="0" w:firstLineChars="0"/>
        <w:jc w:val="center"/>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表3.</w:t>
      </w:r>
      <w:r>
        <w:rPr>
          <w:rFonts w:hint="default" w:ascii="Times New Roman" w:hAnsi="Times New Roman" w:cs="Times New Roman"/>
          <w:b/>
          <w:bCs/>
          <w:color w:val="auto"/>
          <w:szCs w:val="24"/>
          <w:highlight w:val="none"/>
          <w:lang w:val="en-US" w:eastAsia="zh-CN"/>
        </w:rPr>
        <w:t>1</w:t>
      </w:r>
      <w:r>
        <w:rPr>
          <w:rFonts w:hint="default" w:ascii="Times New Roman" w:hAnsi="Times New Roman" w:cs="Times New Roman"/>
          <w:b/>
          <w:bCs/>
          <w:color w:val="auto"/>
          <w:szCs w:val="24"/>
          <w:highlight w:val="none"/>
        </w:rPr>
        <w:t>-</w:t>
      </w:r>
      <w:r>
        <w:rPr>
          <w:rFonts w:hint="default" w:ascii="Times New Roman" w:hAnsi="Times New Roman" w:cs="Times New Roman"/>
          <w:b/>
          <w:bCs/>
          <w:color w:val="auto"/>
          <w:szCs w:val="24"/>
          <w:highlight w:val="none"/>
          <w:lang w:val="en-US" w:eastAsia="zh-CN"/>
        </w:rPr>
        <w:t>2</w:t>
      </w:r>
      <w:r>
        <w:rPr>
          <w:rFonts w:hint="default" w:ascii="Times New Roman" w:hAnsi="Times New Roman" w:cs="Times New Roman"/>
          <w:b/>
          <w:bCs/>
          <w:color w:val="auto"/>
          <w:szCs w:val="24"/>
          <w:highlight w:val="none"/>
        </w:rPr>
        <w:t xml:space="preserve">    本项目组成一览表</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5"/>
        <w:gridCol w:w="444"/>
        <w:gridCol w:w="418"/>
        <w:gridCol w:w="6922"/>
        <w:gridCol w:w="705"/>
      </w:tblGrid>
      <w:tr w14:paraId="10FE44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547" w:type="dxa"/>
            <w:gridSpan w:val="3"/>
            <w:tcBorders>
              <w:tl2br w:val="nil"/>
              <w:tr2bl w:val="nil"/>
            </w:tcBorders>
            <w:vAlign w:val="center"/>
          </w:tcPr>
          <w:p w14:paraId="2A081983">
            <w:pPr>
              <w:pStyle w:val="15"/>
              <w:keepNext w:val="0"/>
              <w:keepLines w:val="0"/>
              <w:pageBreakBefore w:val="0"/>
              <w:widowControl w:val="0"/>
              <w:kinsoku/>
              <w:wordWrap/>
              <w:overflowPunct/>
              <w:autoSpaceDE/>
              <w:autoSpaceDN/>
              <w:bidi w:val="0"/>
              <w:adjustRightInd w:val="0"/>
              <w:snapToGrid w:val="0"/>
              <w:spacing w:line="360" w:lineRule="exact"/>
              <w:ind w:firstLine="0" w:firstLineChars="0"/>
              <w:jc w:val="center"/>
              <w:textAlignment w:val="auto"/>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单元名称</w:t>
            </w:r>
          </w:p>
        </w:tc>
        <w:tc>
          <w:tcPr>
            <w:tcW w:w="6922" w:type="dxa"/>
            <w:tcBorders>
              <w:tl2br w:val="nil"/>
              <w:tr2bl w:val="nil"/>
            </w:tcBorders>
            <w:vAlign w:val="center"/>
          </w:tcPr>
          <w:p w14:paraId="15ED6EE6">
            <w:pPr>
              <w:pStyle w:val="15"/>
              <w:keepNext w:val="0"/>
              <w:keepLines w:val="0"/>
              <w:pageBreakBefore w:val="0"/>
              <w:widowControl w:val="0"/>
              <w:kinsoku/>
              <w:wordWrap/>
              <w:overflowPunct/>
              <w:autoSpaceDE/>
              <w:autoSpaceDN/>
              <w:bidi w:val="0"/>
              <w:adjustRightInd w:val="0"/>
              <w:snapToGrid w:val="0"/>
              <w:spacing w:line="360" w:lineRule="exact"/>
              <w:ind w:firstLine="0" w:firstLineChars="0"/>
              <w:jc w:val="center"/>
              <w:textAlignment w:val="auto"/>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建设内容</w:t>
            </w:r>
          </w:p>
        </w:tc>
        <w:tc>
          <w:tcPr>
            <w:tcW w:w="705" w:type="dxa"/>
            <w:tcBorders>
              <w:tl2br w:val="nil"/>
              <w:tr2bl w:val="nil"/>
            </w:tcBorders>
            <w:vAlign w:val="center"/>
          </w:tcPr>
          <w:p w14:paraId="3BA4E86B">
            <w:pPr>
              <w:pStyle w:val="15"/>
              <w:keepNext w:val="0"/>
              <w:keepLines w:val="0"/>
              <w:pageBreakBefore w:val="0"/>
              <w:widowControl w:val="0"/>
              <w:kinsoku/>
              <w:wordWrap/>
              <w:overflowPunct/>
              <w:autoSpaceDE/>
              <w:autoSpaceDN/>
              <w:bidi w:val="0"/>
              <w:adjustRightInd w:val="0"/>
              <w:snapToGrid w:val="0"/>
              <w:spacing w:line="360" w:lineRule="exact"/>
              <w:ind w:firstLine="0" w:firstLineChars="0"/>
              <w:jc w:val="center"/>
              <w:textAlignment w:val="auto"/>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备注</w:t>
            </w:r>
          </w:p>
        </w:tc>
      </w:tr>
      <w:tr w14:paraId="4065F4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685" w:type="dxa"/>
            <w:vMerge w:val="restart"/>
            <w:tcBorders>
              <w:tl2br w:val="nil"/>
              <w:tr2bl w:val="nil"/>
            </w:tcBorders>
            <w:vAlign w:val="center"/>
          </w:tcPr>
          <w:p w14:paraId="7293B2FC">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主体工程</w:t>
            </w:r>
          </w:p>
        </w:tc>
        <w:tc>
          <w:tcPr>
            <w:tcW w:w="862" w:type="dxa"/>
            <w:gridSpan w:val="2"/>
            <w:tcBorders>
              <w:tl2br w:val="nil"/>
              <w:tr2bl w:val="nil"/>
            </w:tcBorders>
            <w:vAlign w:val="center"/>
          </w:tcPr>
          <w:p w14:paraId="32587195">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选矿厂</w:t>
            </w:r>
          </w:p>
        </w:tc>
        <w:tc>
          <w:tcPr>
            <w:tcW w:w="6922" w:type="dxa"/>
            <w:tcBorders>
              <w:tl2br w:val="nil"/>
              <w:tr2bl w:val="nil"/>
            </w:tcBorders>
            <w:vAlign w:val="center"/>
          </w:tcPr>
          <w:p w14:paraId="6FB6B479">
            <w:pPr>
              <w:pStyle w:val="15"/>
              <w:keepNext w:val="0"/>
              <w:keepLines w:val="0"/>
              <w:pageBreakBefore w:val="0"/>
              <w:widowControl w:val="0"/>
              <w:kinsoku/>
              <w:wordWrap/>
              <w:overflowPunct/>
              <w:autoSpaceDE/>
              <w:autoSpaceDN/>
              <w:bidi w:val="0"/>
              <w:snapToGrid w:val="0"/>
              <w:spacing w:line="360" w:lineRule="exact"/>
              <w:ind w:firstLine="0" w:firstLineChars="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sz w:val="21"/>
                <w:highlight w:val="none"/>
              </w:rPr>
              <w:t>选矿厂主要车间组成为：</w:t>
            </w:r>
            <w:r>
              <w:rPr>
                <w:rFonts w:hint="default" w:ascii="Times New Roman" w:hAnsi="Times New Roman" w:cs="Times New Roman"/>
                <w:color w:val="auto"/>
                <w:sz w:val="21"/>
                <w:highlight w:val="none"/>
                <w:lang w:val="en-US" w:eastAsia="zh-CN"/>
              </w:rPr>
              <w:t>①</w:t>
            </w:r>
            <w:r>
              <w:rPr>
                <w:rFonts w:hint="default" w:ascii="Times New Roman" w:hAnsi="Times New Roman" w:cs="Times New Roman"/>
                <w:color w:val="auto"/>
                <w:sz w:val="21"/>
                <w:highlight w:val="none"/>
              </w:rPr>
              <w:t>破碎车间：包括粗碎车间、中碎车间（筛分车间）。</w:t>
            </w:r>
            <w:r>
              <w:rPr>
                <w:rFonts w:hint="default" w:ascii="Times New Roman" w:hAnsi="Times New Roman" w:cs="Times New Roman"/>
                <w:color w:val="auto"/>
                <w:sz w:val="21"/>
                <w:highlight w:val="none"/>
                <w:lang w:val="en-US" w:eastAsia="zh-CN"/>
              </w:rPr>
              <w:t>②</w:t>
            </w:r>
            <w:r>
              <w:rPr>
                <w:rFonts w:hint="default" w:ascii="Times New Roman" w:hAnsi="Times New Roman" w:cs="Times New Roman"/>
                <w:color w:val="auto"/>
                <w:sz w:val="21"/>
                <w:highlight w:val="none"/>
              </w:rPr>
              <w:t>磨矿及浮选车间：即主厂房，负责磨矿、分级、浮选作业。</w:t>
            </w:r>
            <w:r>
              <w:rPr>
                <w:rFonts w:hint="default" w:ascii="Times New Roman" w:hAnsi="Times New Roman" w:cs="Times New Roman"/>
                <w:color w:val="auto"/>
                <w:sz w:val="21"/>
                <w:highlight w:val="none"/>
                <w:lang w:val="en-US" w:eastAsia="zh-CN"/>
              </w:rPr>
              <w:t>③</w:t>
            </w:r>
            <w:r>
              <w:rPr>
                <w:rFonts w:hint="default" w:ascii="Times New Roman" w:hAnsi="Times New Roman" w:cs="Times New Roman"/>
                <w:color w:val="auto"/>
                <w:sz w:val="21"/>
                <w:highlight w:val="none"/>
              </w:rPr>
              <w:t>矿仓：包括原矿仓和粉矿仓（2座钢板仓）。</w:t>
            </w:r>
            <w:r>
              <w:rPr>
                <w:rFonts w:hint="default" w:ascii="Times New Roman" w:hAnsi="Times New Roman" w:cs="Times New Roman"/>
                <w:color w:val="auto"/>
                <w:sz w:val="21"/>
                <w:highlight w:val="none"/>
                <w:lang w:val="en-US" w:eastAsia="zh-CN"/>
              </w:rPr>
              <w:t>④</w:t>
            </w:r>
            <w:r>
              <w:rPr>
                <w:rFonts w:hint="default" w:ascii="Times New Roman" w:hAnsi="Times New Roman" w:cs="Times New Roman"/>
                <w:color w:val="auto"/>
                <w:sz w:val="21"/>
                <w:highlight w:val="none"/>
              </w:rPr>
              <w:t>脱水车间：包括浓密机和盘式过滤机等设备，用于精矿脱水。</w:t>
            </w:r>
            <w:r>
              <w:rPr>
                <w:rFonts w:hint="default" w:ascii="Times New Roman" w:hAnsi="Times New Roman" w:cs="Times New Roman"/>
                <w:color w:val="auto"/>
                <w:sz w:val="21"/>
                <w:highlight w:val="none"/>
                <w:lang w:val="en-US" w:eastAsia="zh-CN"/>
              </w:rPr>
              <w:t>⑤</w:t>
            </w:r>
            <w:r>
              <w:rPr>
                <w:rFonts w:hint="default" w:ascii="Times New Roman" w:hAnsi="Times New Roman" w:cs="Times New Roman"/>
                <w:color w:val="auto"/>
                <w:sz w:val="21"/>
                <w:highlight w:val="none"/>
              </w:rPr>
              <w:t>精矿仓库：用于储存最终产品。</w:t>
            </w:r>
            <w:r>
              <w:rPr>
                <w:rFonts w:hint="default" w:ascii="Times New Roman" w:hAnsi="Times New Roman" w:cs="Times New Roman"/>
                <w:color w:val="auto"/>
                <w:sz w:val="21"/>
                <w:highlight w:val="none"/>
                <w:lang w:eastAsia="zh-CN"/>
              </w:rPr>
              <w:t>总占地面积</w:t>
            </w:r>
            <w:r>
              <w:rPr>
                <w:rFonts w:hint="default" w:ascii="Times New Roman" w:hAnsi="Times New Roman" w:cs="Times New Roman"/>
                <w:color w:val="auto"/>
                <w:sz w:val="21"/>
                <w:highlight w:val="none"/>
                <w:lang w:val="en-US" w:eastAsia="zh-CN"/>
              </w:rPr>
              <w:t>为1.78hm</w:t>
            </w:r>
            <w:r>
              <w:rPr>
                <w:rFonts w:hint="default" w:ascii="Times New Roman" w:hAnsi="Times New Roman" w:cs="Times New Roman"/>
                <w:color w:val="auto"/>
                <w:sz w:val="21"/>
                <w:highlight w:val="none"/>
                <w:vertAlign w:val="superscript"/>
                <w:lang w:val="en-US" w:eastAsia="zh-CN"/>
              </w:rPr>
              <w:t>2</w:t>
            </w:r>
            <w:r>
              <w:rPr>
                <w:rFonts w:hint="default" w:ascii="Times New Roman" w:hAnsi="Times New Roman" w:cs="Times New Roman"/>
                <w:color w:val="auto"/>
                <w:sz w:val="21"/>
                <w:highlight w:val="none"/>
                <w:lang w:val="en-US" w:eastAsia="zh-CN"/>
              </w:rPr>
              <w:t>。</w:t>
            </w:r>
          </w:p>
        </w:tc>
        <w:tc>
          <w:tcPr>
            <w:tcW w:w="705" w:type="dxa"/>
            <w:tcBorders>
              <w:tl2br w:val="nil"/>
              <w:tr2bl w:val="nil"/>
            </w:tcBorders>
            <w:vAlign w:val="center"/>
          </w:tcPr>
          <w:p w14:paraId="72A5E6B9">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新建</w:t>
            </w:r>
          </w:p>
        </w:tc>
      </w:tr>
      <w:tr w14:paraId="0D3880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dxa"/>
            <w:vMerge w:val="continue"/>
            <w:tcBorders>
              <w:tl2br w:val="nil"/>
              <w:tr2bl w:val="nil"/>
            </w:tcBorders>
            <w:vAlign w:val="center"/>
          </w:tcPr>
          <w:p w14:paraId="12FF24A7">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bCs/>
                <w:color w:val="auto"/>
                <w:sz w:val="21"/>
                <w:highlight w:val="none"/>
              </w:rPr>
            </w:pPr>
          </w:p>
        </w:tc>
        <w:tc>
          <w:tcPr>
            <w:tcW w:w="444" w:type="dxa"/>
            <w:vMerge w:val="restart"/>
            <w:tcBorders>
              <w:tl2br w:val="nil"/>
              <w:tr2bl w:val="nil"/>
            </w:tcBorders>
            <w:vAlign w:val="center"/>
          </w:tcPr>
          <w:p w14:paraId="3127A5C2">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尾矿库</w:t>
            </w:r>
          </w:p>
        </w:tc>
        <w:tc>
          <w:tcPr>
            <w:tcW w:w="418" w:type="dxa"/>
            <w:tcBorders>
              <w:tl2br w:val="nil"/>
              <w:tr2bl w:val="nil"/>
            </w:tcBorders>
            <w:vAlign w:val="center"/>
          </w:tcPr>
          <w:p w14:paraId="33BD69BB">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坝体工程</w:t>
            </w:r>
          </w:p>
        </w:tc>
        <w:tc>
          <w:tcPr>
            <w:tcW w:w="6922" w:type="dxa"/>
            <w:tcBorders>
              <w:tl2br w:val="nil"/>
              <w:tr2bl w:val="nil"/>
            </w:tcBorders>
            <w:vAlign w:val="center"/>
          </w:tcPr>
          <w:p w14:paraId="00A9EAC0">
            <w:pPr>
              <w:pStyle w:val="15"/>
              <w:keepNext w:val="0"/>
              <w:keepLines w:val="0"/>
              <w:pageBreakBefore w:val="0"/>
              <w:widowControl w:val="0"/>
              <w:kinsoku/>
              <w:wordWrap/>
              <w:overflowPunct/>
              <w:topLinePunct/>
              <w:autoSpaceDE/>
              <w:autoSpaceDN/>
              <w:bidi w:val="0"/>
              <w:snapToGrid w:val="0"/>
              <w:spacing w:line="360" w:lineRule="exact"/>
              <w:ind w:firstLine="0" w:firstLineChars="0"/>
              <w:jc w:val="both"/>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设计总库容</w:t>
            </w:r>
            <w:r>
              <w:rPr>
                <w:rFonts w:hint="default" w:ascii="Times New Roman" w:hAnsi="Times New Roman" w:cs="Times New Roman"/>
                <w:color w:val="auto"/>
                <w:sz w:val="21"/>
                <w:highlight w:val="none"/>
                <w:lang w:val="en-US" w:eastAsia="zh-CN"/>
              </w:rPr>
              <w:t>102</w:t>
            </w:r>
            <w:r>
              <w:rPr>
                <w:rFonts w:hint="default" w:ascii="Times New Roman" w:hAnsi="Times New Roman" w:cs="Times New Roman"/>
                <w:color w:val="auto"/>
                <w:sz w:val="21"/>
                <w:highlight w:val="none"/>
              </w:rPr>
              <w:t>万m</w:t>
            </w:r>
            <w:r>
              <w:rPr>
                <w:rFonts w:hint="default" w:ascii="Times New Roman" w:hAnsi="Times New Roman" w:cs="Times New Roman"/>
                <w:color w:val="auto"/>
                <w:sz w:val="21"/>
                <w:highlight w:val="none"/>
                <w:vertAlign w:val="superscript"/>
              </w:rPr>
              <w:t>3</w:t>
            </w:r>
            <w:r>
              <w:rPr>
                <w:rFonts w:hint="default" w:ascii="Times New Roman" w:hAnsi="Times New Roman" w:cs="Times New Roman"/>
                <w:color w:val="auto"/>
                <w:sz w:val="21"/>
                <w:highlight w:val="none"/>
                <w:lang w:eastAsia="zh-CN"/>
              </w:rPr>
              <w:t>。</w:t>
            </w:r>
            <w:r>
              <w:rPr>
                <w:rFonts w:hint="default" w:ascii="Times New Roman" w:hAnsi="Times New Roman" w:eastAsia="宋体" w:cs="Times New Roman"/>
                <w:color w:val="auto"/>
                <w:kern w:val="0"/>
                <w:sz w:val="21"/>
                <w:szCs w:val="21"/>
                <w:highlight w:val="none"/>
                <w:lang w:val="en-US" w:eastAsia="zh-CN" w:bidi="ar-SA"/>
              </w:rPr>
              <w:t>尾矿坝采用一次建坝分期建设，坝型为碾压式土石坝，采用采矿废石筑坝。一期坝采用四面围筑的型式，形成东北、东南、西北、西南四侧坝体，坝顶标高1180m，坝高9m，在东南、东北、西南侧地形标高超高1180m处堆筑1.0m高的挡水坝，隔绝库外汇水。一期尾矿库全库容31万m</w:t>
            </w:r>
            <w:r>
              <w:rPr>
                <w:rFonts w:hint="default" w:ascii="Times New Roman" w:hAnsi="Times New Roman" w:eastAsia="宋体" w:cs="Times New Roman"/>
                <w:color w:val="auto"/>
                <w:kern w:val="0"/>
                <w:sz w:val="21"/>
                <w:szCs w:val="21"/>
                <w:highlight w:val="none"/>
                <w:vertAlign w:val="superscript"/>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，可服务1.3年。坝顶宽度为5m，坝轴线长1325m，上游坡比1:2.0，下游坝坡比1:2.2。上游坝坡采用1.0mm厚的双糙面HDPE土工膜防渗，并与库底1.0mm厚光面HDPE土工膜连接成一体，坝坡防渗膜上设600g/m</w:t>
            </w:r>
            <w:r>
              <w:rPr>
                <w:rFonts w:hint="default" w:ascii="Times New Roman" w:hAnsi="Times New Roman" w:eastAsia="宋体" w:cs="Times New Roman"/>
                <w:color w:val="auto"/>
                <w:kern w:val="0"/>
                <w:sz w:val="21"/>
                <w:szCs w:val="21"/>
                <w:highlight w:val="none"/>
                <w:vertAlign w:val="superscript"/>
                <w:lang w:val="en-US" w:eastAsia="zh-CN" w:bidi="ar-SA"/>
              </w:rPr>
              <w:t>2</w:t>
            </w:r>
            <w:r>
              <w:rPr>
                <w:rFonts w:hint="default" w:ascii="Times New Roman" w:hAnsi="Times New Roman" w:eastAsia="宋体" w:cs="Times New Roman"/>
                <w:color w:val="auto"/>
                <w:kern w:val="0"/>
                <w:sz w:val="21"/>
                <w:szCs w:val="21"/>
                <w:highlight w:val="none"/>
                <w:lang w:val="en-US" w:eastAsia="zh-CN" w:bidi="ar-SA"/>
              </w:rPr>
              <w:t>土工布保护层，膜下设0.3m厚压实细砂垫层。下游坝坡采用草皮或毛石护坡。二期坝尾矿坝在一期坝的基础上向下游加高7m，坝顶标高1187m，坝高16m，增加全库容71万m</w:t>
            </w:r>
            <w:r>
              <w:rPr>
                <w:rFonts w:hint="default" w:ascii="Times New Roman" w:hAnsi="Times New Roman" w:eastAsia="宋体" w:cs="Times New Roman"/>
                <w:color w:val="auto"/>
                <w:kern w:val="0"/>
                <w:sz w:val="21"/>
                <w:szCs w:val="21"/>
                <w:highlight w:val="none"/>
                <w:vertAlign w:val="superscript"/>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，可服务3.9年。坝顶宽度为5m，坝轴线长1446.6m，上游坡比1:2.0，下游坝坡比1:2.2。上游坝坡采用1.0mm厚的双糙面HDPE土工膜防渗，并与库底1.0mm厚光面HDPE土工膜连接成一体，坝坡防渗膜上设600g/m</w:t>
            </w:r>
            <w:r>
              <w:rPr>
                <w:rFonts w:hint="default" w:ascii="Times New Roman" w:hAnsi="Times New Roman" w:eastAsia="宋体" w:cs="Times New Roman"/>
                <w:color w:val="auto"/>
                <w:kern w:val="0"/>
                <w:sz w:val="21"/>
                <w:szCs w:val="21"/>
                <w:highlight w:val="none"/>
                <w:vertAlign w:val="superscript"/>
                <w:lang w:val="en-US" w:eastAsia="zh-CN" w:bidi="ar-SA"/>
              </w:rPr>
              <w:t>2</w:t>
            </w:r>
            <w:r>
              <w:rPr>
                <w:rFonts w:hint="default" w:ascii="Times New Roman" w:hAnsi="Times New Roman" w:eastAsia="宋体" w:cs="Times New Roman"/>
                <w:color w:val="auto"/>
                <w:kern w:val="0"/>
                <w:sz w:val="21"/>
                <w:szCs w:val="21"/>
                <w:highlight w:val="none"/>
                <w:lang w:val="en-US" w:eastAsia="zh-CN" w:bidi="ar-SA"/>
              </w:rPr>
              <w:t>土工布保护层，膜下设0.3m厚压实细砂垫层。上游坝坡在1180m标高设置土工材料嵌固平台，平台宽2m。下游坝坡采用草皮或毛石护坡。坝体下游标高1177.0m处设置马道，宽度2m。</w:t>
            </w:r>
          </w:p>
        </w:tc>
        <w:tc>
          <w:tcPr>
            <w:tcW w:w="705" w:type="dxa"/>
            <w:tcBorders>
              <w:tl2br w:val="nil"/>
              <w:tr2bl w:val="nil"/>
            </w:tcBorders>
            <w:vAlign w:val="center"/>
          </w:tcPr>
          <w:p w14:paraId="3C3F8D3C">
            <w:pPr>
              <w:pStyle w:val="15"/>
              <w:keepNext w:val="0"/>
              <w:keepLines w:val="0"/>
              <w:pageBreakBefore w:val="0"/>
              <w:widowControl w:val="0"/>
              <w:kinsoku/>
              <w:wordWrap/>
              <w:overflowPunct/>
              <w:topLine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新建</w:t>
            </w:r>
          </w:p>
        </w:tc>
      </w:tr>
      <w:tr w14:paraId="7BFA39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dxa"/>
            <w:vMerge w:val="continue"/>
            <w:tcBorders>
              <w:tl2br w:val="nil"/>
              <w:tr2bl w:val="nil"/>
            </w:tcBorders>
            <w:vAlign w:val="center"/>
          </w:tcPr>
          <w:p w14:paraId="35B31AA3">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bCs/>
                <w:color w:val="auto"/>
                <w:sz w:val="21"/>
                <w:highlight w:val="none"/>
              </w:rPr>
            </w:pPr>
          </w:p>
        </w:tc>
        <w:tc>
          <w:tcPr>
            <w:tcW w:w="444" w:type="dxa"/>
            <w:vMerge w:val="continue"/>
            <w:tcBorders>
              <w:tl2br w:val="nil"/>
              <w:tr2bl w:val="nil"/>
            </w:tcBorders>
            <w:vAlign w:val="center"/>
          </w:tcPr>
          <w:p w14:paraId="130F8921">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418" w:type="dxa"/>
            <w:tcBorders>
              <w:tl2br w:val="nil"/>
              <w:tr2bl w:val="nil"/>
            </w:tcBorders>
            <w:vAlign w:val="center"/>
          </w:tcPr>
          <w:p w14:paraId="1A8A43C2">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排洪系统</w:t>
            </w:r>
          </w:p>
        </w:tc>
        <w:tc>
          <w:tcPr>
            <w:tcW w:w="6922" w:type="dxa"/>
            <w:tcBorders>
              <w:tl2br w:val="nil"/>
              <w:tr2bl w:val="nil"/>
            </w:tcBorders>
            <w:vAlign w:val="center"/>
          </w:tcPr>
          <w:p w14:paraId="0F22CA3E">
            <w:pPr>
              <w:pStyle w:val="15"/>
              <w:keepNext w:val="0"/>
              <w:keepLines w:val="0"/>
              <w:pageBreakBefore w:val="0"/>
              <w:widowControl w:val="0"/>
              <w:kinsoku/>
              <w:wordWrap/>
              <w:overflowPunct/>
              <w:topLinePunct/>
              <w:autoSpaceDE/>
              <w:autoSpaceDN/>
              <w:bidi w:val="0"/>
              <w:snapToGrid w:val="0"/>
              <w:spacing w:line="360" w:lineRule="exact"/>
              <w:ind w:firstLine="0" w:firstLineChars="0"/>
              <w:jc w:val="both"/>
              <w:textAlignment w:val="auto"/>
              <w:rPr>
                <w:rFonts w:hint="default" w:ascii="Times New Roman" w:hAnsi="Times New Roman" w:cs="Times New Roman"/>
                <w:color w:val="auto"/>
                <w:sz w:val="21"/>
                <w:highlight w:val="none"/>
              </w:rPr>
            </w:pPr>
            <w:r>
              <w:rPr>
                <w:rFonts w:hint="default" w:ascii="Times New Roman" w:hAnsi="Times New Roman" w:eastAsia="宋体" w:cs="Times New Roman"/>
                <w:color w:val="auto"/>
                <w:kern w:val="0"/>
                <w:sz w:val="21"/>
                <w:szCs w:val="21"/>
                <w:highlight w:val="none"/>
                <w:lang w:val="en-US" w:eastAsia="zh-CN" w:bidi="ar-SA"/>
              </w:rPr>
              <w:t>库内排洪设施为溢洪道，建设在东北侧坝体坝面，溢洪道垂直坝轴线布置，在坝体填筑完成后开槽建设。共两期，随坝体分期设置，一期进口标高1178m，二期进口标高1185m。溢洪道采用钢筋混凝土结构，过水断面为矩形，B×H=2m×1m。溢洪道坝顶控制段纵向最小坡度1.0%。溢洪道出口设消力池，消力池尺寸为</w:t>
            </w:r>
            <w:r>
              <w:rPr>
                <w:rFonts w:hint="default" w:ascii="Times New Roman" w:hAnsi="Times New Roman" w:eastAsia="宋体" w:cs="Times New Roman"/>
                <w:color w:val="auto"/>
                <w:kern w:val="0"/>
                <w:sz w:val="21"/>
                <w:szCs w:val="21"/>
                <w:highlight w:val="none"/>
                <w:lang w:val="en-US" w:eastAsia="zh-CN" w:bidi="en-US"/>
              </w:rPr>
              <w:t>L×B×H=5m×3m×2m，消力池为钢筋混凝土结构。</w:t>
            </w:r>
          </w:p>
        </w:tc>
        <w:tc>
          <w:tcPr>
            <w:tcW w:w="705" w:type="dxa"/>
            <w:tcBorders>
              <w:tl2br w:val="nil"/>
              <w:tr2bl w:val="nil"/>
            </w:tcBorders>
            <w:vAlign w:val="center"/>
          </w:tcPr>
          <w:p w14:paraId="35C91463">
            <w:pPr>
              <w:pStyle w:val="15"/>
              <w:keepNext w:val="0"/>
              <w:keepLines w:val="0"/>
              <w:pageBreakBefore w:val="0"/>
              <w:widowControl w:val="0"/>
              <w:kinsoku/>
              <w:wordWrap/>
              <w:overflowPunct/>
              <w:topLine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新建</w:t>
            </w:r>
          </w:p>
        </w:tc>
      </w:tr>
      <w:tr w14:paraId="523B97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dxa"/>
            <w:vMerge w:val="continue"/>
            <w:tcBorders>
              <w:tl2br w:val="nil"/>
              <w:tr2bl w:val="nil"/>
            </w:tcBorders>
            <w:vAlign w:val="center"/>
          </w:tcPr>
          <w:p w14:paraId="6C37DCA4">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bCs/>
                <w:color w:val="auto"/>
                <w:sz w:val="21"/>
                <w:highlight w:val="none"/>
              </w:rPr>
            </w:pPr>
          </w:p>
        </w:tc>
        <w:tc>
          <w:tcPr>
            <w:tcW w:w="444" w:type="dxa"/>
            <w:vMerge w:val="continue"/>
            <w:tcBorders>
              <w:tl2br w:val="nil"/>
              <w:tr2bl w:val="nil"/>
            </w:tcBorders>
            <w:vAlign w:val="center"/>
          </w:tcPr>
          <w:p w14:paraId="53D6B65B">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418" w:type="dxa"/>
            <w:tcBorders>
              <w:tl2br w:val="nil"/>
              <w:tr2bl w:val="nil"/>
            </w:tcBorders>
            <w:vAlign w:val="center"/>
          </w:tcPr>
          <w:p w14:paraId="5C8E2988">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尾矿</w:t>
            </w:r>
            <w:r>
              <w:rPr>
                <w:rFonts w:hint="default" w:ascii="Times New Roman" w:hAnsi="Times New Roman" w:cs="Times New Roman"/>
                <w:color w:val="auto"/>
                <w:sz w:val="21"/>
                <w:highlight w:val="none"/>
                <w:lang w:val="en-US" w:eastAsia="zh-CN"/>
              </w:rPr>
              <w:t>排放</w:t>
            </w:r>
            <w:r>
              <w:rPr>
                <w:rFonts w:hint="default" w:ascii="Times New Roman" w:hAnsi="Times New Roman" w:cs="Times New Roman"/>
                <w:color w:val="auto"/>
                <w:sz w:val="21"/>
                <w:highlight w:val="none"/>
              </w:rPr>
              <w:t>系统</w:t>
            </w:r>
          </w:p>
        </w:tc>
        <w:tc>
          <w:tcPr>
            <w:tcW w:w="6922" w:type="dxa"/>
            <w:tcBorders>
              <w:tl2br w:val="nil"/>
              <w:tr2bl w:val="nil"/>
            </w:tcBorders>
            <w:vAlign w:val="center"/>
          </w:tcPr>
          <w:p w14:paraId="326F5A96">
            <w:pPr>
              <w:pStyle w:val="15"/>
              <w:keepNext w:val="0"/>
              <w:keepLines w:val="0"/>
              <w:pageBreakBefore w:val="0"/>
              <w:widowControl w:val="0"/>
              <w:kinsoku/>
              <w:wordWrap/>
              <w:overflowPunct/>
              <w:topLinePunct/>
              <w:autoSpaceDE/>
              <w:autoSpaceDN/>
              <w:bidi w:val="0"/>
              <w:snapToGrid w:val="0"/>
              <w:spacing w:line="360" w:lineRule="exact"/>
              <w:ind w:firstLine="0" w:firstLineChars="0"/>
              <w:jc w:val="both"/>
              <w:textAlignment w:val="auto"/>
              <w:rPr>
                <w:rFonts w:hint="default" w:ascii="Times New Roman" w:hAnsi="Times New Roman" w:cs="Times New Roman"/>
                <w:color w:val="auto"/>
                <w:sz w:val="21"/>
                <w:highlight w:val="none"/>
              </w:rPr>
            </w:pPr>
            <w:r>
              <w:rPr>
                <w:rFonts w:hint="default" w:ascii="Times New Roman" w:hAnsi="Times New Roman" w:eastAsia="宋体" w:cs="Times New Roman"/>
                <w:color w:val="auto"/>
                <w:sz w:val="21"/>
                <w:szCs w:val="21"/>
                <w:highlight w:val="none"/>
              </w:rPr>
              <w:t>采用周边放矿型式。在尾矿库放矿主管上设置放矿支管（DN150，HDPE管道），4根为1组。两根相邻放矿支管间距为12m，每次放矿使用1组共4根相邻的放矿支管，然后循序渐进，轮换使用，确保坝前均匀分散放矿，使尾矿均匀上升，避免滩面出现回流、横流等不良流态。</w:t>
            </w:r>
          </w:p>
        </w:tc>
        <w:tc>
          <w:tcPr>
            <w:tcW w:w="705" w:type="dxa"/>
            <w:tcBorders>
              <w:tl2br w:val="nil"/>
              <w:tr2bl w:val="nil"/>
            </w:tcBorders>
            <w:vAlign w:val="center"/>
          </w:tcPr>
          <w:p w14:paraId="7C3934E0">
            <w:pPr>
              <w:pStyle w:val="15"/>
              <w:keepNext w:val="0"/>
              <w:keepLines w:val="0"/>
              <w:pageBreakBefore w:val="0"/>
              <w:widowControl w:val="0"/>
              <w:kinsoku/>
              <w:wordWrap/>
              <w:overflowPunct/>
              <w:topLine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新建</w:t>
            </w:r>
          </w:p>
        </w:tc>
      </w:tr>
      <w:tr w14:paraId="0FBD7D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dxa"/>
            <w:vMerge w:val="continue"/>
            <w:tcBorders>
              <w:tl2br w:val="nil"/>
              <w:tr2bl w:val="nil"/>
            </w:tcBorders>
            <w:vAlign w:val="center"/>
          </w:tcPr>
          <w:p w14:paraId="0C8F08FE">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bCs/>
                <w:color w:val="auto"/>
                <w:sz w:val="21"/>
                <w:highlight w:val="none"/>
              </w:rPr>
            </w:pPr>
          </w:p>
        </w:tc>
        <w:tc>
          <w:tcPr>
            <w:tcW w:w="444" w:type="dxa"/>
            <w:vMerge w:val="continue"/>
            <w:tcBorders>
              <w:tl2br w:val="nil"/>
              <w:tr2bl w:val="nil"/>
            </w:tcBorders>
            <w:vAlign w:val="center"/>
          </w:tcPr>
          <w:p w14:paraId="3882004B">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418" w:type="dxa"/>
            <w:tcBorders>
              <w:tl2br w:val="nil"/>
              <w:tr2bl w:val="nil"/>
            </w:tcBorders>
            <w:vAlign w:val="center"/>
          </w:tcPr>
          <w:p w14:paraId="747DFF2E">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回水系统</w:t>
            </w:r>
          </w:p>
        </w:tc>
        <w:tc>
          <w:tcPr>
            <w:tcW w:w="6922" w:type="dxa"/>
            <w:tcBorders>
              <w:tl2br w:val="nil"/>
              <w:tr2bl w:val="nil"/>
            </w:tcBorders>
            <w:vAlign w:val="center"/>
          </w:tcPr>
          <w:p w14:paraId="720ADD18">
            <w:pPr>
              <w:pStyle w:val="15"/>
              <w:keepNext w:val="0"/>
              <w:keepLines w:val="0"/>
              <w:pageBreakBefore w:val="0"/>
              <w:widowControl w:val="0"/>
              <w:kinsoku/>
              <w:wordWrap/>
              <w:overflowPunct/>
              <w:topLinePunct/>
              <w:autoSpaceDE/>
              <w:autoSpaceDN/>
              <w:bidi w:val="0"/>
              <w:snapToGrid w:val="0"/>
              <w:spacing w:line="360" w:lineRule="exact"/>
              <w:ind w:firstLine="0" w:firstLineChars="0"/>
              <w:jc w:val="both"/>
              <w:textAlignment w:val="auto"/>
              <w:rPr>
                <w:rFonts w:hint="default" w:ascii="Times New Roman" w:hAnsi="Times New Roman" w:eastAsia="宋体" w:cs="Times New Roman"/>
                <w:color w:val="auto"/>
                <w:sz w:val="21"/>
                <w:highlight w:val="none"/>
                <w:lang w:eastAsia="zh-CN"/>
              </w:rPr>
            </w:pPr>
            <w:r>
              <w:rPr>
                <w:rFonts w:hint="eastAsia" w:ascii="Times New Roman" w:hAnsi="Times New Roman" w:cs="Times New Roman"/>
                <w:color w:val="auto"/>
                <w:kern w:val="0"/>
                <w:sz w:val="21"/>
                <w:szCs w:val="21"/>
                <w:highlight w:val="none"/>
                <w:lang w:val="en-US" w:eastAsia="zh-CN" w:bidi="en-US"/>
              </w:rPr>
              <w:t>主要包含</w:t>
            </w:r>
            <w:r>
              <w:rPr>
                <w:rFonts w:hint="default" w:ascii="Times New Roman" w:hAnsi="Times New Roman" w:eastAsia="宋体" w:cs="Times New Roman"/>
                <w:color w:val="auto"/>
                <w:kern w:val="0"/>
                <w:sz w:val="21"/>
                <w:szCs w:val="21"/>
                <w:highlight w:val="none"/>
                <w:lang w:val="en-US" w:eastAsia="zh-CN" w:bidi="en-US"/>
              </w:rPr>
              <w:t>坝下回水泵房</w:t>
            </w:r>
            <w:r>
              <w:rPr>
                <w:rFonts w:hint="eastAsia" w:ascii="Times New Roman" w:hAnsi="Times New Roman" w:cs="Times New Roman"/>
                <w:color w:val="auto"/>
                <w:kern w:val="0"/>
                <w:sz w:val="21"/>
                <w:szCs w:val="21"/>
                <w:highlight w:val="none"/>
                <w:lang w:val="en-US" w:eastAsia="zh-CN" w:bidi="en-US"/>
              </w:rPr>
              <w:t>、</w:t>
            </w:r>
            <w:r>
              <w:rPr>
                <w:rFonts w:hint="default" w:ascii="Times New Roman" w:hAnsi="Times New Roman" w:eastAsia="宋体" w:cs="Times New Roman"/>
                <w:color w:val="auto"/>
                <w:kern w:val="0"/>
                <w:sz w:val="21"/>
                <w:szCs w:val="21"/>
                <w:highlight w:val="none"/>
                <w:lang w:val="en-US" w:eastAsia="zh-CN" w:bidi="en-US"/>
              </w:rPr>
              <w:t>回水管道</w:t>
            </w:r>
            <w:r>
              <w:rPr>
                <w:rFonts w:hint="eastAsia" w:ascii="Times New Roman" w:hAnsi="Times New Roman" w:cs="Times New Roman"/>
                <w:color w:val="auto"/>
                <w:kern w:val="0"/>
                <w:sz w:val="21"/>
                <w:szCs w:val="21"/>
                <w:highlight w:val="none"/>
                <w:lang w:val="en-US" w:eastAsia="zh-CN" w:bidi="en-US"/>
              </w:rPr>
              <w:t>和</w:t>
            </w:r>
            <w:r>
              <w:rPr>
                <w:rFonts w:hint="default" w:ascii="Times New Roman" w:hAnsi="Times New Roman" w:eastAsia="宋体" w:cs="Times New Roman"/>
                <w:color w:val="auto"/>
                <w:kern w:val="0"/>
                <w:sz w:val="21"/>
                <w:szCs w:val="21"/>
                <w:highlight w:val="none"/>
                <w:lang w:val="en-US" w:eastAsia="zh-CN" w:bidi="en-US"/>
              </w:rPr>
              <w:t>浮船泵站/浮体泵</w:t>
            </w:r>
          </w:p>
        </w:tc>
        <w:tc>
          <w:tcPr>
            <w:tcW w:w="705" w:type="dxa"/>
            <w:tcBorders>
              <w:tl2br w:val="nil"/>
              <w:tr2bl w:val="nil"/>
            </w:tcBorders>
            <w:vAlign w:val="center"/>
          </w:tcPr>
          <w:p w14:paraId="06115451">
            <w:pPr>
              <w:pStyle w:val="15"/>
              <w:keepNext w:val="0"/>
              <w:keepLines w:val="0"/>
              <w:pageBreakBefore w:val="0"/>
              <w:widowControl w:val="0"/>
              <w:kinsoku/>
              <w:wordWrap/>
              <w:overflowPunct/>
              <w:topLine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新建</w:t>
            </w:r>
          </w:p>
        </w:tc>
      </w:tr>
      <w:tr w14:paraId="1D2865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dxa"/>
            <w:vMerge w:val="continue"/>
            <w:tcBorders>
              <w:tl2br w:val="nil"/>
              <w:tr2bl w:val="nil"/>
            </w:tcBorders>
            <w:vAlign w:val="center"/>
          </w:tcPr>
          <w:p w14:paraId="3A50DE79">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bCs/>
                <w:color w:val="auto"/>
                <w:sz w:val="21"/>
                <w:highlight w:val="none"/>
              </w:rPr>
            </w:pPr>
          </w:p>
        </w:tc>
        <w:tc>
          <w:tcPr>
            <w:tcW w:w="444" w:type="dxa"/>
            <w:vMerge w:val="continue"/>
            <w:tcBorders>
              <w:tl2br w:val="nil"/>
              <w:tr2bl w:val="nil"/>
            </w:tcBorders>
            <w:vAlign w:val="center"/>
          </w:tcPr>
          <w:p w14:paraId="47667E1B">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418" w:type="dxa"/>
            <w:tcBorders>
              <w:tl2br w:val="nil"/>
              <w:tr2bl w:val="nil"/>
            </w:tcBorders>
            <w:vAlign w:val="center"/>
          </w:tcPr>
          <w:p w14:paraId="29382D85">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防渗工程</w:t>
            </w:r>
          </w:p>
        </w:tc>
        <w:tc>
          <w:tcPr>
            <w:tcW w:w="6922" w:type="dxa"/>
            <w:tcBorders>
              <w:tl2br w:val="nil"/>
              <w:tr2bl w:val="nil"/>
            </w:tcBorders>
            <w:vAlign w:val="center"/>
          </w:tcPr>
          <w:p w14:paraId="45BCC01F">
            <w:pPr>
              <w:keepNext w:val="0"/>
              <w:keepLines w:val="0"/>
              <w:pageBreakBefore w:val="0"/>
              <w:widowControl w:val="0"/>
              <w:kinsoku/>
              <w:wordWrap/>
              <w:overflowPunct/>
              <w:autoSpaceDE/>
              <w:autoSpaceDN/>
              <w:bidi w:val="0"/>
              <w:spacing w:line="360" w:lineRule="exact"/>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SA"/>
              </w:rPr>
              <w:t>尾矿库设置全库区防渗系统，库内所有坝坡及库底均铺设1.0mmHDPE土工膜防渗，防渗面积8.66hm</w:t>
            </w:r>
            <w:r>
              <w:rPr>
                <w:rFonts w:hint="default" w:ascii="Times New Roman" w:hAnsi="Times New Roman" w:eastAsia="宋体" w:cs="Times New Roman"/>
                <w:color w:val="auto"/>
                <w:kern w:val="0"/>
                <w:sz w:val="21"/>
                <w:szCs w:val="21"/>
                <w:highlight w:val="none"/>
                <w:vertAlign w:val="superscript"/>
                <w:lang w:val="en-US" w:eastAsia="zh-CN" w:bidi="ar-SA"/>
              </w:rPr>
              <w:t>2</w:t>
            </w:r>
            <w:r>
              <w:rPr>
                <w:rFonts w:hint="default" w:ascii="Times New Roman" w:hAnsi="Times New Roman" w:eastAsia="宋体" w:cs="Times New Roman"/>
                <w:color w:val="auto"/>
                <w:kern w:val="0"/>
                <w:sz w:val="21"/>
                <w:szCs w:val="21"/>
                <w:highlight w:val="none"/>
                <w:lang w:val="en-US" w:eastAsia="zh-CN" w:bidi="ar-SA"/>
              </w:rPr>
              <w:t>，其中一期6.91hm</w:t>
            </w:r>
            <w:r>
              <w:rPr>
                <w:rFonts w:hint="default" w:ascii="Times New Roman" w:hAnsi="Times New Roman" w:eastAsia="宋体" w:cs="Times New Roman"/>
                <w:color w:val="auto"/>
                <w:kern w:val="0"/>
                <w:sz w:val="21"/>
                <w:szCs w:val="21"/>
                <w:highlight w:val="none"/>
                <w:vertAlign w:val="superscript"/>
                <w:lang w:val="en-US" w:eastAsia="zh-CN" w:bidi="ar-SA"/>
              </w:rPr>
              <w:t>2</w:t>
            </w:r>
            <w:r>
              <w:rPr>
                <w:rFonts w:hint="default" w:ascii="Times New Roman" w:hAnsi="Times New Roman" w:eastAsia="宋体" w:cs="Times New Roman"/>
                <w:color w:val="auto"/>
                <w:kern w:val="0"/>
                <w:sz w:val="21"/>
                <w:szCs w:val="21"/>
                <w:highlight w:val="none"/>
                <w:lang w:val="en-US" w:eastAsia="zh-CN" w:bidi="ar-SA"/>
              </w:rPr>
              <w:t>，二期1.751hm</w:t>
            </w:r>
            <w:r>
              <w:rPr>
                <w:rFonts w:hint="default" w:ascii="Times New Roman" w:hAnsi="Times New Roman" w:eastAsia="宋体" w:cs="Times New Roman"/>
                <w:color w:val="auto"/>
                <w:kern w:val="0"/>
                <w:sz w:val="21"/>
                <w:szCs w:val="21"/>
                <w:highlight w:val="none"/>
                <w:vertAlign w:val="superscript"/>
                <w:lang w:val="en-US" w:eastAsia="zh-CN" w:bidi="ar-SA"/>
              </w:rPr>
              <w:t>2</w:t>
            </w:r>
            <w:r>
              <w:rPr>
                <w:rFonts w:hint="default" w:ascii="Times New Roman" w:hAnsi="Times New Roman" w:eastAsia="宋体" w:cs="Times New Roman"/>
                <w:color w:val="auto"/>
                <w:kern w:val="0"/>
                <w:sz w:val="21"/>
                <w:szCs w:val="21"/>
                <w:highlight w:val="none"/>
                <w:lang w:val="en-US" w:eastAsia="zh-CN" w:bidi="ar-SA"/>
              </w:rPr>
              <w:t>。尾矿库坝体内坡均设防渗层和库区防渗层联合形成完整的全库防渗系统。尾矿坝内坡防渗结构由下到上依次为：土石坝体、0.3m厚压实细砂垫层、1.0mm厚双糙面HDPE土工膜、600g/m</w:t>
            </w:r>
            <w:r>
              <w:rPr>
                <w:rFonts w:hint="default" w:ascii="Times New Roman" w:hAnsi="Times New Roman" w:eastAsia="宋体" w:cs="Times New Roman"/>
                <w:color w:val="auto"/>
                <w:kern w:val="0"/>
                <w:sz w:val="21"/>
                <w:szCs w:val="21"/>
                <w:highlight w:val="none"/>
                <w:vertAlign w:val="superscript"/>
                <w:lang w:val="en-US" w:eastAsia="zh-CN" w:bidi="ar-SA"/>
              </w:rPr>
              <w:t>2</w:t>
            </w:r>
            <w:r>
              <w:rPr>
                <w:rFonts w:hint="default" w:ascii="Times New Roman" w:hAnsi="Times New Roman" w:eastAsia="宋体" w:cs="Times New Roman"/>
                <w:color w:val="auto"/>
                <w:kern w:val="0"/>
                <w:sz w:val="21"/>
                <w:szCs w:val="21"/>
                <w:highlight w:val="none"/>
                <w:lang w:val="en-US" w:eastAsia="zh-CN" w:bidi="ar-SA"/>
              </w:rPr>
              <w:t>长丝无纺土工布保护层。尾矿库库底防渗结构由下到上依次为：基础层、0.3m厚压实细砂垫层、1.0mm厚光面HDPE土工膜、600g/m</w:t>
            </w:r>
            <w:r>
              <w:rPr>
                <w:rFonts w:hint="default" w:ascii="Times New Roman" w:hAnsi="Times New Roman" w:eastAsia="宋体" w:cs="Times New Roman"/>
                <w:color w:val="auto"/>
                <w:kern w:val="0"/>
                <w:sz w:val="21"/>
                <w:szCs w:val="21"/>
                <w:highlight w:val="none"/>
                <w:vertAlign w:val="superscript"/>
                <w:lang w:val="en-US" w:eastAsia="zh-CN" w:bidi="ar-SA"/>
              </w:rPr>
              <w:t>2</w:t>
            </w:r>
            <w:r>
              <w:rPr>
                <w:rFonts w:hint="default" w:ascii="Times New Roman" w:hAnsi="Times New Roman" w:eastAsia="宋体" w:cs="Times New Roman"/>
                <w:color w:val="auto"/>
                <w:kern w:val="0"/>
                <w:sz w:val="21"/>
                <w:szCs w:val="21"/>
                <w:highlight w:val="none"/>
                <w:lang w:val="en-US" w:eastAsia="zh-CN" w:bidi="ar-SA"/>
              </w:rPr>
              <w:t>长丝无纺土工布保护层、尾矿。</w:t>
            </w:r>
          </w:p>
        </w:tc>
        <w:tc>
          <w:tcPr>
            <w:tcW w:w="705" w:type="dxa"/>
            <w:tcBorders>
              <w:tl2br w:val="nil"/>
              <w:tr2bl w:val="nil"/>
            </w:tcBorders>
            <w:vAlign w:val="center"/>
          </w:tcPr>
          <w:p w14:paraId="734CFDC7">
            <w:pPr>
              <w:pStyle w:val="15"/>
              <w:keepNext w:val="0"/>
              <w:keepLines w:val="0"/>
              <w:pageBreakBefore w:val="0"/>
              <w:widowControl w:val="0"/>
              <w:kinsoku/>
              <w:wordWrap/>
              <w:overflowPunct/>
              <w:topLine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新建</w:t>
            </w:r>
          </w:p>
        </w:tc>
      </w:tr>
      <w:tr w14:paraId="5250B8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47" w:type="dxa"/>
            <w:gridSpan w:val="3"/>
            <w:tcBorders>
              <w:tl2br w:val="nil"/>
              <w:tr2bl w:val="nil"/>
            </w:tcBorders>
            <w:vAlign w:val="center"/>
          </w:tcPr>
          <w:p w14:paraId="03437AD6">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bCs/>
                <w:color w:val="auto"/>
                <w:sz w:val="21"/>
                <w:highlight w:val="none"/>
              </w:rPr>
              <w:t>辅助工程</w:t>
            </w:r>
          </w:p>
        </w:tc>
        <w:tc>
          <w:tcPr>
            <w:tcW w:w="6922" w:type="dxa"/>
            <w:tcBorders>
              <w:tl2br w:val="nil"/>
              <w:tr2bl w:val="nil"/>
            </w:tcBorders>
            <w:vAlign w:val="center"/>
          </w:tcPr>
          <w:p w14:paraId="350699EE">
            <w:pPr>
              <w:pStyle w:val="15"/>
              <w:keepNext w:val="0"/>
              <w:keepLines w:val="0"/>
              <w:pageBreakBefore w:val="0"/>
              <w:widowControl w:val="0"/>
              <w:kinsoku/>
              <w:wordWrap/>
              <w:overflowPunct/>
              <w:autoSpaceDE/>
              <w:autoSpaceDN/>
              <w:bidi w:val="0"/>
              <w:snapToGrid w:val="0"/>
              <w:spacing w:line="360" w:lineRule="exact"/>
              <w:ind w:firstLine="0" w:firstLineChars="0"/>
              <w:jc w:val="both"/>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办公生活区位于选矿厂左侧，主要由综合办公楼、职工食堂、管理人员宿舍、员工宿舍等组成。</w:t>
            </w:r>
          </w:p>
        </w:tc>
        <w:tc>
          <w:tcPr>
            <w:tcW w:w="705" w:type="dxa"/>
            <w:tcBorders>
              <w:tl2br w:val="nil"/>
              <w:tr2bl w:val="nil"/>
            </w:tcBorders>
            <w:vAlign w:val="center"/>
          </w:tcPr>
          <w:p w14:paraId="35D35B2F">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rPr>
              <w:t>新建</w:t>
            </w:r>
          </w:p>
        </w:tc>
      </w:tr>
      <w:tr w14:paraId="4E4845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dxa"/>
            <w:vMerge w:val="restart"/>
            <w:tcBorders>
              <w:tl2br w:val="nil"/>
              <w:tr2bl w:val="nil"/>
            </w:tcBorders>
            <w:vAlign w:val="center"/>
          </w:tcPr>
          <w:p w14:paraId="52B7BB27">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bCs/>
                <w:color w:val="auto"/>
                <w:kern w:val="0"/>
                <w:sz w:val="21"/>
                <w:highlight w:val="none"/>
              </w:rPr>
            </w:pPr>
            <w:r>
              <w:rPr>
                <w:rFonts w:hint="default" w:ascii="Times New Roman" w:hAnsi="Times New Roman" w:cs="Times New Roman"/>
                <w:bCs/>
                <w:color w:val="auto"/>
                <w:sz w:val="21"/>
                <w:highlight w:val="none"/>
              </w:rPr>
              <w:t>公用工程</w:t>
            </w:r>
          </w:p>
        </w:tc>
        <w:tc>
          <w:tcPr>
            <w:tcW w:w="862" w:type="dxa"/>
            <w:gridSpan w:val="2"/>
            <w:tcBorders>
              <w:tl2br w:val="nil"/>
              <w:tr2bl w:val="nil"/>
            </w:tcBorders>
            <w:vAlign w:val="center"/>
          </w:tcPr>
          <w:p w14:paraId="0E4D2D71">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给水工程</w:t>
            </w:r>
          </w:p>
        </w:tc>
        <w:tc>
          <w:tcPr>
            <w:tcW w:w="6922" w:type="dxa"/>
            <w:tcBorders>
              <w:tl2br w:val="nil"/>
              <w:tr2bl w:val="nil"/>
            </w:tcBorders>
            <w:vAlign w:val="center"/>
          </w:tcPr>
          <w:p w14:paraId="3280EA34">
            <w:pPr>
              <w:pStyle w:val="15"/>
              <w:keepNext w:val="0"/>
              <w:keepLines w:val="0"/>
              <w:pageBreakBefore w:val="0"/>
              <w:widowControl w:val="0"/>
              <w:kinsoku/>
              <w:wordWrap/>
              <w:overflowPunct/>
              <w:autoSpaceDE/>
              <w:autoSpaceDN/>
              <w:bidi w:val="0"/>
              <w:snapToGrid w:val="0"/>
              <w:spacing w:line="360" w:lineRule="exact"/>
              <w:ind w:firstLine="0" w:firstLineChars="0"/>
              <w:jc w:val="both"/>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本项目</w:t>
            </w:r>
            <w:r>
              <w:rPr>
                <w:rFonts w:hint="default" w:ascii="Times New Roman" w:hAnsi="Times New Roman" w:cs="Times New Roman"/>
                <w:color w:val="auto"/>
                <w:sz w:val="21"/>
                <w:highlight w:val="none"/>
                <w:lang w:eastAsia="zh-CN"/>
              </w:rPr>
              <w:t>生产用水</w:t>
            </w:r>
            <w:r>
              <w:rPr>
                <w:rFonts w:hint="default" w:ascii="Times New Roman" w:hAnsi="Times New Roman" w:cs="Times New Roman"/>
                <w:color w:val="auto"/>
                <w:sz w:val="21"/>
                <w:highlight w:val="none"/>
                <w:lang w:val="en-US" w:eastAsia="zh-CN"/>
              </w:rPr>
              <w:t>取</w:t>
            </w:r>
            <w:r>
              <w:rPr>
                <w:rFonts w:hint="default" w:ascii="Times New Roman" w:hAnsi="Times New Roman" w:cs="Times New Roman"/>
                <w:color w:val="auto"/>
                <w:sz w:val="21"/>
                <w:highlight w:val="none"/>
                <w:lang w:eastAsia="zh-CN"/>
              </w:rPr>
              <w:t>自自备水井，并配套建设井泵房，安装深井潜水泵，将地下水抽升至地面。生活用水取自90公里外的雅满苏镇，</w:t>
            </w:r>
            <w:r>
              <w:rPr>
                <w:rFonts w:hint="default" w:ascii="Times New Roman" w:hAnsi="Times New Roman" w:cs="Times New Roman"/>
                <w:color w:val="auto"/>
                <w:sz w:val="21"/>
                <w:highlight w:val="none"/>
                <w:lang w:val="en-US" w:eastAsia="zh-CN"/>
              </w:rPr>
              <w:t>由</w:t>
            </w:r>
            <w:r>
              <w:rPr>
                <w:rFonts w:hint="default" w:ascii="Times New Roman" w:hAnsi="Times New Roman" w:cs="Times New Roman"/>
                <w:color w:val="auto"/>
                <w:sz w:val="21"/>
                <w:highlight w:val="none"/>
                <w:lang w:eastAsia="zh-CN"/>
              </w:rPr>
              <w:t>密封罐车定期拉运生活用水至厂区，并建设生活用水储水池及加压泵送设施，将水送至各生活用水点。</w:t>
            </w:r>
          </w:p>
        </w:tc>
        <w:tc>
          <w:tcPr>
            <w:tcW w:w="705" w:type="dxa"/>
            <w:tcBorders>
              <w:tl2br w:val="nil"/>
              <w:tr2bl w:val="nil"/>
            </w:tcBorders>
            <w:vAlign w:val="center"/>
          </w:tcPr>
          <w:p w14:paraId="589A68EF">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新建</w:t>
            </w:r>
          </w:p>
        </w:tc>
      </w:tr>
      <w:tr w14:paraId="664095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dxa"/>
            <w:vMerge w:val="continue"/>
            <w:tcBorders>
              <w:tl2br w:val="nil"/>
              <w:tr2bl w:val="nil"/>
            </w:tcBorders>
            <w:vAlign w:val="center"/>
          </w:tcPr>
          <w:p w14:paraId="28518C4B">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bCs/>
                <w:color w:val="auto"/>
                <w:sz w:val="21"/>
                <w:highlight w:val="none"/>
              </w:rPr>
            </w:pPr>
          </w:p>
        </w:tc>
        <w:tc>
          <w:tcPr>
            <w:tcW w:w="862" w:type="dxa"/>
            <w:gridSpan w:val="2"/>
            <w:vMerge w:val="restart"/>
            <w:tcBorders>
              <w:tl2br w:val="nil"/>
              <w:tr2bl w:val="nil"/>
            </w:tcBorders>
            <w:vAlign w:val="center"/>
          </w:tcPr>
          <w:p w14:paraId="5C22806D">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排水工程</w:t>
            </w:r>
          </w:p>
        </w:tc>
        <w:tc>
          <w:tcPr>
            <w:tcW w:w="6922" w:type="dxa"/>
            <w:tcBorders>
              <w:tl2br w:val="nil"/>
              <w:tr2bl w:val="nil"/>
            </w:tcBorders>
            <w:vAlign w:val="center"/>
          </w:tcPr>
          <w:p w14:paraId="29428D81">
            <w:pPr>
              <w:pStyle w:val="15"/>
              <w:keepNext w:val="0"/>
              <w:keepLines w:val="0"/>
              <w:pageBreakBefore w:val="0"/>
              <w:widowControl w:val="0"/>
              <w:kinsoku/>
              <w:wordWrap/>
              <w:overflowPunct/>
              <w:autoSpaceDE/>
              <w:autoSpaceDN/>
              <w:bidi w:val="0"/>
              <w:snapToGrid w:val="0"/>
              <w:spacing w:line="360" w:lineRule="exact"/>
              <w:ind w:firstLine="0" w:firstLineChars="0"/>
              <w:jc w:val="both"/>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选矿厂排水系统</w:t>
            </w:r>
            <w:r>
              <w:rPr>
                <w:rFonts w:hint="default" w:ascii="Times New Roman" w:hAnsi="Times New Roman" w:cs="Times New Roman"/>
                <w:color w:val="auto"/>
                <w:sz w:val="21"/>
                <w:highlight w:val="none"/>
                <w:lang w:val="en-US" w:eastAsia="zh-CN"/>
              </w:rPr>
              <w:t>包括</w:t>
            </w:r>
            <w:r>
              <w:rPr>
                <w:rFonts w:hint="default" w:ascii="Times New Roman" w:hAnsi="Times New Roman" w:cs="Times New Roman"/>
                <w:color w:val="auto"/>
                <w:sz w:val="21"/>
                <w:highlight w:val="none"/>
              </w:rPr>
              <w:t>尾矿输送设施，即通过尾矿泵站和管道将生产过程中产生的高浓度矿浆输送至尾矿库。同时，厂区内各车间均设置冲洗地沟和污水池，用于收集设备冲洗水及跑冒滴漏的矿浆，经沉淀后由泵打回流程，实现内部循环</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rPr>
              <w:t>不外排。</w:t>
            </w:r>
          </w:p>
        </w:tc>
        <w:tc>
          <w:tcPr>
            <w:tcW w:w="705" w:type="dxa"/>
            <w:tcBorders>
              <w:tl2br w:val="nil"/>
              <w:tr2bl w:val="nil"/>
            </w:tcBorders>
            <w:vAlign w:val="center"/>
          </w:tcPr>
          <w:p w14:paraId="171A7434">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eastAsia="宋体" w:cs="Times New Roman"/>
                <w:color w:val="auto"/>
                <w:sz w:val="21"/>
                <w:highlight w:val="none"/>
                <w:lang w:eastAsia="zh-CN"/>
              </w:rPr>
            </w:pPr>
            <w:r>
              <w:rPr>
                <w:rFonts w:hint="default" w:ascii="Times New Roman" w:hAnsi="Times New Roman" w:cs="Times New Roman"/>
                <w:color w:val="auto"/>
                <w:sz w:val="21"/>
                <w:highlight w:val="none"/>
                <w:lang w:eastAsia="zh-CN"/>
              </w:rPr>
              <w:t>新建</w:t>
            </w:r>
          </w:p>
        </w:tc>
      </w:tr>
      <w:tr w14:paraId="48E529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dxa"/>
            <w:vMerge w:val="continue"/>
            <w:tcBorders>
              <w:tl2br w:val="nil"/>
              <w:tr2bl w:val="nil"/>
            </w:tcBorders>
            <w:vAlign w:val="center"/>
          </w:tcPr>
          <w:p w14:paraId="0804ABCC">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bCs/>
                <w:color w:val="auto"/>
                <w:sz w:val="21"/>
                <w:highlight w:val="none"/>
              </w:rPr>
            </w:pPr>
          </w:p>
        </w:tc>
        <w:tc>
          <w:tcPr>
            <w:tcW w:w="862" w:type="dxa"/>
            <w:gridSpan w:val="2"/>
            <w:vMerge w:val="continue"/>
            <w:tcBorders>
              <w:tl2br w:val="nil"/>
              <w:tr2bl w:val="nil"/>
            </w:tcBorders>
            <w:vAlign w:val="center"/>
          </w:tcPr>
          <w:p w14:paraId="5F827774">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6922" w:type="dxa"/>
            <w:tcBorders>
              <w:tl2br w:val="nil"/>
              <w:tr2bl w:val="nil"/>
            </w:tcBorders>
            <w:vAlign w:val="center"/>
          </w:tcPr>
          <w:p w14:paraId="3A24DC74">
            <w:pPr>
              <w:pStyle w:val="15"/>
              <w:keepNext w:val="0"/>
              <w:keepLines w:val="0"/>
              <w:pageBreakBefore w:val="0"/>
              <w:widowControl w:val="0"/>
              <w:kinsoku/>
              <w:wordWrap/>
              <w:overflowPunct/>
              <w:autoSpaceDE/>
              <w:autoSpaceDN/>
              <w:bidi w:val="0"/>
              <w:snapToGrid w:val="0"/>
              <w:spacing w:line="360" w:lineRule="exact"/>
              <w:ind w:firstLine="0" w:firstLineChars="0"/>
              <w:jc w:val="both"/>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尾矿库排水工程通过库内的浮船泵站及坝下回水泵房，将澄清后的尾矿水经管道送回选矿厂重复利用。</w:t>
            </w:r>
          </w:p>
        </w:tc>
        <w:tc>
          <w:tcPr>
            <w:tcW w:w="705" w:type="dxa"/>
            <w:tcBorders>
              <w:tl2br w:val="nil"/>
              <w:tr2bl w:val="nil"/>
            </w:tcBorders>
            <w:vAlign w:val="center"/>
          </w:tcPr>
          <w:p w14:paraId="1E69D321">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新建</w:t>
            </w:r>
          </w:p>
        </w:tc>
      </w:tr>
      <w:tr w14:paraId="453A26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dxa"/>
            <w:vMerge w:val="continue"/>
            <w:tcBorders>
              <w:tl2br w:val="nil"/>
              <w:tr2bl w:val="nil"/>
            </w:tcBorders>
            <w:vAlign w:val="center"/>
          </w:tcPr>
          <w:p w14:paraId="46B775F9">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bCs/>
                <w:color w:val="auto"/>
                <w:sz w:val="21"/>
                <w:highlight w:val="none"/>
              </w:rPr>
            </w:pPr>
          </w:p>
        </w:tc>
        <w:tc>
          <w:tcPr>
            <w:tcW w:w="862" w:type="dxa"/>
            <w:gridSpan w:val="2"/>
            <w:vMerge w:val="continue"/>
            <w:tcBorders>
              <w:tl2br w:val="nil"/>
              <w:tr2bl w:val="nil"/>
            </w:tcBorders>
            <w:vAlign w:val="center"/>
          </w:tcPr>
          <w:p w14:paraId="18E7972D">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6922" w:type="dxa"/>
            <w:tcBorders>
              <w:tl2br w:val="nil"/>
              <w:tr2bl w:val="nil"/>
            </w:tcBorders>
            <w:vAlign w:val="center"/>
          </w:tcPr>
          <w:p w14:paraId="701B1FA6">
            <w:pPr>
              <w:pStyle w:val="15"/>
              <w:keepNext w:val="0"/>
              <w:keepLines w:val="0"/>
              <w:pageBreakBefore w:val="0"/>
              <w:widowControl w:val="0"/>
              <w:kinsoku/>
              <w:wordWrap/>
              <w:overflowPunct/>
              <w:autoSpaceDE/>
              <w:autoSpaceDN/>
              <w:bidi w:val="0"/>
              <w:snapToGrid w:val="0"/>
              <w:spacing w:line="360" w:lineRule="exact"/>
              <w:ind w:firstLine="0" w:firstLineChars="0"/>
              <w:jc w:val="both"/>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eastAsia="zh-CN"/>
              </w:rPr>
              <w:t>生活污水排入化粪池定期清运至哈密市污水处理厂。</w:t>
            </w:r>
          </w:p>
        </w:tc>
        <w:tc>
          <w:tcPr>
            <w:tcW w:w="705" w:type="dxa"/>
            <w:tcBorders>
              <w:tl2br w:val="nil"/>
              <w:tr2bl w:val="nil"/>
            </w:tcBorders>
            <w:vAlign w:val="center"/>
          </w:tcPr>
          <w:p w14:paraId="5A159D34">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eastAsia="宋体" w:cs="Times New Roman"/>
                <w:color w:val="auto"/>
                <w:sz w:val="21"/>
                <w:highlight w:val="none"/>
                <w:lang w:eastAsia="zh-CN"/>
              </w:rPr>
            </w:pPr>
            <w:r>
              <w:rPr>
                <w:rFonts w:hint="eastAsia" w:ascii="Times New Roman" w:hAnsi="Times New Roman" w:cs="Times New Roman"/>
                <w:color w:val="auto"/>
                <w:sz w:val="21"/>
                <w:highlight w:val="none"/>
                <w:lang w:val="en-US" w:eastAsia="zh-CN"/>
              </w:rPr>
              <w:t>依托</w:t>
            </w:r>
          </w:p>
        </w:tc>
      </w:tr>
      <w:tr w14:paraId="2EA2ED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dxa"/>
            <w:vMerge w:val="continue"/>
            <w:tcBorders>
              <w:tl2br w:val="nil"/>
              <w:tr2bl w:val="nil"/>
            </w:tcBorders>
            <w:vAlign w:val="center"/>
          </w:tcPr>
          <w:p w14:paraId="344AFA44">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bCs/>
                <w:color w:val="auto"/>
                <w:sz w:val="21"/>
                <w:highlight w:val="none"/>
              </w:rPr>
            </w:pPr>
          </w:p>
        </w:tc>
        <w:tc>
          <w:tcPr>
            <w:tcW w:w="862" w:type="dxa"/>
            <w:gridSpan w:val="2"/>
            <w:tcBorders>
              <w:tl2br w:val="nil"/>
              <w:tr2bl w:val="nil"/>
            </w:tcBorders>
            <w:vAlign w:val="center"/>
          </w:tcPr>
          <w:p w14:paraId="3C92F26A">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供热工程</w:t>
            </w:r>
          </w:p>
        </w:tc>
        <w:tc>
          <w:tcPr>
            <w:tcW w:w="6922" w:type="dxa"/>
            <w:tcBorders>
              <w:tl2br w:val="nil"/>
              <w:tr2bl w:val="nil"/>
            </w:tcBorders>
            <w:vAlign w:val="center"/>
          </w:tcPr>
          <w:p w14:paraId="58A0AD34">
            <w:pPr>
              <w:pStyle w:val="15"/>
              <w:keepNext w:val="0"/>
              <w:keepLines w:val="0"/>
              <w:pageBreakBefore w:val="0"/>
              <w:widowControl w:val="0"/>
              <w:kinsoku/>
              <w:wordWrap/>
              <w:overflowPunct/>
              <w:autoSpaceDE/>
              <w:autoSpaceDN/>
              <w:bidi w:val="0"/>
              <w:snapToGrid w:val="0"/>
              <w:spacing w:line="360" w:lineRule="exact"/>
              <w:ind w:firstLine="0" w:firstLineChars="0"/>
              <w:jc w:val="both"/>
              <w:textAlignment w:val="auto"/>
              <w:rPr>
                <w:rFonts w:hint="default" w:ascii="Times New Roman" w:hAnsi="Times New Roman" w:eastAsia="宋体" w:cs="Times New Roman"/>
                <w:color w:val="auto"/>
                <w:sz w:val="21"/>
                <w:highlight w:val="none"/>
                <w:lang w:eastAsia="zh-CN"/>
              </w:rPr>
            </w:pPr>
            <w:r>
              <w:rPr>
                <w:rFonts w:hint="default" w:ascii="Times New Roman" w:hAnsi="Times New Roman" w:cs="Times New Roman"/>
                <w:color w:val="auto"/>
                <w:sz w:val="21"/>
                <w:highlight w:val="none"/>
              </w:rPr>
              <w:t>为满足本项目</w:t>
            </w:r>
            <w:r>
              <w:rPr>
                <w:rFonts w:hint="default" w:ascii="Times New Roman" w:hAnsi="Times New Roman" w:cs="Times New Roman"/>
                <w:color w:val="auto"/>
                <w:sz w:val="21"/>
                <w:highlight w:val="none"/>
                <w:lang w:val="en-US" w:eastAsia="zh-CN"/>
              </w:rPr>
              <w:t>供热</w:t>
            </w:r>
            <w:r>
              <w:rPr>
                <w:rFonts w:hint="default" w:ascii="Times New Roman" w:hAnsi="Times New Roman" w:cs="Times New Roman"/>
                <w:color w:val="auto"/>
                <w:sz w:val="21"/>
                <w:highlight w:val="none"/>
              </w:rPr>
              <w:t>，在</w:t>
            </w:r>
            <w:r>
              <w:rPr>
                <w:rFonts w:hint="default" w:ascii="Times New Roman" w:hAnsi="Times New Roman" w:cs="Times New Roman"/>
                <w:color w:val="auto"/>
                <w:sz w:val="21"/>
                <w:highlight w:val="none"/>
                <w:lang w:val="en-US" w:eastAsia="zh-CN"/>
              </w:rPr>
              <w:t>选矿厂</w:t>
            </w:r>
            <w:r>
              <w:rPr>
                <w:rFonts w:hint="default" w:ascii="Times New Roman" w:hAnsi="Times New Roman" w:cs="Times New Roman"/>
                <w:color w:val="auto"/>
                <w:sz w:val="21"/>
                <w:highlight w:val="none"/>
              </w:rPr>
              <w:t>东南侧建设一座锅炉房：规格24×24×9m，设置15t/h</w:t>
            </w:r>
            <w:r>
              <w:rPr>
                <w:rFonts w:hint="eastAsia" w:ascii="Times New Roman" w:hAnsi="Times New Roman" w:cs="Times New Roman"/>
                <w:color w:val="auto"/>
                <w:sz w:val="21"/>
                <w:highlight w:val="none"/>
                <w:lang w:val="en-US" w:eastAsia="zh-CN"/>
              </w:rPr>
              <w:t>蒸汽</w:t>
            </w:r>
            <w:r>
              <w:rPr>
                <w:rFonts w:hint="default" w:ascii="Times New Roman" w:hAnsi="Times New Roman" w:cs="Times New Roman"/>
                <w:color w:val="auto"/>
                <w:sz w:val="21"/>
                <w:highlight w:val="none"/>
              </w:rPr>
              <w:t>锅炉一台。锅炉房外供高温热水主要用于选矿厂生产建筑、辅助生活设施采暖用热，锅炉所需补水由锅炉房所设全自动软水器生产的软化水补给。厂区采暖回水和补充水进入锅炉房内软化水箱，经除氧器、锅炉给水泵加压后进入锅炉给水系统。</w:t>
            </w:r>
          </w:p>
        </w:tc>
        <w:tc>
          <w:tcPr>
            <w:tcW w:w="705" w:type="dxa"/>
            <w:tcBorders>
              <w:tl2br w:val="nil"/>
              <w:tr2bl w:val="nil"/>
            </w:tcBorders>
            <w:vAlign w:val="center"/>
          </w:tcPr>
          <w:p w14:paraId="6BB0CDE3">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新建</w:t>
            </w:r>
          </w:p>
        </w:tc>
      </w:tr>
      <w:tr w14:paraId="060DC2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dxa"/>
            <w:vMerge w:val="continue"/>
            <w:tcBorders>
              <w:tl2br w:val="nil"/>
              <w:tr2bl w:val="nil"/>
            </w:tcBorders>
            <w:vAlign w:val="center"/>
          </w:tcPr>
          <w:p w14:paraId="32C4A3C5">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bCs/>
                <w:color w:val="auto"/>
                <w:sz w:val="21"/>
                <w:highlight w:val="none"/>
              </w:rPr>
            </w:pPr>
          </w:p>
        </w:tc>
        <w:tc>
          <w:tcPr>
            <w:tcW w:w="862" w:type="dxa"/>
            <w:gridSpan w:val="2"/>
            <w:tcBorders>
              <w:tl2br w:val="nil"/>
              <w:tr2bl w:val="nil"/>
            </w:tcBorders>
            <w:vAlign w:val="center"/>
          </w:tcPr>
          <w:p w14:paraId="030829BE">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供电工程</w:t>
            </w:r>
          </w:p>
        </w:tc>
        <w:tc>
          <w:tcPr>
            <w:tcW w:w="6922" w:type="dxa"/>
            <w:tcBorders>
              <w:tl2br w:val="nil"/>
              <w:tr2bl w:val="nil"/>
            </w:tcBorders>
            <w:vAlign w:val="center"/>
          </w:tcPr>
          <w:p w14:paraId="51537F5C">
            <w:pPr>
              <w:pStyle w:val="15"/>
              <w:keepNext w:val="0"/>
              <w:keepLines w:val="0"/>
              <w:pageBreakBefore w:val="0"/>
              <w:widowControl w:val="0"/>
              <w:kinsoku/>
              <w:wordWrap/>
              <w:overflowPunct/>
              <w:autoSpaceDE/>
              <w:autoSpaceDN/>
              <w:bidi w:val="0"/>
              <w:snapToGrid w:val="0"/>
              <w:spacing w:line="360" w:lineRule="exact"/>
              <w:ind w:firstLine="0" w:firstLineChars="0"/>
              <w:jc w:val="both"/>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本工程采用单回电源引自厂区外新建35kV总降压变电站10kV侧。35kV总降压变电站内置8000kVA主变压器一台</w:t>
            </w:r>
            <w:r>
              <w:rPr>
                <w:rFonts w:hint="default" w:ascii="Times New Roman" w:hAnsi="Times New Roman" w:cs="Times New Roman"/>
                <w:color w:val="auto"/>
                <w:sz w:val="21"/>
                <w:highlight w:val="none"/>
                <w:lang w:val="en-US" w:eastAsia="zh-CN"/>
              </w:rPr>
              <w:t>大于</w:t>
            </w:r>
            <w:r>
              <w:rPr>
                <w:rFonts w:hint="default" w:ascii="Times New Roman" w:hAnsi="Times New Roman" w:cs="Times New Roman"/>
                <w:color w:val="auto"/>
                <w:sz w:val="21"/>
                <w:highlight w:val="none"/>
              </w:rPr>
              <w:t>厂用负荷5060.12kVA，可满足本工程负荷需求。</w:t>
            </w:r>
          </w:p>
        </w:tc>
        <w:tc>
          <w:tcPr>
            <w:tcW w:w="705" w:type="dxa"/>
            <w:tcBorders>
              <w:tl2br w:val="nil"/>
              <w:tr2bl w:val="nil"/>
            </w:tcBorders>
            <w:vAlign w:val="center"/>
          </w:tcPr>
          <w:p w14:paraId="729498F2">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eastAsia="宋体" w:cs="Times New Roman"/>
                <w:color w:val="auto"/>
                <w:sz w:val="21"/>
                <w:highlight w:val="none"/>
                <w:lang w:eastAsia="zh-CN"/>
              </w:rPr>
            </w:pPr>
            <w:r>
              <w:rPr>
                <w:rFonts w:hint="default" w:ascii="Times New Roman" w:hAnsi="Times New Roman" w:cs="Times New Roman"/>
                <w:color w:val="auto"/>
                <w:sz w:val="21"/>
                <w:highlight w:val="none"/>
                <w:lang w:eastAsia="zh-CN"/>
              </w:rPr>
              <w:t>新建</w:t>
            </w:r>
          </w:p>
        </w:tc>
      </w:tr>
      <w:tr w14:paraId="7B0B5A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dxa"/>
            <w:vMerge w:val="restart"/>
            <w:tcBorders>
              <w:tl2br w:val="nil"/>
              <w:tr2bl w:val="nil"/>
            </w:tcBorders>
            <w:vAlign w:val="center"/>
          </w:tcPr>
          <w:p w14:paraId="28824C03">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bCs/>
                <w:color w:val="auto"/>
                <w:sz w:val="21"/>
                <w:highlight w:val="none"/>
              </w:rPr>
            </w:pPr>
            <w:r>
              <w:rPr>
                <w:rFonts w:hint="default" w:ascii="Times New Roman" w:hAnsi="Times New Roman" w:cs="Times New Roman"/>
                <w:bCs/>
                <w:color w:val="auto"/>
                <w:sz w:val="21"/>
                <w:highlight w:val="none"/>
              </w:rPr>
              <w:t>储运工程</w:t>
            </w:r>
          </w:p>
        </w:tc>
        <w:tc>
          <w:tcPr>
            <w:tcW w:w="862" w:type="dxa"/>
            <w:gridSpan w:val="2"/>
            <w:tcBorders>
              <w:tl2br w:val="nil"/>
              <w:tr2bl w:val="nil"/>
            </w:tcBorders>
            <w:vAlign w:val="center"/>
          </w:tcPr>
          <w:p w14:paraId="4D23F466">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道路</w:t>
            </w:r>
          </w:p>
        </w:tc>
        <w:tc>
          <w:tcPr>
            <w:tcW w:w="6922" w:type="dxa"/>
            <w:tcBorders>
              <w:tl2br w:val="nil"/>
              <w:tr2bl w:val="nil"/>
            </w:tcBorders>
            <w:vAlign w:val="center"/>
          </w:tcPr>
          <w:p w14:paraId="7BE7FE8B">
            <w:pPr>
              <w:pStyle w:val="15"/>
              <w:keepNext w:val="0"/>
              <w:keepLines w:val="0"/>
              <w:pageBreakBefore w:val="0"/>
              <w:widowControl w:val="0"/>
              <w:kinsoku/>
              <w:wordWrap/>
              <w:overflowPunct/>
              <w:autoSpaceDE/>
              <w:autoSpaceDN/>
              <w:bidi w:val="0"/>
              <w:snapToGrid w:val="0"/>
              <w:spacing w:line="360" w:lineRule="exact"/>
              <w:ind w:firstLine="0" w:firstLineChars="0"/>
              <w:jc w:val="both"/>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选矿厂区道路依据生产和消防需求进行统一规划，主要分为主干道、次干道和车间引道，路面宽度分别为10米、6米和6米，主要道路采用混凝土或沥青中级路面，并设计有合理的交叉口转弯半径和控制在8%以内的纵坡，以确保运输流程顺畅且满足消防通道要求。内部运输（如破碎车间至粉矿仓）主要依赖皮带通廊，外部原矿和物资的运输则依托矿区砂石路与省道、县道构成的公路网。</w:t>
            </w:r>
          </w:p>
          <w:p w14:paraId="29ABAA67">
            <w:pPr>
              <w:pStyle w:val="15"/>
              <w:keepNext w:val="0"/>
              <w:keepLines w:val="0"/>
              <w:pageBreakBefore w:val="0"/>
              <w:widowControl w:val="0"/>
              <w:kinsoku/>
              <w:wordWrap/>
              <w:overflowPunct/>
              <w:autoSpaceDE/>
              <w:autoSpaceDN/>
              <w:bidi w:val="0"/>
              <w:snapToGrid w:val="0"/>
              <w:spacing w:line="360" w:lineRule="exact"/>
              <w:ind w:firstLine="0" w:firstLineChars="0"/>
              <w:jc w:val="both"/>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尾矿库区道路建设主要包含上库道路和坝顶道路硬化，上库道路用于连接外部交通，方便施工和维护，坝顶道路硬化满足日常巡检和应急抢险车辆的通行需求。</w:t>
            </w:r>
          </w:p>
        </w:tc>
        <w:tc>
          <w:tcPr>
            <w:tcW w:w="705" w:type="dxa"/>
            <w:tcBorders>
              <w:tl2br w:val="nil"/>
              <w:tr2bl w:val="nil"/>
            </w:tcBorders>
            <w:vAlign w:val="center"/>
          </w:tcPr>
          <w:p w14:paraId="50687F22">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eastAsia="zh-CN"/>
              </w:rPr>
              <w:t>新建</w:t>
            </w:r>
            <w:r>
              <w:rPr>
                <w:rFonts w:hint="default" w:ascii="Times New Roman" w:hAnsi="Times New Roman" w:cs="Times New Roman"/>
                <w:color w:val="auto"/>
                <w:sz w:val="21"/>
                <w:highlight w:val="none"/>
                <w:lang w:val="en-US" w:eastAsia="zh-CN"/>
              </w:rPr>
              <w:t>/依托</w:t>
            </w:r>
          </w:p>
        </w:tc>
      </w:tr>
      <w:tr w14:paraId="0E86DF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dxa"/>
            <w:vMerge w:val="continue"/>
            <w:tcBorders>
              <w:tl2br w:val="nil"/>
              <w:tr2bl w:val="nil"/>
            </w:tcBorders>
            <w:vAlign w:val="center"/>
          </w:tcPr>
          <w:p w14:paraId="08B7C3F5">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bCs/>
                <w:color w:val="auto"/>
                <w:sz w:val="21"/>
                <w:highlight w:val="none"/>
              </w:rPr>
            </w:pPr>
          </w:p>
        </w:tc>
        <w:tc>
          <w:tcPr>
            <w:tcW w:w="862" w:type="dxa"/>
            <w:gridSpan w:val="2"/>
            <w:tcBorders>
              <w:tl2br w:val="nil"/>
              <w:tr2bl w:val="nil"/>
            </w:tcBorders>
            <w:vAlign w:val="center"/>
          </w:tcPr>
          <w:p w14:paraId="1845FB40">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煤棚</w:t>
            </w:r>
          </w:p>
        </w:tc>
        <w:tc>
          <w:tcPr>
            <w:tcW w:w="6922" w:type="dxa"/>
            <w:tcBorders>
              <w:tl2br w:val="nil"/>
              <w:tr2bl w:val="nil"/>
            </w:tcBorders>
            <w:vAlign w:val="center"/>
          </w:tcPr>
          <w:p w14:paraId="79C651C9">
            <w:pPr>
              <w:pStyle w:val="15"/>
              <w:keepNext w:val="0"/>
              <w:keepLines w:val="0"/>
              <w:pageBreakBefore w:val="0"/>
              <w:widowControl w:val="0"/>
              <w:kinsoku/>
              <w:wordWrap/>
              <w:overflowPunct/>
              <w:autoSpaceDE/>
              <w:autoSpaceDN/>
              <w:bidi w:val="0"/>
              <w:snapToGrid w:val="0"/>
              <w:spacing w:line="360" w:lineRule="exact"/>
              <w:ind w:firstLine="0" w:firstLineChars="0"/>
              <w:jc w:val="both"/>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主要用于储存锅炉房燃煤</w:t>
            </w:r>
            <w:r>
              <w:rPr>
                <w:rFonts w:hint="eastAsia" w:ascii="Times New Roman" w:hAnsi="Times New Roman" w:cs="Times New Roman"/>
                <w:color w:val="auto"/>
                <w:sz w:val="21"/>
                <w:highlight w:val="none"/>
                <w:lang w:eastAsia="zh-CN"/>
              </w:rPr>
              <w:t>，</w:t>
            </w:r>
            <w:r>
              <w:rPr>
                <w:rFonts w:hint="eastAsia" w:ascii="Times New Roman" w:hAnsi="Times New Roman" w:cs="Times New Roman"/>
                <w:color w:val="auto"/>
                <w:sz w:val="21"/>
                <w:highlight w:val="none"/>
                <w:lang w:val="en-US" w:eastAsia="zh-CN"/>
              </w:rPr>
              <w:t>煤棚</w:t>
            </w:r>
            <w:r>
              <w:rPr>
                <w:rFonts w:hint="eastAsia" w:ascii="Times New Roman" w:hAnsi="Times New Roman" w:cs="Times New Roman"/>
                <w:color w:val="auto"/>
                <w:sz w:val="21"/>
                <w:highlight w:val="none"/>
                <w:lang w:eastAsia="zh-CN"/>
              </w:rPr>
              <w:t>面积为735</w:t>
            </w:r>
            <w:r>
              <w:rPr>
                <w:rFonts w:hint="eastAsia" w:ascii="Times New Roman" w:hAnsi="Times New Roman" w:cs="Times New Roman"/>
                <w:color w:val="auto"/>
                <w:sz w:val="21"/>
                <w:highlight w:val="none"/>
                <w:lang w:val="en-US" w:eastAsia="zh-CN"/>
              </w:rPr>
              <w:t>m</w:t>
            </w:r>
            <w:r>
              <w:rPr>
                <w:rFonts w:hint="eastAsia" w:ascii="Times New Roman" w:hAnsi="Times New Roman" w:cs="Times New Roman"/>
                <w:color w:val="auto"/>
                <w:sz w:val="21"/>
                <w:highlight w:val="none"/>
                <w:vertAlign w:val="superscript"/>
                <w:lang w:val="en-US" w:eastAsia="zh-CN"/>
              </w:rPr>
              <w:t>2</w:t>
            </w:r>
            <w:r>
              <w:rPr>
                <w:rFonts w:hint="default" w:ascii="Times New Roman" w:hAnsi="Times New Roman" w:cs="Times New Roman"/>
                <w:color w:val="auto"/>
                <w:sz w:val="21"/>
                <w:highlight w:val="none"/>
              </w:rPr>
              <w:t>。</w:t>
            </w:r>
          </w:p>
        </w:tc>
        <w:tc>
          <w:tcPr>
            <w:tcW w:w="705" w:type="dxa"/>
            <w:tcBorders>
              <w:tl2br w:val="nil"/>
              <w:tr2bl w:val="nil"/>
            </w:tcBorders>
            <w:vAlign w:val="center"/>
          </w:tcPr>
          <w:p w14:paraId="08250251">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rPr>
            </w:pPr>
          </w:p>
        </w:tc>
      </w:tr>
      <w:tr w14:paraId="594F97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dxa"/>
            <w:vMerge w:val="continue"/>
            <w:tcBorders>
              <w:tl2br w:val="nil"/>
              <w:tr2bl w:val="nil"/>
            </w:tcBorders>
            <w:vAlign w:val="center"/>
          </w:tcPr>
          <w:p w14:paraId="3A1C253C">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bCs/>
                <w:color w:val="auto"/>
                <w:sz w:val="21"/>
                <w:highlight w:val="none"/>
              </w:rPr>
            </w:pPr>
          </w:p>
        </w:tc>
        <w:tc>
          <w:tcPr>
            <w:tcW w:w="862" w:type="dxa"/>
            <w:gridSpan w:val="2"/>
            <w:tcBorders>
              <w:tl2br w:val="nil"/>
              <w:tr2bl w:val="nil"/>
            </w:tcBorders>
            <w:vAlign w:val="center"/>
          </w:tcPr>
          <w:p w14:paraId="3412218E">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材料仓库</w:t>
            </w:r>
          </w:p>
        </w:tc>
        <w:tc>
          <w:tcPr>
            <w:tcW w:w="6922" w:type="dxa"/>
            <w:tcBorders>
              <w:tl2br w:val="nil"/>
              <w:tr2bl w:val="nil"/>
            </w:tcBorders>
            <w:vAlign w:val="center"/>
          </w:tcPr>
          <w:p w14:paraId="1455E942">
            <w:pPr>
              <w:pStyle w:val="15"/>
              <w:keepNext w:val="0"/>
              <w:keepLines w:val="0"/>
              <w:pageBreakBefore w:val="0"/>
              <w:widowControl w:val="0"/>
              <w:kinsoku/>
              <w:wordWrap/>
              <w:overflowPunct/>
              <w:autoSpaceDE/>
              <w:autoSpaceDN/>
              <w:bidi w:val="0"/>
              <w:snapToGrid w:val="0"/>
              <w:spacing w:line="360" w:lineRule="exact"/>
              <w:ind w:firstLine="0" w:firstLineChars="0"/>
              <w:jc w:val="both"/>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储存生产所需的各类材料、备品备件等</w:t>
            </w:r>
            <w:r>
              <w:rPr>
                <w:rFonts w:hint="eastAsia" w:ascii="Times New Roman" w:hAnsi="Times New Roman" w:cs="Times New Roman"/>
                <w:color w:val="auto"/>
                <w:sz w:val="21"/>
                <w:highlight w:val="none"/>
                <w:lang w:eastAsia="zh-CN"/>
              </w:rPr>
              <w:t>，</w:t>
            </w:r>
            <w:r>
              <w:rPr>
                <w:rFonts w:hint="eastAsia" w:ascii="Times New Roman" w:hAnsi="Times New Roman" w:cs="Times New Roman"/>
                <w:color w:val="auto"/>
                <w:sz w:val="21"/>
                <w:highlight w:val="none"/>
                <w:lang w:val="en-US" w:eastAsia="zh-CN"/>
              </w:rPr>
              <w:t>材料仓库面积为150m</w:t>
            </w:r>
            <w:r>
              <w:rPr>
                <w:rFonts w:hint="eastAsia" w:ascii="Times New Roman" w:hAnsi="Times New Roman" w:cs="Times New Roman"/>
                <w:color w:val="auto"/>
                <w:sz w:val="21"/>
                <w:highlight w:val="none"/>
                <w:vertAlign w:val="superscript"/>
                <w:lang w:val="en-US" w:eastAsia="zh-CN"/>
              </w:rPr>
              <w:t>2</w:t>
            </w:r>
            <w:r>
              <w:rPr>
                <w:rFonts w:hint="default" w:ascii="Times New Roman" w:hAnsi="Times New Roman" w:cs="Times New Roman"/>
                <w:color w:val="auto"/>
                <w:sz w:val="21"/>
                <w:highlight w:val="none"/>
              </w:rPr>
              <w:t>。</w:t>
            </w:r>
          </w:p>
        </w:tc>
        <w:tc>
          <w:tcPr>
            <w:tcW w:w="705" w:type="dxa"/>
            <w:tcBorders>
              <w:tl2br w:val="nil"/>
              <w:tr2bl w:val="nil"/>
            </w:tcBorders>
            <w:vAlign w:val="center"/>
          </w:tcPr>
          <w:p w14:paraId="453D4A26">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新建</w:t>
            </w:r>
          </w:p>
        </w:tc>
      </w:tr>
      <w:tr w14:paraId="003FB0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dxa"/>
            <w:vMerge w:val="continue"/>
            <w:tcBorders>
              <w:tl2br w:val="nil"/>
              <w:tr2bl w:val="nil"/>
            </w:tcBorders>
            <w:vAlign w:val="center"/>
          </w:tcPr>
          <w:p w14:paraId="31F61CD8">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bCs/>
                <w:color w:val="auto"/>
                <w:sz w:val="21"/>
                <w:highlight w:val="none"/>
              </w:rPr>
            </w:pPr>
          </w:p>
        </w:tc>
        <w:tc>
          <w:tcPr>
            <w:tcW w:w="862" w:type="dxa"/>
            <w:gridSpan w:val="2"/>
            <w:tcBorders>
              <w:tl2br w:val="nil"/>
              <w:tr2bl w:val="nil"/>
            </w:tcBorders>
            <w:vAlign w:val="center"/>
          </w:tcPr>
          <w:p w14:paraId="517F2FB5">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eastAsia="宋体" w:cs="Times New Roman"/>
                <w:color w:val="auto"/>
                <w:sz w:val="21"/>
                <w:highlight w:val="none"/>
                <w:lang w:eastAsia="zh-CN"/>
              </w:rPr>
            </w:pPr>
            <w:r>
              <w:rPr>
                <w:rFonts w:hint="default" w:ascii="Times New Roman" w:hAnsi="Times New Roman" w:cs="Times New Roman"/>
                <w:color w:val="auto"/>
                <w:sz w:val="21"/>
                <w:highlight w:val="none"/>
                <w:lang w:eastAsia="zh-CN"/>
              </w:rPr>
              <w:t>精矿仓库</w:t>
            </w:r>
          </w:p>
        </w:tc>
        <w:tc>
          <w:tcPr>
            <w:tcW w:w="6922" w:type="dxa"/>
            <w:tcBorders>
              <w:tl2br w:val="nil"/>
              <w:tr2bl w:val="nil"/>
            </w:tcBorders>
            <w:vAlign w:val="center"/>
          </w:tcPr>
          <w:p w14:paraId="341786FD">
            <w:pPr>
              <w:pStyle w:val="15"/>
              <w:keepNext w:val="0"/>
              <w:keepLines w:val="0"/>
              <w:pageBreakBefore w:val="0"/>
              <w:widowControl w:val="0"/>
              <w:kinsoku/>
              <w:wordWrap/>
              <w:overflowPunct/>
              <w:autoSpaceDE/>
              <w:autoSpaceDN/>
              <w:bidi w:val="0"/>
              <w:snapToGrid w:val="0"/>
              <w:spacing w:line="360" w:lineRule="exact"/>
              <w:ind w:firstLine="0" w:firstLineChars="0"/>
              <w:jc w:val="both"/>
              <w:textAlignment w:val="auto"/>
              <w:rPr>
                <w:rFonts w:hint="default" w:ascii="Times New Roman" w:hAnsi="Times New Roman" w:eastAsia="宋体" w:cs="Times New Roman"/>
                <w:color w:val="auto"/>
                <w:sz w:val="21"/>
                <w:highlight w:val="none"/>
                <w:vertAlign w:val="baseline"/>
                <w:lang w:eastAsia="zh-CN"/>
              </w:rPr>
            </w:pPr>
            <w:r>
              <w:rPr>
                <w:rFonts w:hint="default" w:ascii="Times New Roman" w:hAnsi="Times New Roman" w:cs="Times New Roman"/>
                <w:color w:val="auto"/>
                <w:sz w:val="21"/>
                <w:highlight w:val="none"/>
              </w:rPr>
              <w:t>用于储存脱水后的萤石精矿（面积5940</w:t>
            </w:r>
            <w:r>
              <w:rPr>
                <w:rFonts w:hint="default" w:ascii="Times New Roman" w:hAnsi="Times New Roman" w:cs="Times New Roman"/>
                <w:color w:val="auto"/>
                <w:sz w:val="21"/>
                <w:highlight w:val="none"/>
                <w:lang w:val="en-US" w:eastAsia="zh-CN"/>
              </w:rPr>
              <w:t>m</w:t>
            </w:r>
            <w:r>
              <w:rPr>
                <w:rFonts w:hint="default" w:ascii="Times New Roman" w:hAnsi="Times New Roman" w:cs="Times New Roman"/>
                <w:color w:val="auto"/>
                <w:sz w:val="21"/>
                <w:highlight w:val="none"/>
                <w:vertAlign w:val="superscript"/>
                <w:lang w:val="en-US" w:eastAsia="zh-CN"/>
              </w:rPr>
              <w:t>2</w:t>
            </w:r>
            <w:r>
              <w:rPr>
                <w:rFonts w:hint="default" w:ascii="Times New Roman" w:hAnsi="Times New Roman" w:cs="Times New Roman"/>
                <w:color w:val="auto"/>
                <w:sz w:val="21"/>
                <w:highlight w:val="none"/>
              </w:rPr>
              <w:t>，可储存约20天产量）。</w:t>
            </w:r>
          </w:p>
        </w:tc>
        <w:tc>
          <w:tcPr>
            <w:tcW w:w="705" w:type="dxa"/>
            <w:tcBorders>
              <w:tl2br w:val="nil"/>
              <w:tr2bl w:val="nil"/>
            </w:tcBorders>
            <w:vAlign w:val="center"/>
          </w:tcPr>
          <w:p w14:paraId="4AB1D473">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新建</w:t>
            </w:r>
          </w:p>
        </w:tc>
      </w:tr>
      <w:tr w14:paraId="6DE5AB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dxa"/>
            <w:vMerge w:val="continue"/>
            <w:tcBorders>
              <w:tl2br w:val="nil"/>
              <w:tr2bl w:val="nil"/>
            </w:tcBorders>
            <w:vAlign w:val="center"/>
          </w:tcPr>
          <w:p w14:paraId="041CC7C0">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bCs/>
                <w:color w:val="auto"/>
                <w:sz w:val="21"/>
                <w:highlight w:val="none"/>
              </w:rPr>
            </w:pPr>
          </w:p>
        </w:tc>
        <w:tc>
          <w:tcPr>
            <w:tcW w:w="862" w:type="dxa"/>
            <w:gridSpan w:val="2"/>
            <w:tcBorders>
              <w:tl2br w:val="nil"/>
              <w:tr2bl w:val="nil"/>
            </w:tcBorders>
            <w:vAlign w:val="center"/>
          </w:tcPr>
          <w:p w14:paraId="376F1E3D">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粉矿仓</w:t>
            </w:r>
          </w:p>
        </w:tc>
        <w:tc>
          <w:tcPr>
            <w:tcW w:w="6922" w:type="dxa"/>
            <w:tcBorders>
              <w:tl2br w:val="nil"/>
              <w:tr2bl w:val="nil"/>
            </w:tcBorders>
            <w:vAlign w:val="center"/>
          </w:tcPr>
          <w:p w14:paraId="5A6EDABA">
            <w:pPr>
              <w:pStyle w:val="15"/>
              <w:keepNext w:val="0"/>
              <w:keepLines w:val="0"/>
              <w:pageBreakBefore w:val="0"/>
              <w:widowControl w:val="0"/>
              <w:kinsoku/>
              <w:wordWrap/>
              <w:overflowPunct/>
              <w:autoSpaceDE/>
              <w:autoSpaceDN/>
              <w:bidi w:val="0"/>
              <w:snapToGrid w:val="0"/>
              <w:spacing w:line="360" w:lineRule="exact"/>
              <w:ind w:firstLine="0" w:firstLineChars="0"/>
              <w:jc w:val="both"/>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eastAsia="zh-CN"/>
              </w:rPr>
              <w:t>储存破碎后的矿石，调节破碎与磨矿之间的生产（储矿量约19小时）。</w:t>
            </w:r>
          </w:p>
        </w:tc>
        <w:tc>
          <w:tcPr>
            <w:tcW w:w="705" w:type="dxa"/>
            <w:tcBorders>
              <w:tl2br w:val="nil"/>
              <w:tr2bl w:val="nil"/>
            </w:tcBorders>
            <w:vAlign w:val="center"/>
          </w:tcPr>
          <w:p w14:paraId="3B958137">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新建</w:t>
            </w:r>
          </w:p>
        </w:tc>
      </w:tr>
      <w:tr w14:paraId="121DB0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dxa"/>
            <w:vMerge w:val="continue"/>
            <w:tcBorders>
              <w:tl2br w:val="nil"/>
              <w:tr2bl w:val="nil"/>
            </w:tcBorders>
            <w:vAlign w:val="center"/>
          </w:tcPr>
          <w:p w14:paraId="2D8A82EE">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bCs/>
                <w:color w:val="auto"/>
                <w:sz w:val="21"/>
                <w:highlight w:val="none"/>
              </w:rPr>
            </w:pPr>
          </w:p>
        </w:tc>
        <w:tc>
          <w:tcPr>
            <w:tcW w:w="862" w:type="dxa"/>
            <w:gridSpan w:val="2"/>
            <w:tcBorders>
              <w:tl2br w:val="nil"/>
              <w:tr2bl w:val="nil"/>
            </w:tcBorders>
            <w:vAlign w:val="center"/>
          </w:tcPr>
          <w:p w14:paraId="3336BE3F">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药剂制备间</w:t>
            </w:r>
          </w:p>
        </w:tc>
        <w:tc>
          <w:tcPr>
            <w:tcW w:w="6922" w:type="dxa"/>
            <w:tcBorders>
              <w:tl2br w:val="nil"/>
              <w:tr2bl w:val="nil"/>
            </w:tcBorders>
            <w:vAlign w:val="center"/>
          </w:tcPr>
          <w:p w14:paraId="686CE72A">
            <w:pPr>
              <w:pStyle w:val="15"/>
              <w:keepNext w:val="0"/>
              <w:keepLines w:val="0"/>
              <w:pageBreakBefore w:val="0"/>
              <w:widowControl w:val="0"/>
              <w:kinsoku/>
              <w:wordWrap/>
              <w:overflowPunct/>
              <w:autoSpaceDE/>
              <w:autoSpaceDN/>
              <w:bidi w:val="0"/>
              <w:snapToGrid w:val="0"/>
              <w:spacing w:line="360" w:lineRule="exact"/>
              <w:ind w:firstLine="0" w:firstLineChars="0"/>
              <w:jc w:val="both"/>
              <w:textAlignment w:val="auto"/>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用于浮选药剂的储存、制备和添加（设有药剂搅拌槽、自动加药机等）</w:t>
            </w:r>
            <w:r>
              <w:rPr>
                <w:rFonts w:hint="eastAsia" w:ascii="Times New Roman" w:hAnsi="Times New Roman" w:cs="Times New Roman"/>
                <w:color w:val="auto"/>
                <w:sz w:val="21"/>
                <w:highlight w:val="none"/>
                <w:lang w:eastAsia="zh-CN"/>
              </w:rPr>
              <w:t>，</w:t>
            </w:r>
            <w:r>
              <w:rPr>
                <w:rFonts w:hint="eastAsia" w:ascii="Times New Roman" w:hAnsi="Times New Roman" w:cs="Times New Roman"/>
                <w:color w:val="auto"/>
                <w:sz w:val="21"/>
                <w:highlight w:val="none"/>
                <w:lang w:val="en-US" w:eastAsia="zh-CN"/>
              </w:rPr>
              <w:t>药剂制备间面积为160</w:t>
            </w:r>
            <w:r>
              <w:rPr>
                <w:rFonts w:hint="eastAsia" w:ascii="Times New Roman" w:hAnsi="Times New Roman" w:cs="Times New Roman"/>
                <w:color w:val="auto"/>
                <w:sz w:val="21"/>
                <w:highlight w:val="none"/>
                <w:lang w:eastAsia="zh-CN"/>
              </w:rPr>
              <w:t>m</w:t>
            </w:r>
            <w:r>
              <w:rPr>
                <w:rFonts w:hint="eastAsia" w:ascii="Times New Roman" w:hAnsi="Times New Roman" w:cs="Times New Roman"/>
                <w:color w:val="auto"/>
                <w:sz w:val="21"/>
                <w:highlight w:val="none"/>
                <w:vertAlign w:val="superscript"/>
                <w:lang w:val="en-US" w:eastAsia="zh-CN"/>
              </w:rPr>
              <w:t>2</w:t>
            </w:r>
            <w:r>
              <w:rPr>
                <w:rFonts w:hint="default" w:ascii="Times New Roman" w:hAnsi="Times New Roman" w:cs="Times New Roman"/>
                <w:color w:val="auto"/>
                <w:sz w:val="21"/>
                <w:highlight w:val="none"/>
                <w:lang w:eastAsia="zh-CN"/>
              </w:rPr>
              <w:t>。</w:t>
            </w:r>
          </w:p>
        </w:tc>
        <w:tc>
          <w:tcPr>
            <w:tcW w:w="705" w:type="dxa"/>
            <w:tcBorders>
              <w:tl2br w:val="nil"/>
              <w:tr2bl w:val="nil"/>
            </w:tcBorders>
            <w:vAlign w:val="center"/>
          </w:tcPr>
          <w:p w14:paraId="73B45D4A">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新建</w:t>
            </w:r>
          </w:p>
        </w:tc>
      </w:tr>
      <w:tr w14:paraId="6E80F7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dxa"/>
            <w:vMerge w:val="continue"/>
            <w:tcBorders>
              <w:tl2br w:val="nil"/>
              <w:tr2bl w:val="nil"/>
            </w:tcBorders>
            <w:vAlign w:val="center"/>
          </w:tcPr>
          <w:p w14:paraId="5BEFA83A">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bCs/>
                <w:color w:val="auto"/>
                <w:sz w:val="21"/>
                <w:highlight w:val="none"/>
              </w:rPr>
            </w:pPr>
          </w:p>
        </w:tc>
        <w:tc>
          <w:tcPr>
            <w:tcW w:w="862" w:type="dxa"/>
            <w:gridSpan w:val="2"/>
            <w:tcBorders>
              <w:tl2br w:val="nil"/>
              <w:tr2bl w:val="nil"/>
            </w:tcBorders>
            <w:vAlign w:val="center"/>
          </w:tcPr>
          <w:p w14:paraId="5A3AA827">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应急物资库</w:t>
            </w:r>
          </w:p>
        </w:tc>
        <w:tc>
          <w:tcPr>
            <w:tcW w:w="6922" w:type="dxa"/>
            <w:tcBorders>
              <w:tl2br w:val="nil"/>
              <w:tr2bl w:val="nil"/>
            </w:tcBorders>
            <w:vAlign w:val="center"/>
          </w:tcPr>
          <w:p w14:paraId="464D56D6">
            <w:pPr>
              <w:pStyle w:val="15"/>
              <w:keepNext w:val="0"/>
              <w:keepLines w:val="0"/>
              <w:pageBreakBefore w:val="0"/>
              <w:widowControl w:val="0"/>
              <w:kinsoku/>
              <w:wordWrap/>
              <w:overflowPunct/>
              <w:autoSpaceDE/>
              <w:autoSpaceDN/>
              <w:bidi w:val="0"/>
              <w:snapToGrid w:val="0"/>
              <w:spacing w:line="360" w:lineRule="exact"/>
              <w:ind w:firstLine="0" w:firstLineChars="0"/>
              <w:jc w:val="both"/>
              <w:textAlignment w:val="auto"/>
              <w:rPr>
                <w:rFonts w:hint="default" w:ascii="Times New Roman" w:hAnsi="Times New Roman" w:cs="Times New Roman"/>
                <w:color w:val="auto"/>
                <w:sz w:val="21"/>
                <w:highlight w:val="none"/>
                <w:lang w:eastAsia="zh-CN"/>
              </w:rPr>
            </w:pPr>
            <w:r>
              <w:rPr>
                <w:rFonts w:hint="default" w:ascii="Times New Roman" w:hAnsi="Times New Roman" w:eastAsia="宋体" w:cs="Times New Roman"/>
                <w:color w:val="auto"/>
                <w:sz w:val="21"/>
                <w:highlight w:val="none"/>
                <w:lang w:eastAsia="zh-CN"/>
              </w:rPr>
              <w:t>储备铁锹、土工布袋、救生衣、报警器等防汛及应急救援器材</w:t>
            </w:r>
            <w:r>
              <w:rPr>
                <w:rFonts w:hint="eastAsia" w:ascii="Times New Roman" w:hAnsi="Times New Roman" w:cs="Times New Roman"/>
                <w:color w:val="auto"/>
                <w:sz w:val="21"/>
                <w:highlight w:val="none"/>
                <w:lang w:eastAsia="zh-CN"/>
              </w:rPr>
              <w:t>，应急物资库面积为50m</w:t>
            </w:r>
            <w:r>
              <w:rPr>
                <w:rFonts w:hint="eastAsia" w:ascii="Times New Roman" w:hAnsi="Times New Roman" w:cs="Times New Roman"/>
                <w:color w:val="auto"/>
                <w:sz w:val="21"/>
                <w:highlight w:val="none"/>
                <w:vertAlign w:val="superscript"/>
                <w:lang w:val="en-US" w:eastAsia="zh-CN"/>
              </w:rPr>
              <w:t>2</w:t>
            </w:r>
            <w:r>
              <w:rPr>
                <w:rFonts w:hint="default" w:ascii="Times New Roman" w:hAnsi="Times New Roman" w:eastAsia="宋体" w:cs="Times New Roman"/>
                <w:color w:val="auto"/>
                <w:sz w:val="21"/>
                <w:highlight w:val="none"/>
                <w:lang w:eastAsia="zh-CN"/>
              </w:rPr>
              <w:t>。</w:t>
            </w:r>
          </w:p>
        </w:tc>
        <w:tc>
          <w:tcPr>
            <w:tcW w:w="705" w:type="dxa"/>
            <w:tcBorders>
              <w:tl2br w:val="nil"/>
              <w:tr2bl w:val="nil"/>
            </w:tcBorders>
            <w:vAlign w:val="center"/>
          </w:tcPr>
          <w:p w14:paraId="74C35672">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eastAsia="宋体" w:cs="Times New Roman"/>
                <w:color w:val="auto"/>
                <w:sz w:val="21"/>
                <w:highlight w:val="none"/>
                <w:lang w:eastAsia="zh-CN"/>
              </w:rPr>
            </w:pPr>
            <w:r>
              <w:rPr>
                <w:rFonts w:hint="default" w:ascii="Times New Roman" w:hAnsi="Times New Roman" w:cs="Times New Roman"/>
                <w:color w:val="auto"/>
                <w:sz w:val="21"/>
                <w:highlight w:val="none"/>
                <w:lang w:eastAsia="zh-CN"/>
              </w:rPr>
              <w:t>新建</w:t>
            </w:r>
          </w:p>
        </w:tc>
      </w:tr>
      <w:tr w14:paraId="620FBF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dxa"/>
            <w:vMerge w:val="restart"/>
            <w:tcBorders>
              <w:tl2br w:val="nil"/>
              <w:tr2bl w:val="nil"/>
            </w:tcBorders>
            <w:vAlign w:val="center"/>
          </w:tcPr>
          <w:p w14:paraId="4913F63C">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bCs/>
                <w:color w:val="auto"/>
                <w:sz w:val="21"/>
                <w:highlight w:val="none"/>
              </w:rPr>
            </w:pPr>
            <w:r>
              <w:rPr>
                <w:rFonts w:hint="default" w:ascii="Times New Roman" w:hAnsi="Times New Roman" w:cs="Times New Roman"/>
                <w:bCs/>
                <w:color w:val="auto"/>
                <w:sz w:val="21"/>
                <w:highlight w:val="none"/>
              </w:rPr>
              <w:t>环保工程</w:t>
            </w:r>
          </w:p>
        </w:tc>
        <w:tc>
          <w:tcPr>
            <w:tcW w:w="862" w:type="dxa"/>
            <w:gridSpan w:val="2"/>
            <w:tcBorders>
              <w:tl2br w:val="nil"/>
              <w:tr2bl w:val="nil"/>
            </w:tcBorders>
            <w:vAlign w:val="center"/>
          </w:tcPr>
          <w:p w14:paraId="42CA6C79">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废气处理</w:t>
            </w:r>
          </w:p>
        </w:tc>
        <w:tc>
          <w:tcPr>
            <w:tcW w:w="6922" w:type="dxa"/>
            <w:tcBorders>
              <w:tl2br w:val="nil"/>
              <w:tr2bl w:val="nil"/>
            </w:tcBorders>
            <w:vAlign w:val="center"/>
          </w:tcPr>
          <w:p w14:paraId="72BBB368">
            <w:pPr>
              <w:pStyle w:val="15"/>
              <w:keepNext w:val="0"/>
              <w:keepLines w:val="0"/>
              <w:pageBreakBefore w:val="0"/>
              <w:widowControl w:val="0"/>
              <w:kinsoku/>
              <w:wordWrap/>
              <w:overflowPunct/>
              <w:autoSpaceDE/>
              <w:autoSpaceDN/>
              <w:bidi w:val="0"/>
              <w:snapToGrid w:val="0"/>
              <w:spacing w:line="360" w:lineRule="exact"/>
              <w:ind w:firstLine="0" w:firstLineChars="0"/>
              <w:jc w:val="both"/>
              <w:textAlignment w:val="auto"/>
              <w:rPr>
                <w:rFonts w:hint="default" w:ascii="Times New Roman" w:hAnsi="Times New Roman" w:cs="Times New Roman"/>
                <w:color w:val="auto"/>
                <w:sz w:val="21"/>
                <w:highlight w:val="none"/>
              </w:rPr>
            </w:pPr>
            <w:r>
              <w:rPr>
                <w:rFonts w:hint="eastAsia" w:ascii="Times New Roman" w:hAnsi="Times New Roman" w:cs="Times New Roman"/>
                <w:color w:val="auto"/>
                <w:sz w:val="21"/>
                <w:highlight w:val="none"/>
              </w:rPr>
              <w:t>矿石在破碎、筛分及转运环节会产生大量粉尘，设计在</w:t>
            </w:r>
            <w:r>
              <w:rPr>
                <w:rFonts w:hint="eastAsia" w:ascii="Times New Roman" w:hAnsi="Times New Roman" w:cs="Times New Roman"/>
                <w:color w:val="auto"/>
                <w:sz w:val="21"/>
                <w:highlight w:val="none"/>
                <w:lang w:val="en-US" w:eastAsia="zh-CN"/>
              </w:rPr>
              <w:t>破碎</w:t>
            </w:r>
            <w:r>
              <w:rPr>
                <w:rFonts w:hint="eastAsia" w:ascii="Times New Roman" w:hAnsi="Times New Roman" w:cs="Times New Roman"/>
                <w:color w:val="auto"/>
                <w:sz w:val="21"/>
                <w:highlight w:val="none"/>
              </w:rPr>
              <w:t>、筛分及各皮带转运点等产尘位置设置局部密闭罩，粉尘收集后经过高效脉冲喷吹袋式除尘器处理，处理后的废气通过15米高的排气筒排放。</w:t>
            </w:r>
          </w:p>
          <w:p w14:paraId="719A258E">
            <w:pPr>
              <w:pStyle w:val="15"/>
              <w:keepNext w:val="0"/>
              <w:keepLines w:val="0"/>
              <w:pageBreakBefore w:val="0"/>
              <w:widowControl w:val="0"/>
              <w:kinsoku/>
              <w:wordWrap/>
              <w:overflowPunct/>
              <w:autoSpaceDE/>
              <w:autoSpaceDN/>
              <w:bidi w:val="0"/>
              <w:snapToGrid w:val="0"/>
              <w:spacing w:line="360" w:lineRule="exact"/>
              <w:ind w:firstLine="0" w:firstLineChars="0"/>
              <w:jc w:val="both"/>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尾矿堆存方式为湿式堆存，通过控制放矿间隔时间，使尾矿干滩的尾矿含有一定水分，减少扬尘。运输道路</w:t>
            </w:r>
            <w:r>
              <w:rPr>
                <w:rFonts w:hint="default" w:ascii="Times New Roman" w:hAnsi="Times New Roman" w:cs="Times New Roman"/>
                <w:color w:val="auto"/>
                <w:sz w:val="21"/>
                <w:highlight w:val="none"/>
                <w:lang w:val="en-US" w:eastAsia="zh-CN"/>
              </w:rPr>
              <w:t>定期进行</w:t>
            </w:r>
            <w:r>
              <w:rPr>
                <w:rFonts w:hint="default" w:ascii="Times New Roman" w:hAnsi="Times New Roman" w:cs="Times New Roman"/>
                <w:color w:val="auto"/>
                <w:sz w:val="21"/>
                <w:highlight w:val="none"/>
              </w:rPr>
              <w:t>洒水抑尘。</w:t>
            </w:r>
          </w:p>
          <w:p w14:paraId="0BE26996">
            <w:pPr>
              <w:pStyle w:val="15"/>
              <w:keepNext w:val="0"/>
              <w:keepLines w:val="0"/>
              <w:pageBreakBefore w:val="0"/>
              <w:widowControl w:val="0"/>
              <w:kinsoku/>
              <w:wordWrap/>
              <w:overflowPunct/>
              <w:autoSpaceDE/>
              <w:autoSpaceDN/>
              <w:bidi w:val="0"/>
              <w:snapToGrid w:val="0"/>
              <w:spacing w:line="360" w:lineRule="exact"/>
              <w:ind w:firstLine="0" w:firstLineChars="0"/>
              <w:jc w:val="both"/>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链条式燃煤锅炉废气</w:t>
            </w:r>
            <w:r>
              <w:rPr>
                <w:rFonts w:hint="eastAsia" w:ascii="Times New Roman" w:hAnsi="Times New Roman" w:cs="Times New Roman"/>
                <w:color w:val="auto"/>
                <w:sz w:val="21"/>
                <w:highlight w:val="none"/>
                <w:lang w:val="en-US" w:eastAsia="zh-CN"/>
              </w:rPr>
              <w:t>采用</w:t>
            </w:r>
            <w:r>
              <w:rPr>
                <w:rFonts w:hint="default" w:ascii="Times New Roman" w:hAnsi="Times New Roman" w:cs="Times New Roman"/>
                <w:color w:val="auto"/>
                <w:sz w:val="21"/>
                <w:highlight w:val="none"/>
                <w:lang w:val="en-US" w:eastAsia="zh-CN"/>
              </w:rPr>
              <w:t>1套高温</w:t>
            </w:r>
            <w:r>
              <w:rPr>
                <w:rFonts w:hint="default" w:ascii="Times New Roman" w:hAnsi="Times New Roman" w:cs="Times New Roman"/>
                <w:color w:val="auto"/>
                <w:sz w:val="21"/>
                <w:highlight w:val="none"/>
                <w:lang w:eastAsia="zh-CN"/>
              </w:rPr>
              <w:t>袋式除尘</w:t>
            </w:r>
            <w:r>
              <w:rPr>
                <w:rFonts w:hint="default" w:ascii="Times New Roman" w:hAnsi="Times New Roman" w:cs="Times New Roman"/>
                <w:color w:val="auto"/>
                <w:sz w:val="21"/>
                <w:highlight w:val="none"/>
                <w:lang w:val="en-US" w:eastAsia="zh-CN"/>
              </w:rPr>
              <w:t>设施+1套SNCR脱硝设施+1套水膜脱硫除尘设施+40m高烟囱</w:t>
            </w:r>
            <w:r>
              <w:rPr>
                <w:rFonts w:hint="eastAsia" w:ascii="Times New Roman" w:hAnsi="Times New Roman" w:cs="Times New Roman"/>
                <w:color w:val="auto"/>
                <w:sz w:val="21"/>
                <w:highlight w:val="none"/>
                <w:lang w:val="en-US" w:eastAsia="zh-CN"/>
              </w:rPr>
              <w:t>。</w:t>
            </w:r>
          </w:p>
        </w:tc>
        <w:tc>
          <w:tcPr>
            <w:tcW w:w="705" w:type="dxa"/>
            <w:tcBorders>
              <w:tl2br w:val="nil"/>
              <w:tr2bl w:val="nil"/>
            </w:tcBorders>
            <w:vAlign w:val="center"/>
          </w:tcPr>
          <w:p w14:paraId="5421E1B1">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新建</w:t>
            </w:r>
          </w:p>
        </w:tc>
      </w:tr>
      <w:tr w14:paraId="52515C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dxa"/>
            <w:vMerge w:val="continue"/>
            <w:tcBorders>
              <w:tl2br w:val="nil"/>
              <w:tr2bl w:val="nil"/>
            </w:tcBorders>
            <w:vAlign w:val="center"/>
          </w:tcPr>
          <w:p w14:paraId="311840A6">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bCs/>
                <w:color w:val="auto"/>
                <w:sz w:val="21"/>
                <w:highlight w:val="none"/>
              </w:rPr>
            </w:pPr>
          </w:p>
        </w:tc>
        <w:tc>
          <w:tcPr>
            <w:tcW w:w="862" w:type="dxa"/>
            <w:gridSpan w:val="2"/>
            <w:tcBorders>
              <w:tl2br w:val="nil"/>
              <w:tr2bl w:val="nil"/>
            </w:tcBorders>
            <w:vAlign w:val="center"/>
          </w:tcPr>
          <w:p w14:paraId="3CBEAED6">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废水处理</w:t>
            </w:r>
          </w:p>
        </w:tc>
        <w:tc>
          <w:tcPr>
            <w:tcW w:w="6922" w:type="dxa"/>
            <w:tcBorders>
              <w:tl2br w:val="nil"/>
              <w:tr2bl w:val="nil"/>
            </w:tcBorders>
            <w:vAlign w:val="center"/>
          </w:tcPr>
          <w:p w14:paraId="6AE4C56E">
            <w:pPr>
              <w:pStyle w:val="15"/>
              <w:keepNext w:val="0"/>
              <w:keepLines w:val="0"/>
              <w:pageBreakBefore w:val="0"/>
              <w:widowControl w:val="0"/>
              <w:kinsoku/>
              <w:wordWrap/>
              <w:overflowPunct/>
              <w:autoSpaceDE/>
              <w:autoSpaceDN/>
              <w:bidi w:val="0"/>
              <w:snapToGrid w:val="0"/>
              <w:spacing w:line="360" w:lineRule="exact"/>
              <w:ind w:firstLine="0" w:firstLineChars="0"/>
              <w:jc w:val="both"/>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生产废水循环使用，不外排；锅炉排污水、软水废水经沉淀池处理后用于</w:t>
            </w:r>
            <w:r>
              <w:rPr>
                <w:rFonts w:hint="default" w:ascii="Times New Roman" w:hAnsi="Times New Roman" w:cs="Times New Roman"/>
                <w:color w:val="auto"/>
                <w:sz w:val="21"/>
                <w:highlight w:val="none"/>
                <w:lang w:eastAsia="zh-CN"/>
              </w:rPr>
              <w:t>降尘</w:t>
            </w:r>
            <w:r>
              <w:rPr>
                <w:rFonts w:hint="default" w:ascii="Times New Roman" w:hAnsi="Times New Roman" w:cs="Times New Roman"/>
                <w:color w:val="auto"/>
                <w:sz w:val="21"/>
                <w:highlight w:val="none"/>
              </w:rPr>
              <w:t>使用。生活污水排入化粪池定期清运至哈密市污水处理厂。</w:t>
            </w:r>
          </w:p>
        </w:tc>
        <w:tc>
          <w:tcPr>
            <w:tcW w:w="705" w:type="dxa"/>
            <w:tcBorders>
              <w:tl2br w:val="nil"/>
              <w:tr2bl w:val="nil"/>
            </w:tcBorders>
            <w:vAlign w:val="center"/>
          </w:tcPr>
          <w:p w14:paraId="028C7E67">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eastAsia="宋体" w:cs="Times New Roman"/>
                <w:color w:val="auto"/>
                <w:sz w:val="21"/>
                <w:highlight w:val="none"/>
                <w:lang w:eastAsia="zh-CN"/>
              </w:rPr>
            </w:pPr>
            <w:r>
              <w:rPr>
                <w:rFonts w:hint="default" w:ascii="Times New Roman" w:hAnsi="Times New Roman" w:cs="Times New Roman"/>
                <w:color w:val="auto"/>
                <w:sz w:val="21"/>
                <w:highlight w:val="none"/>
              </w:rPr>
              <w:t>新建/</w:t>
            </w:r>
            <w:r>
              <w:rPr>
                <w:rFonts w:hint="default" w:ascii="Times New Roman" w:hAnsi="Times New Roman" w:cs="Times New Roman"/>
                <w:color w:val="auto"/>
                <w:sz w:val="21"/>
                <w:highlight w:val="none"/>
                <w:lang w:eastAsia="zh-CN"/>
              </w:rPr>
              <w:t>依托</w:t>
            </w:r>
          </w:p>
        </w:tc>
      </w:tr>
      <w:tr w14:paraId="7CE306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dxa"/>
            <w:vMerge w:val="continue"/>
            <w:tcBorders>
              <w:tl2br w:val="nil"/>
              <w:tr2bl w:val="nil"/>
            </w:tcBorders>
            <w:vAlign w:val="center"/>
          </w:tcPr>
          <w:p w14:paraId="7450924C">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bCs/>
                <w:color w:val="auto"/>
                <w:sz w:val="21"/>
                <w:highlight w:val="none"/>
              </w:rPr>
            </w:pPr>
          </w:p>
        </w:tc>
        <w:tc>
          <w:tcPr>
            <w:tcW w:w="862" w:type="dxa"/>
            <w:gridSpan w:val="2"/>
            <w:tcBorders>
              <w:tl2br w:val="nil"/>
              <w:tr2bl w:val="nil"/>
            </w:tcBorders>
            <w:vAlign w:val="center"/>
          </w:tcPr>
          <w:p w14:paraId="38325BC9">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噪声治理</w:t>
            </w:r>
          </w:p>
        </w:tc>
        <w:tc>
          <w:tcPr>
            <w:tcW w:w="6922" w:type="dxa"/>
            <w:tcBorders>
              <w:tl2br w:val="nil"/>
              <w:tr2bl w:val="nil"/>
            </w:tcBorders>
            <w:vAlign w:val="center"/>
          </w:tcPr>
          <w:p w14:paraId="589F82DF">
            <w:pPr>
              <w:pStyle w:val="15"/>
              <w:keepNext w:val="0"/>
              <w:keepLines w:val="0"/>
              <w:pageBreakBefore w:val="0"/>
              <w:widowControl w:val="0"/>
              <w:kinsoku/>
              <w:wordWrap/>
              <w:overflowPunct/>
              <w:autoSpaceDE/>
              <w:autoSpaceDN/>
              <w:bidi w:val="0"/>
              <w:snapToGrid w:val="0"/>
              <w:spacing w:line="360" w:lineRule="exact"/>
              <w:ind w:firstLine="0" w:firstLineChars="0"/>
              <w:jc w:val="both"/>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采用低噪声设备，选矿设备设置在厂房内隔声、减震。采用弹性支承或弹性连接以减少振动。</w:t>
            </w:r>
          </w:p>
        </w:tc>
        <w:tc>
          <w:tcPr>
            <w:tcW w:w="705" w:type="dxa"/>
            <w:tcBorders>
              <w:tl2br w:val="nil"/>
              <w:tr2bl w:val="nil"/>
            </w:tcBorders>
            <w:vAlign w:val="center"/>
          </w:tcPr>
          <w:p w14:paraId="3927DC25">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新建</w:t>
            </w:r>
          </w:p>
        </w:tc>
      </w:tr>
      <w:tr w14:paraId="11AE9D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dxa"/>
            <w:vMerge w:val="continue"/>
            <w:tcBorders>
              <w:tl2br w:val="nil"/>
              <w:tr2bl w:val="nil"/>
            </w:tcBorders>
            <w:vAlign w:val="center"/>
          </w:tcPr>
          <w:p w14:paraId="05BA3366">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bCs/>
                <w:color w:val="auto"/>
                <w:sz w:val="21"/>
                <w:highlight w:val="none"/>
              </w:rPr>
            </w:pPr>
          </w:p>
        </w:tc>
        <w:tc>
          <w:tcPr>
            <w:tcW w:w="862" w:type="dxa"/>
            <w:gridSpan w:val="2"/>
            <w:tcBorders>
              <w:tl2br w:val="nil"/>
              <w:tr2bl w:val="nil"/>
            </w:tcBorders>
            <w:vAlign w:val="center"/>
          </w:tcPr>
          <w:p w14:paraId="3B86B3CA">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固体废物</w:t>
            </w:r>
          </w:p>
        </w:tc>
        <w:tc>
          <w:tcPr>
            <w:tcW w:w="6922" w:type="dxa"/>
            <w:tcBorders>
              <w:tl2br w:val="nil"/>
              <w:tr2bl w:val="nil"/>
            </w:tcBorders>
            <w:vAlign w:val="center"/>
          </w:tcPr>
          <w:p w14:paraId="09467EDD">
            <w:pPr>
              <w:pStyle w:val="15"/>
              <w:keepNext w:val="0"/>
              <w:keepLines w:val="0"/>
              <w:pageBreakBefore w:val="0"/>
              <w:widowControl w:val="0"/>
              <w:kinsoku/>
              <w:wordWrap/>
              <w:overflowPunct/>
              <w:autoSpaceDE/>
              <w:autoSpaceDN/>
              <w:bidi w:val="0"/>
              <w:snapToGrid w:val="0"/>
              <w:spacing w:line="360" w:lineRule="exact"/>
              <w:ind w:firstLine="0" w:firstLineChars="0"/>
              <w:jc w:val="both"/>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尾矿排入尾矿库，尾矿库停运后随之封场。生活垃圾集中收集后，</w:t>
            </w:r>
            <w:r>
              <w:rPr>
                <w:rFonts w:hint="default" w:ascii="Times New Roman" w:hAnsi="Times New Roman" w:cs="Times New Roman"/>
                <w:color w:val="auto"/>
                <w:sz w:val="21"/>
                <w:highlight w:val="none"/>
                <w:lang w:val="en-US" w:eastAsia="zh-CN"/>
              </w:rPr>
              <w:t>定期拉运至雅满苏镇垃圾转运站</w:t>
            </w:r>
            <w:r>
              <w:rPr>
                <w:rFonts w:hint="default" w:ascii="Times New Roman" w:hAnsi="Times New Roman" w:cs="Times New Roman"/>
                <w:color w:val="auto"/>
                <w:sz w:val="21"/>
                <w:highlight w:val="none"/>
              </w:rPr>
              <w:t>。危险废物</w:t>
            </w:r>
            <w:r>
              <w:rPr>
                <w:rFonts w:hint="default" w:ascii="Times New Roman" w:hAnsi="Times New Roman" w:cs="Times New Roman"/>
                <w:color w:val="auto"/>
                <w:sz w:val="21"/>
                <w:highlight w:val="none"/>
                <w:lang w:eastAsia="zh-CN"/>
              </w:rPr>
              <w:t>依托采矿项目</w:t>
            </w:r>
            <w:r>
              <w:rPr>
                <w:rFonts w:hint="eastAsia" w:ascii="Times New Roman" w:hAnsi="Times New Roman" w:cs="Times New Roman"/>
                <w:color w:val="auto"/>
                <w:sz w:val="21"/>
                <w:highlight w:val="none"/>
                <w:lang w:eastAsia="zh-CN"/>
              </w:rPr>
              <w:t>危废贮存</w:t>
            </w:r>
            <w:r>
              <w:rPr>
                <w:rFonts w:hint="eastAsia" w:ascii="Times New Roman" w:hAnsi="Times New Roman" w:cs="Times New Roman"/>
                <w:color w:val="auto"/>
                <w:sz w:val="21"/>
                <w:szCs w:val="21"/>
                <w:highlight w:val="none"/>
                <w:lang w:eastAsia="zh-CN"/>
              </w:rPr>
              <w:t>点</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规格：3×7=21m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highlight w:val="none"/>
              </w:rPr>
              <w:t>委托有资质单位处置。选矿除尘灰回用于选矿生产。</w:t>
            </w:r>
          </w:p>
        </w:tc>
        <w:tc>
          <w:tcPr>
            <w:tcW w:w="705" w:type="dxa"/>
            <w:tcBorders>
              <w:tl2br w:val="nil"/>
              <w:tr2bl w:val="nil"/>
            </w:tcBorders>
            <w:vAlign w:val="center"/>
          </w:tcPr>
          <w:p w14:paraId="7F4384B9">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rPr>
              <w:t>新建</w:t>
            </w:r>
            <w:r>
              <w:rPr>
                <w:rFonts w:hint="default" w:ascii="Times New Roman" w:hAnsi="Times New Roman" w:cs="Times New Roman"/>
                <w:color w:val="auto"/>
                <w:sz w:val="21"/>
                <w:highlight w:val="none"/>
                <w:lang w:val="en-US" w:eastAsia="zh-CN"/>
              </w:rPr>
              <w:t>/部分依托</w:t>
            </w:r>
          </w:p>
        </w:tc>
      </w:tr>
      <w:tr w14:paraId="08C77E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685" w:type="dxa"/>
            <w:vMerge w:val="continue"/>
            <w:tcBorders>
              <w:tl2br w:val="nil"/>
              <w:tr2bl w:val="nil"/>
            </w:tcBorders>
            <w:vAlign w:val="center"/>
          </w:tcPr>
          <w:p w14:paraId="06DDBC7A">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bCs/>
                <w:color w:val="auto"/>
                <w:sz w:val="21"/>
                <w:highlight w:val="none"/>
              </w:rPr>
            </w:pPr>
          </w:p>
        </w:tc>
        <w:tc>
          <w:tcPr>
            <w:tcW w:w="862" w:type="dxa"/>
            <w:gridSpan w:val="2"/>
            <w:vMerge w:val="restart"/>
            <w:tcBorders>
              <w:tl2br w:val="nil"/>
              <w:tr2bl w:val="nil"/>
            </w:tcBorders>
            <w:vAlign w:val="center"/>
          </w:tcPr>
          <w:p w14:paraId="0C2677AB">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环境风险</w:t>
            </w:r>
          </w:p>
        </w:tc>
        <w:tc>
          <w:tcPr>
            <w:tcW w:w="6922" w:type="dxa"/>
            <w:tcBorders>
              <w:tl2br w:val="nil"/>
              <w:tr2bl w:val="nil"/>
            </w:tcBorders>
            <w:vAlign w:val="center"/>
          </w:tcPr>
          <w:p w14:paraId="5EADEBE3">
            <w:pPr>
              <w:keepNext w:val="0"/>
              <w:keepLines w:val="0"/>
              <w:pageBreakBefore w:val="0"/>
              <w:widowControl w:val="0"/>
              <w:kinsoku/>
              <w:wordWrap/>
              <w:overflowPunct/>
              <w:autoSpaceDE/>
              <w:autoSpaceDN/>
              <w:bidi w:val="0"/>
              <w:spacing w:line="360" w:lineRule="exact"/>
              <w:ind w:firstLine="0" w:firstLineChars="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尾矿库实施全库区防渗工程，库底及坝体内坡均铺设1.0毫米厚的HDPE土工膜，并设置土工布保护层和压实细砂垫层，形成多重防渗结构，以防止尾矿废水下渗污染地下水及土壤。</w:t>
            </w:r>
          </w:p>
        </w:tc>
        <w:tc>
          <w:tcPr>
            <w:tcW w:w="705" w:type="dxa"/>
            <w:tcBorders>
              <w:tl2br w:val="nil"/>
              <w:tr2bl w:val="nil"/>
            </w:tcBorders>
            <w:vAlign w:val="center"/>
          </w:tcPr>
          <w:p w14:paraId="60CA6AE7">
            <w:pPr>
              <w:keepNext w:val="0"/>
              <w:keepLines w:val="0"/>
              <w:pageBreakBefore w:val="0"/>
              <w:widowControl w:val="0"/>
              <w:kinsoku/>
              <w:wordWrap/>
              <w:overflowPunct/>
              <w:autoSpaceDE/>
              <w:autoSpaceDN/>
              <w:bidi w:val="0"/>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新建</w:t>
            </w:r>
          </w:p>
        </w:tc>
      </w:tr>
      <w:tr w14:paraId="4A8482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dxa"/>
            <w:vMerge w:val="continue"/>
            <w:tcBorders>
              <w:tl2br w:val="nil"/>
              <w:tr2bl w:val="nil"/>
            </w:tcBorders>
            <w:vAlign w:val="center"/>
          </w:tcPr>
          <w:p w14:paraId="51FFDCA9">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bCs/>
                <w:color w:val="auto"/>
                <w:sz w:val="21"/>
                <w:highlight w:val="none"/>
              </w:rPr>
            </w:pPr>
          </w:p>
        </w:tc>
        <w:tc>
          <w:tcPr>
            <w:tcW w:w="862" w:type="dxa"/>
            <w:gridSpan w:val="2"/>
            <w:vMerge w:val="continue"/>
            <w:tcBorders>
              <w:tl2br w:val="nil"/>
              <w:tr2bl w:val="nil"/>
            </w:tcBorders>
            <w:vAlign w:val="center"/>
          </w:tcPr>
          <w:p w14:paraId="23DA97E6">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6922" w:type="dxa"/>
            <w:tcBorders>
              <w:tl2br w:val="nil"/>
              <w:tr2bl w:val="nil"/>
            </w:tcBorders>
            <w:vAlign w:val="center"/>
          </w:tcPr>
          <w:p w14:paraId="794F3265">
            <w:pPr>
              <w:keepNext w:val="0"/>
              <w:keepLines w:val="0"/>
              <w:pageBreakBefore w:val="0"/>
              <w:widowControl w:val="0"/>
              <w:kinsoku/>
              <w:wordWrap/>
              <w:overflowPunct/>
              <w:autoSpaceDE/>
              <w:autoSpaceDN/>
              <w:bidi w:val="0"/>
              <w:spacing w:line="360" w:lineRule="exact"/>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为拦截库区外围汇水、减小洪水对尾矿库的冲击，库周修建了浆砌石截水沟，实现清污分流。针对可能发生的渗漏污染，在尾矿库四周坝下设置了地下水监测井，定期监控渗滤液对地下水环境的影响。</w:t>
            </w:r>
          </w:p>
        </w:tc>
        <w:tc>
          <w:tcPr>
            <w:tcW w:w="705" w:type="dxa"/>
            <w:tcBorders>
              <w:tl2br w:val="nil"/>
              <w:tr2bl w:val="nil"/>
            </w:tcBorders>
            <w:vAlign w:val="center"/>
          </w:tcPr>
          <w:p w14:paraId="2E8E10D9">
            <w:pPr>
              <w:keepNext w:val="0"/>
              <w:keepLines w:val="0"/>
              <w:pageBreakBefore w:val="0"/>
              <w:widowControl w:val="0"/>
              <w:kinsoku/>
              <w:wordWrap/>
              <w:overflowPunct/>
              <w:autoSpaceDE/>
              <w:autoSpaceDN/>
              <w:bidi w:val="0"/>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新建</w:t>
            </w:r>
          </w:p>
        </w:tc>
      </w:tr>
      <w:tr w14:paraId="0884BB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dxa"/>
            <w:vMerge w:val="continue"/>
            <w:tcBorders>
              <w:tl2br w:val="nil"/>
              <w:tr2bl w:val="nil"/>
            </w:tcBorders>
            <w:vAlign w:val="center"/>
          </w:tcPr>
          <w:p w14:paraId="4E14E84F">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bCs/>
                <w:color w:val="auto"/>
                <w:sz w:val="21"/>
                <w:highlight w:val="none"/>
              </w:rPr>
            </w:pPr>
          </w:p>
        </w:tc>
        <w:tc>
          <w:tcPr>
            <w:tcW w:w="862" w:type="dxa"/>
            <w:gridSpan w:val="2"/>
            <w:vMerge w:val="continue"/>
            <w:tcBorders>
              <w:tl2br w:val="nil"/>
              <w:tr2bl w:val="nil"/>
            </w:tcBorders>
            <w:vAlign w:val="center"/>
          </w:tcPr>
          <w:p w14:paraId="2621D5DA">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6922" w:type="dxa"/>
            <w:tcBorders>
              <w:tl2br w:val="nil"/>
              <w:tr2bl w:val="nil"/>
            </w:tcBorders>
            <w:vAlign w:val="center"/>
          </w:tcPr>
          <w:p w14:paraId="5EA4CB40">
            <w:pPr>
              <w:keepNext w:val="0"/>
              <w:keepLines w:val="0"/>
              <w:pageBreakBefore w:val="0"/>
              <w:widowControl w:val="0"/>
              <w:kinsoku/>
              <w:wordWrap/>
              <w:overflowPunct/>
              <w:autoSpaceDE/>
              <w:autoSpaceDN/>
              <w:bidi w:val="0"/>
              <w:spacing w:line="360" w:lineRule="exact"/>
              <w:ind w:firstLine="0" w:firstLineChars="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项目建立了环境风险管理体系，通过制定突发环境事件应急预案、配备应急通讯设施（调度电话及对讲机）以及在库区显著位置设置警示标识和避灾路线图，确保在发生泄漏、漫顶等事故时能够快速响应。</w:t>
            </w:r>
          </w:p>
        </w:tc>
        <w:tc>
          <w:tcPr>
            <w:tcW w:w="705" w:type="dxa"/>
            <w:tcBorders>
              <w:tl2br w:val="nil"/>
              <w:tr2bl w:val="nil"/>
            </w:tcBorders>
            <w:vAlign w:val="center"/>
          </w:tcPr>
          <w:p w14:paraId="7A0B5C5E">
            <w:pPr>
              <w:keepNext w:val="0"/>
              <w:keepLines w:val="0"/>
              <w:pageBreakBefore w:val="0"/>
              <w:widowControl w:val="0"/>
              <w:kinsoku/>
              <w:wordWrap/>
              <w:overflowPunct/>
              <w:autoSpaceDE/>
              <w:autoSpaceDN/>
              <w:bidi w:val="0"/>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新建</w:t>
            </w:r>
          </w:p>
        </w:tc>
      </w:tr>
      <w:tr w14:paraId="7BB826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5" w:type="dxa"/>
            <w:vMerge w:val="continue"/>
            <w:tcBorders>
              <w:tl2br w:val="nil"/>
              <w:tr2bl w:val="nil"/>
            </w:tcBorders>
            <w:vAlign w:val="center"/>
          </w:tcPr>
          <w:p w14:paraId="529E1E5F">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bCs/>
                <w:color w:val="auto"/>
                <w:sz w:val="21"/>
                <w:highlight w:val="none"/>
              </w:rPr>
            </w:pPr>
          </w:p>
        </w:tc>
        <w:tc>
          <w:tcPr>
            <w:tcW w:w="862" w:type="dxa"/>
            <w:gridSpan w:val="2"/>
            <w:vMerge w:val="continue"/>
            <w:tcBorders>
              <w:tl2br w:val="nil"/>
              <w:tr2bl w:val="nil"/>
            </w:tcBorders>
            <w:vAlign w:val="center"/>
          </w:tcPr>
          <w:p w14:paraId="6B27F5C1">
            <w:pPr>
              <w:pStyle w:val="15"/>
              <w:keepNext w:val="0"/>
              <w:keepLines w:val="0"/>
              <w:pageBreakBefore w:val="0"/>
              <w:widowControl w:val="0"/>
              <w:kinsoku/>
              <w:wordWrap/>
              <w:overflowPunct/>
              <w:autoSpaceDE/>
              <w:autoSpaceDN/>
              <w:bidi w:val="0"/>
              <w:snapToGrid w:val="0"/>
              <w:spacing w:line="360" w:lineRule="exact"/>
              <w:ind w:firstLine="0" w:firstLineChars="0"/>
              <w:jc w:val="center"/>
              <w:textAlignment w:val="auto"/>
              <w:rPr>
                <w:rFonts w:hint="default" w:ascii="Times New Roman" w:hAnsi="Times New Roman" w:cs="Times New Roman"/>
                <w:color w:val="auto"/>
                <w:sz w:val="21"/>
                <w:highlight w:val="none"/>
              </w:rPr>
            </w:pPr>
          </w:p>
        </w:tc>
        <w:tc>
          <w:tcPr>
            <w:tcW w:w="6922" w:type="dxa"/>
            <w:tcBorders>
              <w:tl2br w:val="nil"/>
              <w:tr2bl w:val="nil"/>
            </w:tcBorders>
            <w:vAlign w:val="center"/>
          </w:tcPr>
          <w:p w14:paraId="372C089D">
            <w:pPr>
              <w:keepNext w:val="0"/>
              <w:keepLines w:val="0"/>
              <w:pageBreakBefore w:val="0"/>
              <w:widowControl w:val="0"/>
              <w:kinsoku/>
              <w:wordWrap/>
              <w:overflowPunct/>
              <w:autoSpaceDE/>
              <w:autoSpaceDN/>
              <w:bidi w:val="0"/>
              <w:spacing w:line="360" w:lineRule="exact"/>
              <w:ind w:firstLine="0" w:firstLineChars="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尾矿库等别为四等，安全监测系统采用在线监测和人工监测相结合的方式。该尾矿库监测项目包括：坝体表面位移监测</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浸润线监测</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库水位监测</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降雨量监测</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库区视频动态监控。尾矿库按规范要求设置3座地下水监测井。</w:t>
            </w:r>
          </w:p>
        </w:tc>
        <w:tc>
          <w:tcPr>
            <w:tcW w:w="705" w:type="dxa"/>
            <w:tcBorders>
              <w:tl2br w:val="nil"/>
              <w:tr2bl w:val="nil"/>
            </w:tcBorders>
            <w:vAlign w:val="center"/>
          </w:tcPr>
          <w:p w14:paraId="0A319A8A">
            <w:pPr>
              <w:keepNext w:val="0"/>
              <w:keepLines w:val="0"/>
              <w:pageBreakBefore w:val="0"/>
              <w:widowControl w:val="0"/>
              <w:kinsoku/>
              <w:wordWrap/>
              <w:overflowPunct/>
              <w:autoSpaceDE/>
              <w:autoSpaceDN/>
              <w:bidi w:val="0"/>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新建</w:t>
            </w:r>
          </w:p>
        </w:tc>
      </w:tr>
    </w:tbl>
    <w:p w14:paraId="39FFDBD3">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.3.2依托矿山基本情况</w:t>
      </w:r>
    </w:p>
    <w:p w14:paraId="0B113246">
      <w:pPr>
        <w:pStyle w:val="84"/>
        <w:overflowPunct w:val="0"/>
        <w:topLinePunct/>
        <w:spacing w:beforeLines="0" w:afterLines="0" w:line="480" w:lineRule="exact"/>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（1）</w:t>
      </w:r>
      <w:r>
        <w:rPr>
          <w:rFonts w:hint="default" w:ascii="Times New Roman" w:hAnsi="Times New Roman" w:cs="Times New Roman"/>
          <w:color w:val="auto"/>
          <w:szCs w:val="24"/>
          <w:highlight w:val="none"/>
          <w:lang w:eastAsia="zh-CN"/>
        </w:rPr>
        <w:t>新建</w:t>
      </w:r>
      <w:r>
        <w:rPr>
          <w:rFonts w:hint="default" w:ascii="Times New Roman" w:hAnsi="Times New Roman" w:cs="Times New Roman"/>
          <w:color w:val="auto"/>
          <w:szCs w:val="24"/>
          <w:highlight w:val="none"/>
        </w:rPr>
        <w:t>矿山</w:t>
      </w:r>
      <w:r>
        <w:rPr>
          <w:rFonts w:hint="default" w:ascii="Times New Roman" w:hAnsi="Times New Roman" w:cs="Times New Roman"/>
          <w:color w:val="auto"/>
          <w:szCs w:val="24"/>
          <w:highlight w:val="none"/>
          <w:lang w:eastAsia="zh-CN"/>
        </w:rPr>
        <w:t>的</w:t>
      </w:r>
      <w:r>
        <w:rPr>
          <w:rFonts w:hint="default" w:ascii="Times New Roman" w:hAnsi="Times New Roman" w:cs="Times New Roman"/>
          <w:color w:val="auto"/>
          <w:szCs w:val="24"/>
          <w:highlight w:val="none"/>
        </w:rPr>
        <w:t>基本情况</w:t>
      </w:r>
    </w:p>
    <w:p w14:paraId="05C2907F">
      <w:pPr>
        <w:pStyle w:val="84"/>
        <w:overflowPunct w:val="0"/>
        <w:topLinePunct/>
        <w:spacing w:beforeLines="0" w:afterLines="0" w:line="480" w:lineRule="exact"/>
        <w:jc w:val="both"/>
        <w:rPr>
          <w:rFonts w:hint="default" w:ascii="Times New Roman" w:hAnsi="Times New Roman" w:cs="Times New Roman"/>
          <w:color w:val="auto"/>
          <w:szCs w:val="24"/>
          <w:highlight w:val="none"/>
          <w:lang w:val="en-US" w:eastAsia="zh-CN"/>
        </w:rPr>
      </w:pPr>
      <w:r>
        <w:rPr>
          <w:rFonts w:hint="default" w:ascii="Times New Roman" w:hAnsi="Times New Roman" w:cs="Times New Roman"/>
          <w:color w:val="auto"/>
          <w:szCs w:val="24"/>
          <w:highlight w:val="none"/>
          <w:lang w:val="en-US" w:eastAsia="zh-CN"/>
        </w:rPr>
        <w:t>新疆嘉西矿业有限公司哈密市伊州区三支萤石矿采矿项目的矿区范围面积为3.47km</w:t>
      </w:r>
      <w:r>
        <w:rPr>
          <w:rFonts w:hint="eastAsia" w:ascii="Times New Roman" w:hAnsi="Times New Roman" w:cs="Times New Roman"/>
          <w:color w:val="auto"/>
          <w:szCs w:val="24"/>
          <w:highlight w:val="none"/>
          <w:vertAlign w:val="superscript"/>
          <w:lang w:val="en-US" w:eastAsia="zh-CN"/>
        </w:rPr>
        <w:t>2</w:t>
      </w:r>
      <w:r>
        <w:rPr>
          <w:rFonts w:hint="default" w:ascii="Times New Roman" w:hAnsi="Times New Roman" w:cs="Times New Roman"/>
          <w:color w:val="auto"/>
          <w:szCs w:val="24"/>
          <w:highlight w:val="none"/>
          <w:lang w:val="en-US" w:eastAsia="zh-CN"/>
        </w:rPr>
        <w:t>，开采标高为1268～1027m，设计生产规模为</w:t>
      </w:r>
      <w:r>
        <w:rPr>
          <w:rFonts w:hint="eastAsia" w:ascii="Times New Roman" w:hAnsi="Times New Roman" w:cs="Times New Roman"/>
          <w:color w:val="auto"/>
          <w:szCs w:val="24"/>
          <w:highlight w:val="none"/>
          <w:lang w:val="en-US" w:eastAsia="zh-CN"/>
        </w:rPr>
        <w:t>3</w:t>
      </w:r>
      <w:r>
        <w:rPr>
          <w:rFonts w:hint="default" w:ascii="Times New Roman" w:hAnsi="Times New Roman" w:cs="Times New Roman"/>
          <w:color w:val="auto"/>
          <w:szCs w:val="24"/>
          <w:highlight w:val="none"/>
          <w:lang w:val="en-US" w:eastAsia="zh-CN"/>
        </w:rPr>
        <w:t>0万t/a，矿山服务年限11.73年，开采方式为露天+地下开采，其中露天开采采用自上而下水平分层台阶式采剥方法，地下开采采用浅孔留矿嗣后充填采矿法。新疆嘉西矿业有限公司</w:t>
      </w:r>
      <w:r>
        <w:rPr>
          <w:rFonts w:hint="eastAsia" w:ascii="Times New Roman" w:hAnsi="Times New Roman" w:cs="Times New Roman"/>
          <w:color w:val="auto"/>
          <w:szCs w:val="24"/>
          <w:highlight w:val="none"/>
          <w:lang w:val="en-US" w:eastAsia="zh-CN"/>
        </w:rPr>
        <w:t>在本项目</w:t>
      </w:r>
      <w:r>
        <w:rPr>
          <w:rFonts w:hint="default" w:ascii="Times New Roman" w:hAnsi="Times New Roman" w:cs="Times New Roman"/>
          <w:color w:val="auto"/>
          <w:szCs w:val="24"/>
          <w:highlight w:val="none"/>
          <w:lang w:val="en-US" w:eastAsia="zh-CN"/>
        </w:rPr>
        <w:t>附近拍买探矿权一处，现在</w:t>
      </w:r>
      <w:r>
        <w:rPr>
          <w:rFonts w:hint="eastAsia" w:ascii="Times New Roman" w:hAnsi="Times New Roman" w:cs="Times New Roman"/>
          <w:color w:val="auto"/>
          <w:szCs w:val="24"/>
          <w:highlight w:val="none"/>
          <w:lang w:val="en-US" w:eastAsia="zh-CN"/>
        </w:rPr>
        <w:t>正在进行</w:t>
      </w:r>
      <w:r>
        <w:rPr>
          <w:rFonts w:hint="default" w:ascii="Times New Roman" w:hAnsi="Times New Roman" w:cs="Times New Roman"/>
          <w:color w:val="auto"/>
          <w:szCs w:val="24"/>
          <w:highlight w:val="none"/>
          <w:lang w:val="en-US" w:eastAsia="zh-CN"/>
        </w:rPr>
        <w:t>勘探工作。采矿项目建设内容主要包括：采矿主体工程、采矿工业场地、办公生活区、辅助设施（包括机修、汽修及仓库，厂区给排水和通讯等设施）。</w:t>
      </w:r>
    </w:p>
    <w:p w14:paraId="34535FB4">
      <w:pPr>
        <w:pStyle w:val="84"/>
        <w:overflowPunct w:val="0"/>
        <w:topLinePunct/>
        <w:spacing w:beforeLines="0" w:afterLines="0" w:line="480" w:lineRule="exact"/>
        <w:jc w:val="both"/>
        <w:rPr>
          <w:rFonts w:hint="default" w:ascii="Times New Roman" w:hAnsi="Times New Roman" w:cs="Times New Roman"/>
          <w:color w:val="auto"/>
          <w:szCs w:val="24"/>
          <w:highlight w:val="none"/>
          <w:lang w:val="en-US" w:eastAsia="zh-CN"/>
        </w:rPr>
      </w:pPr>
      <w:r>
        <w:rPr>
          <w:rFonts w:hint="default" w:ascii="Times New Roman" w:hAnsi="Times New Roman" w:cs="Times New Roman"/>
          <w:color w:val="auto"/>
          <w:szCs w:val="24"/>
          <w:highlight w:val="none"/>
          <w:lang w:val="en-US" w:eastAsia="zh-CN"/>
        </w:rPr>
        <w:t>根据</w:t>
      </w:r>
      <w:r>
        <w:rPr>
          <w:rFonts w:hint="eastAsia" w:ascii="Times New Roman" w:hAnsi="Times New Roman" w:cs="Times New Roman"/>
          <w:color w:val="auto"/>
          <w:szCs w:val="24"/>
          <w:highlight w:val="none"/>
          <w:lang w:val="en-US" w:eastAsia="zh-CN"/>
        </w:rPr>
        <w:t>矿山</w:t>
      </w:r>
      <w:r>
        <w:rPr>
          <w:rFonts w:hint="default" w:ascii="Times New Roman" w:hAnsi="Times New Roman" w:cs="Times New Roman"/>
          <w:color w:val="auto"/>
          <w:szCs w:val="24"/>
          <w:highlight w:val="none"/>
          <w:lang w:val="en-US" w:eastAsia="zh-CN"/>
        </w:rPr>
        <w:t>工业指标论证推荐的指标（露天边界品位10%、工业品位15%，地下边界品位10%、工业品位20%，最小可采厚度0.7m，夹石剔除厚度1.0m），矿区范围内圈定资源储量为：矿石量421.4万t，CaF₂矿物量110.6万t，平均品位26.25%。其中：探明资源量（TD）矿石量71.0万t，矿物量19.4万t，平均品位27.32%；控制资源量（KZ）矿石量283.1万t，矿物量73.7万t，平均品位26.03%；推断资源量（TM）矿石量67.3万t，矿物量17.5万t，平均品位26.00%。</w:t>
      </w:r>
    </w:p>
    <w:p w14:paraId="190FD74C">
      <w:pPr>
        <w:pStyle w:val="84"/>
        <w:overflowPunct w:val="0"/>
        <w:topLinePunct/>
        <w:spacing w:beforeLines="0" w:afterLines="0" w:line="480" w:lineRule="exact"/>
        <w:jc w:val="both"/>
        <w:rPr>
          <w:rFonts w:hint="default" w:ascii="Times New Roman" w:hAnsi="Times New Roman" w:cs="Times New Roman"/>
          <w:color w:val="auto"/>
          <w:szCs w:val="24"/>
          <w:highlight w:val="none"/>
          <w:lang w:val="en-US" w:eastAsia="zh-CN"/>
        </w:rPr>
      </w:pPr>
      <w:r>
        <w:rPr>
          <w:rFonts w:hint="default" w:ascii="Times New Roman" w:hAnsi="Times New Roman" w:cs="Times New Roman"/>
          <w:color w:val="auto"/>
          <w:szCs w:val="24"/>
          <w:highlight w:val="none"/>
          <w:lang w:val="en-US" w:eastAsia="zh-CN"/>
        </w:rPr>
        <w:t>2025年9月，新疆汉铭工程咨询有限公司编制了《新疆哈密市伊州区三支萤石矿工业指标论证报告》，并通过了内部审查，为后续</w:t>
      </w:r>
      <w:r>
        <w:rPr>
          <w:rFonts w:hint="eastAsia" w:ascii="Times New Roman" w:hAnsi="Times New Roman" w:cs="Times New Roman"/>
          <w:color w:val="auto"/>
          <w:szCs w:val="24"/>
          <w:highlight w:val="none"/>
          <w:lang w:val="en-US" w:eastAsia="zh-CN"/>
        </w:rPr>
        <w:t>环评</w:t>
      </w:r>
      <w:r>
        <w:rPr>
          <w:rFonts w:hint="default" w:ascii="Times New Roman" w:hAnsi="Times New Roman" w:cs="Times New Roman"/>
          <w:color w:val="auto"/>
          <w:szCs w:val="24"/>
          <w:highlight w:val="none"/>
          <w:lang w:val="en-US" w:eastAsia="zh-CN"/>
        </w:rPr>
        <w:t>报告的编制及矿山设计提供了依据。目前矿山尚在勘探阶段，采矿工程尚未动工，计划与选矿工程同步建设。</w:t>
      </w:r>
    </w:p>
    <w:p w14:paraId="63B98E84">
      <w:pPr>
        <w:pStyle w:val="84"/>
        <w:overflowPunct w:val="0"/>
        <w:topLinePunct/>
        <w:spacing w:beforeLines="0" w:afterLines="0" w:line="480" w:lineRule="exact"/>
        <w:jc w:val="both"/>
        <w:rPr>
          <w:rFonts w:hint="default" w:ascii="Times New Roman" w:hAnsi="Times New Roman" w:cs="Times New Roman"/>
          <w:color w:val="auto"/>
          <w:szCs w:val="24"/>
          <w:highlight w:val="none"/>
          <w:lang w:val="en-US" w:eastAsia="zh-CN"/>
        </w:rPr>
      </w:pPr>
      <w:r>
        <w:rPr>
          <w:rFonts w:hint="default" w:ascii="Times New Roman" w:hAnsi="Times New Roman" w:cs="Times New Roman"/>
          <w:color w:val="auto"/>
          <w:szCs w:val="24"/>
          <w:highlight w:val="none"/>
          <w:lang w:val="en-US" w:eastAsia="zh-CN"/>
        </w:rPr>
        <w:t>（2）采矿工程与本项目同步新建情况</w:t>
      </w:r>
    </w:p>
    <w:p w14:paraId="30EBD4DA">
      <w:pPr>
        <w:pStyle w:val="84"/>
        <w:overflowPunct w:val="0"/>
        <w:topLinePunct/>
        <w:spacing w:beforeLines="0" w:afterLines="0" w:line="480" w:lineRule="exact"/>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lang w:val="en-US" w:eastAsia="zh-CN"/>
        </w:rPr>
        <w:t>新疆嘉西矿业有限公司哈密市伊州区三支萤石矿采矿项目</w:t>
      </w:r>
      <w:r>
        <w:rPr>
          <w:rFonts w:hint="eastAsia" w:ascii="Times New Roman" w:hAnsi="Times New Roman" w:cs="Times New Roman"/>
          <w:color w:val="auto"/>
          <w:szCs w:val="24"/>
          <w:highlight w:val="none"/>
          <w:lang w:val="en-US" w:eastAsia="zh-CN"/>
        </w:rPr>
        <w:t>两</w:t>
      </w:r>
      <w:r>
        <w:rPr>
          <w:rFonts w:hint="default" w:ascii="Times New Roman" w:hAnsi="Times New Roman" w:cs="Times New Roman"/>
          <w:color w:val="auto"/>
          <w:szCs w:val="24"/>
          <w:highlight w:val="none"/>
          <w:lang w:val="en-US" w:eastAsia="zh-CN"/>
        </w:rPr>
        <w:t>处采矿区年产</w:t>
      </w:r>
      <w:r>
        <w:rPr>
          <w:rFonts w:hint="eastAsia" w:ascii="Times New Roman" w:hAnsi="Times New Roman" w:cs="Times New Roman"/>
          <w:color w:val="auto"/>
          <w:szCs w:val="24"/>
          <w:highlight w:val="none"/>
          <w:lang w:val="en-US" w:eastAsia="zh-CN"/>
        </w:rPr>
        <w:t>约</w:t>
      </w:r>
      <w:r>
        <w:rPr>
          <w:rFonts w:hint="default" w:ascii="Times New Roman" w:hAnsi="Times New Roman" w:cs="Times New Roman"/>
          <w:color w:val="auto"/>
          <w:szCs w:val="24"/>
          <w:highlight w:val="none"/>
          <w:lang w:val="en-US" w:eastAsia="zh-CN"/>
        </w:rPr>
        <w:t>60万吨原矿，能满足选矿厂生产</w:t>
      </w:r>
      <w:r>
        <w:rPr>
          <w:rFonts w:hint="eastAsia" w:ascii="Times New Roman" w:hAnsi="Times New Roman" w:cs="Times New Roman"/>
          <w:color w:val="auto"/>
          <w:szCs w:val="24"/>
          <w:highlight w:val="none"/>
          <w:lang w:val="en-US" w:eastAsia="zh-CN"/>
        </w:rPr>
        <w:t>。采矿项目</w:t>
      </w:r>
      <w:r>
        <w:rPr>
          <w:rFonts w:hint="default" w:ascii="Times New Roman" w:hAnsi="Times New Roman" w:cs="Times New Roman"/>
          <w:color w:val="auto"/>
          <w:szCs w:val="24"/>
          <w:highlight w:val="none"/>
          <w:lang w:val="en-US" w:eastAsia="zh-CN"/>
        </w:rPr>
        <w:t>正在进行前期工作，计划与选矿工程同步开展设计、同步建设并同时投入使用，目前该工程尚未动工。待采矿工程实施后，本项目矿石原料来源供应充足，可保障生产。由此可见，采矿工程依托可行。</w:t>
      </w:r>
    </w:p>
    <w:p w14:paraId="761E7C0E">
      <w:pPr>
        <w:pStyle w:val="4"/>
        <w:rPr>
          <w:rFonts w:hint="default" w:ascii="Times New Roman" w:hAnsi="Times New Roman" w:cs="Times New Roman"/>
          <w:color w:val="auto"/>
          <w:highlight w:val="none"/>
        </w:rPr>
      </w:pPr>
      <w:bookmarkStart w:id="356" w:name="_Toc30884"/>
      <w:bookmarkStart w:id="357" w:name="_Toc20082"/>
      <w:bookmarkStart w:id="358" w:name="_Toc28750"/>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.4主要生产设备及能源消耗</w:t>
      </w:r>
      <w:bookmarkEnd w:id="356"/>
      <w:bookmarkEnd w:id="357"/>
      <w:bookmarkEnd w:id="358"/>
    </w:p>
    <w:p w14:paraId="4E037FE9">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.4.1主要生产设备及仪表</w:t>
      </w:r>
    </w:p>
    <w:p w14:paraId="673B2251">
      <w:pPr>
        <w:pStyle w:val="84"/>
        <w:overflowPunct w:val="0"/>
        <w:topLinePunct/>
        <w:spacing w:beforeLines="0" w:afterLines="0" w:line="480" w:lineRule="exact"/>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选矿厂设备能力按照</w:t>
      </w:r>
      <w:r>
        <w:rPr>
          <w:rFonts w:hint="default" w:ascii="Times New Roman" w:hAnsi="Times New Roman" w:cs="Times New Roman"/>
          <w:color w:val="auto"/>
          <w:szCs w:val="24"/>
          <w:highlight w:val="none"/>
          <w:lang w:val="en-US" w:eastAsia="zh-CN"/>
        </w:rPr>
        <w:t>60</w:t>
      </w:r>
      <w:r>
        <w:rPr>
          <w:rFonts w:hint="default" w:ascii="Times New Roman" w:hAnsi="Times New Roman" w:cs="Times New Roman"/>
          <w:color w:val="auto"/>
          <w:szCs w:val="24"/>
          <w:highlight w:val="none"/>
        </w:rPr>
        <w:t>万t/a产能设计选取。本项目主要生产设备见表3.</w:t>
      </w:r>
      <w:r>
        <w:rPr>
          <w:rFonts w:hint="default" w:ascii="Times New Roman" w:hAnsi="Times New Roman" w:cs="Times New Roman"/>
          <w:color w:val="auto"/>
          <w:szCs w:val="24"/>
          <w:highlight w:val="none"/>
          <w:lang w:val="en-US" w:eastAsia="zh-CN"/>
        </w:rPr>
        <w:t>1-3</w:t>
      </w:r>
      <w:r>
        <w:rPr>
          <w:rFonts w:hint="default" w:ascii="Times New Roman" w:hAnsi="Times New Roman" w:cs="Times New Roman"/>
          <w:color w:val="auto"/>
          <w:szCs w:val="24"/>
          <w:highlight w:val="none"/>
        </w:rPr>
        <w:t>。</w:t>
      </w:r>
    </w:p>
    <w:p w14:paraId="50A72E38">
      <w:pPr>
        <w:pStyle w:val="56"/>
        <w:spacing w:line="480" w:lineRule="exact"/>
        <w:ind w:firstLine="0" w:firstLineChars="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表3.</w:t>
      </w:r>
      <w:r>
        <w:rPr>
          <w:rFonts w:hint="default" w:ascii="Times New Roman" w:hAnsi="Times New Roman" w:cs="Times New Roman"/>
          <w:b/>
          <w:bCs/>
          <w:color w:val="auto"/>
          <w:sz w:val="24"/>
          <w:highlight w:val="none"/>
          <w:lang w:val="en-US" w:eastAsia="zh-CN"/>
        </w:rPr>
        <w:t>1-3</w:t>
      </w:r>
      <w:r>
        <w:rPr>
          <w:rFonts w:hint="default" w:ascii="Times New Roman" w:hAnsi="Times New Roman" w:cs="Times New Roman"/>
          <w:b/>
          <w:bCs/>
          <w:color w:val="auto"/>
          <w:sz w:val="24"/>
          <w:highlight w:val="none"/>
        </w:rPr>
        <w:t xml:space="preserve">    主要设备一览表</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1429"/>
        <w:gridCol w:w="2042"/>
        <w:gridCol w:w="1982"/>
        <w:gridCol w:w="1117"/>
        <w:gridCol w:w="1599"/>
      </w:tblGrid>
      <w:tr w14:paraId="66495D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2" w:hRule="atLeast"/>
          <w:tblHeader/>
          <w:jc w:val="center"/>
        </w:trPr>
        <w:tc>
          <w:tcPr>
            <w:tcW w:w="851" w:type="dxa"/>
            <w:vMerge w:val="restart"/>
            <w:tcBorders>
              <w:tl2br w:val="nil"/>
              <w:tr2bl w:val="nil"/>
            </w:tcBorders>
            <w:vAlign w:val="center"/>
          </w:tcPr>
          <w:p w14:paraId="24CB567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序号</w:t>
            </w:r>
          </w:p>
        </w:tc>
        <w:tc>
          <w:tcPr>
            <w:tcW w:w="1210" w:type="dxa"/>
            <w:vMerge w:val="restart"/>
            <w:tcBorders>
              <w:tl2br w:val="nil"/>
              <w:tr2bl w:val="nil"/>
            </w:tcBorders>
            <w:vAlign w:val="center"/>
          </w:tcPr>
          <w:p w14:paraId="3BF2194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作业工序</w:t>
            </w:r>
          </w:p>
        </w:tc>
        <w:tc>
          <w:tcPr>
            <w:tcW w:w="1729" w:type="dxa"/>
            <w:vMerge w:val="restart"/>
            <w:tcBorders>
              <w:tl2br w:val="nil"/>
              <w:tr2bl w:val="nil"/>
            </w:tcBorders>
            <w:vAlign w:val="center"/>
          </w:tcPr>
          <w:p w14:paraId="31B9D1A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设备名称</w:t>
            </w:r>
          </w:p>
        </w:tc>
        <w:tc>
          <w:tcPr>
            <w:tcW w:w="1678" w:type="dxa"/>
            <w:vMerge w:val="restart"/>
            <w:tcBorders>
              <w:tl2br w:val="nil"/>
              <w:tr2bl w:val="nil"/>
            </w:tcBorders>
            <w:vAlign w:val="center"/>
          </w:tcPr>
          <w:p w14:paraId="02FD551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规格型号</w:t>
            </w:r>
          </w:p>
        </w:tc>
        <w:tc>
          <w:tcPr>
            <w:tcW w:w="946" w:type="dxa"/>
            <w:vMerge w:val="restart"/>
            <w:tcBorders>
              <w:tl2br w:val="nil"/>
              <w:tr2bl w:val="nil"/>
            </w:tcBorders>
            <w:vAlign w:val="center"/>
          </w:tcPr>
          <w:p w14:paraId="67BB262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数量</w:t>
            </w:r>
          </w:p>
          <w:p w14:paraId="36FEC52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（台）</w:t>
            </w:r>
          </w:p>
        </w:tc>
        <w:tc>
          <w:tcPr>
            <w:tcW w:w="1353" w:type="dxa"/>
            <w:vMerge w:val="restart"/>
            <w:tcBorders>
              <w:tl2br w:val="nil"/>
              <w:tr2bl w:val="nil"/>
            </w:tcBorders>
            <w:vAlign w:val="center"/>
          </w:tcPr>
          <w:p w14:paraId="737AE9F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单机功率</w:t>
            </w:r>
          </w:p>
          <w:p w14:paraId="765D869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val="0"/>
                <w:color w:val="auto"/>
                <w:sz w:val="21"/>
                <w:szCs w:val="21"/>
                <w:highlight w:val="none"/>
              </w:rPr>
            </w:pPr>
            <w:r>
              <w:rPr>
                <w:rFonts w:hint="eastAsia" w:cs="Times New Roman"/>
                <w:b/>
                <w:bCs w:val="0"/>
                <w:color w:val="auto"/>
                <w:sz w:val="21"/>
                <w:szCs w:val="21"/>
                <w:highlight w:val="none"/>
                <w:lang w:eastAsia="zh-CN"/>
              </w:rPr>
              <w:t>（</w:t>
            </w:r>
            <w:r>
              <w:rPr>
                <w:rFonts w:hint="default" w:ascii="Times New Roman" w:hAnsi="Times New Roman" w:cs="Times New Roman"/>
                <w:b/>
                <w:bCs w:val="0"/>
                <w:color w:val="auto"/>
                <w:sz w:val="21"/>
                <w:szCs w:val="21"/>
                <w:highlight w:val="none"/>
              </w:rPr>
              <w:t>kw</w:t>
            </w:r>
            <w:r>
              <w:rPr>
                <w:rFonts w:hint="eastAsia" w:cs="Times New Roman"/>
                <w:b/>
                <w:bCs w:val="0"/>
                <w:color w:val="auto"/>
                <w:sz w:val="21"/>
                <w:szCs w:val="21"/>
                <w:highlight w:val="none"/>
                <w:lang w:eastAsia="zh-CN"/>
              </w:rPr>
              <w:t>）</w:t>
            </w:r>
          </w:p>
        </w:tc>
      </w:tr>
      <w:tr w14:paraId="2E2289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851" w:type="dxa"/>
            <w:vMerge w:val="continue"/>
            <w:tcBorders>
              <w:tl2br w:val="nil"/>
              <w:tr2bl w:val="nil"/>
            </w:tcBorders>
            <w:vAlign w:val="center"/>
          </w:tcPr>
          <w:p w14:paraId="122ECC5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p>
        </w:tc>
        <w:tc>
          <w:tcPr>
            <w:tcW w:w="1210" w:type="dxa"/>
            <w:vMerge w:val="continue"/>
            <w:tcBorders>
              <w:tl2br w:val="nil"/>
              <w:tr2bl w:val="nil"/>
            </w:tcBorders>
            <w:vAlign w:val="center"/>
          </w:tcPr>
          <w:p w14:paraId="53B3F21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p>
        </w:tc>
        <w:tc>
          <w:tcPr>
            <w:tcW w:w="1729" w:type="dxa"/>
            <w:vMerge w:val="continue"/>
            <w:tcBorders>
              <w:tl2br w:val="nil"/>
              <w:tr2bl w:val="nil"/>
            </w:tcBorders>
            <w:vAlign w:val="center"/>
          </w:tcPr>
          <w:p w14:paraId="598CB24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p>
        </w:tc>
        <w:tc>
          <w:tcPr>
            <w:tcW w:w="1678" w:type="dxa"/>
            <w:vMerge w:val="continue"/>
            <w:tcBorders>
              <w:tl2br w:val="nil"/>
              <w:tr2bl w:val="nil"/>
            </w:tcBorders>
            <w:vAlign w:val="center"/>
          </w:tcPr>
          <w:p w14:paraId="11856F1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p>
        </w:tc>
        <w:tc>
          <w:tcPr>
            <w:tcW w:w="946" w:type="dxa"/>
            <w:vMerge w:val="continue"/>
            <w:tcBorders>
              <w:tl2br w:val="nil"/>
              <w:tr2bl w:val="nil"/>
            </w:tcBorders>
            <w:vAlign w:val="center"/>
          </w:tcPr>
          <w:p w14:paraId="320A4AE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p>
        </w:tc>
        <w:tc>
          <w:tcPr>
            <w:tcW w:w="1353" w:type="dxa"/>
            <w:vMerge w:val="continue"/>
            <w:tcBorders>
              <w:tl2br w:val="nil"/>
              <w:tr2bl w:val="nil"/>
            </w:tcBorders>
            <w:vAlign w:val="center"/>
          </w:tcPr>
          <w:p w14:paraId="0B6DFB6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p>
        </w:tc>
      </w:tr>
      <w:tr w14:paraId="07A05F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1" w:type="dxa"/>
            <w:tcBorders>
              <w:tl2br w:val="nil"/>
              <w:tr2bl w:val="nil"/>
            </w:tcBorders>
            <w:vAlign w:val="center"/>
          </w:tcPr>
          <w:p w14:paraId="7191794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c>
          <w:tcPr>
            <w:tcW w:w="1210" w:type="dxa"/>
            <w:tcBorders>
              <w:tl2br w:val="nil"/>
              <w:tr2bl w:val="nil"/>
            </w:tcBorders>
            <w:vAlign w:val="center"/>
          </w:tcPr>
          <w:p w14:paraId="4AD522D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粗碎</w:t>
            </w:r>
          </w:p>
        </w:tc>
        <w:tc>
          <w:tcPr>
            <w:tcW w:w="1729" w:type="dxa"/>
            <w:tcBorders>
              <w:tl2br w:val="nil"/>
              <w:tr2bl w:val="nil"/>
            </w:tcBorders>
            <w:vAlign w:val="center"/>
          </w:tcPr>
          <w:p w14:paraId="59B336F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颚式破碎机</w:t>
            </w:r>
          </w:p>
        </w:tc>
        <w:tc>
          <w:tcPr>
            <w:tcW w:w="1678" w:type="dxa"/>
            <w:tcBorders>
              <w:tl2br w:val="nil"/>
              <w:tr2bl w:val="nil"/>
            </w:tcBorders>
            <w:vAlign w:val="center"/>
          </w:tcPr>
          <w:p w14:paraId="6B42E31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PE750×1060</w:t>
            </w:r>
          </w:p>
        </w:tc>
        <w:tc>
          <w:tcPr>
            <w:tcW w:w="946" w:type="dxa"/>
            <w:tcBorders>
              <w:tl2br w:val="nil"/>
              <w:tr2bl w:val="nil"/>
            </w:tcBorders>
            <w:vAlign w:val="center"/>
          </w:tcPr>
          <w:p w14:paraId="7F98D83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c>
          <w:tcPr>
            <w:tcW w:w="1353" w:type="dxa"/>
            <w:tcBorders>
              <w:tl2br w:val="nil"/>
              <w:tr2bl w:val="nil"/>
            </w:tcBorders>
            <w:vAlign w:val="center"/>
          </w:tcPr>
          <w:p w14:paraId="5BB9208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90</w:t>
            </w:r>
          </w:p>
        </w:tc>
      </w:tr>
      <w:tr w14:paraId="33BF9E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1" w:type="dxa"/>
            <w:tcBorders>
              <w:tl2br w:val="nil"/>
              <w:tr2bl w:val="nil"/>
            </w:tcBorders>
            <w:vAlign w:val="center"/>
          </w:tcPr>
          <w:p w14:paraId="3BCB53F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w:t>
            </w:r>
          </w:p>
        </w:tc>
        <w:tc>
          <w:tcPr>
            <w:tcW w:w="1210" w:type="dxa"/>
            <w:tcBorders>
              <w:tl2br w:val="nil"/>
              <w:tr2bl w:val="nil"/>
            </w:tcBorders>
            <w:vAlign w:val="center"/>
          </w:tcPr>
          <w:p w14:paraId="3A470F1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中碎</w:t>
            </w:r>
          </w:p>
        </w:tc>
        <w:tc>
          <w:tcPr>
            <w:tcW w:w="1729" w:type="dxa"/>
            <w:tcBorders>
              <w:tl2br w:val="nil"/>
              <w:tr2bl w:val="nil"/>
            </w:tcBorders>
            <w:vAlign w:val="center"/>
          </w:tcPr>
          <w:p w14:paraId="1FA5499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颚式破碎机</w:t>
            </w:r>
          </w:p>
        </w:tc>
        <w:tc>
          <w:tcPr>
            <w:tcW w:w="1678" w:type="dxa"/>
            <w:tcBorders>
              <w:tl2br w:val="nil"/>
              <w:tr2bl w:val="nil"/>
            </w:tcBorders>
            <w:vAlign w:val="center"/>
          </w:tcPr>
          <w:p w14:paraId="5CD3C6E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PEF350×1500</w:t>
            </w:r>
          </w:p>
        </w:tc>
        <w:tc>
          <w:tcPr>
            <w:tcW w:w="946" w:type="dxa"/>
            <w:tcBorders>
              <w:tl2br w:val="nil"/>
              <w:tr2bl w:val="nil"/>
            </w:tcBorders>
            <w:vAlign w:val="center"/>
          </w:tcPr>
          <w:p w14:paraId="13250C2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c>
          <w:tcPr>
            <w:tcW w:w="1353" w:type="dxa"/>
            <w:tcBorders>
              <w:tl2br w:val="nil"/>
              <w:tr2bl w:val="nil"/>
            </w:tcBorders>
            <w:vAlign w:val="center"/>
          </w:tcPr>
          <w:p w14:paraId="7DD0A98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75</w:t>
            </w:r>
          </w:p>
        </w:tc>
      </w:tr>
      <w:tr w14:paraId="5A89E4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1" w:type="dxa"/>
            <w:tcBorders>
              <w:tl2br w:val="nil"/>
              <w:tr2bl w:val="nil"/>
            </w:tcBorders>
            <w:vAlign w:val="center"/>
          </w:tcPr>
          <w:p w14:paraId="21081AC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w:t>
            </w:r>
          </w:p>
        </w:tc>
        <w:tc>
          <w:tcPr>
            <w:tcW w:w="1210" w:type="dxa"/>
            <w:tcBorders>
              <w:tl2br w:val="nil"/>
              <w:tr2bl w:val="nil"/>
            </w:tcBorders>
            <w:vAlign w:val="center"/>
          </w:tcPr>
          <w:p w14:paraId="6A1232B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细碎</w:t>
            </w:r>
          </w:p>
        </w:tc>
        <w:tc>
          <w:tcPr>
            <w:tcW w:w="1729" w:type="dxa"/>
            <w:tcBorders>
              <w:tl2br w:val="nil"/>
              <w:tr2bl w:val="nil"/>
            </w:tcBorders>
            <w:vAlign w:val="center"/>
          </w:tcPr>
          <w:p w14:paraId="3FA23B5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圆锥破碎机</w:t>
            </w:r>
          </w:p>
        </w:tc>
        <w:tc>
          <w:tcPr>
            <w:tcW w:w="1678" w:type="dxa"/>
            <w:tcBorders>
              <w:tl2br w:val="nil"/>
              <w:tr2bl w:val="nil"/>
            </w:tcBorders>
            <w:vAlign w:val="center"/>
          </w:tcPr>
          <w:p w14:paraId="126D065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PYY500C</w:t>
            </w:r>
          </w:p>
        </w:tc>
        <w:tc>
          <w:tcPr>
            <w:tcW w:w="946" w:type="dxa"/>
            <w:tcBorders>
              <w:tl2br w:val="nil"/>
              <w:tr2bl w:val="nil"/>
            </w:tcBorders>
            <w:vAlign w:val="center"/>
          </w:tcPr>
          <w:p w14:paraId="35CAA03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c>
          <w:tcPr>
            <w:tcW w:w="1353" w:type="dxa"/>
            <w:tcBorders>
              <w:tl2br w:val="nil"/>
              <w:tr2bl w:val="nil"/>
            </w:tcBorders>
            <w:vAlign w:val="center"/>
          </w:tcPr>
          <w:p w14:paraId="084CFE1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315</w:t>
            </w:r>
          </w:p>
        </w:tc>
      </w:tr>
      <w:tr w14:paraId="1D86D3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1" w:type="dxa"/>
            <w:tcBorders>
              <w:tl2br w:val="nil"/>
              <w:tr2bl w:val="nil"/>
            </w:tcBorders>
            <w:vAlign w:val="center"/>
          </w:tcPr>
          <w:p w14:paraId="0BE5C4D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w:t>
            </w:r>
          </w:p>
        </w:tc>
        <w:tc>
          <w:tcPr>
            <w:tcW w:w="1210" w:type="dxa"/>
            <w:tcBorders>
              <w:tl2br w:val="nil"/>
              <w:tr2bl w:val="nil"/>
            </w:tcBorders>
            <w:vAlign w:val="center"/>
          </w:tcPr>
          <w:p w14:paraId="3A93BC2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筛分</w:t>
            </w:r>
          </w:p>
        </w:tc>
        <w:tc>
          <w:tcPr>
            <w:tcW w:w="1729" w:type="dxa"/>
            <w:tcBorders>
              <w:tl2br w:val="nil"/>
              <w:tr2bl w:val="nil"/>
            </w:tcBorders>
            <w:vAlign w:val="center"/>
          </w:tcPr>
          <w:p w14:paraId="07F01DC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双层振动筛</w:t>
            </w:r>
          </w:p>
        </w:tc>
        <w:tc>
          <w:tcPr>
            <w:tcW w:w="1678" w:type="dxa"/>
            <w:tcBorders>
              <w:tl2br w:val="nil"/>
              <w:tr2bl w:val="nil"/>
            </w:tcBorders>
            <w:vAlign w:val="center"/>
          </w:tcPr>
          <w:p w14:paraId="2197299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2YK2460</w:t>
            </w:r>
          </w:p>
        </w:tc>
        <w:tc>
          <w:tcPr>
            <w:tcW w:w="946" w:type="dxa"/>
            <w:tcBorders>
              <w:tl2br w:val="nil"/>
              <w:tr2bl w:val="nil"/>
            </w:tcBorders>
            <w:vAlign w:val="center"/>
          </w:tcPr>
          <w:p w14:paraId="1C1DCEA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c>
          <w:tcPr>
            <w:tcW w:w="1353" w:type="dxa"/>
            <w:tcBorders>
              <w:tl2br w:val="nil"/>
              <w:tr2bl w:val="nil"/>
            </w:tcBorders>
            <w:vAlign w:val="center"/>
          </w:tcPr>
          <w:p w14:paraId="699F258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w:t>
            </w:r>
          </w:p>
        </w:tc>
      </w:tr>
      <w:tr w14:paraId="6C7291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1" w:type="dxa"/>
            <w:tcBorders>
              <w:tl2br w:val="nil"/>
              <w:tr2bl w:val="nil"/>
            </w:tcBorders>
            <w:vAlign w:val="center"/>
          </w:tcPr>
          <w:p w14:paraId="7D6263E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w:t>
            </w:r>
          </w:p>
        </w:tc>
        <w:tc>
          <w:tcPr>
            <w:tcW w:w="1210" w:type="dxa"/>
            <w:tcBorders>
              <w:tl2br w:val="nil"/>
              <w:tr2bl w:val="nil"/>
            </w:tcBorders>
            <w:vAlign w:val="center"/>
          </w:tcPr>
          <w:p w14:paraId="5BF3869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球磨</w:t>
            </w:r>
          </w:p>
        </w:tc>
        <w:tc>
          <w:tcPr>
            <w:tcW w:w="1729" w:type="dxa"/>
            <w:tcBorders>
              <w:tl2br w:val="nil"/>
              <w:tr2bl w:val="nil"/>
            </w:tcBorders>
            <w:vAlign w:val="center"/>
          </w:tcPr>
          <w:p w14:paraId="65B052A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格子型球磨机</w:t>
            </w:r>
          </w:p>
        </w:tc>
        <w:tc>
          <w:tcPr>
            <w:tcW w:w="1678" w:type="dxa"/>
            <w:tcBorders>
              <w:tl2br w:val="nil"/>
              <w:tr2bl w:val="nil"/>
            </w:tcBorders>
            <w:vAlign w:val="center"/>
          </w:tcPr>
          <w:p w14:paraId="57D3B65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MQG3645</w:t>
            </w:r>
          </w:p>
        </w:tc>
        <w:tc>
          <w:tcPr>
            <w:tcW w:w="946" w:type="dxa"/>
            <w:tcBorders>
              <w:tl2br w:val="nil"/>
              <w:tr2bl w:val="nil"/>
            </w:tcBorders>
            <w:vAlign w:val="center"/>
          </w:tcPr>
          <w:p w14:paraId="3FFCC07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c>
          <w:tcPr>
            <w:tcW w:w="1353" w:type="dxa"/>
            <w:tcBorders>
              <w:tl2br w:val="nil"/>
              <w:tr2bl w:val="nil"/>
            </w:tcBorders>
            <w:vAlign w:val="center"/>
          </w:tcPr>
          <w:p w14:paraId="6AA38D8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1250</w:t>
            </w:r>
          </w:p>
        </w:tc>
      </w:tr>
      <w:tr w14:paraId="30A7CD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1" w:type="dxa"/>
            <w:tcBorders>
              <w:tl2br w:val="nil"/>
              <w:tr2bl w:val="nil"/>
            </w:tcBorders>
            <w:vAlign w:val="center"/>
          </w:tcPr>
          <w:p w14:paraId="485F647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w:t>
            </w:r>
          </w:p>
        </w:tc>
        <w:tc>
          <w:tcPr>
            <w:tcW w:w="1210" w:type="dxa"/>
            <w:tcBorders>
              <w:tl2br w:val="nil"/>
              <w:tr2bl w:val="nil"/>
            </w:tcBorders>
            <w:vAlign w:val="center"/>
          </w:tcPr>
          <w:p w14:paraId="680E8E7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球磨</w:t>
            </w:r>
          </w:p>
        </w:tc>
        <w:tc>
          <w:tcPr>
            <w:tcW w:w="1729" w:type="dxa"/>
            <w:tcBorders>
              <w:tl2br w:val="nil"/>
              <w:tr2bl w:val="nil"/>
            </w:tcBorders>
            <w:vAlign w:val="center"/>
          </w:tcPr>
          <w:p w14:paraId="4A4491D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溢流型球磨机</w:t>
            </w:r>
          </w:p>
        </w:tc>
        <w:tc>
          <w:tcPr>
            <w:tcW w:w="1678" w:type="dxa"/>
            <w:tcBorders>
              <w:tl2br w:val="nil"/>
              <w:tr2bl w:val="nil"/>
            </w:tcBorders>
            <w:vAlign w:val="center"/>
          </w:tcPr>
          <w:p w14:paraId="3F9CF7E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MQY2750</w:t>
            </w:r>
          </w:p>
        </w:tc>
        <w:tc>
          <w:tcPr>
            <w:tcW w:w="946" w:type="dxa"/>
            <w:tcBorders>
              <w:tl2br w:val="nil"/>
              <w:tr2bl w:val="nil"/>
            </w:tcBorders>
            <w:vAlign w:val="center"/>
          </w:tcPr>
          <w:p w14:paraId="7C234E2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c>
          <w:tcPr>
            <w:tcW w:w="1353" w:type="dxa"/>
            <w:tcBorders>
              <w:tl2br w:val="nil"/>
              <w:tr2bl w:val="nil"/>
            </w:tcBorders>
            <w:vAlign w:val="center"/>
          </w:tcPr>
          <w:p w14:paraId="0B35C1F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500</w:t>
            </w:r>
          </w:p>
        </w:tc>
      </w:tr>
      <w:tr w14:paraId="48A6F5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1" w:type="dxa"/>
            <w:tcBorders>
              <w:tl2br w:val="nil"/>
              <w:tr2bl w:val="nil"/>
            </w:tcBorders>
            <w:vAlign w:val="center"/>
          </w:tcPr>
          <w:p w14:paraId="309190B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w:t>
            </w:r>
          </w:p>
        </w:tc>
        <w:tc>
          <w:tcPr>
            <w:tcW w:w="1210" w:type="dxa"/>
            <w:tcBorders>
              <w:tl2br w:val="nil"/>
              <w:tr2bl w:val="nil"/>
            </w:tcBorders>
            <w:vAlign w:val="center"/>
          </w:tcPr>
          <w:p w14:paraId="061CD89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分级</w:t>
            </w:r>
          </w:p>
        </w:tc>
        <w:tc>
          <w:tcPr>
            <w:tcW w:w="1729" w:type="dxa"/>
            <w:tcBorders>
              <w:tl2br w:val="nil"/>
              <w:tr2bl w:val="nil"/>
            </w:tcBorders>
            <w:vAlign w:val="center"/>
          </w:tcPr>
          <w:p w14:paraId="3E96C2A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双螺旋分级机</w:t>
            </w:r>
          </w:p>
        </w:tc>
        <w:tc>
          <w:tcPr>
            <w:tcW w:w="1678" w:type="dxa"/>
            <w:tcBorders>
              <w:tl2br w:val="nil"/>
              <w:tr2bl w:val="nil"/>
            </w:tcBorders>
            <w:vAlign w:val="center"/>
          </w:tcPr>
          <w:p w14:paraId="4F066D7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2-FLG300</w:t>
            </w:r>
          </w:p>
        </w:tc>
        <w:tc>
          <w:tcPr>
            <w:tcW w:w="946" w:type="dxa"/>
            <w:tcBorders>
              <w:tl2br w:val="nil"/>
              <w:tr2bl w:val="nil"/>
            </w:tcBorders>
            <w:vAlign w:val="center"/>
          </w:tcPr>
          <w:p w14:paraId="26ECCCE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c>
          <w:tcPr>
            <w:tcW w:w="1353" w:type="dxa"/>
            <w:tcBorders>
              <w:tl2br w:val="nil"/>
              <w:tr2bl w:val="nil"/>
            </w:tcBorders>
            <w:vAlign w:val="center"/>
          </w:tcPr>
          <w:p w14:paraId="0643AB0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68</w:t>
            </w:r>
          </w:p>
        </w:tc>
      </w:tr>
      <w:tr w14:paraId="5A01FB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1" w:type="dxa"/>
            <w:tcBorders>
              <w:tl2br w:val="nil"/>
              <w:tr2bl w:val="nil"/>
            </w:tcBorders>
            <w:vAlign w:val="center"/>
          </w:tcPr>
          <w:p w14:paraId="2DA022C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w:t>
            </w:r>
          </w:p>
        </w:tc>
        <w:tc>
          <w:tcPr>
            <w:tcW w:w="1210" w:type="dxa"/>
            <w:tcBorders>
              <w:tl2br w:val="nil"/>
              <w:tr2bl w:val="nil"/>
            </w:tcBorders>
            <w:vAlign w:val="center"/>
          </w:tcPr>
          <w:p w14:paraId="228D71B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分级</w:t>
            </w:r>
          </w:p>
        </w:tc>
        <w:tc>
          <w:tcPr>
            <w:tcW w:w="1729" w:type="dxa"/>
            <w:tcBorders>
              <w:tl2br w:val="nil"/>
              <w:tr2bl w:val="nil"/>
            </w:tcBorders>
            <w:vAlign w:val="center"/>
          </w:tcPr>
          <w:p w14:paraId="715F956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旋流器</w:t>
            </w:r>
          </w:p>
        </w:tc>
        <w:tc>
          <w:tcPr>
            <w:tcW w:w="1678" w:type="dxa"/>
            <w:tcBorders>
              <w:tl2br w:val="nil"/>
              <w:tr2bl w:val="nil"/>
            </w:tcBorders>
            <w:vAlign w:val="center"/>
          </w:tcPr>
          <w:p w14:paraId="464F728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6-Φ350</w:t>
            </w:r>
          </w:p>
        </w:tc>
        <w:tc>
          <w:tcPr>
            <w:tcW w:w="946" w:type="dxa"/>
            <w:tcBorders>
              <w:tl2br w:val="nil"/>
              <w:tr2bl w:val="nil"/>
            </w:tcBorders>
            <w:vAlign w:val="center"/>
          </w:tcPr>
          <w:p w14:paraId="3D7F9B3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c>
          <w:tcPr>
            <w:tcW w:w="1353" w:type="dxa"/>
            <w:tcBorders>
              <w:tl2br w:val="nil"/>
              <w:tr2bl w:val="nil"/>
            </w:tcBorders>
            <w:vAlign w:val="center"/>
          </w:tcPr>
          <w:p w14:paraId="4C6C91F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r>
      <w:tr w14:paraId="527787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1" w:type="dxa"/>
            <w:tcBorders>
              <w:tl2br w:val="nil"/>
              <w:tr2bl w:val="nil"/>
            </w:tcBorders>
            <w:vAlign w:val="center"/>
          </w:tcPr>
          <w:p w14:paraId="75D87BA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w:t>
            </w:r>
          </w:p>
        </w:tc>
        <w:tc>
          <w:tcPr>
            <w:tcW w:w="1210" w:type="dxa"/>
            <w:tcBorders>
              <w:tl2br w:val="nil"/>
              <w:tr2bl w:val="nil"/>
            </w:tcBorders>
            <w:vAlign w:val="center"/>
          </w:tcPr>
          <w:p w14:paraId="7FE9179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粗选</w:t>
            </w:r>
          </w:p>
        </w:tc>
        <w:tc>
          <w:tcPr>
            <w:tcW w:w="1729" w:type="dxa"/>
            <w:tcBorders>
              <w:tl2br w:val="nil"/>
              <w:tr2bl w:val="nil"/>
            </w:tcBorders>
            <w:vAlign w:val="center"/>
          </w:tcPr>
          <w:p w14:paraId="0178D06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浮选机</w:t>
            </w:r>
          </w:p>
        </w:tc>
        <w:tc>
          <w:tcPr>
            <w:tcW w:w="1678" w:type="dxa"/>
            <w:tcBorders>
              <w:tl2br w:val="nil"/>
              <w:tr2bl w:val="nil"/>
            </w:tcBorders>
            <w:vAlign w:val="center"/>
          </w:tcPr>
          <w:p w14:paraId="1ECCA47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cs="Times New Roman"/>
                <w:bCs/>
                <w:color w:val="auto"/>
                <w:sz w:val="21"/>
                <w:szCs w:val="21"/>
                <w:highlight w:val="none"/>
                <w:lang w:eastAsia="zh-CN"/>
              </w:rPr>
              <w:t>SF-16</w:t>
            </w:r>
          </w:p>
        </w:tc>
        <w:tc>
          <w:tcPr>
            <w:tcW w:w="946" w:type="dxa"/>
            <w:tcBorders>
              <w:tl2br w:val="nil"/>
              <w:tr2bl w:val="nil"/>
            </w:tcBorders>
            <w:vAlign w:val="center"/>
          </w:tcPr>
          <w:p w14:paraId="7D84A1C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c>
          <w:tcPr>
            <w:tcW w:w="1353" w:type="dxa"/>
            <w:tcBorders>
              <w:tl2br w:val="nil"/>
              <w:tr2bl w:val="nil"/>
            </w:tcBorders>
            <w:vAlign w:val="center"/>
          </w:tcPr>
          <w:p w14:paraId="2D416BA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37</w:t>
            </w:r>
          </w:p>
        </w:tc>
      </w:tr>
      <w:tr w14:paraId="4B603A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1" w:type="dxa"/>
            <w:tcBorders>
              <w:tl2br w:val="nil"/>
              <w:tr2bl w:val="nil"/>
            </w:tcBorders>
            <w:vAlign w:val="center"/>
          </w:tcPr>
          <w:p w14:paraId="6A13053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w:t>
            </w:r>
          </w:p>
        </w:tc>
        <w:tc>
          <w:tcPr>
            <w:tcW w:w="1210" w:type="dxa"/>
            <w:tcBorders>
              <w:tl2br w:val="nil"/>
              <w:tr2bl w:val="nil"/>
            </w:tcBorders>
            <w:vAlign w:val="center"/>
          </w:tcPr>
          <w:p w14:paraId="211FB1A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扫选Ⅰ</w:t>
            </w:r>
          </w:p>
        </w:tc>
        <w:tc>
          <w:tcPr>
            <w:tcW w:w="1729" w:type="dxa"/>
            <w:tcBorders>
              <w:tl2br w:val="nil"/>
              <w:tr2bl w:val="nil"/>
            </w:tcBorders>
            <w:vAlign w:val="center"/>
          </w:tcPr>
          <w:p w14:paraId="3BF18AE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浮选机</w:t>
            </w:r>
          </w:p>
        </w:tc>
        <w:tc>
          <w:tcPr>
            <w:tcW w:w="1678" w:type="dxa"/>
            <w:tcBorders>
              <w:tl2br w:val="nil"/>
              <w:tr2bl w:val="nil"/>
            </w:tcBorders>
            <w:vAlign w:val="center"/>
          </w:tcPr>
          <w:p w14:paraId="7732D31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cs="Times New Roman"/>
                <w:bCs/>
                <w:color w:val="auto"/>
                <w:sz w:val="21"/>
                <w:szCs w:val="21"/>
                <w:highlight w:val="none"/>
                <w:lang w:eastAsia="zh-CN"/>
              </w:rPr>
              <w:t>SF-16</w:t>
            </w:r>
          </w:p>
        </w:tc>
        <w:tc>
          <w:tcPr>
            <w:tcW w:w="946" w:type="dxa"/>
            <w:tcBorders>
              <w:tl2br w:val="nil"/>
              <w:tr2bl w:val="nil"/>
            </w:tcBorders>
            <w:vAlign w:val="center"/>
          </w:tcPr>
          <w:p w14:paraId="42A8EB1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w:t>
            </w:r>
          </w:p>
        </w:tc>
        <w:tc>
          <w:tcPr>
            <w:tcW w:w="1353" w:type="dxa"/>
            <w:tcBorders>
              <w:tl2br w:val="nil"/>
              <w:tr2bl w:val="nil"/>
            </w:tcBorders>
            <w:vAlign w:val="center"/>
          </w:tcPr>
          <w:p w14:paraId="40881E1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37</w:t>
            </w:r>
          </w:p>
        </w:tc>
      </w:tr>
      <w:tr w14:paraId="2B3CFD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1" w:type="dxa"/>
            <w:tcBorders>
              <w:tl2br w:val="nil"/>
              <w:tr2bl w:val="nil"/>
            </w:tcBorders>
            <w:vAlign w:val="center"/>
          </w:tcPr>
          <w:p w14:paraId="18739F4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w:t>
            </w:r>
          </w:p>
        </w:tc>
        <w:tc>
          <w:tcPr>
            <w:tcW w:w="1210" w:type="dxa"/>
            <w:tcBorders>
              <w:tl2br w:val="nil"/>
              <w:tr2bl w:val="nil"/>
            </w:tcBorders>
            <w:vAlign w:val="center"/>
          </w:tcPr>
          <w:p w14:paraId="4CC732E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扫选Ⅱ</w:t>
            </w:r>
          </w:p>
        </w:tc>
        <w:tc>
          <w:tcPr>
            <w:tcW w:w="1729" w:type="dxa"/>
            <w:tcBorders>
              <w:tl2br w:val="nil"/>
              <w:tr2bl w:val="nil"/>
            </w:tcBorders>
            <w:vAlign w:val="center"/>
          </w:tcPr>
          <w:p w14:paraId="4B2357F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浮选机</w:t>
            </w:r>
          </w:p>
        </w:tc>
        <w:tc>
          <w:tcPr>
            <w:tcW w:w="1678" w:type="dxa"/>
            <w:tcBorders>
              <w:tl2br w:val="nil"/>
              <w:tr2bl w:val="nil"/>
            </w:tcBorders>
            <w:vAlign w:val="center"/>
          </w:tcPr>
          <w:p w14:paraId="3DEE425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cs="Times New Roman"/>
                <w:bCs/>
                <w:color w:val="auto"/>
                <w:sz w:val="21"/>
                <w:szCs w:val="21"/>
                <w:highlight w:val="none"/>
                <w:lang w:eastAsia="zh-CN"/>
              </w:rPr>
              <w:t>SF-16</w:t>
            </w:r>
          </w:p>
        </w:tc>
        <w:tc>
          <w:tcPr>
            <w:tcW w:w="946" w:type="dxa"/>
            <w:tcBorders>
              <w:tl2br w:val="nil"/>
              <w:tr2bl w:val="nil"/>
            </w:tcBorders>
            <w:vAlign w:val="center"/>
          </w:tcPr>
          <w:p w14:paraId="068A027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w:t>
            </w:r>
          </w:p>
        </w:tc>
        <w:tc>
          <w:tcPr>
            <w:tcW w:w="1353" w:type="dxa"/>
            <w:tcBorders>
              <w:tl2br w:val="nil"/>
              <w:tr2bl w:val="nil"/>
            </w:tcBorders>
            <w:vAlign w:val="center"/>
          </w:tcPr>
          <w:p w14:paraId="20FFBD7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37</w:t>
            </w:r>
          </w:p>
        </w:tc>
      </w:tr>
      <w:tr w14:paraId="0CA04A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1" w:type="dxa"/>
            <w:tcBorders>
              <w:tl2br w:val="nil"/>
              <w:tr2bl w:val="nil"/>
            </w:tcBorders>
            <w:vAlign w:val="center"/>
          </w:tcPr>
          <w:p w14:paraId="68F5CA5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w:t>
            </w:r>
          </w:p>
        </w:tc>
        <w:tc>
          <w:tcPr>
            <w:tcW w:w="1210" w:type="dxa"/>
            <w:tcBorders>
              <w:tl2br w:val="nil"/>
              <w:tr2bl w:val="nil"/>
            </w:tcBorders>
            <w:vAlign w:val="center"/>
          </w:tcPr>
          <w:p w14:paraId="281499D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扫选Ⅲ</w:t>
            </w:r>
          </w:p>
        </w:tc>
        <w:tc>
          <w:tcPr>
            <w:tcW w:w="1729" w:type="dxa"/>
            <w:tcBorders>
              <w:tl2br w:val="nil"/>
              <w:tr2bl w:val="nil"/>
            </w:tcBorders>
            <w:vAlign w:val="center"/>
          </w:tcPr>
          <w:p w14:paraId="3D71E2F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浮选机</w:t>
            </w:r>
          </w:p>
        </w:tc>
        <w:tc>
          <w:tcPr>
            <w:tcW w:w="1678" w:type="dxa"/>
            <w:tcBorders>
              <w:tl2br w:val="nil"/>
              <w:tr2bl w:val="nil"/>
            </w:tcBorders>
            <w:vAlign w:val="center"/>
          </w:tcPr>
          <w:p w14:paraId="7F03C1E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cs="Times New Roman"/>
                <w:bCs/>
                <w:color w:val="auto"/>
                <w:sz w:val="21"/>
                <w:szCs w:val="21"/>
                <w:highlight w:val="none"/>
                <w:lang w:eastAsia="zh-CN"/>
              </w:rPr>
              <w:t>SF-16</w:t>
            </w:r>
          </w:p>
        </w:tc>
        <w:tc>
          <w:tcPr>
            <w:tcW w:w="946" w:type="dxa"/>
            <w:tcBorders>
              <w:tl2br w:val="nil"/>
              <w:tr2bl w:val="nil"/>
            </w:tcBorders>
            <w:vAlign w:val="center"/>
          </w:tcPr>
          <w:p w14:paraId="6FABA72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w:t>
            </w:r>
          </w:p>
        </w:tc>
        <w:tc>
          <w:tcPr>
            <w:tcW w:w="1353" w:type="dxa"/>
            <w:tcBorders>
              <w:tl2br w:val="nil"/>
              <w:tr2bl w:val="nil"/>
            </w:tcBorders>
            <w:vAlign w:val="center"/>
          </w:tcPr>
          <w:p w14:paraId="74672C5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37</w:t>
            </w:r>
          </w:p>
        </w:tc>
      </w:tr>
      <w:tr w14:paraId="607B06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1" w:type="dxa"/>
            <w:tcBorders>
              <w:tl2br w:val="nil"/>
              <w:tr2bl w:val="nil"/>
            </w:tcBorders>
            <w:vAlign w:val="center"/>
          </w:tcPr>
          <w:p w14:paraId="2FC5CC8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13</w:t>
            </w:r>
          </w:p>
        </w:tc>
        <w:tc>
          <w:tcPr>
            <w:tcW w:w="1210" w:type="dxa"/>
            <w:tcBorders>
              <w:tl2br w:val="nil"/>
              <w:tr2bl w:val="nil"/>
            </w:tcBorders>
            <w:vAlign w:val="center"/>
          </w:tcPr>
          <w:p w14:paraId="129A6B0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精选Ⅰ</w:t>
            </w:r>
          </w:p>
        </w:tc>
        <w:tc>
          <w:tcPr>
            <w:tcW w:w="1729" w:type="dxa"/>
            <w:tcBorders>
              <w:tl2br w:val="nil"/>
              <w:tr2bl w:val="nil"/>
            </w:tcBorders>
            <w:vAlign w:val="center"/>
          </w:tcPr>
          <w:p w14:paraId="2B1953C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浮选机</w:t>
            </w:r>
          </w:p>
        </w:tc>
        <w:tc>
          <w:tcPr>
            <w:tcW w:w="1678" w:type="dxa"/>
            <w:tcBorders>
              <w:tl2br w:val="nil"/>
              <w:tr2bl w:val="nil"/>
            </w:tcBorders>
            <w:vAlign w:val="center"/>
          </w:tcPr>
          <w:p w14:paraId="518BB81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cs="Times New Roman"/>
                <w:bCs/>
                <w:color w:val="auto"/>
                <w:sz w:val="21"/>
                <w:szCs w:val="21"/>
                <w:highlight w:val="none"/>
                <w:lang w:eastAsia="zh-CN"/>
              </w:rPr>
              <w:t>SF-16</w:t>
            </w:r>
          </w:p>
        </w:tc>
        <w:tc>
          <w:tcPr>
            <w:tcW w:w="946" w:type="dxa"/>
            <w:tcBorders>
              <w:tl2br w:val="nil"/>
              <w:tr2bl w:val="nil"/>
            </w:tcBorders>
            <w:vAlign w:val="center"/>
          </w:tcPr>
          <w:p w14:paraId="5BBD3E4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w:t>
            </w:r>
          </w:p>
        </w:tc>
        <w:tc>
          <w:tcPr>
            <w:tcW w:w="1353" w:type="dxa"/>
            <w:tcBorders>
              <w:tl2br w:val="nil"/>
              <w:tr2bl w:val="nil"/>
            </w:tcBorders>
            <w:vAlign w:val="center"/>
          </w:tcPr>
          <w:p w14:paraId="0038C05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37</w:t>
            </w:r>
          </w:p>
        </w:tc>
      </w:tr>
      <w:tr w14:paraId="7BEF5C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1" w:type="dxa"/>
            <w:tcBorders>
              <w:tl2br w:val="nil"/>
              <w:tr2bl w:val="nil"/>
            </w:tcBorders>
            <w:vAlign w:val="center"/>
          </w:tcPr>
          <w:p w14:paraId="6DE541E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w:t>
            </w:r>
          </w:p>
        </w:tc>
        <w:tc>
          <w:tcPr>
            <w:tcW w:w="1210" w:type="dxa"/>
            <w:tcBorders>
              <w:tl2br w:val="nil"/>
              <w:tr2bl w:val="nil"/>
            </w:tcBorders>
            <w:vAlign w:val="center"/>
          </w:tcPr>
          <w:p w14:paraId="47B3E79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精选Ⅱ</w:t>
            </w:r>
          </w:p>
        </w:tc>
        <w:tc>
          <w:tcPr>
            <w:tcW w:w="1729" w:type="dxa"/>
            <w:tcBorders>
              <w:tl2br w:val="nil"/>
              <w:tr2bl w:val="nil"/>
            </w:tcBorders>
            <w:vAlign w:val="center"/>
          </w:tcPr>
          <w:p w14:paraId="784E99A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浮选机</w:t>
            </w:r>
          </w:p>
        </w:tc>
        <w:tc>
          <w:tcPr>
            <w:tcW w:w="1678" w:type="dxa"/>
            <w:tcBorders>
              <w:tl2br w:val="nil"/>
              <w:tr2bl w:val="nil"/>
            </w:tcBorders>
            <w:vAlign w:val="center"/>
          </w:tcPr>
          <w:p w14:paraId="029DAF3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cs="Times New Roman"/>
                <w:bCs/>
                <w:color w:val="auto"/>
                <w:sz w:val="21"/>
                <w:szCs w:val="21"/>
                <w:highlight w:val="none"/>
                <w:lang w:eastAsia="zh-CN"/>
              </w:rPr>
              <w:t>SF-16</w:t>
            </w:r>
          </w:p>
        </w:tc>
        <w:tc>
          <w:tcPr>
            <w:tcW w:w="946" w:type="dxa"/>
            <w:tcBorders>
              <w:tl2br w:val="nil"/>
              <w:tr2bl w:val="nil"/>
            </w:tcBorders>
            <w:vAlign w:val="center"/>
          </w:tcPr>
          <w:p w14:paraId="275DBBC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w:t>
            </w:r>
          </w:p>
        </w:tc>
        <w:tc>
          <w:tcPr>
            <w:tcW w:w="1353" w:type="dxa"/>
            <w:tcBorders>
              <w:tl2br w:val="nil"/>
              <w:tr2bl w:val="nil"/>
            </w:tcBorders>
            <w:vAlign w:val="center"/>
          </w:tcPr>
          <w:p w14:paraId="4DCC4EB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37</w:t>
            </w:r>
          </w:p>
        </w:tc>
      </w:tr>
      <w:tr w14:paraId="30E46B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1" w:type="dxa"/>
            <w:tcBorders>
              <w:tl2br w:val="nil"/>
              <w:tr2bl w:val="nil"/>
            </w:tcBorders>
            <w:vAlign w:val="center"/>
          </w:tcPr>
          <w:p w14:paraId="42E421F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c>
          <w:tcPr>
            <w:tcW w:w="1210" w:type="dxa"/>
            <w:tcBorders>
              <w:tl2br w:val="nil"/>
              <w:tr2bl w:val="nil"/>
            </w:tcBorders>
            <w:vAlign w:val="center"/>
          </w:tcPr>
          <w:p w14:paraId="7F1C96C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精选Ⅲ</w:t>
            </w:r>
          </w:p>
        </w:tc>
        <w:tc>
          <w:tcPr>
            <w:tcW w:w="1729" w:type="dxa"/>
            <w:tcBorders>
              <w:tl2br w:val="nil"/>
              <w:tr2bl w:val="nil"/>
            </w:tcBorders>
            <w:vAlign w:val="center"/>
          </w:tcPr>
          <w:p w14:paraId="356F074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浮选机</w:t>
            </w:r>
          </w:p>
        </w:tc>
        <w:tc>
          <w:tcPr>
            <w:tcW w:w="1678" w:type="dxa"/>
            <w:tcBorders>
              <w:tl2br w:val="nil"/>
              <w:tr2bl w:val="nil"/>
            </w:tcBorders>
            <w:vAlign w:val="center"/>
          </w:tcPr>
          <w:p w14:paraId="6AD18D7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cs="Times New Roman"/>
                <w:bCs/>
                <w:color w:val="auto"/>
                <w:sz w:val="21"/>
                <w:szCs w:val="21"/>
                <w:highlight w:val="none"/>
                <w:lang w:eastAsia="zh-CN"/>
              </w:rPr>
              <w:t>SF-16</w:t>
            </w:r>
          </w:p>
        </w:tc>
        <w:tc>
          <w:tcPr>
            <w:tcW w:w="946" w:type="dxa"/>
            <w:tcBorders>
              <w:tl2br w:val="nil"/>
              <w:tr2bl w:val="nil"/>
            </w:tcBorders>
            <w:vAlign w:val="center"/>
          </w:tcPr>
          <w:p w14:paraId="2328F8F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w:t>
            </w:r>
          </w:p>
        </w:tc>
        <w:tc>
          <w:tcPr>
            <w:tcW w:w="1353" w:type="dxa"/>
            <w:tcBorders>
              <w:tl2br w:val="nil"/>
              <w:tr2bl w:val="nil"/>
            </w:tcBorders>
            <w:vAlign w:val="center"/>
          </w:tcPr>
          <w:p w14:paraId="4C59A0A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37</w:t>
            </w:r>
          </w:p>
        </w:tc>
      </w:tr>
      <w:tr w14:paraId="542E00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1" w:type="dxa"/>
            <w:tcBorders>
              <w:tl2br w:val="nil"/>
              <w:tr2bl w:val="nil"/>
            </w:tcBorders>
            <w:vAlign w:val="center"/>
          </w:tcPr>
          <w:p w14:paraId="46A6B76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w:t>
            </w:r>
          </w:p>
        </w:tc>
        <w:tc>
          <w:tcPr>
            <w:tcW w:w="1210" w:type="dxa"/>
            <w:tcBorders>
              <w:tl2br w:val="nil"/>
              <w:tr2bl w:val="nil"/>
            </w:tcBorders>
            <w:vAlign w:val="center"/>
          </w:tcPr>
          <w:p w14:paraId="2FD2837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精选Ⅳ</w:t>
            </w:r>
          </w:p>
        </w:tc>
        <w:tc>
          <w:tcPr>
            <w:tcW w:w="1729" w:type="dxa"/>
            <w:tcBorders>
              <w:tl2br w:val="nil"/>
              <w:tr2bl w:val="nil"/>
            </w:tcBorders>
            <w:vAlign w:val="center"/>
          </w:tcPr>
          <w:p w14:paraId="4E22EC7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浮选机</w:t>
            </w:r>
          </w:p>
        </w:tc>
        <w:tc>
          <w:tcPr>
            <w:tcW w:w="1678" w:type="dxa"/>
            <w:tcBorders>
              <w:tl2br w:val="nil"/>
              <w:tr2bl w:val="nil"/>
            </w:tcBorders>
            <w:vAlign w:val="center"/>
          </w:tcPr>
          <w:p w14:paraId="3FBE64C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cs="Times New Roman"/>
                <w:bCs/>
                <w:color w:val="auto"/>
                <w:sz w:val="21"/>
                <w:szCs w:val="21"/>
                <w:highlight w:val="none"/>
                <w:lang w:eastAsia="zh-CN"/>
              </w:rPr>
              <w:t>SF-16</w:t>
            </w:r>
          </w:p>
        </w:tc>
        <w:tc>
          <w:tcPr>
            <w:tcW w:w="946" w:type="dxa"/>
            <w:tcBorders>
              <w:tl2br w:val="nil"/>
              <w:tr2bl w:val="nil"/>
            </w:tcBorders>
            <w:vAlign w:val="center"/>
          </w:tcPr>
          <w:p w14:paraId="4BF03BF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w:t>
            </w:r>
          </w:p>
        </w:tc>
        <w:tc>
          <w:tcPr>
            <w:tcW w:w="1353" w:type="dxa"/>
            <w:tcBorders>
              <w:tl2br w:val="nil"/>
              <w:tr2bl w:val="nil"/>
            </w:tcBorders>
            <w:vAlign w:val="center"/>
          </w:tcPr>
          <w:p w14:paraId="2429D03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37</w:t>
            </w:r>
          </w:p>
        </w:tc>
      </w:tr>
      <w:tr w14:paraId="59C6E3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1" w:type="dxa"/>
            <w:tcBorders>
              <w:tl2br w:val="nil"/>
              <w:tr2bl w:val="nil"/>
            </w:tcBorders>
            <w:vAlign w:val="center"/>
          </w:tcPr>
          <w:p w14:paraId="3325759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w:t>
            </w:r>
          </w:p>
        </w:tc>
        <w:tc>
          <w:tcPr>
            <w:tcW w:w="1210" w:type="dxa"/>
            <w:tcBorders>
              <w:tl2br w:val="nil"/>
              <w:tr2bl w:val="nil"/>
            </w:tcBorders>
            <w:vAlign w:val="center"/>
          </w:tcPr>
          <w:p w14:paraId="293B981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精选Ⅴ</w:t>
            </w:r>
          </w:p>
        </w:tc>
        <w:tc>
          <w:tcPr>
            <w:tcW w:w="1729" w:type="dxa"/>
            <w:tcBorders>
              <w:tl2br w:val="nil"/>
              <w:tr2bl w:val="nil"/>
            </w:tcBorders>
            <w:vAlign w:val="center"/>
          </w:tcPr>
          <w:p w14:paraId="234F976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浮选机</w:t>
            </w:r>
          </w:p>
        </w:tc>
        <w:tc>
          <w:tcPr>
            <w:tcW w:w="1678" w:type="dxa"/>
            <w:tcBorders>
              <w:tl2br w:val="nil"/>
              <w:tr2bl w:val="nil"/>
            </w:tcBorders>
            <w:vAlign w:val="center"/>
          </w:tcPr>
          <w:p w14:paraId="1C7EBA0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cs="Times New Roman"/>
                <w:bCs/>
                <w:color w:val="auto"/>
                <w:sz w:val="21"/>
                <w:szCs w:val="21"/>
                <w:highlight w:val="none"/>
                <w:lang w:eastAsia="zh-CN"/>
              </w:rPr>
              <w:t>SF-16</w:t>
            </w:r>
          </w:p>
        </w:tc>
        <w:tc>
          <w:tcPr>
            <w:tcW w:w="946" w:type="dxa"/>
            <w:tcBorders>
              <w:tl2br w:val="nil"/>
              <w:tr2bl w:val="nil"/>
            </w:tcBorders>
            <w:vAlign w:val="center"/>
          </w:tcPr>
          <w:p w14:paraId="07B63CC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w:t>
            </w:r>
          </w:p>
        </w:tc>
        <w:tc>
          <w:tcPr>
            <w:tcW w:w="1353" w:type="dxa"/>
            <w:tcBorders>
              <w:tl2br w:val="nil"/>
              <w:tr2bl w:val="nil"/>
            </w:tcBorders>
            <w:vAlign w:val="center"/>
          </w:tcPr>
          <w:p w14:paraId="5E78264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37</w:t>
            </w:r>
          </w:p>
        </w:tc>
      </w:tr>
      <w:tr w14:paraId="12BCE2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1" w:type="dxa"/>
            <w:tcBorders>
              <w:tl2br w:val="nil"/>
              <w:tr2bl w:val="nil"/>
            </w:tcBorders>
            <w:vAlign w:val="center"/>
          </w:tcPr>
          <w:p w14:paraId="4151DCE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18</w:t>
            </w:r>
          </w:p>
        </w:tc>
        <w:tc>
          <w:tcPr>
            <w:tcW w:w="1210" w:type="dxa"/>
            <w:tcBorders>
              <w:tl2br w:val="nil"/>
              <w:tr2bl w:val="nil"/>
            </w:tcBorders>
            <w:vAlign w:val="center"/>
          </w:tcPr>
          <w:p w14:paraId="327A89E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精选Ⅵ</w:t>
            </w:r>
          </w:p>
        </w:tc>
        <w:tc>
          <w:tcPr>
            <w:tcW w:w="1729" w:type="dxa"/>
            <w:tcBorders>
              <w:tl2br w:val="nil"/>
              <w:tr2bl w:val="nil"/>
            </w:tcBorders>
            <w:vAlign w:val="center"/>
          </w:tcPr>
          <w:p w14:paraId="1661504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浮选机</w:t>
            </w:r>
          </w:p>
        </w:tc>
        <w:tc>
          <w:tcPr>
            <w:tcW w:w="1678" w:type="dxa"/>
            <w:tcBorders>
              <w:tl2br w:val="nil"/>
              <w:tr2bl w:val="nil"/>
            </w:tcBorders>
            <w:vAlign w:val="center"/>
          </w:tcPr>
          <w:p w14:paraId="38B4FD1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cs="Times New Roman"/>
                <w:bCs/>
                <w:color w:val="auto"/>
                <w:sz w:val="21"/>
                <w:szCs w:val="21"/>
                <w:highlight w:val="none"/>
                <w:lang w:eastAsia="zh-CN"/>
              </w:rPr>
              <w:t>SF-16</w:t>
            </w:r>
          </w:p>
        </w:tc>
        <w:tc>
          <w:tcPr>
            <w:tcW w:w="946" w:type="dxa"/>
            <w:tcBorders>
              <w:tl2br w:val="nil"/>
              <w:tr2bl w:val="nil"/>
            </w:tcBorders>
            <w:vAlign w:val="center"/>
          </w:tcPr>
          <w:p w14:paraId="5E48E4D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w:t>
            </w:r>
          </w:p>
        </w:tc>
        <w:tc>
          <w:tcPr>
            <w:tcW w:w="1353" w:type="dxa"/>
            <w:tcBorders>
              <w:tl2br w:val="nil"/>
              <w:tr2bl w:val="nil"/>
            </w:tcBorders>
            <w:vAlign w:val="center"/>
          </w:tcPr>
          <w:p w14:paraId="2BDE43C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37</w:t>
            </w:r>
          </w:p>
        </w:tc>
      </w:tr>
      <w:tr w14:paraId="04CBD9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1" w:type="dxa"/>
            <w:tcBorders>
              <w:tl2br w:val="nil"/>
              <w:tr2bl w:val="nil"/>
            </w:tcBorders>
            <w:vAlign w:val="center"/>
          </w:tcPr>
          <w:p w14:paraId="2740BCB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w:t>
            </w:r>
          </w:p>
        </w:tc>
        <w:tc>
          <w:tcPr>
            <w:tcW w:w="1210" w:type="dxa"/>
            <w:tcBorders>
              <w:tl2br w:val="nil"/>
              <w:tr2bl w:val="nil"/>
            </w:tcBorders>
            <w:vAlign w:val="center"/>
          </w:tcPr>
          <w:p w14:paraId="7955584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精选Ⅶ</w:t>
            </w:r>
          </w:p>
        </w:tc>
        <w:tc>
          <w:tcPr>
            <w:tcW w:w="1729" w:type="dxa"/>
            <w:tcBorders>
              <w:tl2br w:val="nil"/>
              <w:tr2bl w:val="nil"/>
            </w:tcBorders>
            <w:vAlign w:val="center"/>
          </w:tcPr>
          <w:p w14:paraId="0347041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浮选机</w:t>
            </w:r>
          </w:p>
        </w:tc>
        <w:tc>
          <w:tcPr>
            <w:tcW w:w="1678" w:type="dxa"/>
            <w:tcBorders>
              <w:tl2br w:val="nil"/>
              <w:tr2bl w:val="nil"/>
            </w:tcBorders>
            <w:vAlign w:val="center"/>
          </w:tcPr>
          <w:p w14:paraId="34519F5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cs="Times New Roman"/>
                <w:bCs/>
                <w:color w:val="auto"/>
                <w:sz w:val="21"/>
                <w:szCs w:val="21"/>
                <w:highlight w:val="none"/>
                <w:lang w:eastAsia="zh-CN"/>
              </w:rPr>
              <w:t>SF-16</w:t>
            </w:r>
          </w:p>
        </w:tc>
        <w:tc>
          <w:tcPr>
            <w:tcW w:w="946" w:type="dxa"/>
            <w:tcBorders>
              <w:tl2br w:val="nil"/>
              <w:tr2bl w:val="nil"/>
            </w:tcBorders>
            <w:vAlign w:val="center"/>
          </w:tcPr>
          <w:p w14:paraId="57E901A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w:t>
            </w:r>
          </w:p>
        </w:tc>
        <w:tc>
          <w:tcPr>
            <w:tcW w:w="1353" w:type="dxa"/>
            <w:tcBorders>
              <w:tl2br w:val="nil"/>
              <w:tr2bl w:val="nil"/>
            </w:tcBorders>
            <w:vAlign w:val="center"/>
          </w:tcPr>
          <w:p w14:paraId="4A60F17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37</w:t>
            </w:r>
          </w:p>
        </w:tc>
      </w:tr>
      <w:tr w14:paraId="1064A7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1" w:type="dxa"/>
            <w:tcBorders>
              <w:tl2br w:val="nil"/>
              <w:tr2bl w:val="nil"/>
            </w:tcBorders>
            <w:vAlign w:val="center"/>
          </w:tcPr>
          <w:p w14:paraId="2A9EBDD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w:t>
            </w:r>
          </w:p>
        </w:tc>
        <w:tc>
          <w:tcPr>
            <w:tcW w:w="1210" w:type="dxa"/>
            <w:tcBorders>
              <w:tl2br w:val="nil"/>
              <w:tr2bl w:val="nil"/>
            </w:tcBorders>
            <w:vAlign w:val="center"/>
          </w:tcPr>
          <w:p w14:paraId="7FE0DCB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精矿浓密</w:t>
            </w:r>
          </w:p>
        </w:tc>
        <w:tc>
          <w:tcPr>
            <w:tcW w:w="1729" w:type="dxa"/>
            <w:tcBorders>
              <w:tl2br w:val="nil"/>
              <w:tr2bl w:val="nil"/>
            </w:tcBorders>
            <w:vAlign w:val="center"/>
          </w:tcPr>
          <w:p w14:paraId="54BB5B6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中心传动浓缩机</w:t>
            </w:r>
          </w:p>
        </w:tc>
        <w:tc>
          <w:tcPr>
            <w:tcW w:w="1678" w:type="dxa"/>
            <w:tcBorders>
              <w:tl2br w:val="nil"/>
              <w:tr2bl w:val="nil"/>
            </w:tcBorders>
            <w:vAlign w:val="center"/>
          </w:tcPr>
          <w:p w14:paraId="09575F9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NX-24</w:t>
            </w:r>
          </w:p>
        </w:tc>
        <w:tc>
          <w:tcPr>
            <w:tcW w:w="946" w:type="dxa"/>
            <w:tcBorders>
              <w:tl2br w:val="nil"/>
              <w:tr2bl w:val="nil"/>
            </w:tcBorders>
            <w:vAlign w:val="center"/>
          </w:tcPr>
          <w:p w14:paraId="7E85887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c>
          <w:tcPr>
            <w:tcW w:w="1353" w:type="dxa"/>
            <w:tcBorders>
              <w:tl2br w:val="nil"/>
              <w:tr2bl w:val="nil"/>
            </w:tcBorders>
            <w:vAlign w:val="center"/>
          </w:tcPr>
          <w:p w14:paraId="366034B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7.5</w:t>
            </w:r>
          </w:p>
        </w:tc>
      </w:tr>
      <w:tr w14:paraId="065175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1" w:type="dxa"/>
            <w:tcBorders>
              <w:tl2br w:val="nil"/>
              <w:tr2bl w:val="nil"/>
            </w:tcBorders>
            <w:vAlign w:val="center"/>
          </w:tcPr>
          <w:p w14:paraId="69133B5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w:t>
            </w:r>
          </w:p>
        </w:tc>
        <w:tc>
          <w:tcPr>
            <w:tcW w:w="1210" w:type="dxa"/>
            <w:tcBorders>
              <w:tl2br w:val="nil"/>
              <w:tr2bl w:val="nil"/>
            </w:tcBorders>
            <w:vAlign w:val="center"/>
          </w:tcPr>
          <w:p w14:paraId="30DE682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精矿过滤</w:t>
            </w:r>
          </w:p>
        </w:tc>
        <w:tc>
          <w:tcPr>
            <w:tcW w:w="1729" w:type="dxa"/>
            <w:tcBorders>
              <w:tl2br w:val="nil"/>
              <w:tr2bl w:val="nil"/>
            </w:tcBorders>
            <w:vAlign w:val="center"/>
          </w:tcPr>
          <w:p w14:paraId="5F933F3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盘式过滤机</w:t>
            </w:r>
          </w:p>
        </w:tc>
        <w:tc>
          <w:tcPr>
            <w:tcW w:w="1678" w:type="dxa"/>
            <w:tcBorders>
              <w:tl2br w:val="nil"/>
              <w:tr2bl w:val="nil"/>
            </w:tcBorders>
            <w:vAlign w:val="center"/>
          </w:tcPr>
          <w:p w14:paraId="1BB6F18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PG-60</w:t>
            </w:r>
          </w:p>
        </w:tc>
        <w:tc>
          <w:tcPr>
            <w:tcW w:w="946" w:type="dxa"/>
            <w:tcBorders>
              <w:tl2br w:val="nil"/>
              <w:tr2bl w:val="nil"/>
            </w:tcBorders>
            <w:vAlign w:val="center"/>
          </w:tcPr>
          <w:p w14:paraId="4E1AE57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c>
          <w:tcPr>
            <w:tcW w:w="1353" w:type="dxa"/>
            <w:tcBorders>
              <w:tl2br w:val="nil"/>
              <w:tr2bl w:val="nil"/>
            </w:tcBorders>
            <w:vAlign w:val="center"/>
          </w:tcPr>
          <w:p w14:paraId="035A097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110</w:t>
            </w:r>
          </w:p>
        </w:tc>
      </w:tr>
    </w:tbl>
    <w:p w14:paraId="0D3CB5CB">
      <w:pPr>
        <w:pStyle w:val="5"/>
        <w:ind w:firstLine="482"/>
        <w:rPr>
          <w:rFonts w:hint="default" w:ascii="Times New Roman" w:hAnsi="Times New Roman" w:cs="Times New Roman"/>
          <w:color w:val="auto"/>
          <w:highlight w:val="none"/>
        </w:rPr>
      </w:pPr>
      <w:bookmarkStart w:id="359" w:name="_Toc26345"/>
      <w:bookmarkStart w:id="360" w:name="_Toc9110"/>
      <w:bookmarkStart w:id="361" w:name="_Toc4290"/>
      <w:bookmarkStart w:id="362" w:name="_Toc25938"/>
      <w:bookmarkStart w:id="363" w:name="_Toc11305"/>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.4.2主要原辅材料及能源消耗</w:t>
      </w:r>
    </w:p>
    <w:p w14:paraId="7D295F8A">
      <w:pPr>
        <w:pStyle w:val="56"/>
        <w:overflowPunct w:val="0"/>
        <w:topLinePunct/>
        <w:spacing w:line="480" w:lineRule="exact"/>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（1）主要原辅材料</w:t>
      </w:r>
    </w:p>
    <w:p w14:paraId="088F2504">
      <w:pPr>
        <w:pStyle w:val="56"/>
        <w:overflowPunct w:val="0"/>
        <w:topLinePunct/>
        <w:spacing w:line="480" w:lineRule="exact"/>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本项目选矿工程设计的主要原材料为</w:t>
      </w:r>
      <w:r>
        <w:rPr>
          <w:rFonts w:hint="default" w:ascii="Times New Roman" w:hAnsi="Times New Roman" w:cs="Times New Roman"/>
          <w:color w:val="auto"/>
          <w:sz w:val="24"/>
          <w:highlight w:val="none"/>
          <w:lang w:eastAsia="zh-CN"/>
        </w:rPr>
        <w:t>萤石</w:t>
      </w:r>
      <w:r>
        <w:rPr>
          <w:rFonts w:hint="default" w:ascii="Times New Roman" w:hAnsi="Times New Roman" w:cs="Times New Roman"/>
          <w:color w:val="auto"/>
          <w:sz w:val="24"/>
          <w:highlight w:val="none"/>
        </w:rPr>
        <w:t>矿</w:t>
      </w:r>
      <w:r>
        <w:rPr>
          <w:rFonts w:hint="default" w:ascii="Times New Roman" w:hAnsi="Times New Roman" w:cs="Times New Roman"/>
          <w:color w:val="auto"/>
          <w:sz w:val="24"/>
          <w:highlight w:val="none"/>
          <w:lang w:eastAsia="zh-CN"/>
        </w:rPr>
        <w:t>石</w:t>
      </w:r>
      <w:r>
        <w:rPr>
          <w:rFonts w:hint="default" w:ascii="Times New Roman" w:hAnsi="Times New Roman" w:cs="Times New Roman"/>
          <w:color w:val="auto"/>
          <w:sz w:val="24"/>
          <w:highlight w:val="none"/>
        </w:rPr>
        <w:t>，矿石来源为</w:t>
      </w:r>
      <w:r>
        <w:rPr>
          <w:rFonts w:hint="default" w:ascii="Times New Roman" w:hAnsi="Times New Roman" w:cs="Times New Roman"/>
          <w:color w:val="auto"/>
          <w:sz w:val="24"/>
          <w:highlight w:val="none"/>
          <w:lang w:eastAsia="zh-CN"/>
        </w:rPr>
        <w:t>新疆嘉西矿业有限公司哈密市伊州区雅满苏镇M1033三支萤石矿</w:t>
      </w:r>
      <w:r>
        <w:rPr>
          <w:rFonts w:hint="default" w:ascii="Times New Roman" w:hAnsi="Times New Roman" w:cs="Times New Roman"/>
          <w:color w:val="auto"/>
          <w:sz w:val="24"/>
          <w:highlight w:val="none"/>
        </w:rPr>
        <w:t>采矿工程。</w:t>
      </w:r>
    </w:p>
    <w:p w14:paraId="3E6029AA">
      <w:pPr>
        <w:pStyle w:val="56"/>
        <w:overflowPunct w:val="0"/>
        <w:topLinePunct/>
        <w:spacing w:line="480" w:lineRule="exact"/>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①矿石组成及类型</w:t>
      </w:r>
    </w:p>
    <w:p w14:paraId="31358596">
      <w:pPr>
        <w:pStyle w:val="56"/>
        <w:overflowPunct w:val="0"/>
        <w:topLinePunct/>
        <w:spacing w:line="480" w:lineRule="exact"/>
        <w:ind w:firstLine="48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矿区内含矿岩石总体具隐晶状结构，块状构造。针对不同矿体中采集的岩矿样分析结果来看，矿石矿物主要为萤石，其他矿石矿物含量一般不大于5%；脉石矿物主要为石英，其次为方解石，且石英含量总体大于萤石含量。对不同矿体内矿石采集的光谱样分析结果显示，区内赋矿岩石中有用元素较单一，主要为萤石。</w:t>
      </w:r>
    </w:p>
    <w:p w14:paraId="5089DB83">
      <w:pPr>
        <w:pStyle w:val="56"/>
        <w:overflowPunct w:val="0"/>
        <w:topLinePunct/>
        <w:spacing w:line="480" w:lineRule="exact"/>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综上所述，依据赋矿岩石的矿物组成、化学成分，结合野外岩石观察的特征，按矿石的主要矿物组合划分，矿区内主要为萤石-石英型矿石和方解石-萤石型矿石两种类型。其中以萤石-石英型矿石类型为主，约占全区的90%。结合区内岩石基本样分析结果，综合评定区内矿石属萤石-石英型矿石。</w:t>
      </w:r>
    </w:p>
    <w:p w14:paraId="7C25C066">
      <w:pPr>
        <w:pStyle w:val="56"/>
        <w:overflowPunct w:val="0"/>
        <w:topLinePunct/>
        <w:spacing w:line="480" w:lineRule="exact"/>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②矿石结构</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构造</w:t>
      </w:r>
    </w:p>
    <w:p w14:paraId="0EA13E95">
      <w:pPr>
        <w:keepNext w:val="0"/>
        <w:keepLines w:val="0"/>
        <w:pageBreakBefore w:val="0"/>
        <w:widowControl/>
        <w:kinsoku/>
        <w:wordWrap/>
        <w:overflowPunct w:val="0"/>
        <w:topLinePunct/>
        <w:autoSpaceDE/>
        <w:autoSpaceDN/>
        <w:bidi w:val="0"/>
        <w:adjustRightInd/>
        <w:spacing w:line="480" w:lineRule="exact"/>
        <w:ind w:firstLine="480"/>
        <w:textAlignment w:val="auto"/>
        <w:rPr>
          <w:rFonts w:hint="default" w:ascii="Times New Roman" w:hAnsi="Times New Roman" w:eastAsia="宋体" w:cs="Times New Roman"/>
          <w:color w:val="auto"/>
          <w:highlight w:val="none"/>
        </w:rPr>
      </w:pPr>
      <w:r>
        <w:rPr>
          <w:rFonts w:hint="default" w:ascii="Times New Roman" w:hAnsi="Times New Roman" w:cs="Times New Roman"/>
          <w:color w:val="auto"/>
          <w:sz w:val="24"/>
          <w:highlight w:val="none"/>
          <w:lang w:val="en-US" w:eastAsia="zh-CN"/>
        </w:rPr>
        <w:t>矿石由萤石、方解石、石英构成。由于后期构造挤压应力作用影响，矿石中多数萤石矿物具有不同程度挤压变形。结构有半自形-他形粒状结构、隐晶状结构等。矿石构造主要为块状、</w:t>
      </w:r>
      <w:r>
        <w:rPr>
          <w:rFonts w:hint="default" w:ascii="Times New Roman" w:hAnsi="Times New Roman" w:eastAsia="宋体" w:cs="Times New Roman"/>
          <w:color w:val="auto"/>
          <w:sz w:val="24"/>
          <w:highlight w:val="none"/>
          <w:lang w:val="en-US" w:eastAsia="zh-CN"/>
        </w:rPr>
        <w:t>条带状、角砾状。</w:t>
      </w:r>
    </w:p>
    <w:p w14:paraId="47DE5C57">
      <w:pPr>
        <w:pStyle w:val="56"/>
        <w:keepNext w:val="0"/>
        <w:keepLines w:val="0"/>
        <w:pageBreakBefore w:val="0"/>
        <w:kinsoku/>
        <w:wordWrap/>
        <w:overflowPunct w:val="0"/>
        <w:topLinePunct/>
        <w:autoSpaceDE/>
        <w:autoSpaceDN/>
        <w:bidi w:val="0"/>
        <w:adjustRightInd/>
        <w:spacing w:line="480" w:lineRule="exact"/>
        <w:ind w:firstLine="48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③矿石化学成分</w:t>
      </w:r>
    </w:p>
    <w:p w14:paraId="519179B8">
      <w:pPr>
        <w:keepNext w:val="0"/>
        <w:keepLines w:val="0"/>
        <w:pageBreakBefore w:val="0"/>
        <w:kinsoku/>
        <w:wordWrap/>
        <w:autoSpaceDE/>
        <w:autoSpaceDN/>
        <w:bidi w:val="0"/>
        <w:adjustRightIn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通过对组合样</w:t>
      </w:r>
      <w:r>
        <w:rPr>
          <w:rFonts w:hint="default" w:ascii="Times New Roman" w:hAnsi="Times New Roman" w:eastAsia="宋体" w:cs="Times New Roman"/>
          <w:color w:val="auto"/>
          <w:sz w:val="24"/>
          <w:highlight w:val="none"/>
          <w:lang w:val="en-US" w:eastAsia="zh-CN"/>
        </w:rPr>
        <w:t>与组合内外检样对比</w:t>
      </w:r>
      <w:r>
        <w:rPr>
          <w:rFonts w:hint="default" w:ascii="Times New Roman" w:hAnsi="Times New Roman" w:eastAsia="宋体" w:cs="Times New Roman"/>
          <w:color w:val="auto"/>
          <w:sz w:val="24"/>
          <w:highlight w:val="none"/>
        </w:rPr>
        <w:t>，查明了矿石内的主要有害组分有CaCO</w:t>
      </w:r>
      <w:r>
        <w:rPr>
          <w:rFonts w:hint="default" w:ascii="Times New Roman" w:hAnsi="Times New Roman" w:eastAsia="宋体" w:cs="Times New Roman"/>
          <w:color w:val="auto"/>
          <w:sz w:val="24"/>
          <w:highlight w:val="none"/>
          <w:vertAlign w:val="subscript"/>
        </w:rPr>
        <w:t>3</w:t>
      </w:r>
      <w:r>
        <w:rPr>
          <w:rFonts w:hint="default" w:ascii="Times New Roman" w:hAnsi="Times New Roman" w:eastAsia="宋体" w:cs="Times New Roman"/>
          <w:color w:val="auto"/>
          <w:sz w:val="24"/>
          <w:highlight w:val="none"/>
        </w:rPr>
        <w:t>、SiO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、S、P、Fe</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O</w:t>
      </w:r>
      <w:r>
        <w:rPr>
          <w:rFonts w:hint="default" w:ascii="Times New Roman" w:hAnsi="Times New Roman" w:eastAsia="宋体" w:cs="Times New Roman"/>
          <w:color w:val="auto"/>
          <w:sz w:val="24"/>
          <w:highlight w:val="none"/>
          <w:vertAlign w:val="subscript"/>
        </w:rPr>
        <w:t>3</w:t>
      </w:r>
      <w:r>
        <w:rPr>
          <w:rFonts w:hint="default" w:ascii="Times New Roman" w:hAnsi="Times New Roman" w:eastAsia="宋体" w:cs="Times New Roman"/>
          <w:color w:val="auto"/>
          <w:sz w:val="24"/>
          <w:highlight w:val="none"/>
        </w:rPr>
        <w:t>。其中有害组分CaCO</w:t>
      </w:r>
      <w:r>
        <w:rPr>
          <w:rFonts w:hint="default" w:ascii="Times New Roman" w:hAnsi="Times New Roman" w:eastAsia="宋体" w:cs="Times New Roman"/>
          <w:color w:val="auto"/>
          <w:sz w:val="24"/>
          <w:highlight w:val="none"/>
          <w:vertAlign w:val="subscript"/>
        </w:rPr>
        <w:t>3</w:t>
      </w:r>
      <w:r>
        <w:rPr>
          <w:rFonts w:hint="default" w:ascii="Times New Roman" w:hAnsi="Times New Roman" w:eastAsia="宋体" w:cs="Times New Roman"/>
          <w:color w:val="auto"/>
          <w:sz w:val="24"/>
          <w:highlight w:val="none"/>
        </w:rPr>
        <w:t>是矿石的主要化学成分，均值30.90%，变化值0.16</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44.72%，变化系数43.22%，分布均匀，对矿石选矿工艺流程和产品质量影响较大。有害组分SiO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是矿石次要化学成分，均值9.45%，变化值1.68</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32.24%，变化系数108.01%，分布不均匀，对矿石选矿工艺流程和产品质量有一定影响。</w:t>
      </w:r>
    </w:p>
    <w:p w14:paraId="7C360504">
      <w:pPr>
        <w:keepNext w:val="0"/>
        <w:keepLines w:val="0"/>
        <w:pageBreakBefore w:val="0"/>
        <w:kinsoku/>
        <w:wordWrap/>
        <w:autoSpaceDE/>
        <w:autoSpaceDN/>
        <w:bidi w:val="0"/>
        <w:adjustRightIn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有害组分S、P、TFe</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O</w:t>
      </w:r>
      <w:r>
        <w:rPr>
          <w:rFonts w:hint="default" w:ascii="Times New Roman" w:hAnsi="Times New Roman" w:eastAsia="宋体" w:cs="Times New Roman"/>
          <w:color w:val="auto"/>
          <w:sz w:val="24"/>
          <w:highlight w:val="none"/>
          <w:vertAlign w:val="subscript"/>
        </w:rPr>
        <w:t>3</w:t>
      </w:r>
      <w:r>
        <w:rPr>
          <w:rFonts w:hint="default" w:ascii="Times New Roman" w:hAnsi="Times New Roman" w:eastAsia="宋体" w:cs="Times New Roman"/>
          <w:color w:val="auto"/>
          <w:sz w:val="24"/>
          <w:highlight w:val="none"/>
        </w:rPr>
        <w:t>组分微量。S含量均值0.12%，变化值0.002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0.63%，变化系数162.22%，分布极不均匀。Fe</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O</w:t>
      </w:r>
      <w:r>
        <w:rPr>
          <w:rFonts w:hint="default" w:ascii="Times New Roman" w:hAnsi="Times New Roman" w:eastAsia="宋体" w:cs="Times New Roman"/>
          <w:color w:val="auto"/>
          <w:sz w:val="24"/>
          <w:highlight w:val="none"/>
          <w:vertAlign w:val="subscript"/>
        </w:rPr>
        <w:t>3</w:t>
      </w:r>
      <w:r>
        <w:rPr>
          <w:rFonts w:hint="default" w:ascii="Times New Roman" w:hAnsi="Times New Roman" w:eastAsia="宋体" w:cs="Times New Roman"/>
          <w:color w:val="auto"/>
          <w:sz w:val="24"/>
          <w:highlight w:val="none"/>
        </w:rPr>
        <w:t>含量均值0.42%，变化值0.073</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1.541%，变化系数111.78%，分布不均匀；P组分均值0.03%，变化值0.003</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0.123%，变化系数115.10%，分布较均匀。</w:t>
      </w:r>
    </w:p>
    <w:p w14:paraId="1875C189">
      <w:pPr>
        <w:pStyle w:val="56"/>
        <w:overflowPunct w:val="0"/>
        <w:topLinePunct/>
        <w:spacing w:line="480" w:lineRule="exact"/>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（2）药剂消耗</w:t>
      </w:r>
    </w:p>
    <w:p w14:paraId="48B26D81">
      <w:pPr>
        <w:pStyle w:val="56"/>
        <w:overflowPunct w:val="0"/>
        <w:topLinePunct/>
        <w:spacing w:line="480" w:lineRule="exact"/>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项目主要药剂消耗</w:t>
      </w:r>
      <w:r>
        <w:rPr>
          <w:rFonts w:hint="default" w:ascii="Times New Roman" w:hAnsi="Times New Roman" w:cs="Times New Roman"/>
          <w:color w:val="auto"/>
          <w:sz w:val="24"/>
          <w:highlight w:val="none"/>
          <w:lang w:val="en-US" w:eastAsia="zh-CN"/>
        </w:rPr>
        <w:t>主要</w:t>
      </w:r>
      <w:r>
        <w:rPr>
          <w:rFonts w:hint="default" w:ascii="Times New Roman" w:hAnsi="Times New Roman" w:cs="Times New Roman"/>
          <w:color w:val="auto"/>
          <w:sz w:val="24"/>
          <w:highlight w:val="none"/>
        </w:rPr>
        <w:t>包括</w:t>
      </w:r>
      <w:r>
        <w:rPr>
          <w:rFonts w:hint="default" w:ascii="Times New Roman" w:hAnsi="Times New Roman" w:cs="Times New Roman"/>
          <w:color w:val="auto"/>
          <w:sz w:val="24"/>
          <w:highlight w:val="none"/>
          <w:lang w:val="en-US" w:eastAsia="zh-CN"/>
        </w:rPr>
        <w:t>油酸、水玻璃、碳酸钙抑制剂</w:t>
      </w:r>
      <w:r>
        <w:rPr>
          <w:rFonts w:hint="default" w:ascii="Times New Roman" w:hAnsi="Times New Roman" w:cs="Times New Roman"/>
          <w:color w:val="auto"/>
          <w:sz w:val="24"/>
          <w:highlight w:val="none"/>
        </w:rPr>
        <w:t>。</w:t>
      </w:r>
    </w:p>
    <w:p w14:paraId="189824E7">
      <w:pPr>
        <w:pStyle w:val="56"/>
        <w:overflowPunct w:val="0"/>
        <w:topLinePunct/>
        <w:spacing w:line="480" w:lineRule="exact"/>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选矿药剂具体情况见表3.</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w:t>
      </w:r>
    </w:p>
    <w:p w14:paraId="66F46527">
      <w:pPr>
        <w:ind w:firstLine="0" w:firstLineChars="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表3.</w:t>
      </w:r>
      <w:r>
        <w:rPr>
          <w:rFonts w:hint="default" w:ascii="Times New Roman" w:hAnsi="Times New Roman" w:cs="Times New Roman"/>
          <w:b/>
          <w:color w:val="auto"/>
          <w:highlight w:val="none"/>
          <w:lang w:val="en-US" w:eastAsia="zh-CN"/>
        </w:rPr>
        <w:t>1</w:t>
      </w:r>
      <w:r>
        <w:rPr>
          <w:rFonts w:hint="default" w:ascii="Times New Roman" w:hAnsi="Times New Roman" w:cs="Times New Roman"/>
          <w:b/>
          <w:color w:val="auto"/>
          <w:highlight w:val="none"/>
        </w:rPr>
        <w:t>-</w:t>
      </w:r>
      <w:r>
        <w:rPr>
          <w:rFonts w:hint="default" w:ascii="Times New Roman" w:hAnsi="Times New Roman" w:cs="Times New Roman"/>
          <w:b/>
          <w:color w:val="auto"/>
          <w:highlight w:val="none"/>
          <w:lang w:val="en-US" w:eastAsia="zh-CN"/>
        </w:rPr>
        <w:t>4</w:t>
      </w:r>
      <w:r>
        <w:rPr>
          <w:rFonts w:hint="default" w:ascii="Times New Roman" w:hAnsi="Times New Roman" w:cs="Times New Roman"/>
          <w:b/>
          <w:color w:val="auto"/>
          <w:highlight w:val="none"/>
        </w:rPr>
        <w:t xml:space="preserve">    本项目选矿药剂消耗核算表</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547"/>
        <w:gridCol w:w="1695"/>
        <w:gridCol w:w="1695"/>
        <w:gridCol w:w="1712"/>
        <w:gridCol w:w="1712"/>
      </w:tblGrid>
      <w:tr w14:paraId="44C093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tblHeader/>
          <w:jc w:val="center"/>
        </w:trPr>
        <w:tc>
          <w:tcPr>
            <w:tcW w:w="813" w:type="dxa"/>
            <w:tcBorders>
              <w:tl2br w:val="nil"/>
              <w:tr2bl w:val="nil"/>
            </w:tcBorders>
            <w:shd w:val="clear" w:color="auto" w:fill="auto"/>
            <w:vAlign w:val="center"/>
          </w:tcPr>
          <w:p w14:paraId="264D90CE">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序号</w:t>
            </w:r>
          </w:p>
        </w:tc>
        <w:tc>
          <w:tcPr>
            <w:tcW w:w="1547" w:type="dxa"/>
            <w:tcBorders>
              <w:tl2br w:val="nil"/>
              <w:tr2bl w:val="nil"/>
            </w:tcBorders>
            <w:shd w:val="clear" w:color="auto" w:fill="auto"/>
            <w:vAlign w:val="center"/>
          </w:tcPr>
          <w:p w14:paraId="20594719">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药剂名称</w:t>
            </w:r>
          </w:p>
        </w:tc>
        <w:tc>
          <w:tcPr>
            <w:tcW w:w="1695" w:type="dxa"/>
            <w:tcBorders>
              <w:tl2br w:val="nil"/>
              <w:tr2bl w:val="nil"/>
            </w:tcBorders>
            <w:shd w:val="clear" w:color="auto" w:fill="auto"/>
            <w:vAlign w:val="center"/>
          </w:tcPr>
          <w:p w14:paraId="7AEDFCF3">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日用量（t/d）</w:t>
            </w:r>
          </w:p>
        </w:tc>
        <w:tc>
          <w:tcPr>
            <w:tcW w:w="1695" w:type="dxa"/>
            <w:tcBorders>
              <w:tl2br w:val="nil"/>
              <w:tr2bl w:val="nil"/>
            </w:tcBorders>
            <w:shd w:val="clear" w:color="auto" w:fill="auto"/>
            <w:vAlign w:val="center"/>
          </w:tcPr>
          <w:p w14:paraId="5C283BF3">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年消耗量（t/a）</w:t>
            </w:r>
          </w:p>
        </w:tc>
        <w:tc>
          <w:tcPr>
            <w:tcW w:w="1712" w:type="dxa"/>
            <w:tcBorders>
              <w:tl2br w:val="nil"/>
              <w:tr2bl w:val="nil"/>
            </w:tcBorders>
            <w:shd w:val="clear" w:color="auto" w:fill="auto"/>
            <w:vAlign w:val="center"/>
          </w:tcPr>
          <w:p w14:paraId="6774D0BF">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包装形式</w:t>
            </w:r>
          </w:p>
        </w:tc>
        <w:tc>
          <w:tcPr>
            <w:tcW w:w="1712" w:type="dxa"/>
            <w:tcBorders>
              <w:tl2br w:val="nil"/>
              <w:tr2bl w:val="nil"/>
            </w:tcBorders>
            <w:shd w:val="clear" w:color="auto" w:fill="auto"/>
            <w:vAlign w:val="center"/>
          </w:tcPr>
          <w:p w14:paraId="62F2F8EF">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备注</w:t>
            </w:r>
          </w:p>
        </w:tc>
      </w:tr>
      <w:tr w14:paraId="525D78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13" w:type="dxa"/>
            <w:tcBorders>
              <w:tl2br w:val="nil"/>
              <w:tr2bl w:val="nil"/>
            </w:tcBorders>
            <w:shd w:val="clear" w:color="auto" w:fill="auto"/>
            <w:vAlign w:val="center"/>
          </w:tcPr>
          <w:p w14:paraId="3656E1F7">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w:t>
            </w:r>
          </w:p>
        </w:tc>
        <w:tc>
          <w:tcPr>
            <w:tcW w:w="1547" w:type="dxa"/>
            <w:tcBorders>
              <w:tl2br w:val="nil"/>
              <w:tr2bl w:val="nil"/>
            </w:tcBorders>
            <w:shd w:val="clear" w:color="auto" w:fill="auto"/>
            <w:vAlign w:val="center"/>
          </w:tcPr>
          <w:p w14:paraId="306CB9D5">
            <w:pPr>
              <w:pStyle w:val="54"/>
              <w:keepNext w:val="0"/>
              <w:keepLines w:val="0"/>
              <w:pageBreakBefore w:val="0"/>
              <w:kinsoku/>
              <w:wordWrap/>
              <w:overflowPunct/>
              <w:topLinePunct w:val="0"/>
              <w:autoSpaceDE/>
              <w:autoSpaceDN/>
              <w:bidi w:val="0"/>
              <w:adjustRightInd/>
              <w:snapToGrid/>
              <w:spacing w:after="0" w:line="360" w:lineRule="exact"/>
              <w:ind w:firstLine="0" w:firstLineChars="0"/>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sz w:val="21"/>
                <w:highlight w:val="none"/>
                <w:lang w:eastAsia="zh-CN" w:bidi="ar-SA"/>
              </w:rPr>
              <w:t>油酸</w:t>
            </w:r>
          </w:p>
        </w:tc>
        <w:tc>
          <w:tcPr>
            <w:tcW w:w="1695" w:type="dxa"/>
            <w:tcBorders>
              <w:tl2br w:val="nil"/>
              <w:tr2bl w:val="nil"/>
            </w:tcBorders>
            <w:shd w:val="clear" w:color="auto" w:fill="auto"/>
            <w:vAlign w:val="center"/>
          </w:tcPr>
          <w:p w14:paraId="49F1C435">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2.69</w:t>
            </w:r>
          </w:p>
        </w:tc>
        <w:tc>
          <w:tcPr>
            <w:tcW w:w="1695" w:type="dxa"/>
            <w:tcBorders>
              <w:tl2br w:val="nil"/>
              <w:tr2bl w:val="nil"/>
            </w:tcBorders>
            <w:shd w:val="clear" w:color="auto" w:fill="auto"/>
            <w:vAlign w:val="center"/>
          </w:tcPr>
          <w:p w14:paraId="5AD0455F">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806.81</w:t>
            </w:r>
          </w:p>
        </w:tc>
        <w:tc>
          <w:tcPr>
            <w:tcW w:w="1712" w:type="dxa"/>
            <w:tcBorders>
              <w:tl2br w:val="nil"/>
              <w:tr2bl w:val="nil"/>
            </w:tcBorders>
            <w:shd w:val="clear" w:color="auto" w:fill="auto"/>
            <w:vAlign w:val="center"/>
          </w:tcPr>
          <w:p w14:paraId="51040B02">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塑料桶</w:t>
            </w:r>
          </w:p>
        </w:tc>
        <w:tc>
          <w:tcPr>
            <w:tcW w:w="1712" w:type="dxa"/>
            <w:vMerge w:val="restart"/>
            <w:tcBorders>
              <w:tl2br w:val="nil"/>
              <w:tr2bl w:val="nil"/>
            </w:tcBorders>
            <w:shd w:val="clear" w:color="auto" w:fill="auto"/>
            <w:vAlign w:val="center"/>
          </w:tcPr>
          <w:p w14:paraId="569DEAE2">
            <w:pPr>
              <w:pStyle w:val="54"/>
              <w:keepNext w:val="0"/>
              <w:keepLines w:val="0"/>
              <w:pageBreakBefore w:val="0"/>
              <w:kinsoku/>
              <w:wordWrap/>
              <w:overflowPunct/>
              <w:topLinePunct w:val="0"/>
              <w:autoSpaceDE/>
              <w:autoSpaceDN/>
              <w:bidi w:val="0"/>
              <w:adjustRightInd/>
              <w:snapToGrid/>
              <w:spacing w:after="0" w:line="360" w:lineRule="exact"/>
              <w:ind w:firstLine="0" w:firstLineChars="0"/>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根据业主提供各类药剂单耗计算所得</w:t>
            </w:r>
          </w:p>
        </w:tc>
      </w:tr>
      <w:tr w14:paraId="30FE0F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13" w:type="dxa"/>
            <w:tcBorders>
              <w:tl2br w:val="nil"/>
              <w:tr2bl w:val="nil"/>
            </w:tcBorders>
            <w:shd w:val="clear" w:color="auto" w:fill="auto"/>
            <w:vAlign w:val="center"/>
          </w:tcPr>
          <w:p w14:paraId="47F94329">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w:t>
            </w:r>
          </w:p>
        </w:tc>
        <w:tc>
          <w:tcPr>
            <w:tcW w:w="1547" w:type="dxa"/>
            <w:tcBorders>
              <w:tl2br w:val="nil"/>
              <w:tr2bl w:val="nil"/>
            </w:tcBorders>
            <w:shd w:val="clear" w:color="auto" w:fill="auto"/>
            <w:vAlign w:val="center"/>
          </w:tcPr>
          <w:p w14:paraId="2F54830D">
            <w:pPr>
              <w:pStyle w:val="54"/>
              <w:keepNext w:val="0"/>
              <w:keepLines w:val="0"/>
              <w:pageBreakBefore w:val="0"/>
              <w:kinsoku/>
              <w:wordWrap/>
              <w:overflowPunct/>
              <w:topLinePunct w:val="0"/>
              <w:autoSpaceDE/>
              <w:autoSpaceDN/>
              <w:bidi w:val="0"/>
              <w:adjustRightInd/>
              <w:snapToGrid/>
              <w:spacing w:after="0" w:line="360" w:lineRule="exact"/>
              <w:ind w:firstLine="0" w:firstLineChars="0"/>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sz w:val="21"/>
                <w:highlight w:val="none"/>
                <w:lang w:eastAsia="zh-CN" w:bidi="ar-SA"/>
              </w:rPr>
              <w:t>水玻璃</w:t>
            </w:r>
          </w:p>
        </w:tc>
        <w:tc>
          <w:tcPr>
            <w:tcW w:w="1695" w:type="dxa"/>
            <w:tcBorders>
              <w:tl2br w:val="nil"/>
              <w:tr2bl w:val="nil"/>
            </w:tcBorders>
            <w:shd w:val="clear" w:color="auto" w:fill="auto"/>
            <w:vAlign w:val="center"/>
          </w:tcPr>
          <w:p w14:paraId="190F3D79">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2.68</w:t>
            </w:r>
          </w:p>
        </w:tc>
        <w:tc>
          <w:tcPr>
            <w:tcW w:w="1695" w:type="dxa"/>
            <w:tcBorders>
              <w:tl2br w:val="nil"/>
              <w:tr2bl w:val="nil"/>
            </w:tcBorders>
            <w:shd w:val="clear" w:color="auto" w:fill="auto"/>
            <w:vAlign w:val="center"/>
          </w:tcPr>
          <w:p w14:paraId="4AD020D5">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804.14</w:t>
            </w:r>
          </w:p>
        </w:tc>
        <w:tc>
          <w:tcPr>
            <w:tcW w:w="1712" w:type="dxa"/>
            <w:tcBorders>
              <w:tl2br w:val="nil"/>
              <w:tr2bl w:val="nil"/>
            </w:tcBorders>
            <w:shd w:val="clear" w:color="auto" w:fill="auto"/>
            <w:vAlign w:val="center"/>
          </w:tcPr>
          <w:p w14:paraId="754F2E34">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塑料桶</w:t>
            </w:r>
          </w:p>
        </w:tc>
        <w:tc>
          <w:tcPr>
            <w:tcW w:w="1712" w:type="dxa"/>
            <w:vMerge w:val="continue"/>
            <w:tcBorders>
              <w:tl2br w:val="nil"/>
              <w:tr2bl w:val="nil"/>
            </w:tcBorders>
            <w:shd w:val="clear" w:color="auto" w:fill="auto"/>
            <w:vAlign w:val="center"/>
          </w:tcPr>
          <w:p w14:paraId="60A24F41">
            <w:pPr>
              <w:pStyle w:val="54"/>
              <w:keepNext w:val="0"/>
              <w:keepLines w:val="0"/>
              <w:pageBreakBefore w:val="0"/>
              <w:kinsoku/>
              <w:wordWrap/>
              <w:overflowPunct/>
              <w:topLinePunct w:val="0"/>
              <w:autoSpaceDE/>
              <w:autoSpaceDN/>
              <w:bidi w:val="0"/>
              <w:adjustRightInd/>
              <w:snapToGrid/>
              <w:spacing w:after="0" w:line="360" w:lineRule="exact"/>
              <w:ind w:firstLine="0" w:firstLineChars="0"/>
              <w:rPr>
                <w:rFonts w:hint="default" w:ascii="Times New Roman" w:hAnsi="Times New Roman" w:eastAsia="宋体" w:cs="Times New Roman"/>
                <w:b w:val="0"/>
                <w:bCs/>
                <w:color w:val="auto"/>
                <w:kern w:val="0"/>
                <w:sz w:val="21"/>
                <w:szCs w:val="21"/>
                <w:highlight w:val="none"/>
                <w:lang w:val="en-US" w:eastAsia="zh-CN" w:bidi="ar-SA"/>
              </w:rPr>
            </w:pPr>
          </w:p>
        </w:tc>
      </w:tr>
      <w:tr w14:paraId="3894B0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13" w:type="dxa"/>
            <w:tcBorders>
              <w:tl2br w:val="nil"/>
              <w:tr2bl w:val="nil"/>
            </w:tcBorders>
            <w:shd w:val="clear" w:color="auto" w:fill="auto"/>
            <w:vAlign w:val="center"/>
          </w:tcPr>
          <w:p w14:paraId="0692D54B">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w:t>
            </w:r>
          </w:p>
        </w:tc>
        <w:tc>
          <w:tcPr>
            <w:tcW w:w="1547" w:type="dxa"/>
            <w:tcBorders>
              <w:tl2br w:val="nil"/>
              <w:tr2bl w:val="nil"/>
            </w:tcBorders>
            <w:shd w:val="clear" w:color="auto" w:fill="auto"/>
            <w:vAlign w:val="center"/>
          </w:tcPr>
          <w:p w14:paraId="5A6369E8">
            <w:pPr>
              <w:pStyle w:val="54"/>
              <w:keepNext w:val="0"/>
              <w:keepLines w:val="0"/>
              <w:pageBreakBefore w:val="0"/>
              <w:kinsoku/>
              <w:wordWrap/>
              <w:overflowPunct/>
              <w:topLinePunct w:val="0"/>
              <w:autoSpaceDE/>
              <w:autoSpaceDN/>
              <w:bidi w:val="0"/>
              <w:adjustRightInd/>
              <w:snapToGrid/>
              <w:spacing w:after="0" w:line="360" w:lineRule="exact"/>
              <w:ind w:firstLine="0" w:firstLineChars="0"/>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sz w:val="21"/>
                <w:highlight w:val="none"/>
                <w:lang w:eastAsia="zh-CN" w:bidi="ar-SA"/>
              </w:rPr>
              <w:t>碳酸钙抑制剂</w:t>
            </w:r>
          </w:p>
        </w:tc>
        <w:tc>
          <w:tcPr>
            <w:tcW w:w="1695" w:type="dxa"/>
            <w:tcBorders>
              <w:tl2br w:val="nil"/>
              <w:tr2bl w:val="nil"/>
            </w:tcBorders>
            <w:shd w:val="clear" w:color="auto" w:fill="auto"/>
            <w:vAlign w:val="center"/>
          </w:tcPr>
          <w:p w14:paraId="72C8D18A">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1.56</w:t>
            </w:r>
          </w:p>
        </w:tc>
        <w:tc>
          <w:tcPr>
            <w:tcW w:w="1695" w:type="dxa"/>
            <w:tcBorders>
              <w:tl2br w:val="nil"/>
              <w:tr2bl w:val="nil"/>
            </w:tcBorders>
            <w:shd w:val="clear" w:color="auto" w:fill="auto"/>
            <w:vAlign w:val="center"/>
          </w:tcPr>
          <w:p w14:paraId="69529481">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466.97</w:t>
            </w:r>
          </w:p>
        </w:tc>
        <w:tc>
          <w:tcPr>
            <w:tcW w:w="1712" w:type="dxa"/>
            <w:tcBorders>
              <w:tl2br w:val="nil"/>
              <w:tr2bl w:val="nil"/>
            </w:tcBorders>
            <w:shd w:val="clear" w:color="auto" w:fill="auto"/>
            <w:vAlign w:val="center"/>
          </w:tcPr>
          <w:p w14:paraId="1C00BB11">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塑料桶</w:t>
            </w:r>
          </w:p>
        </w:tc>
        <w:tc>
          <w:tcPr>
            <w:tcW w:w="1712" w:type="dxa"/>
            <w:vMerge w:val="continue"/>
            <w:tcBorders>
              <w:tl2br w:val="nil"/>
              <w:tr2bl w:val="nil"/>
            </w:tcBorders>
            <w:shd w:val="clear" w:color="auto" w:fill="auto"/>
            <w:vAlign w:val="center"/>
          </w:tcPr>
          <w:p w14:paraId="6EB0A3F2">
            <w:pPr>
              <w:pStyle w:val="54"/>
              <w:keepNext w:val="0"/>
              <w:keepLines w:val="0"/>
              <w:pageBreakBefore w:val="0"/>
              <w:kinsoku/>
              <w:wordWrap/>
              <w:overflowPunct/>
              <w:topLinePunct w:val="0"/>
              <w:autoSpaceDE/>
              <w:autoSpaceDN/>
              <w:bidi w:val="0"/>
              <w:adjustRightInd/>
              <w:snapToGrid/>
              <w:spacing w:after="0" w:line="360" w:lineRule="exact"/>
              <w:ind w:firstLine="0" w:firstLineChars="0"/>
              <w:rPr>
                <w:rFonts w:hint="default" w:ascii="Times New Roman" w:hAnsi="Times New Roman" w:eastAsia="宋体" w:cs="Times New Roman"/>
                <w:b w:val="0"/>
                <w:bCs/>
                <w:color w:val="auto"/>
                <w:kern w:val="0"/>
                <w:sz w:val="21"/>
                <w:szCs w:val="21"/>
                <w:highlight w:val="none"/>
                <w:lang w:val="en-US" w:eastAsia="zh-CN" w:bidi="ar-SA"/>
              </w:rPr>
            </w:pPr>
          </w:p>
        </w:tc>
      </w:tr>
      <w:tr w14:paraId="7EB927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174" w:type="dxa"/>
            <w:gridSpan w:val="6"/>
            <w:tcBorders>
              <w:tl2br w:val="nil"/>
              <w:tr2bl w:val="nil"/>
            </w:tcBorders>
            <w:shd w:val="clear" w:color="auto" w:fill="auto"/>
            <w:vAlign w:val="center"/>
          </w:tcPr>
          <w:p w14:paraId="02831F6D">
            <w:pPr>
              <w:pStyle w:val="54"/>
              <w:keepNext w:val="0"/>
              <w:keepLines w:val="0"/>
              <w:pageBreakBefore w:val="0"/>
              <w:kinsoku/>
              <w:wordWrap/>
              <w:overflowPunct/>
              <w:topLinePunct w:val="0"/>
              <w:autoSpaceDE/>
              <w:autoSpaceDN/>
              <w:bidi w:val="0"/>
              <w:adjustRightInd/>
              <w:snapToGrid/>
              <w:spacing w:after="0" w:line="360" w:lineRule="exact"/>
              <w:ind w:firstLine="0" w:firstLineChars="0"/>
              <w:jc w:val="left"/>
              <w:rPr>
                <w:rFonts w:hint="default" w:ascii="Times New Roman" w:hAnsi="Times New Roman" w:eastAsia="宋体" w:cs="Times New Roman"/>
                <w:b w:val="0"/>
                <w:bCs/>
                <w:color w:val="auto"/>
                <w:sz w:val="21"/>
                <w:highlight w:val="none"/>
                <w:lang w:eastAsia="zh-CN" w:bidi="ar-SA"/>
              </w:rPr>
            </w:pPr>
            <w:bookmarkStart w:id="364" w:name="_Toc29965"/>
            <w:bookmarkStart w:id="365" w:name="_Toc7048"/>
            <w:bookmarkStart w:id="366" w:name="_Toc10494"/>
            <w:r>
              <w:rPr>
                <w:rFonts w:hint="default" w:ascii="Times New Roman" w:hAnsi="Times New Roman" w:eastAsia="宋体" w:cs="Times New Roman"/>
                <w:b w:val="0"/>
                <w:bCs/>
                <w:color w:val="auto"/>
                <w:sz w:val="21"/>
                <w:highlight w:val="none"/>
                <w:lang w:eastAsia="zh-CN" w:bidi="ar-SA"/>
              </w:rPr>
              <w:t>备注：浮选药剂汽车运入厂内后，分别堆存在药剂制备和选矿药剂仓库地坪上，贮存时间现场约</w:t>
            </w:r>
            <w:r>
              <w:rPr>
                <w:rFonts w:hint="default" w:ascii="Times New Roman" w:hAnsi="Times New Roman" w:eastAsia="宋体" w:cs="Times New Roman"/>
                <w:b w:val="0"/>
                <w:bCs/>
                <w:color w:val="auto"/>
                <w:sz w:val="21"/>
                <w:highlight w:val="none"/>
                <w:lang w:val="en-US" w:eastAsia="zh-CN" w:bidi="ar-SA"/>
              </w:rPr>
              <w:t>3</w:t>
            </w:r>
            <w:r>
              <w:rPr>
                <w:rFonts w:hint="default" w:ascii="Times New Roman" w:hAnsi="Times New Roman" w:eastAsia="宋体" w:cs="Times New Roman"/>
                <w:b w:val="0"/>
                <w:bCs/>
                <w:color w:val="auto"/>
                <w:sz w:val="21"/>
                <w:highlight w:val="none"/>
                <w:lang w:eastAsia="zh-CN" w:bidi="ar-SA"/>
              </w:rPr>
              <w:t>0d。浮选药剂配制成5%~10%浓度在搅拌槽中存放待用。</w:t>
            </w:r>
            <w:bookmarkEnd w:id="364"/>
            <w:bookmarkEnd w:id="365"/>
            <w:bookmarkEnd w:id="366"/>
          </w:p>
        </w:tc>
      </w:tr>
    </w:tbl>
    <w:p w14:paraId="4A8E892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各选矿药剂理化性质见表3.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3.1-6</w:t>
      </w:r>
      <w:r>
        <w:rPr>
          <w:rFonts w:hint="default" w:ascii="Times New Roman" w:hAnsi="Times New Roman" w:cs="Times New Roman"/>
          <w:color w:val="auto"/>
          <w:highlight w:val="none"/>
        </w:rPr>
        <w:t>。</w:t>
      </w:r>
    </w:p>
    <w:p w14:paraId="11BAF877">
      <w:pPr>
        <w:adjustRightInd w:val="0"/>
        <w:snapToGrid w:val="0"/>
        <w:ind w:firstLine="0" w:firstLineChars="0"/>
        <w:jc w:val="center"/>
        <w:rPr>
          <w:rFonts w:hint="default" w:ascii="Times New Roman" w:hAnsi="Times New Roman" w:cs="Times New Roman"/>
          <w:b/>
          <w:color w:val="auto"/>
          <w:highlight w:val="none"/>
        </w:rPr>
      </w:pPr>
      <w:bookmarkStart w:id="367" w:name="_Toc8046_WPSOffice_Level2"/>
      <w:r>
        <w:rPr>
          <w:rFonts w:hint="default" w:ascii="Times New Roman" w:hAnsi="Times New Roman" w:cs="Times New Roman"/>
          <w:b/>
          <w:color w:val="auto"/>
          <w:highlight w:val="none"/>
        </w:rPr>
        <w:t>表3.</w:t>
      </w:r>
      <w:r>
        <w:rPr>
          <w:rFonts w:hint="default" w:ascii="Times New Roman" w:hAnsi="Times New Roman" w:cs="Times New Roman"/>
          <w:b/>
          <w:color w:val="auto"/>
          <w:highlight w:val="none"/>
          <w:lang w:val="en-US" w:eastAsia="zh-CN"/>
        </w:rPr>
        <w:t>1</w:t>
      </w:r>
      <w:r>
        <w:rPr>
          <w:rFonts w:hint="default" w:ascii="Times New Roman" w:hAnsi="Times New Roman" w:cs="Times New Roman"/>
          <w:b/>
          <w:color w:val="auto"/>
          <w:highlight w:val="none"/>
        </w:rPr>
        <w:t>-</w:t>
      </w:r>
      <w:r>
        <w:rPr>
          <w:rFonts w:hint="default" w:ascii="Times New Roman" w:hAnsi="Times New Roman" w:cs="Times New Roman"/>
          <w:b/>
          <w:color w:val="auto"/>
          <w:highlight w:val="none"/>
          <w:lang w:val="en-US" w:eastAsia="zh-CN"/>
        </w:rPr>
        <w:t>5</w:t>
      </w:r>
      <w:r>
        <w:rPr>
          <w:rFonts w:hint="default" w:ascii="Times New Roman" w:hAnsi="Times New Roman" w:cs="Times New Roman"/>
          <w:b/>
          <w:color w:val="auto"/>
          <w:highlight w:val="none"/>
        </w:rPr>
        <w:t xml:space="preserve">    水玻璃</w:t>
      </w:r>
      <w:r>
        <w:rPr>
          <w:rFonts w:hint="default" w:ascii="Times New Roman" w:hAnsi="Times New Roman" w:cs="Times New Roman"/>
          <w:b/>
          <w:color w:val="auto"/>
          <w:highlight w:val="none"/>
          <w:lang w:eastAsia="zh-CN"/>
        </w:rPr>
        <w:t>（硅酸钠）</w:t>
      </w:r>
      <w:r>
        <w:rPr>
          <w:rFonts w:hint="default" w:ascii="Times New Roman" w:hAnsi="Times New Roman" w:cs="Times New Roman"/>
          <w:b/>
          <w:color w:val="auto"/>
          <w:highlight w:val="none"/>
        </w:rPr>
        <w:t>理化性质特性一览表</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577"/>
        <w:gridCol w:w="1825"/>
        <w:gridCol w:w="1729"/>
        <w:gridCol w:w="2506"/>
        <w:gridCol w:w="2351"/>
      </w:tblGrid>
      <w:tr w14:paraId="421A61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0" w:hRule="atLeast"/>
          <w:jc w:val="center"/>
        </w:trPr>
        <w:tc>
          <w:tcPr>
            <w:tcW w:w="0" w:type="auto"/>
            <w:vMerge w:val="restart"/>
            <w:shd w:val="clear" w:color="auto" w:fill="auto"/>
            <w:vAlign w:val="center"/>
          </w:tcPr>
          <w:p w14:paraId="2A9CD227">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exact"/>
              <w:ind w:firstLine="0" w:firstLineChars="0"/>
              <w:jc w:val="center"/>
              <w:textAlignment w:val="top"/>
              <w:rPr>
                <w:rFonts w:hint="default" w:ascii="Times New Roman" w:hAnsi="Times New Roman" w:eastAsia="宋体" w:cs="Times New Roman"/>
                <w:b w:val="0"/>
                <w:bCs w:val="0"/>
                <w:color w:val="auto"/>
                <w:kern w:val="0"/>
                <w:sz w:val="21"/>
                <w:szCs w:val="21"/>
                <w:highlight w:val="none"/>
                <w:lang w:bidi="ar"/>
              </w:rPr>
            </w:pPr>
            <w:r>
              <w:rPr>
                <w:rFonts w:hint="default" w:ascii="Times New Roman" w:hAnsi="Times New Roman" w:eastAsia="宋体" w:cs="Times New Roman"/>
                <w:b w:val="0"/>
                <w:bCs w:val="0"/>
                <w:color w:val="auto"/>
                <w:kern w:val="0"/>
                <w:sz w:val="21"/>
                <w:szCs w:val="21"/>
                <w:highlight w:val="none"/>
                <w:lang w:bidi="ar"/>
              </w:rPr>
              <w:t>标识</w:t>
            </w:r>
          </w:p>
        </w:tc>
        <w:tc>
          <w:tcPr>
            <w:tcW w:w="0" w:type="auto"/>
            <w:shd w:val="clear" w:color="auto" w:fill="auto"/>
            <w:vAlign w:val="center"/>
          </w:tcPr>
          <w:p w14:paraId="68447C95">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exact"/>
              <w:ind w:firstLine="0" w:firstLineChars="0"/>
              <w:jc w:val="left"/>
              <w:textAlignment w:val="top"/>
              <w:rPr>
                <w:rFonts w:hint="default" w:ascii="Times New Roman" w:hAnsi="Times New Roman" w:eastAsia="宋体" w:cs="Times New Roman"/>
                <w:b w:val="0"/>
                <w:bCs w:val="0"/>
                <w:color w:val="auto"/>
                <w:kern w:val="0"/>
                <w:sz w:val="21"/>
                <w:szCs w:val="21"/>
                <w:highlight w:val="none"/>
                <w:lang w:bidi="ar"/>
              </w:rPr>
            </w:pPr>
            <w:r>
              <w:rPr>
                <w:rStyle w:val="36"/>
                <w:rFonts w:hint="default" w:ascii="Times New Roman" w:hAnsi="Times New Roman" w:eastAsia="宋体" w:cs="Times New Roman"/>
                <w:b w:val="0"/>
                <w:bCs w:val="0"/>
                <w:color w:val="auto"/>
                <w:kern w:val="0"/>
                <w:sz w:val="21"/>
                <w:szCs w:val="21"/>
                <w:highlight w:val="none"/>
                <w:lang w:bidi="ar"/>
              </w:rPr>
              <w:t>中文名：</w:t>
            </w:r>
            <w:r>
              <w:rPr>
                <w:rFonts w:hint="default" w:ascii="Times New Roman" w:hAnsi="Times New Roman" w:eastAsia="宋体" w:cs="Times New Roman"/>
                <w:b w:val="0"/>
                <w:bCs w:val="0"/>
                <w:color w:val="auto"/>
                <w:kern w:val="0"/>
                <w:sz w:val="21"/>
                <w:szCs w:val="21"/>
                <w:highlight w:val="none"/>
                <w:lang w:bidi="ar"/>
              </w:rPr>
              <w:t>硅酸钠（水玻璃）</w:t>
            </w:r>
          </w:p>
        </w:tc>
        <w:tc>
          <w:tcPr>
            <w:tcW w:w="0" w:type="auto"/>
            <w:shd w:val="clear" w:color="auto" w:fill="auto"/>
            <w:vAlign w:val="center"/>
          </w:tcPr>
          <w:p w14:paraId="01FB0581">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exact"/>
              <w:ind w:firstLine="0" w:firstLineChars="0"/>
              <w:jc w:val="left"/>
              <w:textAlignment w:val="top"/>
              <w:rPr>
                <w:rFonts w:hint="default" w:ascii="Times New Roman" w:hAnsi="Times New Roman" w:eastAsia="宋体" w:cs="Times New Roman"/>
                <w:b w:val="0"/>
                <w:bCs w:val="0"/>
                <w:color w:val="auto"/>
                <w:kern w:val="0"/>
                <w:sz w:val="21"/>
                <w:szCs w:val="21"/>
                <w:highlight w:val="none"/>
                <w:lang w:bidi="ar"/>
              </w:rPr>
            </w:pPr>
            <w:r>
              <w:rPr>
                <w:rStyle w:val="36"/>
                <w:rFonts w:hint="default" w:ascii="Times New Roman" w:hAnsi="Times New Roman" w:eastAsia="宋体" w:cs="Times New Roman"/>
                <w:b w:val="0"/>
                <w:bCs w:val="0"/>
                <w:color w:val="auto"/>
                <w:kern w:val="0"/>
                <w:sz w:val="21"/>
                <w:szCs w:val="21"/>
                <w:highlight w:val="none"/>
                <w:lang w:bidi="ar"/>
              </w:rPr>
              <w:t>英文名：</w:t>
            </w:r>
            <w:r>
              <w:rPr>
                <w:rFonts w:hint="default" w:ascii="Times New Roman" w:hAnsi="Times New Roman" w:eastAsia="宋体" w:cs="Times New Roman"/>
                <w:b w:val="0"/>
                <w:bCs w:val="0"/>
                <w:color w:val="auto"/>
                <w:kern w:val="0"/>
                <w:sz w:val="21"/>
                <w:szCs w:val="21"/>
                <w:highlight w:val="none"/>
                <w:lang w:bidi="ar"/>
              </w:rPr>
              <w:t>sodium silicate</w:t>
            </w:r>
          </w:p>
        </w:tc>
        <w:tc>
          <w:tcPr>
            <w:tcW w:w="0" w:type="auto"/>
            <w:shd w:val="clear" w:color="auto" w:fill="auto"/>
            <w:vAlign w:val="center"/>
          </w:tcPr>
          <w:p w14:paraId="083391E9">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exact"/>
              <w:ind w:firstLine="0" w:firstLineChars="0"/>
              <w:jc w:val="left"/>
              <w:textAlignment w:val="top"/>
              <w:rPr>
                <w:rFonts w:hint="default" w:ascii="Times New Roman" w:hAnsi="Times New Roman" w:eastAsia="宋体" w:cs="Times New Roman"/>
                <w:b w:val="0"/>
                <w:bCs w:val="0"/>
                <w:color w:val="auto"/>
                <w:kern w:val="0"/>
                <w:sz w:val="21"/>
                <w:szCs w:val="21"/>
                <w:highlight w:val="none"/>
                <w:lang w:bidi="ar"/>
              </w:rPr>
            </w:pPr>
            <w:r>
              <w:rPr>
                <w:rStyle w:val="36"/>
                <w:rFonts w:hint="default" w:ascii="Times New Roman" w:hAnsi="Times New Roman" w:eastAsia="宋体" w:cs="Times New Roman"/>
                <w:b w:val="0"/>
                <w:bCs w:val="0"/>
                <w:color w:val="auto"/>
                <w:kern w:val="0"/>
                <w:sz w:val="21"/>
                <w:szCs w:val="21"/>
                <w:highlight w:val="none"/>
                <w:lang w:bidi="ar"/>
              </w:rPr>
              <w:t>分子式：</w:t>
            </w:r>
            <w:r>
              <w:rPr>
                <w:rFonts w:hint="default" w:ascii="Times New Roman" w:hAnsi="Times New Roman" w:eastAsia="宋体" w:cs="Times New Roman"/>
                <w:b w:val="0"/>
                <w:bCs w:val="0"/>
                <w:color w:val="auto"/>
                <w:kern w:val="0"/>
                <w:sz w:val="21"/>
                <w:szCs w:val="21"/>
                <w:highlight w:val="none"/>
                <w:lang w:bidi="ar"/>
              </w:rPr>
              <w:t>Na₂SiO₃</w:t>
            </w:r>
          </w:p>
        </w:tc>
        <w:tc>
          <w:tcPr>
            <w:tcW w:w="0" w:type="auto"/>
            <w:shd w:val="clear" w:color="auto" w:fill="auto"/>
            <w:vAlign w:val="center"/>
          </w:tcPr>
          <w:p w14:paraId="325D65D3">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exact"/>
              <w:ind w:firstLine="0" w:firstLineChars="0"/>
              <w:jc w:val="left"/>
              <w:textAlignment w:val="top"/>
              <w:rPr>
                <w:rFonts w:hint="default" w:ascii="Times New Roman" w:hAnsi="Times New Roman" w:eastAsia="宋体" w:cs="Times New Roman"/>
                <w:b w:val="0"/>
                <w:bCs w:val="0"/>
                <w:color w:val="auto"/>
                <w:kern w:val="0"/>
                <w:sz w:val="21"/>
                <w:szCs w:val="21"/>
                <w:highlight w:val="none"/>
                <w:lang w:bidi="ar"/>
              </w:rPr>
            </w:pPr>
            <w:r>
              <w:rPr>
                <w:rStyle w:val="36"/>
                <w:rFonts w:hint="default" w:ascii="Times New Roman" w:hAnsi="Times New Roman" w:eastAsia="宋体" w:cs="Times New Roman"/>
                <w:b w:val="0"/>
                <w:bCs w:val="0"/>
                <w:color w:val="auto"/>
                <w:kern w:val="0"/>
                <w:sz w:val="21"/>
                <w:szCs w:val="21"/>
                <w:highlight w:val="none"/>
                <w:lang w:bidi="ar"/>
              </w:rPr>
              <w:t>分子量：</w:t>
            </w:r>
            <w:r>
              <w:rPr>
                <w:rFonts w:hint="default" w:ascii="Times New Roman" w:hAnsi="Times New Roman" w:eastAsia="宋体" w:cs="Times New Roman"/>
                <w:b w:val="0"/>
                <w:bCs w:val="0"/>
                <w:color w:val="auto"/>
                <w:kern w:val="0"/>
                <w:sz w:val="21"/>
                <w:szCs w:val="21"/>
                <w:highlight w:val="none"/>
                <w:lang w:bidi="ar"/>
              </w:rPr>
              <w:t>122.06 </w:t>
            </w:r>
          </w:p>
        </w:tc>
      </w:tr>
      <w:tr w14:paraId="486924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0" w:hRule="atLeast"/>
          <w:jc w:val="center"/>
        </w:trPr>
        <w:tc>
          <w:tcPr>
            <w:tcW w:w="0" w:type="auto"/>
            <w:vMerge w:val="continue"/>
            <w:shd w:val="clear" w:color="auto" w:fill="auto"/>
            <w:vAlign w:val="center"/>
          </w:tcPr>
          <w:p w14:paraId="4B564F87">
            <w:pPr>
              <w:keepNext w:val="0"/>
              <w:keepLines w:val="0"/>
              <w:pageBreakBefore w:val="0"/>
              <w:widowControl/>
              <w:kinsoku/>
              <w:wordWrap/>
              <w:overflowPunct/>
              <w:topLinePunct w:val="0"/>
              <w:autoSpaceDE/>
              <w:autoSpaceDN/>
              <w:bidi w:val="0"/>
              <w:adjustRightInd w:val="0"/>
              <w:snapToGrid w:val="0"/>
              <w:spacing w:beforeAutospacing="0" w:afterAutospacing="0" w:line="360" w:lineRule="exact"/>
              <w:ind w:firstLine="0" w:firstLineChars="0"/>
              <w:jc w:val="center"/>
              <w:rPr>
                <w:rFonts w:hint="default" w:ascii="Times New Roman" w:hAnsi="Times New Roman" w:eastAsia="宋体" w:cs="Times New Roman"/>
                <w:b w:val="0"/>
                <w:bCs w:val="0"/>
                <w:color w:val="auto"/>
                <w:kern w:val="0"/>
                <w:sz w:val="21"/>
                <w:szCs w:val="21"/>
                <w:highlight w:val="none"/>
                <w:lang w:bidi="ar"/>
              </w:rPr>
            </w:pPr>
          </w:p>
        </w:tc>
        <w:tc>
          <w:tcPr>
            <w:tcW w:w="0" w:type="auto"/>
            <w:gridSpan w:val="4"/>
            <w:shd w:val="clear" w:color="auto" w:fill="auto"/>
            <w:vAlign w:val="center"/>
          </w:tcPr>
          <w:p w14:paraId="35624887">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exact"/>
              <w:ind w:firstLine="0" w:firstLineChars="0"/>
              <w:jc w:val="left"/>
              <w:textAlignment w:val="top"/>
              <w:rPr>
                <w:rFonts w:hint="default" w:ascii="Times New Roman" w:hAnsi="Times New Roman" w:eastAsia="宋体" w:cs="Times New Roman"/>
                <w:b w:val="0"/>
                <w:bCs w:val="0"/>
                <w:color w:val="auto"/>
                <w:kern w:val="0"/>
                <w:sz w:val="21"/>
                <w:szCs w:val="21"/>
                <w:highlight w:val="none"/>
                <w:lang w:bidi="ar"/>
              </w:rPr>
            </w:pPr>
            <w:r>
              <w:rPr>
                <w:rStyle w:val="36"/>
                <w:rFonts w:hint="default" w:ascii="Times New Roman" w:hAnsi="Times New Roman" w:eastAsia="宋体" w:cs="Times New Roman"/>
                <w:b w:val="0"/>
                <w:bCs w:val="0"/>
                <w:color w:val="auto"/>
                <w:kern w:val="0"/>
                <w:sz w:val="21"/>
                <w:szCs w:val="21"/>
                <w:highlight w:val="none"/>
                <w:lang w:bidi="ar"/>
              </w:rPr>
              <w:t>CAS号：</w:t>
            </w:r>
            <w:r>
              <w:rPr>
                <w:rFonts w:hint="default" w:ascii="Times New Roman" w:hAnsi="Times New Roman" w:eastAsia="宋体" w:cs="Times New Roman"/>
                <w:b w:val="0"/>
                <w:bCs w:val="0"/>
                <w:color w:val="auto"/>
                <w:kern w:val="0"/>
                <w:sz w:val="21"/>
                <w:szCs w:val="21"/>
                <w:highlight w:val="none"/>
                <w:lang w:bidi="ar"/>
              </w:rPr>
              <w:t>1344-09-8| </w:t>
            </w:r>
            <w:r>
              <w:rPr>
                <w:rStyle w:val="36"/>
                <w:rFonts w:hint="default" w:ascii="Times New Roman" w:hAnsi="Times New Roman" w:eastAsia="宋体" w:cs="Times New Roman"/>
                <w:b w:val="0"/>
                <w:bCs w:val="0"/>
                <w:color w:val="auto"/>
                <w:kern w:val="0"/>
                <w:sz w:val="21"/>
                <w:szCs w:val="21"/>
                <w:highlight w:val="none"/>
                <w:lang w:bidi="ar"/>
              </w:rPr>
              <w:t>UN编号：</w:t>
            </w:r>
            <w:r>
              <w:rPr>
                <w:rFonts w:hint="default" w:ascii="Times New Roman" w:hAnsi="Times New Roman" w:eastAsia="宋体" w:cs="Times New Roman"/>
                <w:b w:val="0"/>
                <w:bCs w:val="0"/>
                <w:color w:val="auto"/>
                <w:kern w:val="0"/>
                <w:sz w:val="21"/>
                <w:szCs w:val="21"/>
                <w:highlight w:val="none"/>
                <w:lang w:bidi="ar"/>
              </w:rPr>
              <w:t xml:space="preserve">2922 </w:t>
            </w:r>
            <w:r>
              <w:rPr>
                <w:rFonts w:hint="eastAsia" w:cs="Times New Roman"/>
                <w:b w:val="0"/>
                <w:bCs w:val="0"/>
                <w:color w:val="auto"/>
                <w:kern w:val="0"/>
                <w:sz w:val="21"/>
                <w:szCs w:val="21"/>
                <w:highlight w:val="none"/>
                <w:lang w:eastAsia="zh-CN" w:bidi="ar"/>
              </w:rPr>
              <w:t>（</w:t>
            </w:r>
            <w:r>
              <w:rPr>
                <w:rFonts w:hint="default" w:ascii="Times New Roman" w:hAnsi="Times New Roman" w:eastAsia="宋体" w:cs="Times New Roman"/>
                <w:b w:val="0"/>
                <w:bCs w:val="0"/>
                <w:color w:val="auto"/>
                <w:kern w:val="0"/>
                <w:sz w:val="21"/>
                <w:szCs w:val="21"/>
                <w:highlight w:val="none"/>
                <w:lang w:bidi="ar"/>
              </w:rPr>
              <w:t>腐蚀性液体</w:t>
            </w:r>
            <w:r>
              <w:rPr>
                <w:rFonts w:hint="eastAsia" w:cs="Times New Roman"/>
                <w:b w:val="0"/>
                <w:bCs w:val="0"/>
                <w:color w:val="auto"/>
                <w:kern w:val="0"/>
                <w:sz w:val="21"/>
                <w:szCs w:val="21"/>
                <w:highlight w:val="none"/>
                <w:lang w:eastAsia="zh-CN" w:bidi="ar"/>
              </w:rPr>
              <w:t>）</w:t>
            </w:r>
            <w:r>
              <w:rPr>
                <w:rFonts w:hint="default" w:ascii="Times New Roman" w:hAnsi="Times New Roman" w:eastAsia="宋体" w:cs="Times New Roman"/>
                <w:b w:val="0"/>
                <w:bCs w:val="0"/>
                <w:color w:val="auto"/>
                <w:kern w:val="0"/>
                <w:sz w:val="21"/>
                <w:szCs w:val="21"/>
                <w:highlight w:val="none"/>
                <w:lang w:bidi="ar"/>
              </w:rPr>
              <w:t> | </w:t>
            </w:r>
            <w:r>
              <w:rPr>
                <w:rStyle w:val="36"/>
                <w:rFonts w:hint="default" w:ascii="Times New Roman" w:hAnsi="Times New Roman" w:eastAsia="宋体" w:cs="Times New Roman"/>
                <w:b w:val="0"/>
                <w:bCs w:val="0"/>
                <w:color w:val="auto"/>
                <w:kern w:val="0"/>
                <w:sz w:val="21"/>
                <w:szCs w:val="21"/>
                <w:highlight w:val="none"/>
                <w:lang w:bidi="ar"/>
              </w:rPr>
              <w:t>俗名：</w:t>
            </w:r>
            <w:r>
              <w:rPr>
                <w:rFonts w:hint="default" w:ascii="Times New Roman" w:hAnsi="Times New Roman" w:eastAsia="宋体" w:cs="Times New Roman"/>
                <w:b w:val="0"/>
                <w:bCs w:val="0"/>
                <w:color w:val="auto"/>
                <w:kern w:val="0"/>
                <w:sz w:val="21"/>
                <w:szCs w:val="21"/>
                <w:highlight w:val="none"/>
                <w:lang w:bidi="ar"/>
              </w:rPr>
              <w:t>泡花碱</w:t>
            </w:r>
          </w:p>
        </w:tc>
      </w:tr>
      <w:tr w14:paraId="5C50C7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0" w:hRule="atLeast"/>
          <w:jc w:val="center"/>
        </w:trPr>
        <w:tc>
          <w:tcPr>
            <w:tcW w:w="0" w:type="auto"/>
            <w:vMerge w:val="restart"/>
            <w:shd w:val="clear" w:color="auto" w:fill="auto"/>
            <w:vAlign w:val="center"/>
          </w:tcPr>
          <w:p w14:paraId="382A8A12">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exact"/>
              <w:ind w:firstLine="0" w:firstLineChars="0"/>
              <w:jc w:val="center"/>
              <w:textAlignment w:val="top"/>
              <w:rPr>
                <w:rFonts w:hint="default" w:ascii="Times New Roman" w:hAnsi="Times New Roman" w:eastAsia="宋体" w:cs="Times New Roman"/>
                <w:b w:val="0"/>
                <w:bCs w:val="0"/>
                <w:color w:val="auto"/>
                <w:kern w:val="0"/>
                <w:sz w:val="21"/>
                <w:szCs w:val="21"/>
                <w:highlight w:val="none"/>
                <w:lang w:bidi="ar"/>
              </w:rPr>
            </w:pPr>
            <w:r>
              <w:rPr>
                <w:rFonts w:hint="default" w:ascii="Times New Roman" w:hAnsi="Times New Roman" w:eastAsia="宋体" w:cs="Times New Roman"/>
                <w:b w:val="0"/>
                <w:bCs w:val="0"/>
                <w:color w:val="auto"/>
                <w:kern w:val="0"/>
                <w:sz w:val="21"/>
                <w:szCs w:val="21"/>
                <w:highlight w:val="none"/>
                <w:lang w:bidi="ar"/>
              </w:rPr>
              <w:t>理化性质</w:t>
            </w:r>
          </w:p>
        </w:tc>
        <w:tc>
          <w:tcPr>
            <w:tcW w:w="0" w:type="auto"/>
            <w:gridSpan w:val="4"/>
            <w:shd w:val="clear" w:color="auto" w:fill="auto"/>
            <w:vAlign w:val="center"/>
          </w:tcPr>
          <w:p w14:paraId="5C424E78">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exact"/>
              <w:ind w:firstLine="0" w:firstLineChars="0"/>
              <w:jc w:val="left"/>
              <w:textAlignment w:val="top"/>
              <w:rPr>
                <w:rFonts w:hint="default" w:ascii="Times New Roman" w:hAnsi="Times New Roman" w:eastAsia="宋体" w:cs="Times New Roman"/>
                <w:b w:val="0"/>
                <w:bCs w:val="0"/>
                <w:color w:val="auto"/>
                <w:kern w:val="0"/>
                <w:sz w:val="21"/>
                <w:szCs w:val="21"/>
                <w:highlight w:val="none"/>
                <w:lang w:bidi="ar"/>
              </w:rPr>
            </w:pPr>
            <w:r>
              <w:rPr>
                <w:rStyle w:val="36"/>
                <w:rFonts w:hint="default" w:ascii="Times New Roman" w:hAnsi="Times New Roman" w:eastAsia="宋体" w:cs="Times New Roman"/>
                <w:b w:val="0"/>
                <w:bCs w:val="0"/>
                <w:color w:val="auto"/>
                <w:kern w:val="0"/>
                <w:sz w:val="21"/>
                <w:szCs w:val="21"/>
                <w:highlight w:val="none"/>
                <w:lang w:bidi="ar"/>
              </w:rPr>
              <w:t>外观与形状：</w:t>
            </w:r>
            <w:r>
              <w:rPr>
                <w:rFonts w:hint="default" w:ascii="Times New Roman" w:hAnsi="Times New Roman" w:eastAsia="宋体" w:cs="Times New Roman"/>
                <w:b w:val="0"/>
                <w:bCs w:val="0"/>
                <w:color w:val="auto"/>
                <w:kern w:val="0"/>
                <w:sz w:val="21"/>
                <w:szCs w:val="21"/>
                <w:highlight w:val="none"/>
                <w:lang w:bidi="ar"/>
              </w:rPr>
              <w:t>无色、略带绿色或白色的透明块状、粒状固体或</w:t>
            </w:r>
            <w:r>
              <w:rPr>
                <w:rFonts w:hint="eastAsia" w:cs="Times New Roman"/>
                <w:b w:val="0"/>
                <w:bCs w:val="0"/>
                <w:color w:val="auto"/>
                <w:kern w:val="0"/>
                <w:sz w:val="21"/>
                <w:szCs w:val="21"/>
                <w:highlight w:val="none"/>
                <w:lang w:eastAsia="zh-CN" w:bidi="ar"/>
              </w:rPr>
              <w:t>黏稠</w:t>
            </w:r>
            <w:r>
              <w:rPr>
                <w:rFonts w:hint="default" w:ascii="Times New Roman" w:hAnsi="Times New Roman" w:eastAsia="宋体" w:cs="Times New Roman"/>
                <w:b w:val="0"/>
                <w:bCs w:val="0"/>
                <w:color w:val="auto"/>
                <w:kern w:val="0"/>
                <w:sz w:val="21"/>
                <w:szCs w:val="21"/>
                <w:highlight w:val="none"/>
                <w:lang w:bidi="ar"/>
              </w:rPr>
              <w:t>液体（水溶液）</w:t>
            </w:r>
          </w:p>
        </w:tc>
      </w:tr>
      <w:tr w14:paraId="73F472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0" w:hRule="atLeast"/>
          <w:jc w:val="center"/>
        </w:trPr>
        <w:tc>
          <w:tcPr>
            <w:tcW w:w="0" w:type="auto"/>
            <w:vMerge w:val="continue"/>
            <w:shd w:val="clear" w:color="auto" w:fill="auto"/>
            <w:vAlign w:val="center"/>
          </w:tcPr>
          <w:p w14:paraId="190C562B">
            <w:pPr>
              <w:keepNext w:val="0"/>
              <w:keepLines w:val="0"/>
              <w:pageBreakBefore w:val="0"/>
              <w:widowControl/>
              <w:kinsoku/>
              <w:wordWrap/>
              <w:overflowPunct/>
              <w:topLinePunct w:val="0"/>
              <w:autoSpaceDE/>
              <w:autoSpaceDN/>
              <w:bidi w:val="0"/>
              <w:adjustRightInd w:val="0"/>
              <w:snapToGrid w:val="0"/>
              <w:spacing w:beforeAutospacing="0" w:afterAutospacing="0" w:line="360" w:lineRule="exact"/>
              <w:ind w:firstLine="0" w:firstLineChars="0"/>
              <w:jc w:val="center"/>
              <w:rPr>
                <w:rFonts w:hint="default" w:ascii="Times New Roman" w:hAnsi="Times New Roman" w:eastAsia="宋体" w:cs="Times New Roman"/>
                <w:b w:val="0"/>
                <w:bCs w:val="0"/>
                <w:color w:val="auto"/>
                <w:kern w:val="0"/>
                <w:sz w:val="21"/>
                <w:szCs w:val="21"/>
                <w:highlight w:val="none"/>
                <w:lang w:bidi="ar"/>
              </w:rPr>
            </w:pPr>
          </w:p>
        </w:tc>
        <w:tc>
          <w:tcPr>
            <w:tcW w:w="0" w:type="auto"/>
            <w:gridSpan w:val="2"/>
            <w:shd w:val="clear" w:color="auto" w:fill="auto"/>
            <w:vAlign w:val="center"/>
          </w:tcPr>
          <w:p w14:paraId="1043F0AD">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exact"/>
              <w:ind w:firstLine="0" w:firstLineChars="0"/>
              <w:jc w:val="left"/>
              <w:textAlignment w:val="top"/>
              <w:rPr>
                <w:rFonts w:hint="default" w:ascii="Times New Roman" w:hAnsi="Times New Roman" w:eastAsia="宋体" w:cs="Times New Roman"/>
                <w:b w:val="0"/>
                <w:bCs w:val="0"/>
                <w:color w:val="auto"/>
                <w:kern w:val="0"/>
                <w:sz w:val="21"/>
                <w:szCs w:val="21"/>
                <w:highlight w:val="none"/>
                <w:lang w:bidi="ar"/>
              </w:rPr>
            </w:pPr>
            <w:r>
              <w:rPr>
                <w:rStyle w:val="36"/>
                <w:rFonts w:hint="default" w:ascii="Times New Roman" w:hAnsi="Times New Roman" w:eastAsia="宋体" w:cs="Times New Roman"/>
                <w:b w:val="0"/>
                <w:bCs w:val="0"/>
                <w:color w:val="auto"/>
                <w:kern w:val="0"/>
                <w:sz w:val="21"/>
                <w:szCs w:val="21"/>
                <w:highlight w:val="none"/>
                <w:lang w:bidi="ar"/>
              </w:rPr>
              <w:t>熔点/℃：</w:t>
            </w:r>
            <w:r>
              <w:rPr>
                <w:rFonts w:hint="default" w:ascii="Times New Roman" w:hAnsi="Times New Roman" w:eastAsia="宋体" w:cs="Times New Roman"/>
                <w:b w:val="0"/>
                <w:bCs w:val="0"/>
                <w:color w:val="auto"/>
                <w:kern w:val="0"/>
                <w:sz w:val="21"/>
                <w:szCs w:val="21"/>
                <w:highlight w:val="none"/>
                <w:lang w:bidi="ar"/>
              </w:rPr>
              <w:t>1088（固体）；无定形物无固定熔点</w:t>
            </w:r>
          </w:p>
        </w:tc>
        <w:tc>
          <w:tcPr>
            <w:tcW w:w="0" w:type="auto"/>
            <w:gridSpan w:val="2"/>
            <w:shd w:val="clear" w:color="auto" w:fill="auto"/>
            <w:vAlign w:val="center"/>
          </w:tcPr>
          <w:p w14:paraId="2C538DAC">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exact"/>
              <w:ind w:firstLine="0" w:firstLineChars="0"/>
              <w:jc w:val="left"/>
              <w:textAlignment w:val="top"/>
              <w:rPr>
                <w:rFonts w:hint="default" w:ascii="Times New Roman" w:hAnsi="Times New Roman" w:eastAsia="宋体" w:cs="Times New Roman"/>
                <w:b w:val="0"/>
                <w:bCs w:val="0"/>
                <w:color w:val="auto"/>
                <w:kern w:val="0"/>
                <w:sz w:val="21"/>
                <w:szCs w:val="21"/>
                <w:highlight w:val="none"/>
                <w:lang w:bidi="ar"/>
              </w:rPr>
            </w:pPr>
            <w:r>
              <w:rPr>
                <w:rStyle w:val="36"/>
                <w:rFonts w:hint="default" w:ascii="Times New Roman" w:hAnsi="Times New Roman" w:eastAsia="宋体" w:cs="Times New Roman"/>
                <w:b w:val="0"/>
                <w:bCs w:val="0"/>
                <w:color w:val="auto"/>
                <w:kern w:val="0"/>
                <w:sz w:val="21"/>
                <w:szCs w:val="21"/>
                <w:highlight w:val="none"/>
                <w:lang w:bidi="ar"/>
              </w:rPr>
              <w:t>溶解性：</w:t>
            </w:r>
            <w:r>
              <w:rPr>
                <w:rFonts w:hint="default" w:ascii="Times New Roman" w:hAnsi="Times New Roman" w:eastAsia="宋体" w:cs="Times New Roman"/>
                <w:b w:val="0"/>
                <w:bCs w:val="0"/>
                <w:color w:val="auto"/>
                <w:kern w:val="0"/>
                <w:sz w:val="21"/>
                <w:szCs w:val="21"/>
                <w:highlight w:val="none"/>
                <w:lang w:bidi="ar"/>
              </w:rPr>
              <w:t>易溶于水，溶于冷水（速度较慢），在热水、高压蒸汽下溶解更快；不溶于乙醇和酸</w:t>
            </w:r>
          </w:p>
        </w:tc>
      </w:tr>
      <w:tr w14:paraId="7AC11E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0" w:hRule="atLeast"/>
          <w:jc w:val="center"/>
        </w:trPr>
        <w:tc>
          <w:tcPr>
            <w:tcW w:w="0" w:type="auto"/>
            <w:vMerge w:val="continue"/>
            <w:shd w:val="clear" w:color="auto" w:fill="auto"/>
            <w:vAlign w:val="center"/>
          </w:tcPr>
          <w:p w14:paraId="35AAECC0">
            <w:pPr>
              <w:keepNext w:val="0"/>
              <w:keepLines w:val="0"/>
              <w:pageBreakBefore w:val="0"/>
              <w:widowControl/>
              <w:kinsoku/>
              <w:wordWrap/>
              <w:overflowPunct/>
              <w:topLinePunct w:val="0"/>
              <w:autoSpaceDE/>
              <w:autoSpaceDN/>
              <w:bidi w:val="0"/>
              <w:adjustRightInd w:val="0"/>
              <w:snapToGrid w:val="0"/>
              <w:spacing w:beforeAutospacing="0" w:afterAutospacing="0" w:line="360" w:lineRule="exact"/>
              <w:ind w:firstLine="0" w:firstLineChars="0"/>
              <w:jc w:val="center"/>
              <w:rPr>
                <w:rFonts w:hint="default" w:ascii="Times New Roman" w:hAnsi="Times New Roman" w:eastAsia="宋体" w:cs="Times New Roman"/>
                <w:b w:val="0"/>
                <w:bCs w:val="0"/>
                <w:color w:val="auto"/>
                <w:kern w:val="0"/>
                <w:sz w:val="21"/>
                <w:szCs w:val="21"/>
                <w:highlight w:val="none"/>
                <w:lang w:bidi="ar"/>
              </w:rPr>
            </w:pPr>
          </w:p>
        </w:tc>
        <w:tc>
          <w:tcPr>
            <w:tcW w:w="0" w:type="auto"/>
            <w:gridSpan w:val="2"/>
            <w:shd w:val="clear" w:color="auto" w:fill="auto"/>
            <w:vAlign w:val="center"/>
          </w:tcPr>
          <w:p w14:paraId="11382182">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exact"/>
              <w:ind w:firstLine="0" w:firstLineChars="0"/>
              <w:jc w:val="left"/>
              <w:textAlignment w:val="top"/>
              <w:rPr>
                <w:rFonts w:hint="default" w:ascii="Times New Roman" w:hAnsi="Times New Roman" w:eastAsia="宋体" w:cs="Times New Roman"/>
                <w:b w:val="0"/>
                <w:bCs w:val="0"/>
                <w:color w:val="auto"/>
                <w:kern w:val="0"/>
                <w:sz w:val="21"/>
                <w:szCs w:val="21"/>
                <w:highlight w:val="none"/>
                <w:lang w:bidi="ar"/>
              </w:rPr>
            </w:pPr>
            <w:r>
              <w:rPr>
                <w:rStyle w:val="36"/>
                <w:rFonts w:hint="default" w:ascii="Times New Roman" w:hAnsi="Times New Roman" w:eastAsia="宋体" w:cs="Times New Roman"/>
                <w:b w:val="0"/>
                <w:bCs w:val="0"/>
                <w:color w:val="auto"/>
                <w:kern w:val="0"/>
                <w:sz w:val="21"/>
                <w:szCs w:val="21"/>
                <w:highlight w:val="none"/>
                <w:lang w:bidi="ar"/>
              </w:rPr>
              <w:t>pH值：</w:t>
            </w:r>
            <w:r>
              <w:rPr>
                <w:rFonts w:hint="default" w:ascii="Times New Roman" w:hAnsi="Times New Roman" w:eastAsia="宋体" w:cs="Times New Roman"/>
                <w:b w:val="0"/>
                <w:bCs w:val="0"/>
                <w:color w:val="auto"/>
                <w:kern w:val="0"/>
                <w:sz w:val="21"/>
                <w:szCs w:val="21"/>
                <w:highlight w:val="none"/>
                <w:lang w:bidi="ar"/>
              </w:rPr>
              <w:t xml:space="preserve">11.0～13.5 </w:t>
            </w:r>
            <w:r>
              <w:rPr>
                <w:rFonts w:hint="eastAsia" w:cs="Times New Roman"/>
                <w:b w:val="0"/>
                <w:bCs w:val="0"/>
                <w:color w:val="auto"/>
                <w:kern w:val="0"/>
                <w:sz w:val="21"/>
                <w:szCs w:val="21"/>
                <w:highlight w:val="none"/>
                <w:lang w:eastAsia="zh-CN" w:bidi="ar"/>
              </w:rPr>
              <w:t>（</w:t>
            </w:r>
            <w:r>
              <w:rPr>
                <w:rFonts w:hint="default" w:ascii="Times New Roman" w:hAnsi="Times New Roman" w:eastAsia="宋体" w:cs="Times New Roman"/>
                <w:b w:val="0"/>
                <w:bCs w:val="0"/>
                <w:color w:val="auto"/>
                <w:kern w:val="0"/>
                <w:sz w:val="21"/>
                <w:szCs w:val="21"/>
                <w:highlight w:val="none"/>
                <w:lang w:bidi="ar"/>
              </w:rPr>
              <w:t>1%水溶液, 20℃</w:t>
            </w:r>
            <w:r>
              <w:rPr>
                <w:rFonts w:hint="eastAsia" w:cs="Times New Roman"/>
                <w:b w:val="0"/>
                <w:bCs w:val="0"/>
                <w:color w:val="auto"/>
                <w:kern w:val="0"/>
                <w:sz w:val="21"/>
                <w:szCs w:val="21"/>
                <w:highlight w:val="none"/>
                <w:lang w:eastAsia="zh-CN" w:bidi="ar"/>
              </w:rPr>
              <w:t>）</w:t>
            </w:r>
            <w:r>
              <w:rPr>
                <w:rFonts w:hint="default" w:ascii="Times New Roman" w:hAnsi="Times New Roman" w:eastAsia="宋体" w:cs="Times New Roman"/>
                <w:b w:val="0"/>
                <w:bCs w:val="0"/>
                <w:color w:val="auto"/>
                <w:kern w:val="0"/>
                <w:sz w:val="21"/>
                <w:szCs w:val="21"/>
                <w:highlight w:val="none"/>
                <w:lang w:bidi="ar"/>
              </w:rPr>
              <w:t> ；典型工业品pH 9.2～10.0</w:t>
            </w:r>
          </w:p>
        </w:tc>
        <w:tc>
          <w:tcPr>
            <w:tcW w:w="0" w:type="auto"/>
            <w:gridSpan w:val="2"/>
            <w:shd w:val="clear" w:color="auto" w:fill="auto"/>
            <w:vAlign w:val="center"/>
          </w:tcPr>
          <w:p w14:paraId="51FA030A">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exact"/>
              <w:ind w:firstLine="0" w:firstLineChars="0"/>
              <w:jc w:val="left"/>
              <w:textAlignment w:val="top"/>
              <w:rPr>
                <w:rFonts w:hint="default" w:ascii="Times New Roman" w:hAnsi="Times New Roman" w:eastAsia="宋体" w:cs="Times New Roman"/>
                <w:b w:val="0"/>
                <w:bCs w:val="0"/>
                <w:color w:val="auto"/>
                <w:kern w:val="0"/>
                <w:sz w:val="21"/>
                <w:szCs w:val="21"/>
                <w:highlight w:val="none"/>
                <w:lang w:bidi="ar"/>
              </w:rPr>
            </w:pPr>
            <w:r>
              <w:rPr>
                <w:rStyle w:val="36"/>
                <w:rFonts w:hint="default" w:ascii="Times New Roman" w:hAnsi="Times New Roman" w:eastAsia="宋体" w:cs="Times New Roman"/>
                <w:b w:val="0"/>
                <w:bCs w:val="0"/>
                <w:color w:val="auto"/>
                <w:kern w:val="0"/>
                <w:sz w:val="21"/>
                <w:szCs w:val="21"/>
                <w:highlight w:val="none"/>
                <w:lang w:bidi="ar"/>
              </w:rPr>
              <w:t>相对密度（水=1）：</w:t>
            </w:r>
            <w:r>
              <w:rPr>
                <w:rFonts w:hint="default" w:ascii="Times New Roman" w:hAnsi="Times New Roman" w:eastAsia="宋体" w:cs="Times New Roman"/>
                <w:b w:val="0"/>
                <w:bCs w:val="0"/>
                <w:color w:val="auto"/>
                <w:kern w:val="0"/>
                <w:sz w:val="21"/>
                <w:szCs w:val="21"/>
                <w:highlight w:val="none"/>
                <w:lang w:bidi="ar"/>
              </w:rPr>
              <w:t>液体（浓度~40%）：1.3～1.5；固体：2.33～2.4 </w:t>
            </w:r>
          </w:p>
        </w:tc>
      </w:tr>
      <w:tr w14:paraId="1FD312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0" w:hRule="atLeast"/>
          <w:jc w:val="center"/>
        </w:trPr>
        <w:tc>
          <w:tcPr>
            <w:tcW w:w="0" w:type="auto"/>
            <w:vMerge w:val="continue"/>
            <w:shd w:val="clear" w:color="auto" w:fill="auto"/>
            <w:vAlign w:val="center"/>
          </w:tcPr>
          <w:p w14:paraId="7EB1F491">
            <w:pPr>
              <w:keepNext w:val="0"/>
              <w:keepLines w:val="0"/>
              <w:pageBreakBefore w:val="0"/>
              <w:widowControl/>
              <w:kinsoku/>
              <w:wordWrap/>
              <w:overflowPunct/>
              <w:topLinePunct w:val="0"/>
              <w:autoSpaceDE/>
              <w:autoSpaceDN/>
              <w:bidi w:val="0"/>
              <w:adjustRightInd w:val="0"/>
              <w:snapToGrid w:val="0"/>
              <w:spacing w:beforeAutospacing="0" w:afterAutospacing="0" w:line="360" w:lineRule="exact"/>
              <w:ind w:firstLine="0" w:firstLineChars="0"/>
              <w:jc w:val="center"/>
              <w:rPr>
                <w:rFonts w:hint="default" w:ascii="Times New Roman" w:hAnsi="Times New Roman" w:eastAsia="宋体" w:cs="Times New Roman"/>
                <w:b w:val="0"/>
                <w:bCs w:val="0"/>
                <w:color w:val="auto"/>
                <w:kern w:val="0"/>
                <w:sz w:val="21"/>
                <w:szCs w:val="21"/>
                <w:highlight w:val="none"/>
                <w:lang w:bidi="ar"/>
              </w:rPr>
            </w:pPr>
          </w:p>
        </w:tc>
        <w:tc>
          <w:tcPr>
            <w:tcW w:w="0" w:type="auto"/>
            <w:gridSpan w:val="4"/>
            <w:shd w:val="clear" w:color="auto" w:fill="auto"/>
            <w:vAlign w:val="center"/>
          </w:tcPr>
          <w:p w14:paraId="57D859D3">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exact"/>
              <w:ind w:firstLine="0" w:firstLineChars="0"/>
              <w:jc w:val="left"/>
              <w:textAlignment w:val="top"/>
              <w:rPr>
                <w:rFonts w:hint="default" w:ascii="Times New Roman" w:hAnsi="Times New Roman" w:eastAsia="宋体" w:cs="Times New Roman"/>
                <w:b w:val="0"/>
                <w:bCs w:val="0"/>
                <w:color w:val="auto"/>
                <w:kern w:val="0"/>
                <w:sz w:val="21"/>
                <w:szCs w:val="21"/>
                <w:highlight w:val="none"/>
                <w:lang w:bidi="ar"/>
              </w:rPr>
            </w:pPr>
            <w:r>
              <w:rPr>
                <w:rStyle w:val="36"/>
                <w:rFonts w:hint="default" w:ascii="Times New Roman" w:hAnsi="Times New Roman" w:eastAsia="宋体" w:cs="Times New Roman"/>
                <w:b w:val="0"/>
                <w:bCs w:val="0"/>
                <w:color w:val="auto"/>
                <w:kern w:val="0"/>
                <w:sz w:val="21"/>
                <w:szCs w:val="21"/>
                <w:highlight w:val="none"/>
                <w:lang w:bidi="ar"/>
              </w:rPr>
              <w:t>其他：</w:t>
            </w:r>
            <w:r>
              <w:rPr>
                <w:rFonts w:hint="default" w:ascii="Times New Roman" w:hAnsi="Times New Roman" w:eastAsia="宋体" w:cs="Times New Roman"/>
                <w:b w:val="0"/>
                <w:bCs w:val="0"/>
                <w:color w:val="auto"/>
                <w:kern w:val="0"/>
                <w:sz w:val="21"/>
                <w:szCs w:val="21"/>
                <w:highlight w:val="none"/>
                <w:lang w:bidi="ar"/>
              </w:rPr>
              <w:t xml:space="preserve">沸点 &gt;1000℃ </w:t>
            </w:r>
            <w:r>
              <w:rPr>
                <w:rFonts w:hint="eastAsia" w:cs="Times New Roman"/>
                <w:b w:val="0"/>
                <w:bCs w:val="0"/>
                <w:color w:val="auto"/>
                <w:kern w:val="0"/>
                <w:sz w:val="21"/>
                <w:szCs w:val="21"/>
                <w:highlight w:val="none"/>
                <w:lang w:eastAsia="zh-CN" w:bidi="ar"/>
              </w:rPr>
              <w:t>（</w:t>
            </w:r>
            <w:r>
              <w:rPr>
                <w:rFonts w:hint="default" w:ascii="Times New Roman" w:hAnsi="Times New Roman" w:eastAsia="宋体" w:cs="Times New Roman"/>
                <w:b w:val="0"/>
                <w:bCs w:val="0"/>
                <w:color w:val="auto"/>
                <w:kern w:val="0"/>
                <w:sz w:val="21"/>
                <w:szCs w:val="21"/>
                <w:highlight w:val="none"/>
                <w:lang w:bidi="ar"/>
              </w:rPr>
              <w:t>无水物</w:t>
            </w:r>
            <w:r>
              <w:rPr>
                <w:rFonts w:hint="eastAsia" w:cs="Times New Roman"/>
                <w:b w:val="0"/>
                <w:bCs w:val="0"/>
                <w:color w:val="auto"/>
                <w:kern w:val="0"/>
                <w:sz w:val="21"/>
                <w:szCs w:val="21"/>
                <w:highlight w:val="none"/>
                <w:lang w:eastAsia="zh-CN" w:bidi="ar"/>
              </w:rPr>
              <w:t>）</w:t>
            </w:r>
            <w:r>
              <w:rPr>
                <w:rFonts w:hint="default" w:ascii="Times New Roman" w:hAnsi="Times New Roman" w:eastAsia="宋体" w:cs="Times New Roman"/>
                <w:b w:val="0"/>
                <w:bCs w:val="0"/>
                <w:color w:val="auto"/>
                <w:kern w:val="0"/>
                <w:sz w:val="21"/>
                <w:szCs w:val="21"/>
                <w:highlight w:val="none"/>
                <w:lang w:bidi="ar"/>
              </w:rPr>
              <w:t>；无闪点，不可燃。水溶液呈碱性，对铝、锌等金属有腐蚀性（产生氢气）</w:t>
            </w:r>
          </w:p>
        </w:tc>
      </w:tr>
      <w:tr w14:paraId="225776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0" w:hRule="atLeast"/>
          <w:jc w:val="center"/>
        </w:trPr>
        <w:tc>
          <w:tcPr>
            <w:tcW w:w="0" w:type="auto"/>
            <w:shd w:val="clear" w:color="auto" w:fill="auto"/>
            <w:vAlign w:val="center"/>
          </w:tcPr>
          <w:p w14:paraId="334A82D2">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exact"/>
              <w:ind w:firstLine="0" w:firstLineChars="0"/>
              <w:jc w:val="center"/>
              <w:textAlignment w:val="top"/>
              <w:rPr>
                <w:rFonts w:hint="default" w:ascii="Times New Roman" w:hAnsi="Times New Roman" w:eastAsia="宋体" w:cs="Times New Roman"/>
                <w:b w:val="0"/>
                <w:bCs w:val="0"/>
                <w:color w:val="auto"/>
                <w:kern w:val="0"/>
                <w:sz w:val="21"/>
                <w:szCs w:val="21"/>
                <w:highlight w:val="none"/>
                <w:lang w:bidi="ar"/>
              </w:rPr>
            </w:pPr>
            <w:r>
              <w:rPr>
                <w:rFonts w:hint="default" w:ascii="Times New Roman" w:hAnsi="Times New Roman" w:eastAsia="宋体" w:cs="Times New Roman"/>
                <w:b w:val="0"/>
                <w:bCs w:val="0"/>
                <w:color w:val="auto"/>
                <w:kern w:val="0"/>
                <w:sz w:val="21"/>
                <w:szCs w:val="21"/>
                <w:highlight w:val="none"/>
                <w:lang w:bidi="ar"/>
              </w:rPr>
              <w:t>燃烧爆炸危险性</w:t>
            </w:r>
          </w:p>
        </w:tc>
        <w:tc>
          <w:tcPr>
            <w:tcW w:w="0" w:type="auto"/>
            <w:gridSpan w:val="4"/>
            <w:shd w:val="clear" w:color="auto" w:fill="auto"/>
            <w:vAlign w:val="center"/>
          </w:tcPr>
          <w:p w14:paraId="156058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default" w:ascii="Times New Roman" w:hAnsi="Times New Roman" w:eastAsia="宋体" w:cs="Times New Roman"/>
                <w:b w:val="0"/>
                <w:bCs w:val="0"/>
                <w:color w:val="auto"/>
                <w:kern w:val="0"/>
                <w:sz w:val="21"/>
                <w:szCs w:val="21"/>
                <w:highlight w:val="none"/>
                <w:lang w:val="en-US" w:eastAsia="zh-CN" w:bidi="ar"/>
              </w:rPr>
            </w:pPr>
            <w:r>
              <w:rPr>
                <w:rStyle w:val="36"/>
                <w:rFonts w:hint="default" w:ascii="Times New Roman" w:hAnsi="Times New Roman" w:eastAsia="宋体" w:cs="Times New Roman"/>
                <w:b w:val="0"/>
                <w:bCs w:val="0"/>
                <w:color w:val="auto"/>
                <w:kern w:val="0"/>
                <w:sz w:val="21"/>
                <w:szCs w:val="21"/>
                <w:highlight w:val="none"/>
                <w:lang w:val="en-US" w:eastAsia="zh-CN" w:bidi="ar"/>
              </w:rPr>
              <w:t>危险特性：</w:t>
            </w:r>
            <w:r>
              <w:rPr>
                <w:rFonts w:hint="default" w:ascii="Times New Roman" w:hAnsi="Times New Roman" w:eastAsia="宋体" w:cs="Times New Roman"/>
                <w:b w:val="0"/>
                <w:bCs w:val="0"/>
                <w:color w:val="auto"/>
                <w:kern w:val="0"/>
                <w:sz w:val="21"/>
                <w:szCs w:val="21"/>
                <w:highlight w:val="none"/>
                <w:lang w:val="en-US" w:eastAsia="zh-CN" w:bidi="ar"/>
              </w:rPr>
              <w:t>本品不燃，不具有燃烧爆炸特性。但遇酸（尤其是强酸）会剧烈反应并析出硅酸胶凝体；与铝、锌、锡等金属接触可产生易燃氢气，存在容器增压或氢气爆炸风险。</w:t>
            </w:r>
          </w:p>
          <w:p w14:paraId="4BF80D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default" w:ascii="Times New Roman" w:hAnsi="Times New Roman" w:eastAsia="宋体" w:cs="Times New Roman"/>
                <w:b w:val="0"/>
                <w:bCs w:val="0"/>
                <w:color w:val="auto"/>
                <w:kern w:val="0"/>
                <w:sz w:val="21"/>
                <w:szCs w:val="21"/>
                <w:highlight w:val="none"/>
                <w:lang w:val="en-US" w:eastAsia="zh-CN" w:bidi="ar"/>
              </w:rPr>
            </w:pPr>
            <w:r>
              <w:rPr>
                <w:rStyle w:val="36"/>
                <w:rFonts w:hint="default" w:ascii="Times New Roman" w:hAnsi="Times New Roman" w:eastAsia="宋体" w:cs="Times New Roman"/>
                <w:b w:val="0"/>
                <w:bCs w:val="0"/>
                <w:color w:val="auto"/>
                <w:kern w:val="0"/>
                <w:sz w:val="21"/>
                <w:szCs w:val="21"/>
                <w:highlight w:val="none"/>
                <w:lang w:val="en-US" w:eastAsia="zh-CN" w:bidi="ar"/>
              </w:rPr>
              <w:t>燃爆危险：</w:t>
            </w:r>
            <w:r>
              <w:rPr>
                <w:rFonts w:hint="default" w:ascii="Times New Roman" w:hAnsi="Times New Roman" w:eastAsia="宋体" w:cs="Times New Roman"/>
                <w:b w:val="0"/>
                <w:bCs w:val="0"/>
                <w:color w:val="auto"/>
                <w:kern w:val="0"/>
                <w:sz w:val="21"/>
                <w:szCs w:val="21"/>
                <w:highlight w:val="none"/>
                <w:lang w:val="en-US" w:eastAsia="zh-CN" w:bidi="ar"/>
              </w:rPr>
              <w:t>不燃，无爆炸危险。但加热时可能产生有毒蒸气。</w:t>
            </w:r>
          </w:p>
          <w:p w14:paraId="43E4CE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default" w:ascii="Times New Roman" w:hAnsi="Times New Roman" w:eastAsia="宋体" w:cs="Times New Roman"/>
                <w:b w:val="0"/>
                <w:bCs w:val="0"/>
                <w:color w:val="auto"/>
                <w:kern w:val="0"/>
                <w:sz w:val="21"/>
                <w:szCs w:val="21"/>
                <w:highlight w:val="none"/>
                <w:lang w:val="en-US" w:eastAsia="zh-CN" w:bidi="ar"/>
              </w:rPr>
            </w:pPr>
            <w:r>
              <w:rPr>
                <w:rStyle w:val="36"/>
                <w:rFonts w:hint="default" w:ascii="Times New Roman" w:hAnsi="Times New Roman" w:eastAsia="宋体" w:cs="Times New Roman"/>
                <w:b w:val="0"/>
                <w:bCs w:val="0"/>
                <w:color w:val="auto"/>
                <w:kern w:val="0"/>
                <w:sz w:val="21"/>
                <w:szCs w:val="21"/>
                <w:highlight w:val="none"/>
                <w:lang w:val="en-US" w:eastAsia="zh-CN" w:bidi="ar"/>
              </w:rPr>
              <w:t>有害燃烧产物：</w:t>
            </w:r>
            <w:r>
              <w:rPr>
                <w:rFonts w:hint="default" w:ascii="Times New Roman" w:hAnsi="Times New Roman" w:eastAsia="宋体" w:cs="Times New Roman"/>
                <w:b w:val="0"/>
                <w:bCs w:val="0"/>
                <w:color w:val="auto"/>
                <w:kern w:val="0"/>
                <w:sz w:val="21"/>
                <w:szCs w:val="21"/>
                <w:highlight w:val="none"/>
                <w:lang w:val="en-US" w:eastAsia="zh-CN" w:bidi="ar"/>
              </w:rPr>
              <w:t>本身不燃。若涉及火灾，可能分解产生氧化硅烟雾。</w:t>
            </w:r>
          </w:p>
          <w:p w14:paraId="00ACA7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default" w:ascii="Times New Roman" w:hAnsi="Times New Roman" w:eastAsia="宋体" w:cs="Times New Roman"/>
                <w:b w:val="0"/>
                <w:bCs w:val="0"/>
                <w:color w:val="auto"/>
                <w:kern w:val="0"/>
                <w:sz w:val="21"/>
                <w:szCs w:val="21"/>
                <w:highlight w:val="none"/>
                <w:lang w:val="en-US" w:eastAsia="zh-CN" w:bidi="ar"/>
              </w:rPr>
            </w:pPr>
            <w:r>
              <w:rPr>
                <w:rStyle w:val="36"/>
                <w:rFonts w:hint="default" w:ascii="Times New Roman" w:hAnsi="Times New Roman" w:eastAsia="宋体" w:cs="Times New Roman"/>
                <w:b w:val="0"/>
                <w:bCs w:val="0"/>
                <w:color w:val="auto"/>
                <w:kern w:val="0"/>
                <w:sz w:val="21"/>
                <w:szCs w:val="21"/>
                <w:highlight w:val="none"/>
                <w:lang w:val="en-US" w:eastAsia="zh-CN" w:bidi="ar"/>
              </w:rPr>
              <w:t>灭火方法：</w:t>
            </w:r>
            <w:r>
              <w:rPr>
                <w:rFonts w:hint="default" w:ascii="Times New Roman" w:hAnsi="Times New Roman" w:eastAsia="宋体" w:cs="Times New Roman"/>
                <w:b w:val="0"/>
                <w:bCs w:val="0"/>
                <w:color w:val="auto"/>
                <w:kern w:val="0"/>
                <w:sz w:val="21"/>
                <w:szCs w:val="21"/>
                <w:highlight w:val="none"/>
                <w:lang w:val="en-US" w:eastAsia="zh-CN" w:bidi="ar"/>
              </w:rPr>
              <w:t>根据周围</w:t>
            </w:r>
            <w:r>
              <w:rPr>
                <w:rFonts w:hint="eastAsia" w:cs="Times New Roman"/>
                <w:b w:val="0"/>
                <w:bCs w:val="0"/>
                <w:color w:val="auto"/>
                <w:kern w:val="0"/>
                <w:sz w:val="21"/>
                <w:szCs w:val="21"/>
                <w:highlight w:val="none"/>
                <w:lang w:val="en-US" w:eastAsia="zh-CN" w:bidi="ar"/>
              </w:rPr>
              <w:t>火源</w:t>
            </w:r>
            <w:r>
              <w:rPr>
                <w:rFonts w:hint="default" w:ascii="Times New Roman" w:hAnsi="Times New Roman" w:eastAsia="宋体" w:cs="Times New Roman"/>
                <w:b w:val="0"/>
                <w:bCs w:val="0"/>
                <w:color w:val="auto"/>
                <w:kern w:val="0"/>
                <w:sz w:val="21"/>
                <w:szCs w:val="21"/>
                <w:highlight w:val="none"/>
                <w:lang w:val="en-US" w:eastAsia="zh-CN" w:bidi="ar"/>
              </w:rPr>
              <w:t>选择适当灭火剂（水、干粉、二氧化碳、泡沫均可）。消防人员须穿全身防火防毒服、佩戴正压式呼吸器，避免接触泄漏物。</w:t>
            </w:r>
          </w:p>
        </w:tc>
      </w:tr>
      <w:tr w14:paraId="730E56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0" w:hRule="atLeast"/>
          <w:jc w:val="center"/>
        </w:trPr>
        <w:tc>
          <w:tcPr>
            <w:tcW w:w="0" w:type="auto"/>
            <w:shd w:val="clear" w:color="auto" w:fill="auto"/>
            <w:vAlign w:val="center"/>
          </w:tcPr>
          <w:p w14:paraId="439D3A76">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exact"/>
              <w:ind w:firstLine="0" w:firstLineChars="0"/>
              <w:jc w:val="center"/>
              <w:textAlignment w:val="top"/>
              <w:rPr>
                <w:rFonts w:hint="default" w:ascii="Times New Roman" w:hAnsi="Times New Roman" w:eastAsia="宋体" w:cs="Times New Roman"/>
                <w:b w:val="0"/>
                <w:bCs w:val="0"/>
                <w:color w:val="auto"/>
                <w:kern w:val="0"/>
                <w:sz w:val="21"/>
                <w:szCs w:val="21"/>
                <w:highlight w:val="none"/>
                <w:lang w:bidi="ar"/>
              </w:rPr>
            </w:pPr>
            <w:r>
              <w:rPr>
                <w:rFonts w:hint="default" w:ascii="Times New Roman" w:hAnsi="Times New Roman" w:eastAsia="宋体" w:cs="Times New Roman"/>
                <w:b w:val="0"/>
                <w:bCs w:val="0"/>
                <w:color w:val="auto"/>
                <w:kern w:val="0"/>
                <w:sz w:val="21"/>
                <w:szCs w:val="21"/>
                <w:highlight w:val="none"/>
                <w:lang w:bidi="ar"/>
              </w:rPr>
              <w:t>毒性</w:t>
            </w:r>
          </w:p>
        </w:tc>
        <w:tc>
          <w:tcPr>
            <w:tcW w:w="0" w:type="auto"/>
            <w:gridSpan w:val="4"/>
            <w:shd w:val="clear" w:color="auto" w:fill="auto"/>
            <w:vAlign w:val="center"/>
          </w:tcPr>
          <w:p w14:paraId="3CCDF4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default" w:ascii="Times New Roman" w:hAnsi="Times New Roman" w:eastAsia="宋体" w:cs="Times New Roman"/>
                <w:b w:val="0"/>
                <w:bCs w:val="0"/>
                <w:color w:val="auto"/>
                <w:kern w:val="0"/>
                <w:sz w:val="21"/>
                <w:szCs w:val="21"/>
                <w:highlight w:val="none"/>
                <w:lang w:val="en-US" w:eastAsia="zh-CN" w:bidi="ar"/>
              </w:rPr>
            </w:pPr>
            <w:r>
              <w:rPr>
                <w:rStyle w:val="36"/>
                <w:rFonts w:hint="default" w:ascii="Times New Roman" w:hAnsi="Times New Roman" w:eastAsia="宋体" w:cs="Times New Roman"/>
                <w:b w:val="0"/>
                <w:bCs w:val="0"/>
                <w:color w:val="auto"/>
                <w:kern w:val="0"/>
                <w:sz w:val="21"/>
                <w:szCs w:val="21"/>
                <w:highlight w:val="none"/>
                <w:lang w:val="en-US" w:eastAsia="zh-CN" w:bidi="ar"/>
              </w:rPr>
              <w:t>LD₅₀：</w:t>
            </w:r>
            <w:r>
              <w:rPr>
                <w:rFonts w:hint="default" w:ascii="Times New Roman" w:hAnsi="Times New Roman" w:eastAsia="宋体" w:cs="Times New Roman"/>
                <w:b w:val="0"/>
                <w:bCs w:val="0"/>
                <w:color w:val="auto"/>
                <w:kern w:val="0"/>
                <w:sz w:val="21"/>
                <w:szCs w:val="21"/>
                <w:highlight w:val="none"/>
                <w:lang w:val="en-US" w:eastAsia="zh-CN" w:bidi="ar"/>
              </w:rPr>
              <w:t xml:space="preserve">1280 mg/kg </w:t>
            </w:r>
            <w:r>
              <w:rPr>
                <w:rFonts w:hint="eastAsia" w:cs="Times New Roman"/>
                <w:b w:val="0"/>
                <w:bCs w:val="0"/>
                <w:color w:val="auto"/>
                <w:kern w:val="0"/>
                <w:sz w:val="21"/>
                <w:szCs w:val="21"/>
                <w:highlight w:val="none"/>
                <w:lang w:val="en-US" w:eastAsia="zh-CN" w:bidi="ar"/>
              </w:rPr>
              <w:t>（</w:t>
            </w:r>
            <w:r>
              <w:rPr>
                <w:rFonts w:hint="default" w:ascii="Times New Roman" w:hAnsi="Times New Roman" w:eastAsia="宋体" w:cs="Times New Roman"/>
                <w:b w:val="0"/>
                <w:bCs w:val="0"/>
                <w:color w:val="auto"/>
                <w:kern w:val="0"/>
                <w:sz w:val="21"/>
                <w:szCs w:val="21"/>
                <w:highlight w:val="none"/>
                <w:lang w:val="en-US" w:eastAsia="zh-CN" w:bidi="ar"/>
              </w:rPr>
              <w:t>大鼠经口</w:t>
            </w:r>
            <w:r>
              <w:rPr>
                <w:rFonts w:hint="eastAsia" w:cs="Times New Roman"/>
                <w:b w:val="0"/>
                <w:bCs w:val="0"/>
                <w:color w:val="auto"/>
                <w:kern w:val="0"/>
                <w:sz w:val="21"/>
                <w:szCs w:val="21"/>
                <w:highlight w:val="none"/>
                <w:lang w:val="en-US" w:eastAsia="zh-CN" w:bidi="ar"/>
              </w:rPr>
              <w:t>）</w:t>
            </w:r>
            <w:r>
              <w:rPr>
                <w:rFonts w:hint="default" w:ascii="Times New Roman" w:hAnsi="Times New Roman" w:eastAsia="宋体" w:cs="Times New Roman"/>
                <w:b w:val="0"/>
                <w:bCs w:val="0"/>
                <w:color w:val="auto"/>
                <w:kern w:val="0"/>
                <w:sz w:val="21"/>
                <w:szCs w:val="21"/>
                <w:highlight w:val="none"/>
                <w:lang w:val="en-US" w:eastAsia="zh-CN" w:bidi="ar"/>
              </w:rPr>
              <w:t xml:space="preserve"> ；1960 mg/kg </w:t>
            </w:r>
            <w:r>
              <w:rPr>
                <w:rFonts w:hint="eastAsia" w:cs="Times New Roman"/>
                <w:b w:val="0"/>
                <w:bCs w:val="0"/>
                <w:color w:val="auto"/>
                <w:kern w:val="0"/>
                <w:sz w:val="21"/>
                <w:szCs w:val="21"/>
                <w:highlight w:val="none"/>
                <w:lang w:val="en-US" w:eastAsia="zh-CN" w:bidi="ar"/>
              </w:rPr>
              <w:t>（</w:t>
            </w:r>
            <w:r>
              <w:rPr>
                <w:rFonts w:hint="default" w:ascii="Times New Roman" w:hAnsi="Times New Roman" w:eastAsia="宋体" w:cs="Times New Roman"/>
                <w:b w:val="0"/>
                <w:bCs w:val="0"/>
                <w:color w:val="auto"/>
                <w:kern w:val="0"/>
                <w:sz w:val="21"/>
                <w:szCs w:val="21"/>
                <w:highlight w:val="none"/>
                <w:lang w:val="en-US" w:eastAsia="zh-CN" w:bidi="ar"/>
              </w:rPr>
              <w:t>大鼠经口</w:t>
            </w:r>
            <w:r>
              <w:rPr>
                <w:rFonts w:hint="eastAsia" w:cs="Times New Roman"/>
                <w:b w:val="0"/>
                <w:bCs w:val="0"/>
                <w:color w:val="auto"/>
                <w:kern w:val="0"/>
                <w:sz w:val="21"/>
                <w:szCs w:val="21"/>
                <w:highlight w:val="none"/>
                <w:lang w:val="en-US" w:eastAsia="zh-CN" w:bidi="ar"/>
              </w:rPr>
              <w:t>）</w:t>
            </w:r>
            <w:r>
              <w:rPr>
                <w:rFonts w:hint="default" w:ascii="Times New Roman" w:hAnsi="Times New Roman" w:eastAsia="宋体" w:cs="Times New Roman"/>
                <w:b w:val="0"/>
                <w:bCs w:val="0"/>
                <w:color w:val="auto"/>
                <w:kern w:val="0"/>
                <w:sz w:val="21"/>
                <w:szCs w:val="21"/>
                <w:highlight w:val="none"/>
                <w:lang w:val="en-US" w:eastAsia="zh-CN" w:bidi="ar"/>
              </w:rPr>
              <w:t>；部分资料&gt;2000 mg/kg归属低毒。</w:t>
            </w:r>
          </w:p>
          <w:p w14:paraId="0706F9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default" w:ascii="Times New Roman" w:hAnsi="Times New Roman" w:eastAsia="宋体" w:cs="Times New Roman"/>
                <w:b w:val="0"/>
                <w:bCs w:val="0"/>
                <w:color w:val="auto"/>
                <w:kern w:val="0"/>
                <w:sz w:val="21"/>
                <w:szCs w:val="21"/>
                <w:highlight w:val="none"/>
                <w:lang w:val="en-US" w:eastAsia="zh-CN" w:bidi="ar"/>
              </w:rPr>
            </w:pPr>
            <w:r>
              <w:rPr>
                <w:rStyle w:val="36"/>
                <w:rFonts w:hint="default" w:ascii="Times New Roman" w:hAnsi="Times New Roman" w:eastAsia="宋体" w:cs="Times New Roman"/>
                <w:b w:val="0"/>
                <w:bCs w:val="0"/>
                <w:color w:val="auto"/>
                <w:kern w:val="0"/>
                <w:sz w:val="21"/>
                <w:szCs w:val="21"/>
                <w:highlight w:val="none"/>
                <w:lang w:val="en-US" w:eastAsia="zh-CN" w:bidi="ar"/>
              </w:rPr>
              <w:t>LC₅₀：</w:t>
            </w:r>
            <w:r>
              <w:rPr>
                <w:rFonts w:hint="default" w:ascii="Times New Roman" w:hAnsi="Times New Roman" w:eastAsia="宋体" w:cs="Times New Roman"/>
                <w:b w:val="0"/>
                <w:bCs w:val="0"/>
                <w:color w:val="auto"/>
                <w:kern w:val="0"/>
                <w:sz w:val="21"/>
                <w:szCs w:val="21"/>
                <w:highlight w:val="none"/>
                <w:lang w:val="en-US" w:eastAsia="zh-CN" w:bidi="ar"/>
              </w:rPr>
              <w:t>无资料（吸入毒性主要表现为粉尘/雾滴刺激，非极度挥发性物质）。</w:t>
            </w:r>
          </w:p>
          <w:p w14:paraId="0036EC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default" w:ascii="Times New Roman" w:hAnsi="Times New Roman" w:eastAsia="宋体" w:cs="Times New Roman"/>
                <w:b w:val="0"/>
                <w:bCs w:val="0"/>
                <w:color w:val="auto"/>
                <w:kern w:val="0"/>
                <w:sz w:val="21"/>
                <w:szCs w:val="21"/>
                <w:highlight w:val="none"/>
                <w:lang w:val="en-US" w:eastAsia="zh-CN" w:bidi="ar"/>
              </w:rPr>
            </w:pPr>
            <w:r>
              <w:rPr>
                <w:rStyle w:val="36"/>
                <w:rFonts w:hint="default" w:ascii="Times New Roman" w:hAnsi="Times New Roman" w:eastAsia="宋体" w:cs="Times New Roman"/>
                <w:b w:val="0"/>
                <w:bCs w:val="0"/>
                <w:color w:val="auto"/>
                <w:kern w:val="0"/>
                <w:sz w:val="21"/>
                <w:szCs w:val="21"/>
                <w:highlight w:val="none"/>
                <w:lang w:val="en-US" w:eastAsia="zh-CN" w:bidi="ar"/>
              </w:rPr>
              <w:t>刺激性：</w:t>
            </w:r>
            <w:r>
              <w:rPr>
                <w:rFonts w:hint="default" w:ascii="Times New Roman" w:hAnsi="Times New Roman" w:eastAsia="宋体" w:cs="Times New Roman"/>
                <w:b w:val="0"/>
                <w:bCs w:val="0"/>
                <w:color w:val="auto"/>
                <w:kern w:val="0"/>
                <w:sz w:val="21"/>
                <w:szCs w:val="21"/>
                <w:highlight w:val="none"/>
                <w:lang w:val="en-US" w:eastAsia="zh-CN" w:bidi="ar"/>
              </w:rPr>
              <w:t>对皮肤、眼睛和呼吸道粘膜具有强烈刺激性。兔经眼：严重刺激，可致角膜溃疡；兔皮肤：可致灼伤、皮炎 。</w:t>
            </w:r>
          </w:p>
        </w:tc>
      </w:tr>
      <w:tr w14:paraId="6AD5F8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0" w:hRule="atLeast"/>
          <w:jc w:val="center"/>
        </w:trPr>
        <w:tc>
          <w:tcPr>
            <w:tcW w:w="0" w:type="auto"/>
            <w:shd w:val="clear" w:color="auto" w:fill="auto"/>
            <w:vAlign w:val="center"/>
          </w:tcPr>
          <w:p w14:paraId="231584E4">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exact"/>
              <w:ind w:firstLine="0" w:firstLineChars="0"/>
              <w:jc w:val="center"/>
              <w:textAlignment w:val="top"/>
              <w:rPr>
                <w:rFonts w:hint="default" w:ascii="Times New Roman" w:hAnsi="Times New Roman" w:eastAsia="宋体" w:cs="Times New Roman"/>
                <w:b w:val="0"/>
                <w:bCs w:val="0"/>
                <w:color w:val="auto"/>
                <w:kern w:val="0"/>
                <w:sz w:val="21"/>
                <w:szCs w:val="21"/>
                <w:highlight w:val="none"/>
                <w:lang w:bidi="ar"/>
              </w:rPr>
            </w:pPr>
            <w:r>
              <w:rPr>
                <w:rFonts w:hint="default" w:ascii="Times New Roman" w:hAnsi="Times New Roman" w:eastAsia="宋体" w:cs="Times New Roman"/>
                <w:b w:val="0"/>
                <w:bCs w:val="0"/>
                <w:color w:val="auto"/>
                <w:kern w:val="0"/>
                <w:sz w:val="21"/>
                <w:szCs w:val="21"/>
                <w:highlight w:val="none"/>
                <w:lang w:bidi="ar"/>
              </w:rPr>
              <w:t>健康危害</w:t>
            </w:r>
          </w:p>
        </w:tc>
        <w:tc>
          <w:tcPr>
            <w:tcW w:w="0" w:type="auto"/>
            <w:gridSpan w:val="4"/>
            <w:shd w:val="clear" w:color="auto" w:fill="auto"/>
            <w:vAlign w:val="center"/>
          </w:tcPr>
          <w:p w14:paraId="39D701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本品具有腐蚀性和刺激性。吸入蒸气或雾滴可引起呼吸道刺激、化学性肺炎；液体或雾对眼有强烈刺激性，可致结膜、角膜灼伤甚至溃疡；皮肤接触可致皮炎、灼伤；误服腐蚀消化道，引起恶心、呕吐、腹痛、虚弱，严重者可致肾脏损害。</w:t>
            </w:r>
          </w:p>
        </w:tc>
      </w:tr>
      <w:tr w14:paraId="19B2EE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0" w:hRule="atLeast"/>
          <w:jc w:val="center"/>
        </w:trPr>
        <w:tc>
          <w:tcPr>
            <w:tcW w:w="0" w:type="auto"/>
            <w:shd w:val="clear" w:color="auto" w:fill="auto"/>
            <w:vAlign w:val="center"/>
          </w:tcPr>
          <w:p w14:paraId="7D9712EB">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exact"/>
              <w:ind w:firstLine="0" w:firstLineChars="0"/>
              <w:jc w:val="center"/>
              <w:textAlignment w:val="top"/>
              <w:rPr>
                <w:rFonts w:hint="default" w:ascii="Times New Roman" w:hAnsi="Times New Roman" w:eastAsia="宋体" w:cs="Times New Roman"/>
                <w:b w:val="0"/>
                <w:bCs w:val="0"/>
                <w:color w:val="auto"/>
                <w:kern w:val="0"/>
                <w:sz w:val="21"/>
                <w:szCs w:val="21"/>
                <w:highlight w:val="none"/>
                <w:lang w:bidi="ar"/>
              </w:rPr>
            </w:pPr>
            <w:r>
              <w:rPr>
                <w:rFonts w:hint="default" w:ascii="Times New Roman" w:hAnsi="Times New Roman" w:eastAsia="宋体" w:cs="Times New Roman"/>
                <w:b w:val="0"/>
                <w:bCs w:val="0"/>
                <w:color w:val="auto"/>
                <w:kern w:val="0"/>
                <w:sz w:val="21"/>
                <w:szCs w:val="21"/>
                <w:highlight w:val="none"/>
                <w:lang w:bidi="ar"/>
              </w:rPr>
              <w:t>急救措施</w:t>
            </w:r>
          </w:p>
        </w:tc>
        <w:tc>
          <w:tcPr>
            <w:tcW w:w="0" w:type="auto"/>
            <w:gridSpan w:val="4"/>
            <w:shd w:val="clear" w:color="auto" w:fill="auto"/>
            <w:vAlign w:val="center"/>
          </w:tcPr>
          <w:p w14:paraId="1A0AB1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default" w:ascii="Times New Roman" w:hAnsi="Times New Roman" w:eastAsia="宋体" w:cs="Times New Roman"/>
                <w:b w:val="0"/>
                <w:bCs w:val="0"/>
                <w:color w:val="auto"/>
                <w:kern w:val="0"/>
                <w:sz w:val="21"/>
                <w:szCs w:val="21"/>
                <w:highlight w:val="none"/>
                <w:lang w:val="en-US" w:eastAsia="zh-CN" w:bidi="ar"/>
              </w:rPr>
            </w:pPr>
            <w:r>
              <w:rPr>
                <w:rStyle w:val="36"/>
                <w:rFonts w:hint="default" w:ascii="Times New Roman" w:hAnsi="Times New Roman" w:eastAsia="宋体" w:cs="Times New Roman"/>
                <w:b w:val="0"/>
                <w:bCs w:val="0"/>
                <w:color w:val="auto"/>
                <w:kern w:val="0"/>
                <w:sz w:val="21"/>
                <w:szCs w:val="21"/>
                <w:highlight w:val="none"/>
                <w:lang w:val="en-US" w:eastAsia="zh-CN" w:bidi="ar"/>
              </w:rPr>
              <w:t>皮肤接触：</w:t>
            </w:r>
            <w:r>
              <w:rPr>
                <w:rFonts w:hint="default" w:ascii="Times New Roman" w:hAnsi="Times New Roman" w:eastAsia="宋体" w:cs="Times New Roman"/>
                <w:b w:val="0"/>
                <w:bCs w:val="0"/>
                <w:color w:val="auto"/>
                <w:kern w:val="0"/>
                <w:sz w:val="21"/>
                <w:szCs w:val="21"/>
                <w:highlight w:val="none"/>
                <w:lang w:val="en-US" w:eastAsia="zh-CN" w:bidi="ar"/>
              </w:rPr>
              <w:t>立即脱去污染衣物，用大量流动清水冲洗至少15分钟。就医。</w:t>
            </w:r>
          </w:p>
          <w:p w14:paraId="6C0BB4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default" w:ascii="Times New Roman" w:hAnsi="Times New Roman" w:eastAsia="宋体" w:cs="Times New Roman"/>
                <w:b w:val="0"/>
                <w:bCs w:val="0"/>
                <w:color w:val="auto"/>
                <w:kern w:val="0"/>
                <w:sz w:val="21"/>
                <w:szCs w:val="21"/>
                <w:highlight w:val="none"/>
                <w:lang w:val="en-US" w:eastAsia="zh-CN" w:bidi="ar"/>
              </w:rPr>
            </w:pPr>
            <w:r>
              <w:rPr>
                <w:rStyle w:val="36"/>
                <w:rFonts w:hint="default" w:ascii="Times New Roman" w:hAnsi="Times New Roman" w:eastAsia="宋体" w:cs="Times New Roman"/>
                <w:b w:val="0"/>
                <w:bCs w:val="0"/>
                <w:color w:val="auto"/>
                <w:kern w:val="0"/>
                <w:sz w:val="21"/>
                <w:szCs w:val="21"/>
                <w:highlight w:val="none"/>
                <w:lang w:val="en-US" w:eastAsia="zh-CN" w:bidi="ar"/>
              </w:rPr>
              <w:t>眼睛接触：</w:t>
            </w:r>
            <w:r>
              <w:rPr>
                <w:rFonts w:hint="default" w:ascii="Times New Roman" w:hAnsi="Times New Roman" w:eastAsia="宋体" w:cs="Times New Roman"/>
                <w:b w:val="0"/>
                <w:bCs w:val="0"/>
                <w:color w:val="auto"/>
                <w:kern w:val="0"/>
                <w:sz w:val="21"/>
                <w:szCs w:val="21"/>
                <w:highlight w:val="none"/>
                <w:lang w:val="en-US" w:eastAsia="zh-CN" w:bidi="ar"/>
              </w:rPr>
              <w:t>立即提起眼睑，用大量流动清水或生理盐水彻底冲洗至少15分钟。就医（若有隐形眼镜请先取下）。</w:t>
            </w:r>
          </w:p>
          <w:p w14:paraId="663D31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default" w:ascii="Times New Roman" w:hAnsi="Times New Roman" w:eastAsia="宋体" w:cs="Times New Roman"/>
                <w:b w:val="0"/>
                <w:bCs w:val="0"/>
                <w:color w:val="auto"/>
                <w:kern w:val="0"/>
                <w:sz w:val="21"/>
                <w:szCs w:val="21"/>
                <w:highlight w:val="none"/>
                <w:lang w:val="en-US" w:eastAsia="zh-CN" w:bidi="ar"/>
              </w:rPr>
            </w:pPr>
            <w:r>
              <w:rPr>
                <w:rStyle w:val="36"/>
                <w:rFonts w:hint="default" w:ascii="Times New Roman" w:hAnsi="Times New Roman" w:eastAsia="宋体" w:cs="Times New Roman"/>
                <w:b w:val="0"/>
                <w:bCs w:val="0"/>
                <w:color w:val="auto"/>
                <w:kern w:val="0"/>
                <w:sz w:val="21"/>
                <w:szCs w:val="21"/>
                <w:highlight w:val="none"/>
                <w:lang w:val="en-US" w:eastAsia="zh-CN" w:bidi="ar"/>
              </w:rPr>
              <w:t>吸入：</w:t>
            </w:r>
            <w:r>
              <w:rPr>
                <w:rFonts w:hint="default" w:ascii="Times New Roman" w:hAnsi="Times New Roman" w:eastAsia="宋体" w:cs="Times New Roman"/>
                <w:b w:val="0"/>
                <w:bCs w:val="0"/>
                <w:color w:val="auto"/>
                <w:kern w:val="0"/>
                <w:sz w:val="21"/>
                <w:szCs w:val="21"/>
                <w:highlight w:val="none"/>
                <w:lang w:val="en-US" w:eastAsia="zh-CN" w:bidi="ar"/>
              </w:rPr>
              <w:t>迅速脱离现场至空气新鲜处，保持呼吸道通畅。呼吸困难时给氧，呼吸停止立即人工呼吸。就医。</w:t>
            </w:r>
          </w:p>
          <w:p w14:paraId="3FABBE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default" w:ascii="Times New Roman" w:hAnsi="Times New Roman" w:eastAsia="宋体" w:cs="Times New Roman"/>
                <w:b w:val="0"/>
                <w:bCs w:val="0"/>
                <w:color w:val="auto"/>
                <w:kern w:val="0"/>
                <w:sz w:val="21"/>
                <w:szCs w:val="21"/>
                <w:highlight w:val="none"/>
                <w:lang w:val="en-US" w:eastAsia="zh-CN" w:bidi="ar"/>
              </w:rPr>
            </w:pPr>
            <w:r>
              <w:rPr>
                <w:rStyle w:val="36"/>
                <w:rFonts w:hint="default" w:ascii="Times New Roman" w:hAnsi="Times New Roman" w:eastAsia="宋体" w:cs="Times New Roman"/>
                <w:b w:val="0"/>
                <w:bCs w:val="0"/>
                <w:color w:val="auto"/>
                <w:kern w:val="0"/>
                <w:sz w:val="21"/>
                <w:szCs w:val="21"/>
                <w:highlight w:val="none"/>
                <w:lang w:val="en-US" w:eastAsia="zh-CN" w:bidi="ar"/>
              </w:rPr>
              <w:t>食入：</w:t>
            </w:r>
            <w:r>
              <w:rPr>
                <w:rFonts w:hint="default" w:ascii="Times New Roman" w:hAnsi="Times New Roman" w:eastAsia="宋体" w:cs="Times New Roman"/>
                <w:b w:val="0"/>
                <w:bCs w:val="0"/>
                <w:color w:val="auto"/>
                <w:kern w:val="0"/>
                <w:sz w:val="21"/>
                <w:szCs w:val="21"/>
                <w:highlight w:val="none"/>
                <w:lang w:val="en-US" w:eastAsia="zh-CN" w:bidi="ar"/>
              </w:rPr>
              <w:t>漱口，饮牛奶或蛋清（切勿催吐）。立即就医 。</w:t>
            </w:r>
          </w:p>
        </w:tc>
      </w:tr>
      <w:tr w14:paraId="6AF87C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0" w:hRule="atLeast"/>
          <w:jc w:val="center"/>
        </w:trPr>
        <w:tc>
          <w:tcPr>
            <w:tcW w:w="0" w:type="auto"/>
            <w:shd w:val="clear" w:color="auto" w:fill="auto"/>
            <w:vAlign w:val="center"/>
          </w:tcPr>
          <w:p w14:paraId="295B4D99">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exact"/>
              <w:ind w:firstLine="0" w:firstLineChars="0"/>
              <w:jc w:val="center"/>
              <w:textAlignment w:val="top"/>
              <w:rPr>
                <w:rFonts w:hint="default" w:ascii="Times New Roman" w:hAnsi="Times New Roman" w:eastAsia="宋体" w:cs="Times New Roman"/>
                <w:b w:val="0"/>
                <w:bCs w:val="0"/>
                <w:color w:val="auto"/>
                <w:kern w:val="0"/>
                <w:sz w:val="21"/>
                <w:szCs w:val="21"/>
                <w:highlight w:val="none"/>
                <w:lang w:bidi="ar"/>
              </w:rPr>
            </w:pPr>
            <w:r>
              <w:rPr>
                <w:rFonts w:hint="default" w:ascii="Times New Roman" w:hAnsi="Times New Roman" w:eastAsia="宋体" w:cs="Times New Roman"/>
                <w:b w:val="0"/>
                <w:bCs w:val="0"/>
                <w:color w:val="auto"/>
                <w:kern w:val="0"/>
                <w:sz w:val="21"/>
                <w:szCs w:val="21"/>
                <w:highlight w:val="none"/>
                <w:lang w:bidi="ar"/>
              </w:rPr>
              <w:t>防护</w:t>
            </w:r>
          </w:p>
        </w:tc>
        <w:tc>
          <w:tcPr>
            <w:tcW w:w="0" w:type="auto"/>
            <w:gridSpan w:val="4"/>
            <w:shd w:val="clear" w:color="auto" w:fill="auto"/>
            <w:vAlign w:val="center"/>
          </w:tcPr>
          <w:p w14:paraId="088FC3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default" w:ascii="Times New Roman" w:hAnsi="Times New Roman" w:eastAsia="宋体" w:cs="Times New Roman"/>
                <w:b w:val="0"/>
                <w:bCs w:val="0"/>
                <w:color w:val="auto"/>
                <w:kern w:val="0"/>
                <w:sz w:val="21"/>
                <w:szCs w:val="21"/>
                <w:highlight w:val="none"/>
                <w:lang w:val="en-US" w:eastAsia="zh-CN" w:bidi="ar"/>
              </w:rPr>
            </w:pPr>
            <w:r>
              <w:rPr>
                <w:rStyle w:val="36"/>
                <w:rFonts w:hint="default" w:ascii="Times New Roman" w:hAnsi="Times New Roman" w:eastAsia="宋体" w:cs="Times New Roman"/>
                <w:b w:val="0"/>
                <w:bCs w:val="0"/>
                <w:color w:val="auto"/>
                <w:kern w:val="0"/>
                <w:sz w:val="21"/>
                <w:szCs w:val="21"/>
                <w:highlight w:val="none"/>
                <w:lang w:val="en-US" w:eastAsia="zh-CN" w:bidi="ar"/>
              </w:rPr>
              <w:t>操作注意事项：</w:t>
            </w:r>
            <w:r>
              <w:rPr>
                <w:rFonts w:hint="default" w:ascii="Times New Roman" w:hAnsi="Times New Roman" w:eastAsia="宋体" w:cs="Times New Roman"/>
                <w:b w:val="0"/>
                <w:bCs w:val="0"/>
                <w:color w:val="auto"/>
                <w:kern w:val="0"/>
                <w:sz w:val="21"/>
                <w:szCs w:val="21"/>
                <w:highlight w:val="none"/>
                <w:lang w:val="en-US" w:eastAsia="zh-CN" w:bidi="ar"/>
              </w:rPr>
              <w:t>密闭操作，加强通风。操作人员必须经过专门培训，严格遵守规程。建议佩戴防尘面具（全面罩）、穿连衣式胶布防毒衣、戴橡胶耐油手套。避免产生粉尘或气溶胶。避免与氧化剂、酸类接触。搬运轻装轻卸，防止包装损坏。配备泄漏应急设备。</w:t>
            </w:r>
          </w:p>
          <w:p w14:paraId="36F393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default" w:ascii="Times New Roman" w:hAnsi="Times New Roman" w:eastAsia="宋体" w:cs="Times New Roman"/>
                <w:b w:val="0"/>
                <w:bCs w:val="0"/>
                <w:color w:val="auto"/>
                <w:kern w:val="0"/>
                <w:sz w:val="21"/>
                <w:szCs w:val="21"/>
                <w:highlight w:val="none"/>
                <w:lang w:val="en-US" w:eastAsia="zh-CN" w:bidi="ar"/>
              </w:rPr>
            </w:pPr>
            <w:r>
              <w:rPr>
                <w:rStyle w:val="36"/>
                <w:rFonts w:hint="default" w:ascii="Times New Roman" w:hAnsi="Times New Roman" w:eastAsia="宋体" w:cs="Times New Roman"/>
                <w:b w:val="0"/>
                <w:bCs w:val="0"/>
                <w:color w:val="auto"/>
                <w:kern w:val="0"/>
                <w:sz w:val="21"/>
                <w:szCs w:val="21"/>
                <w:highlight w:val="none"/>
                <w:lang w:val="en-US" w:eastAsia="zh-CN" w:bidi="ar"/>
              </w:rPr>
              <w:t>工程控制：</w:t>
            </w:r>
            <w:r>
              <w:rPr>
                <w:rFonts w:hint="default" w:ascii="Times New Roman" w:hAnsi="Times New Roman" w:eastAsia="宋体" w:cs="Times New Roman"/>
                <w:b w:val="0"/>
                <w:bCs w:val="0"/>
                <w:color w:val="auto"/>
                <w:kern w:val="0"/>
                <w:sz w:val="21"/>
                <w:szCs w:val="21"/>
                <w:highlight w:val="none"/>
                <w:lang w:val="en-US" w:eastAsia="zh-CN" w:bidi="ar"/>
              </w:rPr>
              <w:t>生产过程密闭，全面通风。设置冲淋洗眼设备。</w:t>
            </w:r>
          </w:p>
        </w:tc>
      </w:tr>
      <w:tr w14:paraId="1A877D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0" w:hRule="atLeast"/>
          <w:jc w:val="center"/>
        </w:trPr>
        <w:tc>
          <w:tcPr>
            <w:tcW w:w="0" w:type="auto"/>
            <w:shd w:val="clear" w:color="auto" w:fill="auto"/>
            <w:vAlign w:val="center"/>
          </w:tcPr>
          <w:p w14:paraId="2BF71126">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exact"/>
              <w:ind w:firstLine="0" w:firstLineChars="0"/>
              <w:jc w:val="center"/>
              <w:textAlignment w:val="top"/>
              <w:rPr>
                <w:rFonts w:hint="default" w:ascii="Times New Roman" w:hAnsi="Times New Roman" w:eastAsia="宋体" w:cs="Times New Roman"/>
                <w:b w:val="0"/>
                <w:bCs w:val="0"/>
                <w:color w:val="auto"/>
                <w:kern w:val="0"/>
                <w:sz w:val="21"/>
                <w:szCs w:val="21"/>
                <w:highlight w:val="none"/>
                <w:lang w:bidi="ar"/>
              </w:rPr>
            </w:pPr>
            <w:r>
              <w:rPr>
                <w:rFonts w:hint="default" w:ascii="Times New Roman" w:hAnsi="Times New Roman" w:eastAsia="宋体" w:cs="Times New Roman"/>
                <w:b w:val="0"/>
                <w:bCs w:val="0"/>
                <w:color w:val="auto"/>
                <w:kern w:val="0"/>
                <w:sz w:val="21"/>
                <w:szCs w:val="21"/>
                <w:highlight w:val="none"/>
                <w:lang w:bidi="ar"/>
              </w:rPr>
              <w:t>应急处理</w:t>
            </w:r>
          </w:p>
        </w:tc>
        <w:tc>
          <w:tcPr>
            <w:tcW w:w="0" w:type="auto"/>
            <w:gridSpan w:val="4"/>
            <w:shd w:val="clear" w:color="auto" w:fill="auto"/>
            <w:vAlign w:val="center"/>
          </w:tcPr>
          <w:p w14:paraId="03DA63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迅速撤离泄漏污染区人员至安全区，隔离，严格限制出入。建议应急人员戴正压自给式呼吸器、穿防毒服。尽可能切断泄漏源。</w:t>
            </w:r>
          </w:p>
          <w:p w14:paraId="531765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default" w:ascii="Times New Roman" w:hAnsi="Times New Roman" w:eastAsia="宋体" w:cs="Times New Roman"/>
                <w:b w:val="0"/>
                <w:bCs w:val="0"/>
                <w:color w:val="auto"/>
                <w:kern w:val="0"/>
                <w:sz w:val="21"/>
                <w:szCs w:val="21"/>
                <w:highlight w:val="none"/>
                <w:lang w:val="en-US" w:eastAsia="zh-CN" w:bidi="ar"/>
              </w:rPr>
            </w:pPr>
            <w:r>
              <w:rPr>
                <w:rStyle w:val="36"/>
                <w:rFonts w:hint="default" w:ascii="Times New Roman" w:hAnsi="Times New Roman" w:eastAsia="宋体" w:cs="Times New Roman"/>
                <w:b w:val="0"/>
                <w:bCs w:val="0"/>
                <w:color w:val="auto"/>
                <w:kern w:val="0"/>
                <w:sz w:val="21"/>
                <w:szCs w:val="21"/>
                <w:highlight w:val="none"/>
                <w:lang w:val="en-US" w:eastAsia="zh-CN" w:bidi="ar"/>
              </w:rPr>
              <w:t>小量泄漏（液体）：</w:t>
            </w:r>
            <w:r>
              <w:rPr>
                <w:rFonts w:hint="default" w:ascii="Times New Roman" w:hAnsi="Times New Roman" w:eastAsia="宋体" w:cs="Times New Roman"/>
                <w:b w:val="0"/>
                <w:bCs w:val="0"/>
                <w:color w:val="auto"/>
                <w:kern w:val="0"/>
                <w:sz w:val="21"/>
                <w:szCs w:val="21"/>
                <w:highlight w:val="none"/>
                <w:lang w:val="en-US" w:eastAsia="zh-CN" w:bidi="ar"/>
              </w:rPr>
              <w:t>用大量水冲洗，洗水稀释后放入废水系统。</w:t>
            </w:r>
          </w:p>
          <w:p w14:paraId="2B91FC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default" w:ascii="Times New Roman" w:hAnsi="Times New Roman" w:eastAsia="宋体" w:cs="Times New Roman"/>
                <w:b w:val="0"/>
                <w:bCs w:val="0"/>
                <w:color w:val="auto"/>
                <w:kern w:val="0"/>
                <w:sz w:val="21"/>
                <w:szCs w:val="21"/>
                <w:highlight w:val="none"/>
                <w:lang w:val="en-US" w:eastAsia="zh-CN" w:bidi="ar"/>
              </w:rPr>
            </w:pPr>
            <w:r>
              <w:rPr>
                <w:rStyle w:val="36"/>
                <w:rFonts w:hint="default" w:ascii="Times New Roman" w:hAnsi="Times New Roman" w:eastAsia="宋体" w:cs="Times New Roman"/>
                <w:b w:val="0"/>
                <w:bCs w:val="0"/>
                <w:color w:val="auto"/>
                <w:kern w:val="0"/>
                <w:sz w:val="21"/>
                <w:szCs w:val="21"/>
                <w:highlight w:val="none"/>
                <w:lang w:val="en-US" w:eastAsia="zh-CN" w:bidi="ar"/>
              </w:rPr>
              <w:t>大量泄漏（液体）：</w:t>
            </w:r>
            <w:r>
              <w:rPr>
                <w:rFonts w:hint="default" w:ascii="Times New Roman" w:hAnsi="Times New Roman" w:eastAsia="宋体" w:cs="Times New Roman"/>
                <w:b w:val="0"/>
                <w:bCs w:val="0"/>
                <w:color w:val="auto"/>
                <w:kern w:val="0"/>
                <w:sz w:val="21"/>
                <w:szCs w:val="21"/>
                <w:highlight w:val="none"/>
                <w:lang w:val="en-US" w:eastAsia="zh-CN" w:bidi="ar"/>
              </w:rPr>
              <w:t>构筑围堤收容，用泵转移至专用收集器内。</w:t>
            </w:r>
          </w:p>
          <w:p w14:paraId="29521D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default" w:ascii="Times New Roman" w:hAnsi="Times New Roman" w:eastAsia="宋体" w:cs="Times New Roman"/>
                <w:b w:val="0"/>
                <w:bCs w:val="0"/>
                <w:color w:val="auto"/>
                <w:kern w:val="0"/>
                <w:sz w:val="21"/>
                <w:szCs w:val="21"/>
                <w:highlight w:val="none"/>
                <w:lang w:val="en-US" w:eastAsia="zh-CN" w:bidi="ar"/>
              </w:rPr>
            </w:pPr>
            <w:r>
              <w:rPr>
                <w:rStyle w:val="36"/>
                <w:rFonts w:hint="default" w:ascii="Times New Roman" w:hAnsi="Times New Roman" w:eastAsia="宋体" w:cs="Times New Roman"/>
                <w:b w:val="0"/>
                <w:bCs w:val="0"/>
                <w:color w:val="auto"/>
                <w:kern w:val="0"/>
                <w:sz w:val="21"/>
                <w:szCs w:val="21"/>
                <w:highlight w:val="none"/>
                <w:lang w:val="en-US" w:eastAsia="zh-CN" w:bidi="ar"/>
              </w:rPr>
              <w:t>固体泄漏：</w:t>
            </w:r>
            <w:r>
              <w:rPr>
                <w:rFonts w:hint="default" w:ascii="Times New Roman" w:hAnsi="Times New Roman" w:eastAsia="宋体" w:cs="Times New Roman"/>
                <w:b w:val="0"/>
                <w:bCs w:val="0"/>
                <w:color w:val="auto"/>
                <w:kern w:val="0"/>
                <w:sz w:val="21"/>
                <w:szCs w:val="21"/>
                <w:highlight w:val="none"/>
                <w:lang w:val="en-US" w:eastAsia="zh-CN" w:bidi="ar"/>
              </w:rPr>
              <w:t>用洁净铲子收集于干燥、有盖容器中。若大量泄漏，收集回收或运至废物处理场所。</w:t>
            </w:r>
          </w:p>
        </w:tc>
      </w:tr>
      <w:tr w14:paraId="178415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0" w:hRule="atLeast"/>
          <w:jc w:val="center"/>
        </w:trPr>
        <w:tc>
          <w:tcPr>
            <w:tcW w:w="0" w:type="auto"/>
            <w:shd w:val="clear" w:color="auto" w:fill="auto"/>
            <w:vAlign w:val="center"/>
          </w:tcPr>
          <w:p w14:paraId="70C0A704">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exact"/>
              <w:ind w:firstLine="0" w:firstLineChars="0"/>
              <w:jc w:val="center"/>
              <w:textAlignment w:val="top"/>
              <w:rPr>
                <w:rFonts w:hint="default" w:ascii="Times New Roman" w:hAnsi="Times New Roman" w:eastAsia="宋体" w:cs="Times New Roman"/>
                <w:b w:val="0"/>
                <w:bCs w:val="0"/>
                <w:color w:val="auto"/>
                <w:kern w:val="0"/>
                <w:sz w:val="21"/>
                <w:szCs w:val="21"/>
                <w:highlight w:val="none"/>
                <w:lang w:bidi="ar"/>
              </w:rPr>
            </w:pPr>
            <w:r>
              <w:rPr>
                <w:rFonts w:hint="default" w:ascii="Times New Roman" w:hAnsi="Times New Roman" w:eastAsia="宋体" w:cs="Times New Roman"/>
                <w:b w:val="0"/>
                <w:bCs w:val="0"/>
                <w:color w:val="auto"/>
                <w:kern w:val="0"/>
                <w:sz w:val="21"/>
                <w:szCs w:val="21"/>
                <w:highlight w:val="none"/>
                <w:lang w:bidi="ar"/>
              </w:rPr>
              <w:t>储运</w:t>
            </w:r>
          </w:p>
        </w:tc>
        <w:tc>
          <w:tcPr>
            <w:tcW w:w="0" w:type="auto"/>
            <w:gridSpan w:val="4"/>
            <w:shd w:val="clear" w:color="auto" w:fill="auto"/>
            <w:vAlign w:val="center"/>
          </w:tcPr>
          <w:p w14:paraId="208310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default" w:ascii="Times New Roman" w:hAnsi="Times New Roman" w:eastAsia="宋体" w:cs="Times New Roman"/>
                <w:b w:val="0"/>
                <w:bCs w:val="0"/>
                <w:color w:val="auto"/>
                <w:kern w:val="0"/>
                <w:sz w:val="21"/>
                <w:szCs w:val="21"/>
                <w:highlight w:val="none"/>
                <w:lang w:val="en-US" w:eastAsia="zh-CN" w:bidi="ar"/>
              </w:rPr>
            </w:pPr>
            <w:r>
              <w:rPr>
                <w:rStyle w:val="36"/>
                <w:rFonts w:hint="default" w:ascii="Times New Roman" w:hAnsi="Times New Roman" w:eastAsia="宋体" w:cs="Times New Roman"/>
                <w:b w:val="0"/>
                <w:bCs w:val="0"/>
                <w:color w:val="auto"/>
                <w:kern w:val="0"/>
                <w:sz w:val="21"/>
                <w:szCs w:val="21"/>
                <w:highlight w:val="none"/>
                <w:lang w:val="en-US" w:eastAsia="zh-CN" w:bidi="ar"/>
              </w:rPr>
              <w:t>储存：</w:t>
            </w:r>
            <w:r>
              <w:rPr>
                <w:rFonts w:hint="default" w:ascii="Times New Roman" w:hAnsi="Times New Roman" w:eastAsia="宋体" w:cs="Times New Roman"/>
                <w:b w:val="0"/>
                <w:bCs w:val="0"/>
                <w:color w:val="auto"/>
                <w:kern w:val="0"/>
                <w:sz w:val="21"/>
                <w:szCs w:val="21"/>
                <w:highlight w:val="none"/>
                <w:lang w:val="en-US" w:eastAsia="zh-CN" w:bidi="ar"/>
              </w:rPr>
              <w:t>储存于阴凉、通风库房。远离火种、热源。应与氧化剂、酸类、食用化学品分开存放，切忌混储。</w:t>
            </w:r>
            <w:r>
              <w:rPr>
                <w:rFonts w:hint="eastAsia" w:cs="Times New Roman"/>
                <w:b w:val="0"/>
                <w:bCs w:val="0"/>
                <w:color w:val="auto"/>
                <w:kern w:val="0"/>
                <w:sz w:val="21"/>
                <w:szCs w:val="21"/>
                <w:highlight w:val="none"/>
                <w:lang w:val="en-US" w:eastAsia="zh-CN" w:bidi="ar"/>
              </w:rPr>
              <w:t>储</w:t>
            </w:r>
            <w:r>
              <w:rPr>
                <w:rFonts w:hint="default" w:ascii="Times New Roman" w:hAnsi="Times New Roman" w:eastAsia="宋体" w:cs="Times New Roman"/>
                <w:b w:val="0"/>
                <w:bCs w:val="0"/>
                <w:color w:val="auto"/>
                <w:kern w:val="0"/>
                <w:sz w:val="21"/>
                <w:szCs w:val="21"/>
                <w:highlight w:val="none"/>
                <w:lang w:val="en-US" w:eastAsia="zh-CN" w:bidi="ar"/>
              </w:rPr>
              <w:t>备泄漏应急处理设备和收容材料 [citation:5][citation:9]。</w:t>
            </w:r>
          </w:p>
          <w:p w14:paraId="2D10FC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exact"/>
              <w:ind w:left="0" w:right="0"/>
              <w:jc w:val="left"/>
              <w:rPr>
                <w:rFonts w:hint="default" w:ascii="Times New Roman" w:hAnsi="Times New Roman" w:eastAsia="宋体" w:cs="Times New Roman"/>
                <w:b w:val="0"/>
                <w:bCs w:val="0"/>
                <w:color w:val="auto"/>
                <w:kern w:val="0"/>
                <w:sz w:val="21"/>
                <w:szCs w:val="21"/>
                <w:highlight w:val="none"/>
                <w:lang w:val="en-US" w:eastAsia="zh-CN" w:bidi="ar"/>
              </w:rPr>
            </w:pPr>
            <w:r>
              <w:rPr>
                <w:rStyle w:val="36"/>
                <w:rFonts w:hint="default" w:ascii="Times New Roman" w:hAnsi="Times New Roman" w:eastAsia="宋体" w:cs="Times New Roman"/>
                <w:b w:val="0"/>
                <w:bCs w:val="0"/>
                <w:color w:val="auto"/>
                <w:kern w:val="0"/>
                <w:sz w:val="21"/>
                <w:szCs w:val="21"/>
                <w:highlight w:val="none"/>
                <w:lang w:val="en-US" w:eastAsia="zh-CN" w:bidi="ar"/>
              </w:rPr>
              <w:t>运输：</w:t>
            </w:r>
            <w:r>
              <w:rPr>
                <w:rFonts w:hint="default" w:ascii="Times New Roman" w:hAnsi="Times New Roman" w:eastAsia="宋体" w:cs="Times New Roman"/>
                <w:b w:val="0"/>
                <w:bCs w:val="0"/>
                <w:color w:val="auto"/>
                <w:kern w:val="0"/>
                <w:sz w:val="21"/>
                <w:szCs w:val="21"/>
                <w:highlight w:val="none"/>
                <w:lang w:val="en-US" w:eastAsia="zh-CN" w:bidi="ar"/>
              </w:rPr>
              <w:t>运输前检查包装是否完整密封。严禁与氧化剂、酸类、食用化学品等混装混运。公路运输按规定路线行驶，勿在居民区停留。铁路运输禁止溜放。搬运轻装轻卸，防止包装及容器损坏 。</w:t>
            </w:r>
          </w:p>
        </w:tc>
      </w:tr>
    </w:tbl>
    <w:p w14:paraId="5BFACE1C">
      <w:pPr>
        <w:adjustRightInd w:val="0"/>
        <w:snapToGrid w:val="0"/>
        <w:ind w:firstLine="0" w:firstLineChars="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表3.</w:t>
      </w:r>
      <w:r>
        <w:rPr>
          <w:rFonts w:hint="default" w:ascii="Times New Roman" w:hAnsi="Times New Roman" w:cs="Times New Roman"/>
          <w:b/>
          <w:color w:val="auto"/>
          <w:highlight w:val="none"/>
          <w:lang w:val="en-US" w:eastAsia="zh-CN"/>
        </w:rPr>
        <w:t>1</w:t>
      </w:r>
      <w:r>
        <w:rPr>
          <w:rFonts w:hint="default" w:ascii="Times New Roman" w:hAnsi="Times New Roman" w:cs="Times New Roman"/>
          <w:b/>
          <w:color w:val="auto"/>
          <w:highlight w:val="none"/>
        </w:rPr>
        <w:t>-</w:t>
      </w:r>
      <w:r>
        <w:rPr>
          <w:rFonts w:hint="default" w:ascii="Times New Roman" w:hAnsi="Times New Roman" w:cs="Times New Roman"/>
          <w:b/>
          <w:color w:val="auto"/>
          <w:highlight w:val="none"/>
          <w:lang w:val="en-US" w:eastAsia="zh-CN"/>
        </w:rPr>
        <w:t>6</w:t>
      </w:r>
      <w:r>
        <w:rPr>
          <w:rFonts w:hint="default" w:ascii="Times New Roman" w:hAnsi="Times New Roman" w:cs="Times New Roman"/>
          <w:b/>
          <w:color w:val="auto"/>
          <w:highlight w:val="none"/>
        </w:rPr>
        <w:t xml:space="preserve">    </w:t>
      </w:r>
      <w:r>
        <w:rPr>
          <w:rFonts w:hint="default" w:ascii="Times New Roman" w:hAnsi="Times New Roman" w:cs="Times New Roman"/>
          <w:b/>
          <w:color w:val="auto"/>
          <w:highlight w:val="none"/>
          <w:lang w:eastAsia="zh-CN"/>
        </w:rPr>
        <w:t>油酸</w:t>
      </w:r>
      <w:r>
        <w:rPr>
          <w:rFonts w:hint="default" w:ascii="Times New Roman" w:hAnsi="Times New Roman" w:cs="Times New Roman"/>
          <w:b/>
          <w:color w:val="auto"/>
          <w:highlight w:val="none"/>
        </w:rPr>
        <w:t>理化性质特性一览表</w:t>
      </w:r>
    </w:p>
    <w:tbl>
      <w:tblPr>
        <w:tblStyle w:val="99"/>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535"/>
        <w:gridCol w:w="2592"/>
        <w:gridCol w:w="1979"/>
        <w:gridCol w:w="2882"/>
      </w:tblGrid>
      <w:tr w14:paraId="329942E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164" w:type="dxa"/>
            <w:gridSpan w:val="4"/>
            <w:vAlign w:val="center"/>
          </w:tcPr>
          <w:p w14:paraId="2288128C">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b/>
                <w:bCs/>
                <w:color w:val="auto"/>
                <w:sz w:val="21"/>
                <w:szCs w:val="21"/>
                <w:highlight w:val="none"/>
                <w:lang w:eastAsia="en-US"/>
              </w:rPr>
              <w:t>理化性质</w:t>
            </w:r>
          </w:p>
        </w:tc>
      </w:tr>
      <w:tr w14:paraId="02BF382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65" w:type="dxa"/>
            <w:vAlign w:val="center"/>
          </w:tcPr>
          <w:p w14:paraId="39CE40FC">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结构式</w:t>
            </w:r>
          </w:p>
        </w:tc>
        <w:tc>
          <w:tcPr>
            <w:tcW w:w="2643" w:type="dxa"/>
            <w:vAlign w:val="center"/>
          </w:tcPr>
          <w:p w14:paraId="659665F0">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C</w:t>
            </w:r>
            <w:r>
              <w:rPr>
                <w:rFonts w:hint="default" w:ascii="Times New Roman" w:hAnsi="Times New Roman" w:cs="Times New Roman"/>
                <w:color w:val="auto"/>
                <w:sz w:val="21"/>
                <w:szCs w:val="21"/>
                <w:highlight w:val="none"/>
                <w:vertAlign w:val="subscript"/>
                <w:lang w:eastAsia="en-US"/>
              </w:rPr>
              <w:t>18</w:t>
            </w:r>
            <w:r>
              <w:rPr>
                <w:rFonts w:hint="default" w:ascii="Times New Roman" w:hAnsi="Times New Roman" w:cs="Times New Roman"/>
                <w:color w:val="auto"/>
                <w:sz w:val="21"/>
                <w:szCs w:val="21"/>
                <w:highlight w:val="none"/>
                <w:lang w:eastAsia="en-US"/>
              </w:rPr>
              <w:t>H</w:t>
            </w:r>
            <w:r>
              <w:rPr>
                <w:rFonts w:hint="default" w:ascii="Times New Roman" w:hAnsi="Times New Roman" w:cs="Times New Roman"/>
                <w:color w:val="auto"/>
                <w:sz w:val="21"/>
                <w:szCs w:val="21"/>
                <w:highlight w:val="none"/>
                <w:vertAlign w:val="subscript"/>
                <w:lang w:eastAsia="en-US"/>
              </w:rPr>
              <w:t>34</w:t>
            </w:r>
            <w:r>
              <w:rPr>
                <w:rFonts w:hint="default" w:ascii="Times New Roman" w:hAnsi="Times New Roman" w:cs="Times New Roman"/>
                <w:color w:val="auto"/>
                <w:sz w:val="21"/>
                <w:szCs w:val="21"/>
                <w:highlight w:val="none"/>
                <w:lang w:eastAsia="en-US"/>
              </w:rPr>
              <w:t>O</w:t>
            </w:r>
            <w:r>
              <w:rPr>
                <w:rFonts w:hint="default" w:ascii="Times New Roman" w:hAnsi="Times New Roman" w:cs="Times New Roman"/>
                <w:color w:val="auto"/>
                <w:sz w:val="21"/>
                <w:szCs w:val="21"/>
                <w:highlight w:val="none"/>
                <w:vertAlign w:val="subscript"/>
                <w:lang w:eastAsia="en-US"/>
              </w:rPr>
              <w:t>2</w:t>
            </w:r>
          </w:p>
        </w:tc>
        <w:tc>
          <w:tcPr>
            <w:tcW w:w="2018" w:type="dxa"/>
            <w:vAlign w:val="center"/>
          </w:tcPr>
          <w:p w14:paraId="3D828C20">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分子量</w:t>
            </w:r>
          </w:p>
        </w:tc>
        <w:tc>
          <w:tcPr>
            <w:tcW w:w="2938" w:type="dxa"/>
            <w:vAlign w:val="center"/>
          </w:tcPr>
          <w:p w14:paraId="54B2B0E6">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282.461</w:t>
            </w:r>
          </w:p>
        </w:tc>
      </w:tr>
      <w:tr w14:paraId="2122688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65" w:type="dxa"/>
            <w:vAlign w:val="center"/>
          </w:tcPr>
          <w:p w14:paraId="50402DA4">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外观与性状</w:t>
            </w:r>
          </w:p>
        </w:tc>
        <w:tc>
          <w:tcPr>
            <w:tcW w:w="7599" w:type="dxa"/>
            <w:gridSpan w:val="3"/>
            <w:vAlign w:val="center"/>
          </w:tcPr>
          <w:p w14:paraId="66C0061A">
            <w:pPr>
              <w:spacing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无色至淡黄色粘性液体，有类似猪油的气味。久置空气中颜色会逐渐变深。</w:t>
            </w:r>
          </w:p>
        </w:tc>
      </w:tr>
      <w:tr w14:paraId="1ACF55B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65" w:type="dxa"/>
            <w:vAlign w:val="center"/>
          </w:tcPr>
          <w:p w14:paraId="69CBADB6">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熔点（℃）</w:t>
            </w:r>
          </w:p>
        </w:tc>
        <w:tc>
          <w:tcPr>
            <w:tcW w:w="2643" w:type="dxa"/>
            <w:vAlign w:val="center"/>
          </w:tcPr>
          <w:p w14:paraId="097276EB">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13-14</w:t>
            </w:r>
          </w:p>
        </w:tc>
        <w:tc>
          <w:tcPr>
            <w:tcW w:w="2018" w:type="dxa"/>
            <w:vAlign w:val="center"/>
          </w:tcPr>
          <w:p w14:paraId="362C7886">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闪点（℃）</w:t>
            </w:r>
          </w:p>
        </w:tc>
        <w:tc>
          <w:tcPr>
            <w:tcW w:w="2938" w:type="dxa"/>
            <w:vAlign w:val="center"/>
          </w:tcPr>
          <w:p w14:paraId="5CF2AC53">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270.1±14.4</w:t>
            </w:r>
          </w:p>
        </w:tc>
      </w:tr>
      <w:tr w14:paraId="0ED50F1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65" w:type="dxa"/>
            <w:vAlign w:val="center"/>
          </w:tcPr>
          <w:p w14:paraId="7F914B8F">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沸点（℃）</w:t>
            </w:r>
          </w:p>
        </w:tc>
        <w:tc>
          <w:tcPr>
            <w:tcW w:w="2643" w:type="dxa"/>
            <w:vAlign w:val="center"/>
          </w:tcPr>
          <w:p w14:paraId="14C3D8E3">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360.0±0.0 °C at 760 mmHg</w:t>
            </w:r>
          </w:p>
        </w:tc>
        <w:tc>
          <w:tcPr>
            <w:tcW w:w="2018" w:type="dxa"/>
            <w:vAlign w:val="center"/>
          </w:tcPr>
          <w:p w14:paraId="57BC95D0">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稳定性</w:t>
            </w:r>
          </w:p>
        </w:tc>
        <w:tc>
          <w:tcPr>
            <w:tcW w:w="2938" w:type="dxa"/>
            <w:vAlign w:val="center"/>
          </w:tcPr>
          <w:p w14:paraId="355B2704">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在大气压下加热至80~100℃发生分解。放置时在空气中氧的作用下颜色逐渐变深，并产生酸败气味</w:t>
            </w:r>
          </w:p>
        </w:tc>
      </w:tr>
      <w:tr w14:paraId="04FE479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65" w:type="dxa"/>
            <w:vAlign w:val="center"/>
          </w:tcPr>
          <w:p w14:paraId="2C633EBE">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避免接触条件</w:t>
            </w:r>
          </w:p>
        </w:tc>
        <w:tc>
          <w:tcPr>
            <w:tcW w:w="7599" w:type="dxa"/>
            <w:gridSpan w:val="3"/>
            <w:vAlign w:val="center"/>
          </w:tcPr>
          <w:p w14:paraId="2EA359B9">
            <w:pPr>
              <w:spacing w:line="360" w:lineRule="exact"/>
              <w:ind w:firstLine="0" w:firstLineChars="0"/>
              <w:jc w:val="center"/>
              <w:rPr>
                <w:rFonts w:hint="default" w:ascii="Times New Roman" w:hAnsi="Times New Roman" w:cs="Times New Roman"/>
                <w:color w:val="auto"/>
                <w:sz w:val="36"/>
                <w:szCs w:val="36"/>
                <w:highlight w:val="none"/>
                <w:lang w:eastAsia="en-US"/>
              </w:rPr>
            </w:pPr>
            <w:r>
              <w:rPr>
                <w:rFonts w:hint="default" w:ascii="Times New Roman" w:hAnsi="Times New Roman" w:cs="Times New Roman"/>
                <w:color w:val="auto"/>
                <w:sz w:val="21"/>
                <w:szCs w:val="21"/>
                <w:highlight w:val="none"/>
                <w:lang w:eastAsia="en-US"/>
              </w:rPr>
              <w:t>避免与强氧化剂接触</w:t>
            </w:r>
          </w:p>
        </w:tc>
      </w:tr>
      <w:tr w14:paraId="64A6E57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65" w:type="dxa"/>
            <w:vAlign w:val="center"/>
          </w:tcPr>
          <w:p w14:paraId="5021DB4F">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灭火方式</w:t>
            </w:r>
          </w:p>
        </w:tc>
        <w:tc>
          <w:tcPr>
            <w:tcW w:w="7599" w:type="dxa"/>
            <w:gridSpan w:val="3"/>
            <w:vAlign w:val="center"/>
          </w:tcPr>
          <w:p w14:paraId="7F5A8032">
            <w:pPr>
              <w:spacing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用水雾，抗乙醇泡沫，干粉或二氧化碳灭火</w:t>
            </w:r>
          </w:p>
        </w:tc>
      </w:tr>
      <w:tr w14:paraId="57FBB95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65" w:type="dxa"/>
            <w:vAlign w:val="center"/>
          </w:tcPr>
          <w:p w14:paraId="507D2C09">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用途</w:t>
            </w:r>
          </w:p>
        </w:tc>
        <w:tc>
          <w:tcPr>
            <w:tcW w:w="7599" w:type="dxa"/>
            <w:gridSpan w:val="3"/>
            <w:vAlign w:val="center"/>
          </w:tcPr>
          <w:p w14:paraId="0F8214CD">
            <w:pPr>
              <w:spacing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优良捕收剂，选择性好，捕收能力适中，</w:t>
            </w:r>
          </w:p>
        </w:tc>
      </w:tr>
      <w:tr w14:paraId="43A78E9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164" w:type="dxa"/>
            <w:gridSpan w:val="4"/>
            <w:vAlign w:val="center"/>
          </w:tcPr>
          <w:p w14:paraId="76DF9B78">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b/>
                <w:bCs/>
                <w:color w:val="auto"/>
                <w:sz w:val="21"/>
                <w:szCs w:val="21"/>
                <w:highlight w:val="none"/>
                <w:lang w:eastAsia="en-US"/>
              </w:rPr>
              <w:t>危险性概述</w:t>
            </w:r>
          </w:p>
        </w:tc>
      </w:tr>
      <w:tr w14:paraId="0DC3ECF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65" w:type="dxa"/>
            <w:vAlign w:val="center"/>
          </w:tcPr>
          <w:p w14:paraId="25DBC849">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危险性类别</w:t>
            </w:r>
          </w:p>
        </w:tc>
        <w:tc>
          <w:tcPr>
            <w:tcW w:w="7599" w:type="dxa"/>
            <w:gridSpan w:val="3"/>
            <w:vAlign w:val="center"/>
          </w:tcPr>
          <w:p w14:paraId="52F77A83">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刺激、低毒</w:t>
            </w:r>
          </w:p>
        </w:tc>
      </w:tr>
      <w:tr w14:paraId="55FDA42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65" w:type="dxa"/>
            <w:vAlign w:val="center"/>
          </w:tcPr>
          <w:p w14:paraId="12D4D1CA">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侵入途径</w:t>
            </w:r>
          </w:p>
        </w:tc>
        <w:tc>
          <w:tcPr>
            <w:tcW w:w="7599" w:type="dxa"/>
            <w:gridSpan w:val="3"/>
            <w:vAlign w:val="center"/>
          </w:tcPr>
          <w:p w14:paraId="0F92AD48">
            <w:pPr>
              <w:spacing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吸食、经皮、粘膜吸收</w:t>
            </w:r>
          </w:p>
        </w:tc>
      </w:tr>
      <w:tr w14:paraId="3626C1C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65" w:type="dxa"/>
            <w:vAlign w:val="center"/>
          </w:tcPr>
          <w:p w14:paraId="6F56806D">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健康危害</w:t>
            </w:r>
          </w:p>
        </w:tc>
        <w:tc>
          <w:tcPr>
            <w:tcW w:w="7599" w:type="dxa"/>
            <w:gridSpan w:val="3"/>
            <w:vAlign w:val="center"/>
          </w:tcPr>
          <w:p w14:paraId="31BFB9A4">
            <w:pPr>
              <w:spacing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潜在的健康影响，</w:t>
            </w:r>
            <w:r>
              <w:rPr>
                <w:rFonts w:hint="eastAsia" w:cs="Times New Roman"/>
                <w:color w:val="auto"/>
                <w:sz w:val="21"/>
                <w:szCs w:val="21"/>
                <w:highlight w:val="none"/>
                <w:lang w:eastAsia="zh-CN"/>
              </w:rPr>
              <w:t>吸入</w:t>
            </w:r>
            <w:r>
              <w:rPr>
                <w:rFonts w:hint="default" w:ascii="Times New Roman" w:hAnsi="Times New Roman" w:cs="Times New Roman"/>
                <w:color w:val="auto"/>
                <w:sz w:val="21"/>
                <w:szCs w:val="21"/>
                <w:highlight w:val="none"/>
                <w:lang w:eastAsia="zh-CN"/>
              </w:rPr>
              <w:t>可能有害。引起呼吸道刺激。摄入如服入是有害的。皮肤通过皮肤吸收可能有害。造成皮肤刺激。眼睛引起眼睛刺激。</w:t>
            </w:r>
          </w:p>
        </w:tc>
      </w:tr>
      <w:tr w14:paraId="641495D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65" w:type="dxa"/>
            <w:vAlign w:val="center"/>
          </w:tcPr>
          <w:p w14:paraId="02568423">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环境危害</w:t>
            </w:r>
          </w:p>
        </w:tc>
        <w:tc>
          <w:tcPr>
            <w:tcW w:w="7599" w:type="dxa"/>
            <w:gridSpan w:val="3"/>
            <w:vAlign w:val="center"/>
          </w:tcPr>
          <w:p w14:paraId="03A8BB6D">
            <w:pPr>
              <w:spacing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会对周边环境产生一定的危害。</w:t>
            </w:r>
          </w:p>
        </w:tc>
      </w:tr>
      <w:tr w14:paraId="2B7136A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65" w:type="dxa"/>
            <w:vAlign w:val="center"/>
          </w:tcPr>
          <w:p w14:paraId="3211250B">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燃爆危险</w:t>
            </w:r>
          </w:p>
        </w:tc>
        <w:tc>
          <w:tcPr>
            <w:tcW w:w="7599" w:type="dxa"/>
            <w:gridSpan w:val="3"/>
            <w:vAlign w:val="center"/>
          </w:tcPr>
          <w:p w14:paraId="4489E25F">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本品易燃</w:t>
            </w:r>
          </w:p>
        </w:tc>
      </w:tr>
      <w:tr w14:paraId="00D07E6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164" w:type="dxa"/>
            <w:gridSpan w:val="4"/>
            <w:vAlign w:val="center"/>
          </w:tcPr>
          <w:p w14:paraId="50FA96A5">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b/>
                <w:bCs/>
                <w:color w:val="auto"/>
                <w:sz w:val="21"/>
                <w:szCs w:val="21"/>
                <w:highlight w:val="none"/>
                <w:lang w:eastAsia="en-US"/>
              </w:rPr>
              <w:t>急救措施</w:t>
            </w:r>
          </w:p>
        </w:tc>
      </w:tr>
      <w:tr w14:paraId="0C65A4B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65" w:type="dxa"/>
            <w:vAlign w:val="center"/>
          </w:tcPr>
          <w:p w14:paraId="0C867420">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皮肤接触</w:t>
            </w:r>
          </w:p>
        </w:tc>
        <w:tc>
          <w:tcPr>
            <w:tcW w:w="7599" w:type="dxa"/>
            <w:gridSpan w:val="3"/>
            <w:vAlign w:val="center"/>
          </w:tcPr>
          <w:p w14:paraId="4F2EA1DB">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用肥皂和大量的水冲洗。就医。</w:t>
            </w:r>
          </w:p>
        </w:tc>
      </w:tr>
      <w:tr w14:paraId="133F745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65" w:type="dxa"/>
            <w:vAlign w:val="center"/>
          </w:tcPr>
          <w:p w14:paraId="5093B317">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眼睛接触</w:t>
            </w:r>
          </w:p>
        </w:tc>
        <w:tc>
          <w:tcPr>
            <w:tcW w:w="7599" w:type="dxa"/>
            <w:gridSpan w:val="3"/>
            <w:vAlign w:val="center"/>
          </w:tcPr>
          <w:p w14:paraId="2169C75E">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zh-CN"/>
              </w:rPr>
              <w:t>立即提起眼睑，用大量流动清水或生理盐水彻底冲洗至少15钟。</w:t>
            </w:r>
          </w:p>
        </w:tc>
      </w:tr>
      <w:tr w14:paraId="6166261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65" w:type="dxa"/>
            <w:vAlign w:val="center"/>
          </w:tcPr>
          <w:p w14:paraId="4578EEB4">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吸入</w:t>
            </w:r>
          </w:p>
        </w:tc>
        <w:tc>
          <w:tcPr>
            <w:tcW w:w="7599" w:type="dxa"/>
            <w:gridSpan w:val="3"/>
            <w:vAlign w:val="center"/>
          </w:tcPr>
          <w:p w14:paraId="287551CB">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如果吸入</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eastAsia="en-US"/>
              </w:rPr>
              <w:t>请将患者移到新鲜空气处。如呼吸停止,进行人工呼吸。就医。</w:t>
            </w:r>
          </w:p>
        </w:tc>
      </w:tr>
      <w:tr w14:paraId="625FA3C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65" w:type="dxa"/>
            <w:vAlign w:val="center"/>
          </w:tcPr>
          <w:p w14:paraId="6F6A1B7F">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食入</w:t>
            </w:r>
          </w:p>
        </w:tc>
        <w:tc>
          <w:tcPr>
            <w:tcW w:w="7599" w:type="dxa"/>
            <w:gridSpan w:val="3"/>
            <w:vAlign w:val="center"/>
          </w:tcPr>
          <w:p w14:paraId="120DCE25">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zh-CN"/>
              </w:rPr>
              <w:t>切勿给失去知觉者通过口喂任何东西。用水漱口。</w:t>
            </w:r>
            <w:r>
              <w:rPr>
                <w:rFonts w:hint="default" w:ascii="Times New Roman" w:hAnsi="Times New Roman" w:cs="Times New Roman"/>
                <w:color w:val="auto"/>
                <w:sz w:val="21"/>
                <w:szCs w:val="21"/>
                <w:highlight w:val="none"/>
                <w:lang w:eastAsia="en-US"/>
              </w:rPr>
              <w:t>就医。</w:t>
            </w:r>
          </w:p>
        </w:tc>
      </w:tr>
      <w:tr w14:paraId="1ADC386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164" w:type="dxa"/>
            <w:gridSpan w:val="4"/>
            <w:vAlign w:val="center"/>
          </w:tcPr>
          <w:p w14:paraId="634E4DA2">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b/>
                <w:bCs/>
                <w:color w:val="auto"/>
                <w:sz w:val="21"/>
                <w:szCs w:val="21"/>
                <w:highlight w:val="none"/>
                <w:lang w:eastAsia="en-US"/>
              </w:rPr>
              <w:t>泄漏应急处理</w:t>
            </w:r>
          </w:p>
        </w:tc>
      </w:tr>
      <w:tr w14:paraId="4D06032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65" w:type="dxa"/>
            <w:vAlign w:val="center"/>
          </w:tcPr>
          <w:p w14:paraId="62E3B348">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应急处理</w:t>
            </w:r>
          </w:p>
        </w:tc>
        <w:tc>
          <w:tcPr>
            <w:tcW w:w="7599" w:type="dxa"/>
            <w:gridSpan w:val="3"/>
            <w:vAlign w:val="center"/>
          </w:tcPr>
          <w:p w14:paraId="3415A5DF">
            <w:pPr>
              <w:spacing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避免接触皮肤和眼睛。避免吸入蒸气和烟雾。一般性的防火保护措施。</w:t>
            </w:r>
          </w:p>
        </w:tc>
      </w:tr>
      <w:tr w14:paraId="698F320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164" w:type="dxa"/>
            <w:gridSpan w:val="4"/>
            <w:vAlign w:val="center"/>
          </w:tcPr>
          <w:p w14:paraId="704DC017">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b/>
                <w:bCs/>
                <w:color w:val="auto"/>
                <w:sz w:val="21"/>
                <w:szCs w:val="21"/>
                <w:highlight w:val="none"/>
                <w:lang w:eastAsia="en-US"/>
              </w:rPr>
              <w:t>操作处置与储存</w:t>
            </w:r>
          </w:p>
        </w:tc>
      </w:tr>
      <w:tr w14:paraId="6D7B09B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65" w:type="dxa"/>
            <w:vAlign w:val="center"/>
          </w:tcPr>
          <w:p w14:paraId="39B77DCA">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操作注意事项</w:t>
            </w:r>
          </w:p>
        </w:tc>
        <w:tc>
          <w:tcPr>
            <w:tcW w:w="7599" w:type="dxa"/>
            <w:gridSpan w:val="3"/>
            <w:vAlign w:val="center"/>
          </w:tcPr>
          <w:p w14:paraId="74E5DBEE">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避免接触皮肤和眼睛。避免吸入蒸气和烟雾。一般性的防火保护措施。</w:t>
            </w:r>
          </w:p>
        </w:tc>
      </w:tr>
      <w:tr w14:paraId="464B043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65" w:type="dxa"/>
            <w:vAlign w:val="center"/>
          </w:tcPr>
          <w:p w14:paraId="6B4B002B">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储存注意事项</w:t>
            </w:r>
          </w:p>
        </w:tc>
        <w:tc>
          <w:tcPr>
            <w:tcW w:w="7599" w:type="dxa"/>
            <w:gridSpan w:val="3"/>
            <w:vAlign w:val="center"/>
          </w:tcPr>
          <w:p w14:paraId="17890B81">
            <w:pPr>
              <w:spacing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贮存在阴凉处。使容器保持密闭，储存在干燥通风处。建议的贮存温度：2-8°C</w:t>
            </w:r>
          </w:p>
        </w:tc>
      </w:tr>
      <w:tr w14:paraId="1785D53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164" w:type="dxa"/>
            <w:gridSpan w:val="4"/>
            <w:vAlign w:val="center"/>
          </w:tcPr>
          <w:p w14:paraId="7C5039D3">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b/>
                <w:bCs/>
                <w:color w:val="auto"/>
                <w:sz w:val="21"/>
                <w:szCs w:val="21"/>
                <w:highlight w:val="none"/>
                <w:lang w:eastAsia="en-US"/>
              </w:rPr>
              <w:t>防护措施</w:t>
            </w:r>
          </w:p>
        </w:tc>
      </w:tr>
      <w:tr w14:paraId="18E711F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65" w:type="dxa"/>
            <w:vAlign w:val="center"/>
          </w:tcPr>
          <w:p w14:paraId="01EBC9BD">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呼吸系统防护</w:t>
            </w:r>
          </w:p>
        </w:tc>
        <w:tc>
          <w:tcPr>
            <w:tcW w:w="7599" w:type="dxa"/>
            <w:gridSpan w:val="3"/>
            <w:vAlign w:val="center"/>
          </w:tcPr>
          <w:p w14:paraId="4DCB0F10">
            <w:pPr>
              <w:spacing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空气中粉尘浓度超标时，必须</w:t>
            </w:r>
            <w:r>
              <w:rPr>
                <w:rFonts w:hint="eastAsia" w:cs="Times New Roman"/>
                <w:color w:val="auto"/>
                <w:sz w:val="21"/>
                <w:szCs w:val="21"/>
                <w:highlight w:val="none"/>
                <w:lang w:eastAsia="zh-CN"/>
              </w:rPr>
              <w:t>佩戴</w:t>
            </w:r>
            <w:r>
              <w:rPr>
                <w:rFonts w:hint="default" w:ascii="Times New Roman" w:hAnsi="Times New Roman" w:cs="Times New Roman"/>
                <w:color w:val="auto"/>
                <w:sz w:val="21"/>
                <w:szCs w:val="21"/>
                <w:highlight w:val="none"/>
                <w:lang w:eastAsia="zh-CN"/>
              </w:rPr>
              <w:t>自吸过滤式防尘口罩。紧急事态抢救或撤离时，应该佩戴空气呼吸器。</w:t>
            </w:r>
          </w:p>
        </w:tc>
      </w:tr>
      <w:tr w14:paraId="68896C7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65" w:type="dxa"/>
            <w:vAlign w:val="center"/>
          </w:tcPr>
          <w:p w14:paraId="6DEA074E">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眼睛防护</w:t>
            </w:r>
          </w:p>
        </w:tc>
        <w:tc>
          <w:tcPr>
            <w:tcW w:w="7599" w:type="dxa"/>
            <w:gridSpan w:val="3"/>
            <w:vAlign w:val="center"/>
          </w:tcPr>
          <w:p w14:paraId="55D86C21">
            <w:pPr>
              <w:spacing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戴化学安全防护眼镜。</w:t>
            </w:r>
          </w:p>
        </w:tc>
      </w:tr>
      <w:tr w14:paraId="30D305D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65" w:type="dxa"/>
            <w:vAlign w:val="center"/>
          </w:tcPr>
          <w:p w14:paraId="18D431CA">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身体防护</w:t>
            </w:r>
          </w:p>
        </w:tc>
        <w:tc>
          <w:tcPr>
            <w:tcW w:w="7599" w:type="dxa"/>
            <w:gridSpan w:val="3"/>
            <w:vAlign w:val="center"/>
          </w:tcPr>
          <w:p w14:paraId="2247CD1E">
            <w:pPr>
              <w:spacing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穿防毒物渗透工作服。</w:t>
            </w:r>
          </w:p>
        </w:tc>
      </w:tr>
      <w:tr w14:paraId="437955B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65" w:type="dxa"/>
            <w:vAlign w:val="center"/>
          </w:tcPr>
          <w:p w14:paraId="769C78E4">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手防护</w:t>
            </w:r>
          </w:p>
        </w:tc>
        <w:tc>
          <w:tcPr>
            <w:tcW w:w="7599" w:type="dxa"/>
            <w:gridSpan w:val="3"/>
            <w:vAlign w:val="center"/>
          </w:tcPr>
          <w:p w14:paraId="15699E57">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戴橡胶手套。</w:t>
            </w:r>
          </w:p>
        </w:tc>
      </w:tr>
      <w:tr w14:paraId="1696A22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65" w:type="dxa"/>
            <w:vAlign w:val="center"/>
          </w:tcPr>
          <w:p w14:paraId="104D98DA">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其他防护</w:t>
            </w:r>
          </w:p>
        </w:tc>
        <w:tc>
          <w:tcPr>
            <w:tcW w:w="7599" w:type="dxa"/>
            <w:gridSpan w:val="3"/>
            <w:vAlign w:val="center"/>
          </w:tcPr>
          <w:p w14:paraId="5265F01C">
            <w:pPr>
              <w:spacing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及时换洗工作服。保持良好的卫生习惯。</w:t>
            </w:r>
          </w:p>
        </w:tc>
      </w:tr>
      <w:tr w14:paraId="1CBE1A6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9164" w:type="dxa"/>
            <w:gridSpan w:val="4"/>
            <w:vAlign w:val="center"/>
          </w:tcPr>
          <w:p w14:paraId="2D5AF558">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b/>
                <w:bCs/>
                <w:color w:val="auto"/>
                <w:sz w:val="21"/>
                <w:szCs w:val="21"/>
                <w:highlight w:val="none"/>
                <w:lang w:eastAsia="en-US"/>
              </w:rPr>
              <w:t>毒理学资料</w:t>
            </w:r>
          </w:p>
        </w:tc>
      </w:tr>
      <w:tr w14:paraId="28D3F7A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65" w:type="dxa"/>
            <w:vAlign w:val="center"/>
          </w:tcPr>
          <w:p w14:paraId="49B20397">
            <w:pPr>
              <w:spacing w:line="360" w:lineRule="exact"/>
              <w:ind w:firstLine="0" w:firstLineChars="0"/>
              <w:jc w:val="center"/>
              <w:rPr>
                <w:rFonts w:hint="default" w:ascii="Times New Roman" w:hAnsi="Times New Roman" w:cs="Times New Roman"/>
                <w:color w:val="auto"/>
                <w:sz w:val="21"/>
                <w:szCs w:val="21"/>
                <w:highlight w:val="none"/>
                <w:lang w:eastAsia="en-US"/>
              </w:rPr>
            </w:pPr>
            <w:r>
              <w:rPr>
                <w:rFonts w:hint="default" w:ascii="Times New Roman" w:hAnsi="Times New Roman" w:cs="Times New Roman"/>
                <w:color w:val="auto"/>
                <w:sz w:val="21"/>
                <w:szCs w:val="21"/>
                <w:highlight w:val="none"/>
                <w:lang w:eastAsia="en-US"/>
              </w:rPr>
              <w:t>急性毒性</w:t>
            </w:r>
          </w:p>
        </w:tc>
        <w:tc>
          <w:tcPr>
            <w:tcW w:w="7599" w:type="dxa"/>
            <w:gridSpan w:val="3"/>
            <w:vAlign w:val="center"/>
          </w:tcPr>
          <w:p w14:paraId="587B638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半数致死剂量（LD50）经口-大鼠-74,000mg/kg；半数致死剂量（LD50）静脉内的-大鼠</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eastAsia="zh-CN"/>
              </w:rPr>
              <w:t>2.4mg/kg；半数致死剂量（LD50）腹膜内的-小鼠-282mg/kg；半数致死剂量（LD50）静脉内的-小鼠-230mg/kg</w:t>
            </w:r>
          </w:p>
        </w:tc>
      </w:tr>
      <w:bookmarkEnd w:id="367"/>
    </w:tbl>
    <w:p w14:paraId="75597522">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（3）主要能源消耗</w:t>
      </w:r>
    </w:p>
    <w:p w14:paraId="195DAA21">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本项目主要能源消耗为：电、水、</w:t>
      </w:r>
      <w:r>
        <w:rPr>
          <w:rFonts w:hint="default" w:ascii="Times New Roman" w:hAnsi="Times New Roman" w:cs="Times New Roman"/>
          <w:color w:val="auto"/>
          <w:highlight w:val="none"/>
          <w:lang w:val="en-US" w:eastAsia="zh-CN"/>
        </w:rPr>
        <w:t>煤</w:t>
      </w:r>
      <w:r>
        <w:rPr>
          <w:rFonts w:hint="default" w:ascii="Times New Roman" w:hAnsi="Times New Roman" w:cs="Times New Roman"/>
          <w:color w:val="auto"/>
          <w:highlight w:val="none"/>
        </w:rPr>
        <w:t>等，具体见表3.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r>
        <w:rPr>
          <w:rFonts w:hint="eastAsia" w:cs="Times New Roman"/>
          <w:color w:val="auto"/>
          <w:highlight w:val="none"/>
          <w:lang w:val="en-US" w:eastAsia="zh-CN"/>
        </w:rPr>
        <w:t>7</w:t>
      </w:r>
      <w:r>
        <w:rPr>
          <w:rFonts w:hint="default" w:ascii="Times New Roman" w:hAnsi="Times New Roman" w:cs="Times New Roman"/>
          <w:color w:val="auto"/>
          <w:highlight w:val="none"/>
        </w:rPr>
        <w:t>。</w:t>
      </w:r>
    </w:p>
    <w:p w14:paraId="6BF0CFD6">
      <w:pPr>
        <w:ind w:firstLine="0" w:firstLineChars="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表3.</w:t>
      </w:r>
      <w:r>
        <w:rPr>
          <w:rFonts w:hint="default" w:ascii="Times New Roman" w:hAnsi="Times New Roman" w:cs="Times New Roman"/>
          <w:b/>
          <w:color w:val="auto"/>
          <w:highlight w:val="none"/>
          <w:lang w:val="en-US" w:eastAsia="zh-CN"/>
        </w:rPr>
        <w:t>1</w:t>
      </w:r>
      <w:r>
        <w:rPr>
          <w:rFonts w:hint="default" w:ascii="Times New Roman" w:hAnsi="Times New Roman" w:cs="Times New Roman"/>
          <w:b/>
          <w:color w:val="auto"/>
          <w:highlight w:val="none"/>
        </w:rPr>
        <w:t>-</w:t>
      </w:r>
      <w:r>
        <w:rPr>
          <w:rFonts w:hint="eastAsia" w:cs="Times New Roman"/>
          <w:b/>
          <w:color w:val="auto"/>
          <w:highlight w:val="none"/>
          <w:lang w:val="en-US" w:eastAsia="zh-CN"/>
        </w:rPr>
        <w:t>7</w:t>
      </w:r>
      <w:r>
        <w:rPr>
          <w:rFonts w:hint="default" w:ascii="Times New Roman" w:hAnsi="Times New Roman" w:cs="Times New Roman"/>
          <w:b/>
          <w:color w:val="auto"/>
          <w:highlight w:val="none"/>
        </w:rPr>
        <w:t xml:space="preserve">    本项目主要能源消耗核算表</w:t>
      </w:r>
    </w:p>
    <w:tbl>
      <w:tblPr>
        <w:tblStyle w:val="33"/>
        <w:tblW w:w="916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87"/>
        <w:gridCol w:w="2922"/>
        <w:gridCol w:w="3859"/>
      </w:tblGrid>
      <w:tr w14:paraId="3A24D6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tblHeader/>
          <w:jc w:val="center"/>
        </w:trPr>
        <w:tc>
          <w:tcPr>
            <w:tcW w:w="2387" w:type="dxa"/>
            <w:tcBorders>
              <w:tl2br w:val="nil"/>
              <w:tr2bl w:val="nil"/>
            </w:tcBorders>
            <w:shd w:val="clear" w:color="auto" w:fill="auto"/>
            <w:vAlign w:val="center"/>
          </w:tcPr>
          <w:p w14:paraId="3304C7F7">
            <w:pPr>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序号</w:t>
            </w:r>
          </w:p>
        </w:tc>
        <w:tc>
          <w:tcPr>
            <w:tcW w:w="2922" w:type="dxa"/>
            <w:tcBorders>
              <w:tl2br w:val="nil"/>
              <w:tr2bl w:val="nil"/>
            </w:tcBorders>
            <w:shd w:val="clear" w:color="auto" w:fill="auto"/>
            <w:vAlign w:val="center"/>
          </w:tcPr>
          <w:p w14:paraId="36D8B7B3">
            <w:pPr>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名称</w:t>
            </w:r>
          </w:p>
        </w:tc>
        <w:tc>
          <w:tcPr>
            <w:tcW w:w="3859" w:type="dxa"/>
            <w:tcBorders>
              <w:tl2br w:val="nil"/>
              <w:tr2bl w:val="nil"/>
            </w:tcBorders>
            <w:shd w:val="clear" w:color="auto" w:fill="auto"/>
            <w:vAlign w:val="center"/>
          </w:tcPr>
          <w:p w14:paraId="272B71E2">
            <w:pPr>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年消耗量</w:t>
            </w:r>
          </w:p>
        </w:tc>
      </w:tr>
      <w:tr w14:paraId="6D939D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87" w:type="dxa"/>
            <w:tcBorders>
              <w:tl2br w:val="nil"/>
              <w:tr2bl w:val="nil"/>
            </w:tcBorders>
            <w:shd w:val="clear" w:color="auto" w:fill="auto"/>
            <w:vAlign w:val="center"/>
          </w:tcPr>
          <w:p w14:paraId="0301D90A">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w:t>
            </w:r>
          </w:p>
        </w:tc>
        <w:tc>
          <w:tcPr>
            <w:tcW w:w="2922" w:type="dxa"/>
            <w:tcBorders>
              <w:tl2br w:val="nil"/>
              <w:tr2bl w:val="nil"/>
            </w:tcBorders>
            <w:shd w:val="clear" w:color="auto" w:fill="auto"/>
            <w:vAlign w:val="center"/>
          </w:tcPr>
          <w:p w14:paraId="15DA3022">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新鲜水</w:t>
            </w:r>
          </w:p>
        </w:tc>
        <w:tc>
          <w:tcPr>
            <w:tcW w:w="3859" w:type="dxa"/>
            <w:tcBorders>
              <w:tl2br w:val="nil"/>
              <w:tr2bl w:val="nil"/>
            </w:tcBorders>
            <w:shd w:val="clear" w:color="auto" w:fill="auto"/>
            <w:vAlign w:val="center"/>
          </w:tcPr>
          <w:p w14:paraId="797973F5">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val="en-US" w:eastAsia="zh-CN"/>
              </w:rPr>
              <w:t>51.4884</w:t>
            </w:r>
            <w:r>
              <w:rPr>
                <w:rFonts w:hint="default" w:ascii="Times New Roman" w:hAnsi="Times New Roman" w:cs="Times New Roman"/>
                <w:color w:val="auto"/>
                <w:kern w:val="0"/>
                <w:sz w:val="21"/>
                <w:szCs w:val="21"/>
                <w:highlight w:val="none"/>
                <w:lang w:eastAsia="zh-CN"/>
              </w:rPr>
              <w:t>万</w:t>
            </w:r>
            <w:r>
              <w:rPr>
                <w:rFonts w:hint="default" w:ascii="Times New Roman" w:hAnsi="Times New Roman" w:cs="Times New Roman"/>
                <w:color w:val="auto"/>
                <w:kern w:val="0"/>
                <w:sz w:val="21"/>
                <w:szCs w:val="21"/>
                <w:highlight w:val="none"/>
              </w:rPr>
              <w:t>m</w:t>
            </w:r>
            <w:r>
              <w:rPr>
                <w:rFonts w:hint="default" w:ascii="Times New Roman" w:hAnsi="Times New Roman" w:cs="Times New Roman"/>
                <w:color w:val="auto"/>
                <w:kern w:val="0"/>
                <w:sz w:val="21"/>
                <w:szCs w:val="21"/>
                <w:highlight w:val="none"/>
                <w:vertAlign w:val="superscript"/>
              </w:rPr>
              <w:t>3</w:t>
            </w:r>
            <w:r>
              <w:rPr>
                <w:rFonts w:hint="default" w:ascii="Times New Roman" w:hAnsi="Times New Roman" w:cs="Times New Roman"/>
                <w:color w:val="auto"/>
                <w:kern w:val="0"/>
                <w:sz w:val="21"/>
                <w:szCs w:val="21"/>
                <w:highlight w:val="none"/>
              </w:rPr>
              <w:t>/a</w:t>
            </w:r>
          </w:p>
        </w:tc>
      </w:tr>
      <w:tr w14:paraId="7CBBA5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87" w:type="dxa"/>
            <w:tcBorders>
              <w:tl2br w:val="nil"/>
              <w:tr2bl w:val="nil"/>
            </w:tcBorders>
            <w:shd w:val="clear" w:color="auto" w:fill="auto"/>
            <w:vAlign w:val="center"/>
          </w:tcPr>
          <w:p w14:paraId="09874FE6">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w:t>
            </w:r>
          </w:p>
        </w:tc>
        <w:tc>
          <w:tcPr>
            <w:tcW w:w="2922" w:type="dxa"/>
            <w:tcBorders>
              <w:tl2br w:val="nil"/>
              <w:tr2bl w:val="nil"/>
            </w:tcBorders>
            <w:shd w:val="clear" w:color="auto" w:fill="auto"/>
            <w:vAlign w:val="center"/>
          </w:tcPr>
          <w:p w14:paraId="4516D945">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电</w:t>
            </w:r>
          </w:p>
        </w:tc>
        <w:tc>
          <w:tcPr>
            <w:tcW w:w="3859" w:type="dxa"/>
            <w:tcBorders>
              <w:tl2br w:val="nil"/>
              <w:tr2bl w:val="nil"/>
            </w:tcBorders>
            <w:shd w:val="clear" w:color="auto" w:fill="auto"/>
            <w:vAlign w:val="center"/>
          </w:tcPr>
          <w:p w14:paraId="2BF03CA8">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2669.63</w:t>
            </w:r>
            <w:r>
              <w:rPr>
                <w:rFonts w:hint="default" w:ascii="Times New Roman" w:hAnsi="Times New Roman" w:cs="Times New Roman"/>
                <w:color w:val="auto"/>
                <w:kern w:val="0"/>
                <w:sz w:val="21"/>
                <w:szCs w:val="21"/>
                <w:highlight w:val="none"/>
                <w:lang w:eastAsia="zh-CN"/>
              </w:rPr>
              <w:t>万</w:t>
            </w:r>
            <w:r>
              <w:rPr>
                <w:rFonts w:hint="default" w:ascii="Times New Roman" w:hAnsi="Times New Roman" w:cs="Times New Roman"/>
                <w:color w:val="auto"/>
                <w:kern w:val="0"/>
                <w:sz w:val="21"/>
                <w:szCs w:val="21"/>
                <w:highlight w:val="none"/>
              </w:rPr>
              <w:t>kW·h</w:t>
            </w:r>
          </w:p>
        </w:tc>
      </w:tr>
      <w:tr w14:paraId="0525BD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87" w:type="dxa"/>
            <w:tcBorders>
              <w:tl2br w:val="nil"/>
              <w:tr2bl w:val="nil"/>
            </w:tcBorders>
            <w:shd w:val="clear" w:color="auto" w:fill="auto"/>
            <w:vAlign w:val="center"/>
          </w:tcPr>
          <w:p w14:paraId="7F78DCE2">
            <w:pPr>
              <w:spacing w:line="360" w:lineRule="exact"/>
              <w:ind w:firstLine="0" w:firstLine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val="en-US" w:eastAsia="zh-CN"/>
              </w:rPr>
              <w:t>3</w:t>
            </w:r>
          </w:p>
        </w:tc>
        <w:tc>
          <w:tcPr>
            <w:tcW w:w="2922" w:type="dxa"/>
            <w:tcBorders>
              <w:tl2br w:val="nil"/>
              <w:tr2bl w:val="nil"/>
            </w:tcBorders>
            <w:shd w:val="clear" w:color="auto" w:fill="auto"/>
            <w:vAlign w:val="center"/>
          </w:tcPr>
          <w:p w14:paraId="2CD21480">
            <w:pPr>
              <w:spacing w:line="360" w:lineRule="exact"/>
              <w:ind w:firstLine="0" w:firstLine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val="en-US" w:eastAsia="zh-CN"/>
              </w:rPr>
              <w:t>煤</w:t>
            </w:r>
          </w:p>
        </w:tc>
        <w:tc>
          <w:tcPr>
            <w:tcW w:w="3859" w:type="dxa"/>
            <w:tcBorders>
              <w:tl2br w:val="nil"/>
              <w:tr2bl w:val="nil"/>
            </w:tcBorders>
            <w:shd w:val="clear" w:color="auto" w:fill="auto"/>
            <w:vAlign w:val="center"/>
          </w:tcPr>
          <w:p w14:paraId="21E6105D">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5400t/a</w:t>
            </w:r>
          </w:p>
        </w:tc>
      </w:tr>
    </w:tbl>
    <w:p w14:paraId="327AEF85">
      <w:pPr>
        <w:pStyle w:val="4"/>
        <w:rPr>
          <w:rFonts w:hint="default" w:ascii="Times New Roman" w:hAnsi="Times New Roman" w:cs="Times New Roman"/>
          <w:color w:val="auto"/>
          <w:highlight w:val="none"/>
        </w:rPr>
      </w:pPr>
      <w:bookmarkStart w:id="368" w:name="_Toc9093"/>
      <w:bookmarkStart w:id="369" w:name="_Toc4836"/>
      <w:bookmarkStart w:id="370" w:name="_Toc2969"/>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.5尾矿库及尾矿输送、回水系统</w:t>
      </w:r>
      <w:bookmarkEnd w:id="368"/>
      <w:bookmarkEnd w:id="369"/>
      <w:bookmarkEnd w:id="370"/>
    </w:p>
    <w:p w14:paraId="03D6185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（1）基本情况</w:t>
      </w:r>
    </w:p>
    <w:p w14:paraId="4EA2F29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尾矿库为新建尾矿库，新建尾矿库</w:t>
      </w:r>
      <w:r>
        <w:rPr>
          <w:rFonts w:hint="default" w:ascii="Times New Roman" w:hAnsi="Times New Roman" w:cs="Times New Roman"/>
          <w:color w:val="auto"/>
          <w:szCs w:val="28"/>
          <w:highlight w:val="none"/>
        </w:rPr>
        <w:t>最终堆积标高</w:t>
      </w:r>
      <w:r>
        <w:rPr>
          <w:rFonts w:hint="default" w:ascii="Times New Roman" w:hAnsi="Times New Roman" w:cs="Times New Roman"/>
          <w:color w:val="auto"/>
          <w:szCs w:val="28"/>
          <w:highlight w:val="none"/>
          <w:lang w:val="en-US" w:eastAsia="zh-CN"/>
        </w:rPr>
        <w:t>1187</w:t>
      </w:r>
      <w:r>
        <w:rPr>
          <w:rFonts w:hint="default" w:ascii="Times New Roman" w:hAnsi="Times New Roman" w:cs="Times New Roman"/>
          <w:color w:val="auto"/>
          <w:szCs w:val="28"/>
          <w:highlight w:val="none"/>
        </w:rPr>
        <w:t>m，尾矿库总坝高为16m（一期坝高9m，二期加高7m），总库容</w:t>
      </w:r>
      <w:r>
        <w:rPr>
          <w:rFonts w:hint="default" w:ascii="Times New Roman" w:hAnsi="Times New Roman" w:cs="Times New Roman"/>
          <w:color w:val="auto"/>
          <w:szCs w:val="28"/>
          <w:highlight w:val="none"/>
          <w:lang w:val="en-US" w:eastAsia="zh-CN"/>
        </w:rPr>
        <w:t>102</w:t>
      </w:r>
      <w:r>
        <w:rPr>
          <w:rFonts w:hint="default" w:ascii="Times New Roman" w:hAnsi="Times New Roman" w:cs="Times New Roman"/>
          <w:color w:val="auto"/>
          <w:szCs w:val="28"/>
          <w:highlight w:val="none"/>
        </w:rPr>
        <w:t>万m</w:t>
      </w:r>
      <w:r>
        <w:rPr>
          <w:rFonts w:hint="default" w:ascii="Times New Roman" w:hAnsi="Times New Roman" w:cs="Times New Roman"/>
          <w:color w:val="auto"/>
          <w:szCs w:val="28"/>
          <w:highlight w:val="none"/>
          <w:vertAlign w:val="superscript"/>
        </w:rPr>
        <w:t>3</w:t>
      </w:r>
      <w:r>
        <w:rPr>
          <w:rFonts w:hint="default" w:ascii="Times New Roman" w:hAnsi="Times New Roman" w:cs="Times New Roman"/>
          <w:color w:val="auto"/>
          <w:szCs w:val="28"/>
          <w:highlight w:val="none"/>
          <w:lang w:eastAsia="zh-CN"/>
        </w:rPr>
        <w:t>，</w:t>
      </w:r>
      <w:r>
        <w:rPr>
          <w:rFonts w:hint="default" w:ascii="Times New Roman" w:hAnsi="Times New Roman" w:cs="Times New Roman"/>
          <w:color w:val="auto"/>
          <w:szCs w:val="28"/>
          <w:highlight w:val="none"/>
        </w:rPr>
        <w:t>尾矿库等别为</w:t>
      </w:r>
      <w:r>
        <w:rPr>
          <w:rFonts w:hint="default" w:ascii="Times New Roman" w:hAnsi="Times New Roman" w:cs="Times New Roman"/>
          <w:color w:val="auto"/>
          <w:szCs w:val="28"/>
          <w:highlight w:val="none"/>
          <w:lang w:val="en-US" w:eastAsia="zh-CN"/>
        </w:rPr>
        <w:t>四</w:t>
      </w:r>
      <w:r>
        <w:rPr>
          <w:rFonts w:hint="default" w:ascii="Times New Roman" w:hAnsi="Times New Roman" w:cs="Times New Roman"/>
          <w:color w:val="auto"/>
          <w:szCs w:val="28"/>
          <w:highlight w:val="none"/>
        </w:rPr>
        <w:t>等，尾矿库可服务约</w:t>
      </w:r>
      <w:r>
        <w:rPr>
          <w:rFonts w:hint="default" w:ascii="Times New Roman" w:hAnsi="Times New Roman" w:cs="Times New Roman"/>
          <w:color w:val="auto"/>
          <w:szCs w:val="28"/>
          <w:highlight w:val="none"/>
          <w:lang w:val="en-US" w:eastAsia="zh-CN"/>
        </w:rPr>
        <w:t>5.2</w:t>
      </w:r>
      <w:r>
        <w:rPr>
          <w:rFonts w:hint="default" w:ascii="Times New Roman" w:hAnsi="Times New Roman" w:cs="Times New Roman"/>
          <w:color w:val="auto"/>
          <w:szCs w:val="28"/>
          <w:highlight w:val="none"/>
        </w:rPr>
        <w:t>年。</w:t>
      </w:r>
    </w:p>
    <w:p w14:paraId="3E0E378A">
      <w:pPr>
        <w:overflowPunct w:val="0"/>
        <w:topLinePunct/>
        <w:ind w:firstLine="48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（2）</w:t>
      </w:r>
      <w:r>
        <w:rPr>
          <w:rFonts w:hint="default" w:ascii="Times New Roman" w:hAnsi="Times New Roman" w:cs="Times New Roman"/>
          <w:color w:val="auto"/>
          <w:highlight w:val="none"/>
          <w:lang w:val="en-US" w:eastAsia="zh-CN"/>
        </w:rPr>
        <w:t>尾矿坝</w:t>
      </w:r>
    </w:p>
    <w:p w14:paraId="17819F12">
      <w:pPr>
        <w:widowControl w:val="0"/>
        <w:spacing w:line="480" w:lineRule="exact"/>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尾矿坝采用一次建坝分期建设，坝型为碾压式土石坝，采用采矿废石筑坝。</w:t>
      </w:r>
    </w:p>
    <w:p w14:paraId="7C17A3CF">
      <w:pPr>
        <w:widowControl w:val="0"/>
        <w:spacing w:line="480" w:lineRule="exact"/>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一期坝采用四面围筑的型式，形成东北、东南、西北、西南四侧坝体，坝顶标高1180m，坝高9m，在东南、东北、西南侧地形标高超高1180m处堆筑1.0m高的挡水坝，隔绝库外汇水。一期尾矿库全库容31万m</w:t>
      </w:r>
      <w:r>
        <w:rPr>
          <w:rFonts w:hint="default" w:ascii="Times New Roman" w:hAnsi="Times New Roman" w:eastAsia="宋体" w:cs="Times New Roman"/>
          <w:color w:val="auto"/>
          <w:kern w:val="0"/>
          <w:sz w:val="24"/>
          <w:szCs w:val="24"/>
          <w:highlight w:val="none"/>
          <w:vertAlign w:val="superscript"/>
          <w:lang w:val="en-US" w:eastAsia="zh-CN" w:bidi="ar-SA"/>
        </w:rPr>
        <w:t>3</w:t>
      </w:r>
      <w:r>
        <w:rPr>
          <w:rFonts w:hint="default" w:ascii="Times New Roman" w:hAnsi="Times New Roman" w:eastAsia="宋体" w:cs="Times New Roman"/>
          <w:color w:val="auto"/>
          <w:kern w:val="0"/>
          <w:sz w:val="24"/>
          <w:szCs w:val="24"/>
          <w:highlight w:val="none"/>
          <w:lang w:val="en-US" w:eastAsia="zh-CN" w:bidi="ar-SA"/>
        </w:rPr>
        <w:t>，可服务1.3年。坝顶宽度为5m，坝轴线长1325m，上游坡比1:2.0，下游坝坡比1:2.2。上游坝坡采用1.0mm厚的双糙面HDPE土工膜防渗，并与库底1.0mm厚光面HDPE土工膜连接成一体，坝坡防渗膜上设600g/m</w:t>
      </w:r>
      <w:r>
        <w:rPr>
          <w:rFonts w:hint="default" w:ascii="Times New Roman" w:hAnsi="Times New Roman" w:eastAsia="宋体" w:cs="Times New Roman"/>
          <w:color w:val="auto"/>
          <w:kern w:val="0"/>
          <w:sz w:val="24"/>
          <w:szCs w:val="24"/>
          <w:highlight w:val="none"/>
          <w:vertAlign w:val="superscript"/>
          <w:lang w:val="en-US" w:eastAsia="zh-CN" w:bidi="ar-SA"/>
        </w:rPr>
        <w:t>2</w:t>
      </w:r>
      <w:r>
        <w:rPr>
          <w:rFonts w:hint="default" w:ascii="Times New Roman" w:hAnsi="Times New Roman" w:eastAsia="宋体" w:cs="Times New Roman"/>
          <w:color w:val="auto"/>
          <w:kern w:val="0"/>
          <w:sz w:val="24"/>
          <w:szCs w:val="24"/>
          <w:highlight w:val="none"/>
          <w:lang w:val="en-US" w:eastAsia="zh-CN" w:bidi="ar-SA"/>
        </w:rPr>
        <w:t>土工布保护层，膜下设0.3m厚压实细砂垫层。下游坝坡采用草皮或毛石护坡。</w:t>
      </w:r>
    </w:p>
    <w:p w14:paraId="3F15017A">
      <w:pPr>
        <w:keepNext w:val="0"/>
        <w:keepLines w:val="0"/>
        <w:pageBreakBefore w:val="0"/>
        <w:widowControl w:val="0"/>
        <w:kinsoku/>
        <w:wordWrap/>
        <w:overflowPunct w:val="0"/>
        <w:topLinePunct/>
        <w:autoSpaceDE/>
        <w:autoSpaceDN/>
        <w:bidi w:val="0"/>
        <w:adjustRightInd/>
        <w:snapToGrid/>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SA"/>
        </w:rPr>
        <w:t>二期坝尾矿坝在一期坝的基础上向下游加高7m，坝顶标高1187m，坝高16m，增加全库容71万m</w:t>
      </w:r>
      <w:r>
        <w:rPr>
          <w:rFonts w:hint="default" w:ascii="Times New Roman" w:hAnsi="Times New Roman" w:eastAsia="宋体" w:cs="Times New Roman"/>
          <w:color w:val="auto"/>
          <w:kern w:val="0"/>
          <w:sz w:val="24"/>
          <w:szCs w:val="24"/>
          <w:highlight w:val="none"/>
          <w:vertAlign w:val="superscript"/>
          <w:lang w:val="en-US" w:eastAsia="zh-CN" w:bidi="ar-SA"/>
        </w:rPr>
        <w:t>3</w:t>
      </w:r>
      <w:r>
        <w:rPr>
          <w:rFonts w:hint="default" w:ascii="Times New Roman" w:hAnsi="Times New Roman" w:eastAsia="宋体" w:cs="Times New Roman"/>
          <w:color w:val="auto"/>
          <w:kern w:val="0"/>
          <w:sz w:val="24"/>
          <w:szCs w:val="24"/>
          <w:highlight w:val="none"/>
          <w:lang w:val="en-US" w:eastAsia="zh-CN" w:bidi="ar-SA"/>
        </w:rPr>
        <w:t>，可服务3.9年。坝顶宽度为5m，坝轴线长1446.6m，上游坡比1:2.0，下游坝坡比1:2.2。上游坝坡采用1.0mm厚的双糙面HDPE土工膜防渗，并与库底1.0mm厚光面HDPE土工膜连接成一体，坝坡防渗膜上设600g/m</w:t>
      </w:r>
      <w:r>
        <w:rPr>
          <w:rFonts w:hint="default" w:ascii="Times New Roman" w:hAnsi="Times New Roman" w:eastAsia="宋体" w:cs="Times New Roman"/>
          <w:color w:val="auto"/>
          <w:kern w:val="0"/>
          <w:sz w:val="24"/>
          <w:szCs w:val="24"/>
          <w:highlight w:val="none"/>
          <w:vertAlign w:val="superscript"/>
          <w:lang w:val="en-US" w:eastAsia="zh-CN" w:bidi="ar-SA"/>
        </w:rPr>
        <w:t>2</w:t>
      </w:r>
      <w:r>
        <w:rPr>
          <w:rFonts w:hint="default" w:ascii="Times New Roman" w:hAnsi="Times New Roman" w:eastAsia="宋体" w:cs="Times New Roman"/>
          <w:color w:val="auto"/>
          <w:kern w:val="0"/>
          <w:sz w:val="24"/>
          <w:szCs w:val="24"/>
          <w:highlight w:val="none"/>
          <w:lang w:val="en-US" w:eastAsia="zh-CN" w:bidi="ar-SA"/>
        </w:rPr>
        <w:t>土工布保护层，膜下设0.3m厚压实细砂垫层。上游坝坡在1180m标高设置土工材料嵌固平台，平台宽2m。下游坝坡采用草皮或毛石护坡。坝体下游标高1177.0m处设置马道，宽度2m。</w:t>
      </w:r>
    </w:p>
    <w:p w14:paraId="6C82B8BE">
      <w:pPr>
        <w:keepNext w:val="0"/>
        <w:keepLines w:val="0"/>
        <w:pageBreakBefore w:val="0"/>
        <w:widowControl w:val="0"/>
        <w:kinsoku/>
        <w:wordWrap/>
        <w:overflowPunct w:val="0"/>
        <w:topLinePunct/>
        <w:autoSpaceDE/>
        <w:autoSpaceDN/>
        <w:bidi w:val="0"/>
        <w:adjustRightInd/>
        <w:snapToGrid/>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）排洪系统</w:t>
      </w:r>
    </w:p>
    <w:p w14:paraId="07D4EA15">
      <w:pPr>
        <w:keepNext w:val="0"/>
        <w:keepLines w:val="0"/>
        <w:pageBreakBefore w:val="0"/>
        <w:widowControl w:val="0"/>
        <w:kinsoku/>
        <w:wordWrap/>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en-US"/>
        </w:rPr>
      </w:pPr>
      <w:r>
        <w:rPr>
          <w:rFonts w:hint="default" w:ascii="Times New Roman" w:hAnsi="Times New Roman" w:eastAsia="宋体" w:cs="Times New Roman"/>
          <w:color w:val="auto"/>
          <w:kern w:val="0"/>
          <w:sz w:val="24"/>
          <w:szCs w:val="24"/>
          <w:highlight w:val="none"/>
          <w:lang w:val="en-US" w:eastAsia="zh-CN" w:bidi="ar-SA"/>
        </w:rPr>
        <w:t>库内排洪设施为溢洪道，建设在东北侧坝体坝面，溢洪道垂直坝轴线布置，在坝体填筑完成后开槽建设。共两期，随坝体分期设置，一期进口标高1178m，二期进口标高1185m。溢洪道采用钢筋混凝土结构，过水断面为矩形，B×H=2m×1m。溢洪道坝顶控制段纵向最小坡度1.0%。溢洪道出口设消力池，消力池尺寸为</w:t>
      </w:r>
      <w:r>
        <w:rPr>
          <w:rFonts w:hint="default" w:ascii="Times New Roman" w:hAnsi="Times New Roman" w:eastAsia="宋体" w:cs="Times New Roman"/>
          <w:color w:val="auto"/>
          <w:kern w:val="0"/>
          <w:sz w:val="24"/>
          <w:szCs w:val="24"/>
          <w:highlight w:val="none"/>
          <w:lang w:val="en-US" w:eastAsia="zh-CN" w:bidi="en-US"/>
        </w:rPr>
        <w:t>L×B×H=5m×3m×2m，消力池为钢筋混凝土结构。</w:t>
      </w:r>
    </w:p>
    <w:p w14:paraId="74617381">
      <w:pPr>
        <w:keepNext w:val="0"/>
        <w:keepLines w:val="0"/>
        <w:pageBreakBefore w:val="0"/>
        <w:widowControl w:val="0"/>
        <w:kinsoku/>
        <w:wordWrap/>
        <w:overflowPunct w:val="0"/>
        <w:topLinePunct/>
        <w:autoSpaceDE/>
        <w:autoSpaceDN/>
        <w:bidi w:val="0"/>
        <w:adjustRightInd/>
        <w:snapToGrid/>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en-US"/>
        </w:rPr>
        <w:t>库内设浮船泵站或浮体泵，用于尾矿库回水，降低库水位。</w:t>
      </w:r>
    </w:p>
    <w:p w14:paraId="769BFBA4">
      <w:pPr>
        <w:keepNext w:val="0"/>
        <w:keepLines w:val="0"/>
        <w:pageBreakBefore w:val="0"/>
        <w:widowControl w:val="0"/>
        <w:kinsoku/>
        <w:wordWrap/>
        <w:overflowPunct w:val="0"/>
        <w:topLinePunct/>
        <w:autoSpaceDE/>
        <w:autoSpaceDN/>
        <w:bidi w:val="0"/>
        <w:adjustRightInd/>
        <w:snapToGrid/>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）防渗设施</w:t>
      </w:r>
    </w:p>
    <w:p w14:paraId="29AC67E9">
      <w:pPr>
        <w:keepNext w:val="0"/>
        <w:keepLines w:val="0"/>
        <w:pageBreakBefore w:val="0"/>
        <w:widowControl w:val="0"/>
        <w:kinsoku/>
        <w:wordWrap/>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根据《一般工业固体废物贮存和填埋污染控制标准》</w:t>
      </w:r>
      <w:r>
        <w:rPr>
          <w:rFonts w:hint="eastAsia"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GB18599-2020</w:t>
      </w:r>
      <w:r>
        <w:rPr>
          <w:rFonts w:hint="eastAsia"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相关要求，尾矿库设置全库区防渗系统，库内所有坝坡及库底均铺设1.0mmHDPE土工膜防渗，防渗面积8.66hm</w:t>
      </w:r>
      <w:r>
        <w:rPr>
          <w:rFonts w:hint="default" w:ascii="Times New Roman" w:hAnsi="Times New Roman" w:eastAsia="宋体" w:cs="Times New Roman"/>
          <w:color w:val="auto"/>
          <w:kern w:val="0"/>
          <w:sz w:val="24"/>
          <w:szCs w:val="24"/>
          <w:highlight w:val="none"/>
          <w:vertAlign w:val="superscript"/>
          <w:lang w:val="en-US" w:eastAsia="zh-CN" w:bidi="ar-SA"/>
        </w:rPr>
        <w:t>2</w:t>
      </w:r>
      <w:r>
        <w:rPr>
          <w:rFonts w:hint="default" w:ascii="Times New Roman" w:hAnsi="Times New Roman" w:eastAsia="宋体" w:cs="Times New Roman"/>
          <w:color w:val="auto"/>
          <w:kern w:val="0"/>
          <w:sz w:val="24"/>
          <w:szCs w:val="24"/>
          <w:highlight w:val="none"/>
          <w:lang w:val="en-US" w:eastAsia="zh-CN" w:bidi="ar-SA"/>
        </w:rPr>
        <w:t>，其中一期6.91hm</w:t>
      </w:r>
      <w:r>
        <w:rPr>
          <w:rFonts w:hint="default" w:ascii="Times New Roman" w:hAnsi="Times New Roman" w:eastAsia="宋体" w:cs="Times New Roman"/>
          <w:color w:val="auto"/>
          <w:kern w:val="0"/>
          <w:sz w:val="24"/>
          <w:szCs w:val="24"/>
          <w:highlight w:val="none"/>
          <w:vertAlign w:val="superscript"/>
          <w:lang w:val="en-US" w:eastAsia="zh-CN" w:bidi="ar-SA"/>
        </w:rPr>
        <w:t>2</w:t>
      </w:r>
      <w:r>
        <w:rPr>
          <w:rFonts w:hint="default" w:ascii="Times New Roman" w:hAnsi="Times New Roman" w:eastAsia="宋体" w:cs="Times New Roman"/>
          <w:color w:val="auto"/>
          <w:kern w:val="0"/>
          <w:sz w:val="24"/>
          <w:szCs w:val="24"/>
          <w:highlight w:val="none"/>
          <w:lang w:val="en-US" w:eastAsia="zh-CN" w:bidi="ar-SA"/>
        </w:rPr>
        <w:t>，二期1.751hm</w:t>
      </w:r>
      <w:r>
        <w:rPr>
          <w:rFonts w:hint="default" w:ascii="Times New Roman" w:hAnsi="Times New Roman" w:eastAsia="宋体" w:cs="Times New Roman"/>
          <w:color w:val="auto"/>
          <w:kern w:val="0"/>
          <w:sz w:val="24"/>
          <w:szCs w:val="24"/>
          <w:highlight w:val="none"/>
          <w:vertAlign w:val="superscript"/>
          <w:lang w:val="en-US" w:eastAsia="zh-CN" w:bidi="ar-SA"/>
        </w:rPr>
        <w:t>2</w:t>
      </w:r>
      <w:r>
        <w:rPr>
          <w:rFonts w:hint="default" w:ascii="Times New Roman" w:hAnsi="Times New Roman" w:eastAsia="宋体" w:cs="Times New Roman"/>
          <w:color w:val="auto"/>
          <w:kern w:val="0"/>
          <w:sz w:val="24"/>
          <w:szCs w:val="24"/>
          <w:highlight w:val="none"/>
          <w:lang w:val="en-US" w:eastAsia="zh-CN" w:bidi="ar-SA"/>
        </w:rPr>
        <w:t>。</w:t>
      </w:r>
    </w:p>
    <w:p w14:paraId="5C6A19FA">
      <w:pPr>
        <w:keepNext w:val="0"/>
        <w:keepLines w:val="0"/>
        <w:pageBreakBefore w:val="0"/>
        <w:widowControl w:val="0"/>
        <w:kinsoku/>
        <w:wordWrap/>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SA"/>
        </w:rPr>
        <w:t>尾矿库进行全库防渗。尾矿库坝体内坡均设防渗层和库区防渗层联合形成完整的全库防渗系统。尾矿坝内坡防渗结构由下到上依次为：土石坝体、0.3m厚压实细砂垫层、1.0mm厚双糙面HDPE土工膜、600g/m</w:t>
      </w:r>
      <w:r>
        <w:rPr>
          <w:rFonts w:hint="default" w:ascii="Times New Roman" w:hAnsi="Times New Roman" w:eastAsia="宋体" w:cs="Times New Roman"/>
          <w:color w:val="auto"/>
          <w:kern w:val="0"/>
          <w:sz w:val="24"/>
          <w:szCs w:val="24"/>
          <w:highlight w:val="none"/>
          <w:vertAlign w:val="superscript"/>
          <w:lang w:val="en-US" w:eastAsia="zh-CN" w:bidi="ar-SA"/>
        </w:rPr>
        <w:t>2</w:t>
      </w:r>
      <w:r>
        <w:rPr>
          <w:rFonts w:hint="default" w:ascii="Times New Roman" w:hAnsi="Times New Roman" w:eastAsia="宋体" w:cs="Times New Roman"/>
          <w:color w:val="auto"/>
          <w:kern w:val="0"/>
          <w:sz w:val="24"/>
          <w:szCs w:val="24"/>
          <w:highlight w:val="none"/>
          <w:lang w:val="en-US" w:eastAsia="zh-CN" w:bidi="ar-SA"/>
        </w:rPr>
        <w:t>长丝无纺土工布保护层。尾矿库库底防渗结构由下到上依次为：基础层、0.3m厚压实细砂垫层、1.0mm厚光面HDPE土工膜、600g/m</w:t>
      </w:r>
      <w:r>
        <w:rPr>
          <w:rFonts w:hint="default" w:ascii="Times New Roman" w:hAnsi="Times New Roman" w:eastAsia="宋体" w:cs="Times New Roman"/>
          <w:color w:val="auto"/>
          <w:kern w:val="0"/>
          <w:sz w:val="24"/>
          <w:szCs w:val="24"/>
          <w:highlight w:val="none"/>
          <w:vertAlign w:val="superscript"/>
          <w:lang w:val="en-US" w:eastAsia="zh-CN" w:bidi="ar-SA"/>
        </w:rPr>
        <w:t>2</w:t>
      </w:r>
      <w:r>
        <w:rPr>
          <w:rFonts w:hint="default" w:ascii="Times New Roman" w:hAnsi="Times New Roman" w:eastAsia="宋体" w:cs="Times New Roman"/>
          <w:color w:val="auto"/>
          <w:kern w:val="0"/>
          <w:sz w:val="24"/>
          <w:szCs w:val="24"/>
          <w:highlight w:val="none"/>
          <w:lang w:val="en-US" w:eastAsia="zh-CN" w:bidi="ar-SA"/>
        </w:rPr>
        <w:t>长丝无纺土工布保护层、尾矿。</w:t>
      </w:r>
    </w:p>
    <w:p w14:paraId="5DD9CF4B">
      <w:pPr>
        <w:keepNext w:val="0"/>
        <w:keepLines w:val="0"/>
        <w:pageBreakBefore w:val="0"/>
        <w:widowControl w:val="0"/>
        <w:kinsoku/>
        <w:wordWrap/>
        <w:overflowPunct w:val="0"/>
        <w:topLinePunct/>
        <w:autoSpaceDE/>
        <w:autoSpaceDN/>
        <w:bidi w:val="0"/>
        <w:adjustRightInd/>
        <w:snapToGrid/>
        <w:ind w:firstLine="48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尾矿排放</w:t>
      </w:r>
    </w:p>
    <w:p w14:paraId="7465879B">
      <w:pPr>
        <w:keepNext w:val="0"/>
        <w:keepLines w:val="0"/>
        <w:pageBreakBefore w:val="0"/>
        <w:widowControl w:val="0"/>
        <w:kinsoku/>
        <w:wordWrap/>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尾矿库的地形、库型及尾矿设施的总体布置等情况，尾矿排放采用周边放矿型式。在尾矿库放矿主管上设置放矿支管（DN150，HDPE管道），4根为1组。两根相邻放矿支管间距为12m，每次放矿使用1组共4根相邻的放矿支管，然后循序渐进，轮换使用，确保坝前均匀分散放矿，使尾矿均匀上升，避免滩面出现回流、横流等不良流态。</w:t>
      </w:r>
    </w:p>
    <w:p w14:paraId="740233C9">
      <w:pPr>
        <w:keepNext w:val="0"/>
        <w:keepLines w:val="0"/>
        <w:pageBreakBefore w:val="0"/>
        <w:widowControl w:val="0"/>
        <w:kinsoku/>
        <w:wordWrap/>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一期东北侧溢洪道进口附近尾矿排放滩顶标高不高于1179.0m，其余坝段滩顶标高不高于1180.0m，要求控制干滩坡度不小于1%；二期东北侧溢洪道进口附近尾矿排放滩顶标高不高于1186.0m，其余坝段滩顶标高不高于1187.0m，要求控制干滩坡度不小于1%。</w:t>
      </w:r>
    </w:p>
    <w:p w14:paraId="30620714">
      <w:pPr>
        <w:keepNext w:val="0"/>
        <w:keepLines w:val="0"/>
        <w:pageBreakBefore w:val="0"/>
        <w:widowControl w:val="0"/>
        <w:kinsoku/>
        <w:wordWrap/>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沉积滩面不得有积水坑存在，以防止细颗粒大量集中沉积于尾矿坝的一端或坝前。沉积滩如出现干燥滩面时，宜调整放矿位置使尾矿沉积滩保持潮湿状态，避免扬尘。</w:t>
      </w:r>
    </w:p>
    <w:p w14:paraId="7F692A17">
      <w:pPr>
        <w:pStyle w:val="98"/>
        <w:keepNext w:val="0"/>
        <w:keepLines w:val="0"/>
        <w:pageBreakBefore w:val="0"/>
        <w:widowControl w:val="0"/>
        <w:shd w:val="clear"/>
        <w:kinsoku/>
        <w:wordWrap/>
        <w:autoSpaceDE/>
        <w:autoSpaceDN/>
        <w:bidi w:val="0"/>
        <w:adjustRightInd/>
        <w:snapToGrid/>
        <w:spacing w:beforeLines="0"/>
        <w:ind w:firstLine="56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冬季气温寒冷时，应注意放缓轮换放矿步骤，减少轮换放矿批次，尽可能在中午气温高的时间轮换，逐步开启相邻管道放矿，轮换时每次新开和关闭的放矿支管不超过1个。</w:t>
      </w:r>
    </w:p>
    <w:p w14:paraId="15B71C0D">
      <w:pPr>
        <w:keepNext w:val="0"/>
        <w:keepLines w:val="0"/>
        <w:pageBreakBefore w:val="0"/>
        <w:widowControl w:val="0"/>
        <w:kinsoku/>
        <w:wordWrap/>
        <w:overflowPunct w:val="0"/>
        <w:topLinePunct/>
        <w:autoSpaceDE/>
        <w:autoSpaceDN/>
        <w:bidi w:val="0"/>
        <w:adjustRightInd/>
        <w:snapToGrid/>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）安全监测设施</w:t>
      </w:r>
    </w:p>
    <w:p w14:paraId="07D4EAA1">
      <w:pPr>
        <w:keepNext w:val="0"/>
        <w:keepLines w:val="0"/>
        <w:pageBreakBefore w:val="0"/>
        <w:widowControl w:val="0"/>
        <w:kinsoku/>
        <w:wordWrap/>
        <w:overflowPunct w:val="0"/>
        <w:topLinePunct/>
        <w:autoSpaceDE/>
        <w:autoSpaceDN/>
        <w:bidi w:val="0"/>
        <w:adjustRightInd/>
        <w:snapToGrid/>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尾矿库等别为四等，安全监测系统采用在线监测和人工监测相结合的方式。</w:t>
      </w:r>
    </w:p>
    <w:p w14:paraId="0C581322">
      <w:pPr>
        <w:keepNext w:val="0"/>
        <w:keepLines w:val="0"/>
        <w:pageBreakBefore w:val="0"/>
        <w:widowControl w:val="0"/>
        <w:kinsoku/>
        <w:wordWrap/>
        <w:overflowPunct w:val="0"/>
        <w:topLinePunct/>
        <w:autoSpaceDE/>
        <w:autoSpaceDN/>
        <w:bidi w:val="0"/>
        <w:adjustRightInd/>
        <w:snapToGrid/>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根据《尾矿库安全监测技术规范》AQ2030-2010、《尾矿库在线安全监测系统工程技术规范》GB51108-2015，该尾矿库监测项目包括：</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坝体表面位移监测；</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浸润线监测；</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库水位监测；</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降雨量监测；</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库区视频动态监控。本次在新建尾矿库四周的坝下</w:t>
      </w:r>
      <w:r>
        <w:rPr>
          <w:rFonts w:hint="default" w:ascii="Times New Roman" w:hAnsi="Times New Roman" w:eastAsia="宋体" w:cs="Times New Roman"/>
          <w:color w:val="auto"/>
          <w:sz w:val="24"/>
          <w:szCs w:val="24"/>
          <w:highlight w:val="none"/>
          <w:lang w:val="en-US" w:eastAsia="zh-CN"/>
        </w:rPr>
        <w:t>设置了3</w:t>
      </w:r>
      <w:r>
        <w:rPr>
          <w:rFonts w:hint="default" w:ascii="Times New Roman" w:hAnsi="Times New Roman" w:eastAsia="宋体" w:cs="Times New Roman"/>
          <w:color w:val="auto"/>
          <w:sz w:val="24"/>
          <w:szCs w:val="24"/>
          <w:highlight w:val="none"/>
        </w:rPr>
        <w:t>座地下水监测井。</w:t>
      </w:r>
    </w:p>
    <w:p w14:paraId="429176D4">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）尾矿库使用终期的复垦</w:t>
      </w:r>
    </w:p>
    <w:p w14:paraId="318C7AC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尾矿库使用终结后，应对尾矿库进行必要的复垦。对尾矿库采用覆盖0.4m厚耕植土进行复垦，恢复</w:t>
      </w:r>
      <w:r>
        <w:rPr>
          <w:rFonts w:hint="eastAsia" w:cs="Times New Roman"/>
          <w:color w:val="auto"/>
          <w:highlight w:val="none"/>
          <w:lang w:val="en-US" w:eastAsia="zh-CN"/>
        </w:rPr>
        <w:t>原有地貌</w:t>
      </w:r>
      <w:r>
        <w:rPr>
          <w:rFonts w:hint="default" w:ascii="Times New Roman" w:hAnsi="Times New Roman" w:cs="Times New Roman"/>
          <w:color w:val="auto"/>
          <w:highlight w:val="none"/>
        </w:rPr>
        <w:t>，恢复区域景观生态系统的完整性。项目临时占地在占用结束后对其进行复垦和绿化。</w:t>
      </w:r>
    </w:p>
    <w:p w14:paraId="215520AF">
      <w:pPr>
        <w:pStyle w:val="4"/>
        <w:rPr>
          <w:rFonts w:hint="default" w:ascii="Times New Roman" w:hAnsi="Times New Roman" w:eastAsia="宋体" w:cs="Times New Roman"/>
          <w:color w:val="auto"/>
          <w:highlight w:val="none"/>
          <w:lang w:eastAsia="zh-CN"/>
        </w:rPr>
      </w:pPr>
      <w:bookmarkStart w:id="371" w:name="_Toc32708"/>
      <w:bookmarkStart w:id="372" w:name="_Toc26098"/>
      <w:bookmarkStart w:id="373" w:name="_Toc18035"/>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bookmarkEnd w:id="359"/>
      <w:bookmarkEnd w:id="360"/>
      <w:bookmarkEnd w:id="361"/>
      <w:bookmarkEnd w:id="362"/>
      <w:bookmarkEnd w:id="363"/>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工程占地</w:t>
      </w:r>
      <w:bookmarkEnd w:id="371"/>
      <w:bookmarkEnd w:id="372"/>
      <w:bookmarkEnd w:id="373"/>
      <w:r>
        <w:rPr>
          <w:rFonts w:hint="default" w:ascii="Times New Roman" w:hAnsi="Times New Roman" w:cs="Times New Roman"/>
          <w:color w:val="auto"/>
          <w:highlight w:val="none"/>
          <w:lang w:eastAsia="zh-CN"/>
        </w:rPr>
        <w:t>及土石方</w:t>
      </w:r>
    </w:p>
    <w:p w14:paraId="43E41DCB">
      <w:pPr>
        <w:pStyle w:val="56"/>
        <w:spacing w:line="480" w:lineRule="exact"/>
        <w:ind w:firstLine="48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lang w:eastAsia="zh-CN"/>
        </w:rPr>
        <w:t>）工程占地</w:t>
      </w:r>
    </w:p>
    <w:p w14:paraId="2F6A8C39">
      <w:pPr>
        <w:pStyle w:val="56"/>
        <w:spacing w:line="480" w:lineRule="exact"/>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本项目新增占地面积</w:t>
      </w:r>
      <w:r>
        <w:rPr>
          <w:rFonts w:hint="default" w:ascii="Times New Roman" w:hAnsi="Times New Roman" w:cs="Times New Roman"/>
          <w:color w:val="auto"/>
          <w:sz w:val="24"/>
          <w:highlight w:val="none"/>
          <w:lang w:eastAsia="zh-CN"/>
        </w:rPr>
        <w:t>20.1603</w:t>
      </w:r>
      <w:r>
        <w:rPr>
          <w:rFonts w:hint="default" w:ascii="Times New Roman" w:hAnsi="Times New Roman" w:cs="Times New Roman"/>
          <w:color w:val="auto"/>
          <w:sz w:val="24"/>
          <w:highlight w:val="none"/>
        </w:rPr>
        <w:t>hm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，占地面积详见表3.</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11</w:t>
      </w:r>
      <w:r>
        <w:rPr>
          <w:rFonts w:hint="default" w:ascii="Times New Roman" w:hAnsi="Times New Roman" w:cs="Times New Roman"/>
          <w:color w:val="auto"/>
          <w:sz w:val="24"/>
          <w:highlight w:val="none"/>
        </w:rPr>
        <w:t>。</w:t>
      </w:r>
    </w:p>
    <w:p w14:paraId="281CD70C">
      <w:pPr>
        <w:ind w:firstLine="0" w:firstLineChars="0"/>
        <w:jc w:val="center"/>
        <w:rPr>
          <w:color w:val="auto"/>
          <w:highlight w:val="none"/>
        </w:rPr>
      </w:pPr>
      <w:r>
        <w:rPr>
          <w:rFonts w:hint="default" w:ascii="Times New Roman" w:hAnsi="Times New Roman" w:cs="Times New Roman"/>
          <w:b/>
          <w:color w:val="auto"/>
          <w:highlight w:val="none"/>
        </w:rPr>
        <w:t>表3.</w:t>
      </w:r>
      <w:r>
        <w:rPr>
          <w:rFonts w:hint="default" w:ascii="Times New Roman" w:hAnsi="Times New Roman" w:cs="Times New Roman"/>
          <w:b/>
          <w:color w:val="auto"/>
          <w:highlight w:val="none"/>
          <w:lang w:val="en-US" w:eastAsia="zh-CN"/>
        </w:rPr>
        <w:t>1</w:t>
      </w:r>
      <w:r>
        <w:rPr>
          <w:rFonts w:hint="default" w:ascii="Times New Roman" w:hAnsi="Times New Roman" w:cs="Times New Roman"/>
          <w:b/>
          <w:color w:val="auto"/>
          <w:highlight w:val="none"/>
        </w:rPr>
        <w:t>-</w:t>
      </w:r>
      <w:r>
        <w:rPr>
          <w:rFonts w:hint="default" w:ascii="Times New Roman" w:hAnsi="Times New Roman" w:cs="Times New Roman"/>
          <w:b/>
          <w:color w:val="auto"/>
          <w:highlight w:val="none"/>
          <w:lang w:val="en-US" w:eastAsia="zh-CN"/>
        </w:rPr>
        <w:t>11</w:t>
      </w:r>
      <w:r>
        <w:rPr>
          <w:rFonts w:hint="default" w:ascii="Times New Roman" w:hAnsi="Times New Roman" w:cs="Times New Roman"/>
          <w:b/>
          <w:color w:val="auto"/>
          <w:highlight w:val="none"/>
        </w:rPr>
        <w:t xml:space="preserve">    本项目占地情况一览表</w:t>
      </w:r>
    </w:p>
    <w:tbl>
      <w:tblPr>
        <w:tblStyle w:val="33"/>
        <w:tblW w:w="5016" w:type="pct"/>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542"/>
        <w:gridCol w:w="1750"/>
        <w:gridCol w:w="1503"/>
        <w:gridCol w:w="2430"/>
        <w:gridCol w:w="2792"/>
      </w:tblGrid>
      <w:tr w14:paraId="54693365">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tblHeader/>
          <w:jc w:val="center"/>
        </w:trPr>
        <w:tc>
          <w:tcPr>
            <w:tcW w:w="541" w:type="dxa"/>
            <w:tcBorders>
              <w:bottom w:val="single" w:color="auto" w:sz="4" w:space="0"/>
              <w:right w:val="single" w:color="auto" w:sz="4" w:space="0"/>
            </w:tcBorders>
            <w:shd w:val="clear" w:color="auto" w:fill="auto"/>
            <w:tcMar>
              <w:top w:w="0" w:type="dxa"/>
              <w:left w:w="0" w:type="dxa"/>
              <w:bottom w:w="0" w:type="dxa"/>
              <w:right w:w="0" w:type="dxa"/>
            </w:tcMar>
            <w:vAlign w:val="center"/>
          </w:tcPr>
          <w:p w14:paraId="5EB639A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序号</w:t>
            </w:r>
          </w:p>
        </w:tc>
        <w:tc>
          <w:tcPr>
            <w:tcW w:w="1744" w:type="dxa"/>
            <w:tcBorders>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5758EF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建构筑物名称</w:t>
            </w:r>
          </w:p>
        </w:tc>
        <w:tc>
          <w:tcPr>
            <w:tcW w:w="1498" w:type="dxa"/>
            <w:tcBorders>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F57409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占地面积</w:t>
            </w:r>
          </w:p>
          <w:p w14:paraId="22B0338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eastAsia" w:eastAsia="宋体" w:cs="Times New Roman"/>
                <w:b/>
                <w:bCs/>
                <w:color w:val="auto"/>
                <w:kern w:val="0"/>
                <w:sz w:val="21"/>
                <w:szCs w:val="21"/>
                <w:highlight w:val="none"/>
                <w:lang w:eastAsia="zh-CN"/>
              </w:rPr>
              <w:t>（</w:t>
            </w:r>
            <w:r>
              <w:rPr>
                <w:rFonts w:hint="default" w:ascii="Times New Roman" w:hAnsi="Times New Roman" w:eastAsia="宋体" w:cs="Times New Roman"/>
                <w:b/>
                <w:bCs/>
                <w:color w:val="auto"/>
                <w:kern w:val="0"/>
                <w:sz w:val="21"/>
                <w:szCs w:val="21"/>
                <w:highlight w:val="none"/>
              </w:rPr>
              <w:t>hm</w:t>
            </w:r>
            <w:r>
              <w:rPr>
                <w:rFonts w:hint="eastAsia" w:eastAsia="宋体" w:cs="Times New Roman"/>
                <w:b/>
                <w:bCs/>
                <w:color w:val="auto"/>
                <w:kern w:val="0"/>
                <w:sz w:val="21"/>
                <w:szCs w:val="21"/>
                <w:highlight w:val="none"/>
                <w:vertAlign w:val="superscript"/>
                <w:lang w:val="en-US" w:eastAsia="zh-CN"/>
              </w:rPr>
              <w:t>2</w:t>
            </w:r>
            <w:r>
              <w:rPr>
                <w:rFonts w:hint="eastAsia" w:eastAsia="宋体" w:cs="Times New Roman"/>
                <w:b/>
                <w:bCs/>
                <w:color w:val="auto"/>
                <w:kern w:val="0"/>
                <w:sz w:val="21"/>
                <w:szCs w:val="21"/>
                <w:highlight w:val="none"/>
                <w:lang w:eastAsia="zh-CN"/>
              </w:rPr>
              <w:t>）</w:t>
            </w:r>
          </w:p>
        </w:tc>
        <w:tc>
          <w:tcPr>
            <w:tcW w:w="2422" w:type="dxa"/>
            <w:tcBorders>
              <w:left w:val="single" w:color="auto" w:sz="4" w:space="0"/>
              <w:bottom w:val="single" w:color="auto" w:sz="4" w:space="0"/>
            </w:tcBorders>
            <w:shd w:val="clear" w:color="auto" w:fill="auto"/>
            <w:tcMar>
              <w:top w:w="0" w:type="dxa"/>
              <w:left w:w="0" w:type="dxa"/>
              <w:bottom w:w="0" w:type="dxa"/>
              <w:right w:w="0" w:type="dxa"/>
            </w:tcMar>
            <w:vAlign w:val="center"/>
          </w:tcPr>
          <w:p w14:paraId="4DF54E3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eastAsia" w:eastAsia="宋体" w:cs="Times New Roman"/>
                <w:b/>
                <w:bCs/>
                <w:color w:val="auto"/>
                <w:kern w:val="0"/>
                <w:sz w:val="21"/>
                <w:szCs w:val="21"/>
                <w:highlight w:val="none"/>
                <w:lang w:val="en-US" w:eastAsia="zh-CN"/>
              </w:rPr>
              <w:t>占地类型</w:t>
            </w:r>
          </w:p>
        </w:tc>
        <w:tc>
          <w:tcPr>
            <w:tcW w:w="2783" w:type="dxa"/>
            <w:tcBorders>
              <w:left w:val="single" w:color="auto" w:sz="4" w:space="0"/>
              <w:bottom w:val="single" w:color="auto" w:sz="4" w:space="0"/>
            </w:tcBorders>
            <w:shd w:val="clear" w:color="auto" w:fill="auto"/>
            <w:tcMar>
              <w:top w:w="0" w:type="dxa"/>
              <w:left w:w="0" w:type="dxa"/>
              <w:bottom w:w="0" w:type="dxa"/>
              <w:right w:w="0" w:type="dxa"/>
            </w:tcMar>
            <w:vAlign w:val="center"/>
          </w:tcPr>
          <w:p w14:paraId="0D5AAA0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备注</w:t>
            </w:r>
          </w:p>
        </w:tc>
      </w:tr>
      <w:tr w14:paraId="7908046E">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A37440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9D94AD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卸料棚</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6DD4B3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0.0033</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5506F51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2A044A3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永久占地</w:t>
            </w:r>
          </w:p>
        </w:tc>
      </w:tr>
      <w:tr w14:paraId="56319829">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26969D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A61A67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粗碎车间</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98FF21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0.0225</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7C32FE0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02D361E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永久占地</w:t>
            </w:r>
          </w:p>
        </w:tc>
      </w:tr>
      <w:tr w14:paraId="07502D46">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DF32F3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675283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中碎车间</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0506C1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0.0270</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43CD59A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7B22A52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永久占地</w:t>
            </w:r>
          </w:p>
        </w:tc>
      </w:tr>
      <w:tr w14:paraId="2190C68C">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B0D0B0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258E57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粉矿仓（2座）</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947C35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0.0127</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70497EA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57BB85C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永久占地</w:t>
            </w:r>
          </w:p>
        </w:tc>
      </w:tr>
      <w:tr w14:paraId="18D134A0">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D5A5E0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DC8F8C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皮带通廊</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36BE87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0.0407</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43CD940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102728C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永久占地</w:t>
            </w:r>
          </w:p>
        </w:tc>
      </w:tr>
      <w:tr w14:paraId="62143419">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97B8C1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85E317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主厂房</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8480F0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0.4959</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185CDA4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1D281BA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永久占地</w:t>
            </w:r>
          </w:p>
        </w:tc>
      </w:tr>
      <w:tr w14:paraId="5204EAB9">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3D9310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7</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C65B4D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浓密机</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CF54EF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0.0452</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21233F5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46F655B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永久占地</w:t>
            </w:r>
          </w:p>
        </w:tc>
      </w:tr>
      <w:tr w14:paraId="25F2498E">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D6DD4A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8</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7FC069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清水集聚池</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3A1CA7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0.1700</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04D7834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4118051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永久占地</w:t>
            </w:r>
          </w:p>
        </w:tc>
      </w:tr>
      <w:tr w14:paraId="1728CFDB">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47C16E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9</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42365B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选矿厂循环水</w:t>
            </w:r>
            <w:r>
              <w:rPr>
                <w:rFonts w:hint="default" w:ascii="Times New Roman" w:hAnsi="Times New Roman" w:eastAsia="宋体" w:cs="Times New Roman"/>
                <w:color w:val="auto"/>
                <w:kern w:val="0"/>
                <w:sz w:val="21"/>
                <w:szCs w:val="21"/>
                <w:highlight w:val="none"/>
              </w:rPr>
              <w:t>池</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DF8989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0.2000</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3AD03E9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1519A8F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永久占地</w:t>
            </w:r>
          </w:p>
        </w:tc>
      </w:tr>
      <w:tr w14:paraId="200A142B">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02D7BC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D514FF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尾矿水1号澄清池</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20E6D2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0.0150</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1F2B497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6350F0E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永久占地</w:t>
            </w:r>
          </w:p>
        </w:tc>
      </w:tr>
      <w:tr w14:paraId="484E4575">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E35568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7E4E18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尾矿水2号澄清池</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373211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0.0150</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5AB8626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0F9BCC8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永久占地</w:t>
            </w:r>
          </w:p>
        </w:tc>
      </w:tr>
      <w:tr w14:paraId="45ABDE14">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9ED17B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3F36A4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配电室</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971D62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0.0192</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2CCE345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44C71BC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永久占地</w:t>
            </w:r>
          </w:p>
        </w:tc>
      </w:tr>
      <w:tr w14:paraId="79441721">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282C1A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13</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1D5DBE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锅炉房</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EDE33F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0.0576</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59AB6A2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668F168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永久占地</w:t>
            </w:r>
          </w:p>
        </w:tc>
      </w:tr>
      <w:tr w14:paraId="01A0D7C8">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2D2B35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14</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35BB97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煤棚</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9142F6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0.0735</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42BF163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246785F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永久占地</w:t>
            </w:r>
          </w:p>
        </w:tc>
      </w:tr>
      <w:tr w14:paraId="40C65F43">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DE8E02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15</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240BEC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门卫值班室</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33CB51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0.0046</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6162D30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74B4400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永久占地</w:t>
            </w:r>
          </w:p>
        </w:tc>
      </w:tr>
      <w:tr w14:paraId="048413BA">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659CF0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16</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093AB5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磅秤房</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9E0F97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0.0046</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7C80AD2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0DE3EE0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永久占地</w:t>
            </w:r>
          </w:p>
        </w:tc>
      </w:tr>
      <w:tr w14:paraId="3B33CA23">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6B1A15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17</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C45318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采矿楼</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931F05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0.0866</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03DADAC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6876BBE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永久占地</w:t>
            </w:r>
          </w:p>
        </w:tc>
      </w:tr>
      <w:tr w14:paraId="4B3E54D6">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E54425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18</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20937B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选厂楼</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698B8C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0.0866</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36C8532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34ED2B4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永久占地</w:t>
            </w:r>
          </w:p>
        </w:tc>
      </w:tr>
      <w:tr w14:paraId="08AF2B92">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413EDC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19</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23420E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办公楼</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75FF09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0.0866</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037145C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762F5AE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永久占地</w:t>
            </w:r>
          </w:p>
        </w:tc>
      </w:tr>
      <w:tr w14:paraId="6D1703E0">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FB5DD6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6481E8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餐厅楼</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656481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0.0866</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6AD4D58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70AAA64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永久占地</w:t>
            </w:r>
          </w:p>
        </w:tc>
      </w:tr>
      <w:tr w14:paraId="5FBEFF28">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F3E1D7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21</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E0AF06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消防水池</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BE9B94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0.0080</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5F29E8C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2325AE7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永久占地</w:t>
            </w:r>
          </w:p>
        </w:tc>
      </w:tr>
      <w:tr w14:paraId="01D04649">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7A2679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22</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0C2B53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尾矿库</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150BBD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16.6</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5F36EE1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1B0DB66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永久占地</w:t>
            </w:r>
          </w:p>
        </w:tc>
      </w:tr>
      <w:tr w14:paraId="5E27C121">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B0CD1A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23</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8FD9CB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厂区道路、绿化及预留用地</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D939B3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1.9989</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3706391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3E87C34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临时占地</w:t>
            </w:r>
          </w:p>
        </w:tc>
      </w:tr>
      <w:tr w14:paraId="4EF29B64">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2285" w:type="dxa"/>
            <w:gridSpan w:val="2"/>
            <w:tcBorders>
              <w:top w:val="single" w:color="auto" w:sz="4" w:space="0"/>
              <w:right w:val="single" w:color="auto" w:sz="4" w:space="0"/>
            </w:tcBorders>
            <w:shd w:val="clear" w:color="auto" w:fill="auto"/>
            <w:tcMar>
              <w:top w:w="0" w:type="dxa"/>
              <w:left w:w="0" w:type="dxa"/>
              <w:bottom w:w="0" w:type="dxa"/>
              <w:right w:w="0" w:type="dxa"/>
            </w:tcMar>
            <w:vAlign w:val="center"/>
          </w:tcPr>
          <w:p w14:paraId="40413E2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合计</w:t>
            </w:r>
          </w:p>
        </w:tc>
        <w:tc>
          <w:tcPr>
            <w:tcW w:w="1498" w:type="dxa"/>
            <w:tcBorders>
              <w:top w:val="single" w:color="auto" w:sz="4" w:space="0"/>
              <w:left w:val="single" w:color="auto" w:sz="4" w:space="0"/>
              <w:right w:val="single" w:color="auto" w:sz="4" w:space="0"/>
            </w:tcBorders>
            <w:shd w:val="clear" w:color="auto" w:fill="auto"/>
            <w:tcMar>
              <w:top w:w="0" w:type="dxa"/>
              <w:left w:w="0" w:type="dxa"/>
              <w:bottom w:w="0" w:type="dxa"/>
              <w:right w:w="0" w:type="dxa"/>
            </w:tcMar>
            <w:vAlign w:val="center"/>
          </w:tcPr>
          <w:p w14:paraId="3C85420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20.1603</w:t>
            </w:r>
          </w:p>
        </w:tc>
        <w:tc>
          <w:tcPr>
            <w:tcW w:w="2422" w:type="dxa"/>
            <w:tcBorders>
              <w:top w:val="single" w:color="auto" w:sz="4" w:space="0"/>
              <w:left w:val="single" w:color="auto" w:sz="4" w:space="0"/>
            </w:tcBorders>
            <w:shd w:val="clear" w:color="auto" w:fill="auto"/>
            <w:tcMar>
              <w:top w:w="0" w:type="dxa"/>
              <w:left w:w="0" w:type="dxa"/>
              <w:bottom w:w="0" w:type="dxa"/>
              <w:right w:w="0" w:type="dxa"/>
            </w:tcMar>
            <w:vAlign w:val="center"/>
          </w:tcPr>
          <w:p w14:paraId="1129D39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tcBorders>
            <w:shd w:val="clear" w:color="auto" w:fill="auto"/>
            <w:tcMar>
              <w:top w:w="0" w:type="dxa"/>
              <w:left w:w="0" w:type="dxa"/>
              <w:bottom w:w="0" w:type="dxa"/>
              <w:right w:w="0" w:type="dxa"/>
            </w:tcMar>
            <w:vAlign w:val="center"/>
          </w:tcPr>
          <w:p w14:paraId="71A7352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w:t>
            </w:r>
          </w:p>
        </w:tc>
      </w:tr>
    </w:tbl>
    <w:p w14:paraId="16E31B3C">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color w:val="auto"/>
          <w:highlight w:val="none"/>
          <w:lang w:val="en-US" w:eastAsia="zh-CN"/>
        </w:rPr>
      </w:pPr>
      <w:bookmarkStart w:id="374" w:name="_Toc8567"/>
      <w:bookmarkStart w:id="375" w:name="_Toc21589"/>
      <w:bookmarkStart w:id="376" w:name="_Toc20881"/>
      <w:r>
        <w:rPr>
          <w:rFonts w:hint="default" w:ascii="Times New Roman" w:hAnsi="Times New Roman" w:eastAsia="宋体" w:cs="Times New Roman"/>
          <w:color w:val="auto"/>
          <w:highlight w:val="none"/>
          <w:lang w:val="en-US" w:eastAsia="zh-CN"/>
        </w:rPr>
        <w:t>（2）项目土石方平衡</w:t>
      </w:r>
    </w:p>
    <w:p w14:paraId="4490D50C">
      <w:pPr>
        <w:keepNext w:val="0"/>
        <w:keepLines w:val="0"/>
        <w:pageBreakBefore w:val="0"/>
        <w:widowControl w:val="0"/>
        <w:kinsoku/>
        <w:wordWrap/>
        <w:overflowPunct/>
        <w:topLinePunct w:val="0"/>
        <w:autoSpaceDE/>
        <w:autoSpaceDN/>
        <w:bidi w:val="0"/>
        <w:adjustRightInd/>
        <w:snapToGrid/>
        <w:spacing w:line="480" w:lineRule="exact"/>
        <w:ind w:firstLine="477" w:firstLineChars="199"/>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项目建设期土石方主要来自选矿厂场地平整、建（构）筑物基础开挖、尾矿库库区清基、道路路基修筑等。本着“合理调配、减少弃方”的原则，本项目对工程挖方优先进行综合利用。项目总挖方量约12.5万m</w:t>
      </w:r>
      <w:r>
        <w:rPr>
          <w:rFonts w:hint="eastAsia"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，总填方量约</w:t>
      </w:r>
      <w:r>
        <w:rPr>
          <w:rFonts w:hint="eastAsia" w:cs="Times New Roman"/>
          <w:color w:val="auto"/>
          <w:kern w:val="0"/>
          <w:sz w:val="24"/>
          <w:szCs w:val="24"/>
          <w:highlight w:val="none"/>
          <w:lang w:val="en-US" w:eastAsia="zh-CN" w:bidi="ar"/>
        </w:rPr>
        <w:t>9</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万m</w:t>
      </w:r>
      <w:r>
        <w:rPr>
          <w:rFonts w:hint="eastAsia"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，剩余</w:t>
      </w:r>
      <w:r>
        <w:rPr>
          <w:rFonts w:hint="eastAsia"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万m</w:t>
      </w:r>
      <w:r>
        <w:rPr>
          <w:rFonts w:hint="eastAsia"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全部用于尾矿库初期坝筑坝，无永久性弃方产生。</w:t>
      </w:r>
    </w:p>
    <w:p w14:paraId="2892E9AA">
      <w:pPr>
        <w:keepNext w:val="0"/>
        <w:keepLines w:val="0"/>
        <w:pageBreakBefore w:val="0"/>
        <w:widowControl w:val="0"/>
        <w:kinsoku/>
        <w:wordWrap/>
        <w:overflowPunct/>
        <w:topLinePunct w:val="0"/>
        <w:autoSpaceDE/>
        <w:autoSpaceDN/>
        <w:bidi w:val="0"/>
        <w:adjustRightInd/>
        <w:snapToGrid/>
        <w:spacing w:line="480" w:lineRule="exact"/>
        <w:ind w:firstLine="477" w:firstLineChars="199"/>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项目剥离的表土单独堆存于选矿厂内的表土临时堆场，用于后期厂区绿化及服务期满后的覆土复垦。具体的土石方平衡情况详见表3.1-12。</w:t>
      </w:r>
    </w:p>
    <w:p w14:paraId="1E0A435C">
      <w:pPr>
        <w:ind w:firstLine="0" w:firstLineChars="0"/>
        <w:jc w:val="center"/>
        <w:rPr>
          <w:rFonts w:hint="eastAsia" w:ascii="Times New Roman" w:hAnsi="Times New Roman" w:eastAsia="宋体" w:cs="Times New Roman"/>
          <w:b/>
          <w:color w:val="auto"/>
          <w:highlight w:val="none"/>
          <w:lang w:eastAsia="zh-CN"/>
        </w:rPr>
      </w:pPr>
      <w:r>
        <w:rPr>
          <w:rFonts w:hint="default" w:ascii="Times New Roman" w:hAnsi="Times New Roman" w:cs="Times New Roman"/>
          <w:b/>
          <w:color w:val="auto"/>
          <w:highlight w:val="none"/>
        </w:rPr>
        <w:t>表3.</w:t>
      </w:r>
      <w:r>
        <w:rPr>
          <w:rFonts w:hint="default" w:ascii="Times New Roman" w:hAnsi="Times New Roman" w:cs="Times New Roman"/>
          <w:b/>
          <w:color w:val="auto"/>
          <w:highlight w:val="none"/>
          <w:lang w:val="en-US" w:eastAsia="zh-CN"/>
        </w:rPr>
        <w:t>1</w:t>
      </w:r>
      <w:r>
        <w:rPr>
          <w:rFonts w:hint="default" w:ascii="Times New Roman" w:hAnsi="Times New Roman" w:cs="Times New Roman"/>
          <w:b/>
          <w:color w:val="auto"/>
          <w:highlight w:val="none"/>
        </w:rPr>
        <w:t>-</w:t>
      </w:r>
      <w:r>
        <w:rPr>
          <w:rFonts w:hint="default" w:ascii="Times New Roman" w:hAnsi="Times New Roman" w:cs="Times New Roman"/>
          <w:b/>
          <w:color w:val="auto"/>
          <w:highlight w:val="none"/>
          <w:lang w:val="en-US" w:eastAsia="zh-CN"/>
        </w:rPr>
        <w:t>12</w:t>
      </w:r>
      <w:r>
        <w:rPr>
          <w:rFonts w:hint="default" w:ascii="Times New Roman" w:hAnsi="Times New Roman" w:cs="Times New Roman"/>
          <w:b/>
          <w:color w:val="auto"/>
          <w:highlight w:val="none"/>
        </w:rPr>
        <w:t xml:space="preserve">    本项目</w:t>
      </w:r>
      <w:r>
        <w:rPr>
          <w:rFonts w:hint="eastAsia" w:cs="Times New Roman"/>
          <w:b/>
          <w:color w:val="auto"/>
          <w:highlight w:val="none"/>
          <w:lang w:val="en-US" w:eastAsia="zh-CN"/>
        </w:rPr>
        <w:t>土石方量</w:t>
      </w:r>
      <w:r>
        <w:rPr>
          <w:rFonts w:hint="default" w:ascii="Times New Roman" w:hAnsi="Times New Roman" w:cs="Times New Roman"/>
          <w:b/>
          <w:color w:val="auto"/>
          <w:highlight w:val="none"/>
        </w:rPr>
        <w:t>一览表</w:t>
      </w:r>
      <w:r>
        <w:rPr>
          <w:rFonts w:hint="eastAsia" w:ascii="Times New Roman" w:hAnsi="Times New Roman" w:cs="Times New Roman"/>
          <w:b/>
          <w:color w:val="auto"/>
          <w:highlight w:val="none"/>
          <w:lang w:eastAsia="zh-CN"/>
        </w:rPr>
        <w:t>（单位：万</w:t>
      </w:r>
      <w:r>
        <w:rPr>
          <w:rFonts w:hint="default" w:ascii="Times New Roman" w:hAnsi="Times New Roman" w:cs="Times New Roman"/>
          <w:b/>
          <w:color w:val="auto"/>
          <w:highlight w:val="none"/>
          <w:lang w:val="en-US" w:eastAsia="zh-CN"/>
        </w:rPr>
        <w:t>m</w:t>
      </w:r>
      <w:r>
        <w:rPr>
          <w:rFonts w:hint="eastAsia" w:ascii="Times New Roman" w:hAnsi="Times New Roman" w:cs="Times New Roman"/>
          <w:b/>
          <w:color w:val="auto"/>
          <w:highlight w:val="none"/>
          <w:vertAlign w:val="superscript"/>
          <w:lang w:val="en-US" w:eastAsia="zh-CN"/>
        </w:rPr>
        <w:t>3</w:t>
      </w:r>
      <w:r>
        <w:rPr>
          <w:rFonts w:hint="eastAsia" w:ascii="Times New Roman" w:hAnsi="Times New Roman" w:cs="Times New Roman"/>
          <w:b/>
          <w:color w:val="auto"/>
          <w:highlight w:val="none"/>
          <w:lang w:eastAsia="zh-CN"/>
        </w:rPr>
        <w:t>）</w:t>
      </w:r>
    </w:p>
    <w:tbl>
      <w:tblPr>
        <w:tblStyle w:val="33"/>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1818"/>
        <w:gridCol w:w="983"/>
        <w:gridCol w:w="1000"/>
        <w:gridCol w:w="1064"/>
        <w:gridCol w:w="1031"/>
        <w:gridCol w:w="2552"/>
      </w:tblGrid>
      <w:tr w14:paraId="3380B6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tblHeader/>
          <w:jc w:val="center"/>
        </w:trPr>
        <w:tc>
          <w:tcPr>
            <w:tcW w:w="392" w:type="pct"/>
            <w:tcBorders>
              <w:tl2br w:val="nil"/>
              <w:tr2bl w:val="nil"/>
            </w:tcBorders>
            <w:shd w:val="clear" w:color="auto" w:fill="auto"/>
            <w:vAlign w:val="center"/>
          </w:tcPr>
          <w:p w14:paraId="31D5BA7D">
            <w:pPr>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序号</w:t>
            </w:r>
          </w:p>
        </w:tc>
        <w:tc>
          <w:tcPr>
            <w:tcW w:w="991" w:type="pct"/>
            <w:tcBorders>
              <w:tl2br w:val="nil"/>
              <w:tr2bl w:val="nil"/>
            </w:tcBorders>
            <w:shd w:val="clear" w:color="auto" w:fill="auto"/>
            <w:vAlign w:val="center"/>
          </w:tcPr>
          <w:p w14:paraId="19200533">
            <w:pPr>
              <w:spacing w:line="360" w:lineRule="exact"/>
              <w:ind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eastAsia" w:cs="Times New Roman"/>
                <w:b/>
                <w:bCs/>
                <w:color w:val="auto"/>
                <w:kern w:val="0"/>
                <w:sz w:val="21"/>
                <w:szCs w:val="21"/>
                <w:highlight w:val="none"/>
                <w:lang w:val="en-US" w:eastAsia="zh-CN"/>
              </w:rPr>
              <w:t>工程分区</w:t>
            </w:r>
          </w:p>
        </w:tc>
        <w:tc>
          <w:tcPr>
            <w:tcW w:w="536" w:type="pct"/>
            <w:tcBorders>
              <w:tl2br w:val="nil"/>
              <w:tr2bl w:val="nil"/>
            </w:tcBorders>
            <w:shd w:val="clear" w:color="auto" w:fill="auto"/>
            <w:vAlign w:val="center"/>
          </w:tcPr>
          <w:p w14:paraId="38ED7E7C">
            <w:pPr>
              <w:spacing w:line="360" w:lineRule="exact"/>
              <w:ind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cs="Times New Roman"/>
                <w:b/>
                <w:bCs/>
                <w:color w:val="auto"/>
                <w:kern w:val="0"/>
                <w:sz w:val="21"/>
                <w:szCs w:val="21"/>
                <w:highlight w:val="none"/>
                <w:lang w:eastAsia="zh-CN"/>
              </w:rPr>
              <w:t>挖方</w:t>
            </w:r>
            <w:r>
              <w:rPr>
                <w:rFonts w:hint="eastAsia" w:cs="Times New Roman"/>
                <w:b/>
                <w:bCs/>
                <w:color w:val="auto"/>
                <w:kern w:val="0"/>
                <w:sz w:val="21"/>
                <w:szCs w:val="21"/>
                <w:highlight w:val="none"/>
                <w:lang w:val="en-US" w:eastAsia="zh-CN"/>
              </w:rPr>
              <w:t>量</w:t>
            </w:r>
          </w:p>
        </w:tc>
        <w:tc>
          <w:tcPr>
            <w:tcW w:w="545" w:type="pct"/>
            <w:tcBorders>
              <w:tl2br w:val="nil"/>
              <w:tr2bl w:val="nil"/>
            </w:tcBorders>
            <w:shd w:val="clear" w:color="auto" w:fill="auto"/>
            <w:vAlign w:val="center"/>
          </w:tcPr>
          <w:p w14:paraId="43B32D10">
            <w:pPr>
              <w:spacing w:line="360" w:lineRule="exact"/>
              <w:ind w:firstLine="0" w:firstLineChars="0"/>
              <w:jc w:val="center"/>
              <w:rPr>
                <w:rFonts w:hint="default" w:ascii="Times New Roman" w:hAnsi="Times New Roman" w:cs="Times New Roman"/>
                <w:b/>
                <w:bCs/>
                <w:color w:val="auto"/>
                <w:kern w:val="0"/>
                <w:sz w:val="21"/>
                <w:szCs w:val="21"/>
                <w:highlight w:val="none"/>
                <w:lang w:eastAsia="zh-CN"/>
              </w:rPr>
            </w:pPr>
            <w:r>
              <w:rPr>
                <w:rFonts w:hint="default" w:ascii="Times New Roman" w:hAnsi="Times New Roman" w:cs="Times New Roman"/>
                <w:b/>
                <w:bCs/>
                <w:color w:val="auto"/>
                <w:kern w:val="0"/>
                <w:sz w:val="21"/>
                <w:szCs w:val="21"/>
                <w:highlight w:val="none"/>
                <w:lang w:eastAsia="zh-CN"/>
              </w:rPr>
              <w:t>填方</w:t>
            </w:r>
            <w:r>
              <w:rPr>
                <w:rFonts w:hint="eastAsia" w:cs="Times New Roman"/>
                <w:b/>
                <w:bCs/>
                <w:color w:val="auto"/>
                <w:kern w:val="0"/>
                <w:sz w:val="21"/>
                <w:szCs w:val="21"/>
                <w:highlight w:val="none"/>
                <w:lang w:val="en-US" w:eastAsia="zh-CN"/>
              </w:rPr>
              <w:t>量</w:t>
            </w:r>
          </w:p>
        </w:tc>
        <w:tc>
          <w:tcPr>
            <w:tcW w:w="580" w:type="pct"/>
            <w:tcBorders>
              <w:tl2br w:val="nil"/>
              <w:tr2bl w:val="nil"/>
            </w:tcBorders>
            <w:shd w:val="clear" w:color="auto" w:fill="auto"/>
            <w:vAlign w:val="center"/>
          </w:tcPr>
          <w:p w14:paraId="47AD9D4B">
            <w:pPr>
              <w:spacing w:line="360" w:lineRule="exact"/>
              <w:ind w:firstLine="0" w:firstLineChars="0"/>
              <w:jc w:val="center"/>
              <w:rPr>
                <w:rFonts w:hint="default" w:ascii="Times New Roman" w:hAnsi="Times New Roman" w:cs="Times New Roman"/>
                <w:b/>
                <w:bCs/>
                <w:color w:val="auto"/>
                <w:kern w:val="0"/>
                <w:sz w:val="21"/>
                <w:szCs w:val="21"/>
                <w:highlight w:val="none"/>
                <w:lang w:val="en-US" w:eastAsia="zh-CN"/>
              </w:rPr>
            </w:pPr>
            <w:r>
              <w:rPr>
                <w:rFonts w:hint="eastAsia" w:cs="Times New Roman"/>
                <w:b/>
                <w:bCs/>
                <w:color w:val="auto"/>
                <w:kern w:val="0"/>
                <w:sz w:val="21"/>
                <w:szCs w:val="21"/>
                <w:highlight w:val="none"/>
                <w:lang w:val="en-US" w:eastAsia="zh-CN"/>
              </w:rPr>
              <w:t>弃方量</w:t>
            </w:r>
          </w:p>
        </w:tc>
        <w:tc>
          <w:tcPr>
            <w:tcW w:w="562" w:type="pct"/>
            <w:tcBorders>
              <w:tl2br w:val="nil"/>
              <w:tr2bl w:val="nil"/>
            </w:tcBorders>
            <w:shd w:val="clear" w:color="auto" w:fill="auto"/>
            <w:vAlign w:val="center"/>
          </w:tcPr>
          <w:p w14:paraId="5E1069F6">
            <w:pPr>
              <w:spacing w:line="360" w:lineRule="exact"/>
              <w:ind w:firstLine="0" w:firstLineChars="0"/>
              <w:jc w:val="center"/>
              <w:rPr>
                <w:rFonts w:hint="default" w:cs="Times New Roman"/>
                <w:b/>
                <w:bCs/>
                <w:color w:val="auto"/>
                <w:kern w:val="0"/>
                <w:sz w:val="21"/>
                <w:szCs w:val="21"/>
                <w:highlight w:val="none"/>
                <w:lang w:val="en-US" w:eastAsia="zh-CN"/>
              </w:rPr>
            </w:pPr>
            <w:r>
              <w:rPr>
                <w:rFonts w:hint="eastAsia" w:cs="Times New Roman"/>
                <w:b/>
                <w:bCs/>
                <w:color w:val="auto"/>
                <w:kern w:val="0"/>
                <w:sz w:val="21"/>
                <w:szCs w:val="21"/>
                <w:highlight w:val="none"/>
                <w:lang w:val="en-US" w:eastAsia="zh-CN"/>
              </w:rPr>
              <w:t>借方量</w:t>
            </w:r>
          </w:p>
        </w:tc>
        <w:tc>
          <w:tcPr>
            <w:tcW w:w="1391" w:type="pct"/>
            <w:tcBorders>
              <w:tl2br w:val="nil"/>
              <w:tr2bl w:val="nil"/>
            </w:tcBorders>
            <w:shd w:val="clear" w:color="auto" w:fill="auto"/>
            <w:vAlign w:val="center"/>
          </w:tcPr>
          <w:p w14:paraId="3C5789F3">
            <w:pPr>
              <w:spacing w:line="360" w:lineRule="exact"/>
              <w:ind w:firstLine="0" w:firstLineChars="0"/>
              <w:jc w:val="center"/>
              <w:rPr>
                <w:rFonts w:hint="default" w:cs="Times New Roman"/>
                <w:b/>
                <w:bCs/>
                <w:color w:val="auto"/>
                <w:kern w:val="0"/>
                <w:sz w:val="21"/>
                <w:szCs w:val="21"/>
                <w:highlight w:val="none"/>
                <w:lang w:val="en-US" w:eastAsia="zh-CN"/>
              </w:rPr>
            </w:pPr>
            <w:r>
              <w:rPr>
                <w:rFonts w:hint="eastAsia" w:cs="Times New Roman"/>
                <w:b/>
                <w:bCs/>
                <w:color w:val="auto"/>
                <w:kern w:val="0"/>
                <w:sz w:val="21"/>
                <w:szCs w:val="21"/>
                <w:highlight w:val="none"/>
                <w:lang w:val="en-US" w:eastAsia="zh-CN"/>
              </w:rPr>
              <w:t>备注</w:t>
            </w:r>
          </w:p>
        </w:tc>
      </w:tr>
      <w:tr w14:paraId="3C878B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tcBorders>
              <w:tl2br w:val="nil"/>
              <w:tr2bl w:val="nil"/>
            </w:tcBorders>
            <w:shd w:val="clear" w:color="auto" w:fill="auto"/>
            <w:vAlign w:val="center"/>
          </w:tcPr>
          <w:p w14:paraId="76055215">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w:t>
            </w:r>
          </w:p>
        </w:tc>
        <w:tc>
          <w:tcPr>
            <w:tcW w:w="991" w:type="pct"/>
            <w:tcBorders>
              <w:tl2br w:val="nil"/>
              <w:tr2bl w:val="nil"/>
            </w:tcBorders>
            <w:shd w:val="clear" w:color="auto" w:fill="auto"/>
            <w:vAlign w:val="center"/>
          </w:tcPr>
          <w:p w14:paraId="1D4E4908">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选矿厂工业场地</w:t>
            </w:r>
          </w:p>
        </w:tc>
        <w:tc>
          <w:tcPr>
            <w:tcW w:w="536" w:type="pct"/>
            <w:tcBorders>
              <w:tl2br w:val="nil"/>
              <w:tr2bl w:val="nil"/>
            </w:tcBorders>
            <w:shd w:val="clear" w:color="auto" w:fill="auto"/>
            <w:vAlign w:val="center"/>
          </w:tcPr>
          <w:p w14:paraId="6BAE55B9">
            <w:pPr>
              <w:spacing w:line="360" w:lineRule="exact"/>
              <w:ind w:firstLine="0" w:firstLineChars="0"/>
              <w:jc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6.0</w:t>
            </w:r>
          </w:p>
        </w:tc>
        <w:tc>
          <w:tcPr>
            <w:tcW w:w="545" w:type="pct"/>
            <w:tcBorders>
              <w:tl2br w:val="nil"/>
              <w:tr2bl w:val="nil"/>
            </w:tcBorders>
            <w:shd w:val="clear" w:color="auto" w:fill="auto"/>
            <w:vAlign w:val="center"/>
          </w:tcPr>
          <w:p w14:paraId="5E20B61F">
            <w:pPr>
              <w:spacing w:line="360" w:lineRule="exact"/>
              <w:ind w:firstLine="0" w:firstLineChars="0"/>
              <w:jc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5.0</w:t>
            </w:r>
          </w:p>
        </w:tc>
        <w:tc>
          <w:tcPr>
            <w:tcW w:w="580" w:type="pct"/>
            <w:tcBorders>
              <w:tl2br w:val="nil"/>
              <w:tr2bl w:val="nil"/>
            </w:tcBorders>
            <w:shd w:val="clear" w:color="auto" w:fill="auto"/>
            <w:vAlign w:val="center"/>
          </w:tcPr>
          <w:p w14:paraId="6B7B53D1">
            <w:pPr>
              <w:spacing w:line="360" w:lineRule="exact"/>
              <w:ind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w:t>
            </w:r>
          </w:p>
        </w:tc>
        <w:tc>
          <w:tcPr>
            <w:tcW w:w="562" w:type="pct"/>
            <w:tcBorders>
              <w:tl2br w:val="nil"/>
              <w:tr2bl w:val="nil"/>
            </w:tcBorders>
            <w:shd w:val="clear" w:color="auto" w:fill="auto"/>
            <w:vAlign w:val="center"/>
          </w:tcPr>
          <w:p w14:paraId="584C2CE6">
            <w:pPr>
              <w:spacing w:line="360" w:lineRule="exact"/>
              <w:ind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w:t>
            </w:r>
          </w:p>
        </w:tc>
        <w:tc>
          <w:tcPr>
            <w:tcW w:w="1391" w:type="pct"/>
            <w:tcBorders>
              <w:tl2br w:val="nil"/>
              <w:tr2bl w:val="nil"/>
            </w:tcBorders>
            <w:shd w:val="clear" w:color="auto" w:fill="auto"/>
            <w:vAlign w:val="center"/>
          </w:tcPr>
          <w:p w14:paraId="5568F102">
            <w:pPr>
              <w:spacing w:line="360" w:lineRule="exact"/>
              <w:ind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r>
      <w:tr w14:paraId="1C3F88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tcBorders>
              <w:tl2br w:val="nil"/>
              <w:tr2bl w:val="nil"/>
            </w:tcBorders>
            <w:shd w:val="clear" w:color="auto" w:fill="auto"/>
            <w:vAlign w:val="center"/>
          </w:tcPr>
          <w:p w14:paraId="4E0E5DFA">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w:t>
            </w:r>
          </w:p>
        </w:tc>
        <w:tc>
          <w:tcPr>
            <w:tcW w:w="991" w:type="pct"/>
            <w:tcBorders>
              <w:tl2br w:val="nil"/>
              <w:tr2bl w:val="nil"/>
            </w:tcBorders>
            <w:shd w:val="clear" w:color="auto" w:fill="auto"/>
            <w:vAlign w:val="center"/>
          </w:tcPr>
          <w:p w14:paraId="7DECDB8B">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尾矿库库区</w:t>
            </w:r>
          </w:p>
        </w:tc>
        <w:tc>
          <w:tcPr>
            <w:tcW w:w="536" w:type="pct"/>
            <w:tcBorders>
              <w:tl2br w:val="nil"/>
              <w:tr2bl w:val="nil"/>
            </w:tcBorders>
            <w:shd w:val="clear" w:color="auto" w:fill="auto"/>
            <w:vAlign w:val="center"/>
          </w:tcPr>
          <w:p w14:paraId="2D0B3A12">
            <w:pPr>
              <w:spacing w:line="360" w:lineRule="exact"/>
              <w:ind w:firstLine="0" w:firstLineChars="0"/>
              <w:jc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5.0</w:t>
            </w:r>
          </w:p>
        </w:tc>
        <w:tc>
          <w:tcPr>
            <w:tcW w:w="545" w:type="pct"/>
            <w:tcBorders>
              <w:tl2br w:val="nil"/>
              <w:tr2bl w:val="nil"/>
            </w:tcBorders>
            <w:shd w:val="clear" w:color="auto" w:fill="auto"/>
            <w:vAlign w:val="center"/>
          </w:tcPr>
          <w:p w14:paraId="33C69411">
            <w:pPr>
              <w:spacing w:line="360" w:lineRule="exact"/>
              <w:ind w:firstLine="0" w:firstLineChars="0"/>
              <w:jc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w:t>
            </w:r>
          </w:p>
        </w:tc>
        <w:tc>
          <w:tcPr>
            <w:tcW w:w="580" w:type="pct"/>
            <w:tcBorders>
              <w:tl2br w:val="nil"/>
              <w:tr2bl w:val="nil"/>
            </w:tcBorders>
            <w:shd w:val="clear" w:color="auto" w:fill="auto"/>
            <w:vAlign w:val="center"/>
          </w:tcPr>
          <w:p w14:paraId="2B4D1BAC">
            <w:pPr>
              <w:spacing w:line="360" w:lineRule="exact"/>
              <w:ind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3.0</w:t>
            </w:r>
          </w:p>
        </w:tc>
        <w:tc>
          <w:tcPr>
            <w:tcW w:w="562" w:type="pct"/>
            <w:tcBorders>
              <w:tl2br w:val="nil"/>
              <w:tr2bl w:val="nil"/>
            </w:tcBorders>
            <w:shd w:val="clear" w:color="auto" w:fill="auto"/>
            <w:vAlign w:val="center"/>
          </w:tcPr>
          <w:p w14:paraId="7061AFA5">
            <w:pPr>
              <w:spacing w:line="360" w:lineRule="exact"/>
              <w:ind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w:t>
            </w:r>
          </w:p>
        </w:tc>
        <w:tc>
          <w:tcPr>
            <w:tcW w:w="1391" w:type="pct"/>
            <w:tcBorders>
              <w:tl2br w:val="nil"/>
              <w:tr2bl w:val="nil"/>
            </w:tcBorders>
            <w:shd w:val="clear" w:color="auto" w:fill="auto"/>
            <w:vAlign w:val="center"/>
          </w:tcPr>
          <w:p w14:paraId="6CD55D57">
            <w:pPr>
              <w:spacing w:line="360" w:lineRule="exact"/>
              <w:ind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r>
      <w:tr w14:paraId="502C7D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tcBorders>
              <w:tl2br w:val="nil"/>
              <w:tr2bl w:val="nil"/>
            </w:tcBorders>
            <w:shd w:val="clear" w:color="auto" w:fill="auto"/>
            <w:vAlign w:val="center"/>
          </w:tcPr>
          <w:p w14:paraId="7D45A64F">
            <w:pPr>
              <w:spacing w:line="360" w:lineRule="exact"/>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w:t>
            </w:r>
          </w:p>
        </w:tc>
        <w:tc>
          <w:tcPr>
            <w:tcW w:w="991" w:type="pct"/>
            <w:tcBorders>
              <w:tl2br w:val="nil"/>
              <w:tr2bl w:val="nil"/>
            </w:tcBorders>
            <w:shd w:val="clear" w:color="auto" w:fill="auto"/>
            <w:vAlign w:val="center"/>
          </w:tcPr>
          <w:p w14:paraId="0BDEA5D0">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进场及库区道路</w:t>
            </w:r>
          </w:p>
        </w:tc>
        <w:tc>
          <w:tcPr>
            <w:tcW w:w="536" w:type="pct"/>
            <w:tcBorders>
              <w:tl2br w:val="nil"/>
              <w:tr2bl w:val="nil"/>
            </w:tcBorders>
            <w:shd w:val="clear" w:color="auto" w:fill="auto"/>
            <w:vAlign w:val="center"/>
          </w:tcPr>
          <w:p w14:paraId="1CA81BF5">
            <w:pPr>
              <w:spacing w:line="360" w:lineRule="exact"/>
              <w:ind w:firstLine="0" w:firstLineChars="0"/>
              <w:jc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1.5</w:t>
            </w:r>
          </w:p>
        </w:tc>
        <w:tc>
          <w:tcPr>
            <w:tcW w:w="545" w:type="pct"/>
            <w:tcBorders>
              <w:tl2br w:val="nil"/>
              <w:tr2bl w:val="nil"/>
            </w:tcBorders>
            <w:shd w:val="clear" w:color="auto" w:fill="auto"/>
            <w:vAlign w:val="center"/>
          </w:tcPr>
          <w:p w14:paraId="466DFE0C">
            <w:pPr>
              <w:spacing w:line="360" w:lineRule="exact"/>
              <w:ind w:firstLine="0" w:firstLineChars="0"/>
              <w:jc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2.5</w:t>
            </w:r>
          </w:p>
        </w:tc>
        <w:tc>
          <w:tcPr>
            <w:tcW w:w="580" w:type="pct"/>
            <w:tcBorders>
              <w:tl2br w:val="nil"/>
              <w:tr2bl w:val="nil"/>
            </w:tcBorders>
            <w:shd w:val="clear" w:color="auto" w:fill="auto"/>
            <w:vAlign w:val="center"/>
          </w:tcPr>
          <w:p w14:paraId="4DE7D618">
            <w:pPr>
              <w:spacing w:line="360" w:lineRule="exact"/>
              <w:ind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w:t>
            </w:r>
          </w:p>
        </w:tc>
        <w:tc>
          <w:tcPr>
            <w:tcW w:w="562" w:type="pct"/>
            <w:tcBorders>
              <w:tl2br w:val="nil"/>
              <w:tr2bl w:val="nil"/>
            </w:tcBorders>
            <w:shd w:val="clear" w:color="auto" w:fill="auto"/>
            <w:vAlign w:val="center"/>
          </w:tcPr>
          <w:p w14:paraId="051C73BB">
            <w:pPr>
              <w:spacing w:line="360" w:lineRule="exact"/>
              <w:ind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w:t>
            </w:r>
          </w:p>
        </w:tc>
        <w:tc>
          <w:tcPr>
            <w:tcW w:w="1391" w:type="pct"/>
            <w:tcBorders>
              <w:tl2br w:val="nil"/>
              <w:tr2bl w:val="nil"/>
            </w:tcBorders>
            <w:shd w:val="clear" w:color="auto" w:fill="auto"/>
            <w:vAlign w:val="center"/>
          </w:tcPr>
          <w:p w14:paraId="4C6E199E">
            <w:pPr>
              <w:spacing w:line="360" w:lineRule="exact"/>
              <w:ind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借方优先利用选矿厂场地平整弃方</w:t>
            </w:r>
          </w:p>
        </w:tc>
      </w:tr>
      <w:tr w14:paraId="555CB3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83" w:type="pct"/>
            <w:gridSpan w:val="2"/>
            <w:tcBorders>
              <w:tl2br w:val="nil"/>
              <w:tr2bl w:val="nil"/>
            </w:tcBorders>
            <w:shd w:val="clear" w:color="auto" w:fill="auto"/>
            <w:vAlign w:val="center"/>
          </w:tcPr>
          <w:p w14:paraId="7710F2F1">
            <w:pPr>
              <w:spacing w:line="360" w:lineRule="exact"/>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合计</w:t>
            </w:r>
          </w:p>
        </w:tc>
        <w:tc>
          <w:tcPr>
            <w:tcW w:w="536" w:type="pct"/>
            <w:tcBorders>
              <w:tl2br w:val="nil"/>
              <w:tr2bl w:val="nil"/>
            </w:tcBorders>
            <w:shd w:val="clear" w:color="auto" w:fill="auto"/>
            <w:vAlign w:val="center"/>
          </w:tcPr>
          <w:p w14:paraId="1593D992">
            <w:pPr>
              <w:spacing w:line="360" w:lineRule="exact"/>
              <w:ind w:firstLine="0" w:firstLineChars="0"/>
              <w:jc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12.5</w:t>
            </w:r>
          </w:p>
        </w:tc>
        <w:tc>
          <w:tcPr>
            <w:tcW w:w="545" w:type="pct"/>
            <w:tcBorders>
              <w:tl2br w:val="nil"/>
              <w:tr2bl w:val="nil"/>
            </w:tcBorders>
            <w:shd w:val="clear" w:color="auto" w:fill="auto"/>
            <w:vAlign w:val="center"/>
          </w:tcPr>
          <w:p w14:paraId="143065C1">
            <w:pPr>
              <w:spacing w:line="360" w:lineRule="exact"/>
              <w:ind w:firstLine="0" w:firstLineChars="0"/>
              <w:jc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9.5</w:t>
            </w:r>
          </w:p>
        </w:tc>
        <w:tc>
          <w:tcPr>
            <w:tcW w:w="580" w:type="pct"/>
            <w:tcBorders>
              <w:tl2br w:val="nil"/>
              <w:tr2bl w:val="nil"/>
            </w:tcBorders>
            <w:shd w:val="clear" w:color="auto" w:fill="auto"/>
            <w:vAlign w:val="center"/>
          </w:tcPr>
          <w:p w14:paraId="29016861">
            <w:pPr>
              <w:spacing w:line="360" w:lineRule="exact"/>
              <w:ind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4.0</w:t>
            </w:r>
          </w:p>
        </w:tc>
        <w:tc>
          <w:tcPr>
            <w:tcW w:w="562" w:type="pct"/>
            <w:tcBorders>
              <w:tl2br w:val="nil"/>
              <w:tr2bl w:val="nil"/>
            </w:tcBorders>
            <w:shd w:val="clear" w:color="auto" w:fill="auto"/>
            <w:vAlign w:val="center"/>
          </w:tcPr>
          <w:p w14:paraId="2FB13FA0">
            <w:pPr>
              <w:spacing w:line="360" w:lineRule="exact"/>
              <w:ind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w:t>
            </w:r>
          </w:p>
        </w:tc>
        <w:tc>
          <w:tcPr>
            <w:tcW w:w="1391" w:type="pct"/>
            <w:tcBorders>
              <w:tl2br w:val="nil"/>
              <w:tr2bl w:val="nil"/>
            </w:tcBorders>
            <w:shd w:val="clear" w:color="auto" w:fill="auto"/>
            <w:vAlign w:val="center"/>
          </w:tcPr>
          <w:p w14:paraId="3CD54F83">
            <w:pPr>
              <w:spacing w:line="360" w:lineRule="exact"/>
              <w:ind w:firstLine="0" w:firstLineChars="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剩余3万m</w:t>
            </w:r>
            <w:r>
              <w:rPr>
                <w:rFonts w:hint="eastAsia" w:cs="Times New Roman"/>
                <w:color w:val="auto"/>
                <w:kern w:val="0"/>
                <w:sz w:val="21"/>
                <w:szCs w:val="21"/>
                <w:highlight w:val="none"/>
                <w:vertAlign w:val="superscript"/>
                <w:lang w:val="en-US" w:eastAsia="zh-CN"/>
              </w:rPr>
              <w:t>3</w:t>
            </w:r>
            <w:r>
              <w:rPr>
                <w:rFonts w:hint="eastAsia" w:cs="Times New Roman"/>
                <w:color w:val="auto"/>
                <w:kern w:val="0"/>
                <w:sz w:val="21"/>
                <w:szCs w:val="21"/>
                <w:highlight w:val="none"/>
                <w:lang w:val="en-US" w:eastAsia="zh-CN"/>
              </w:rPr>
              <w:t>弃方全部用于尾矿库初期坝筑坝，无永久性弃方产生</w:t>
            </w:r>
          </w:p>
        </w:tc>
      </w:tr>
    </w:tbl>
    <w:p w14:paraId="063FD6C3">
      <w:pPr>
        <w:pStyle w:val="4"/>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公用工程</w:t>
      </w:r>
      <w:bookmarkEnd w:id="374"/>
      <w:bookmarkEnd w:id="375"/>
      <w:bookmarkEnd w:id="376"/>
    </w:p>
    <w:p w14:paraId="18A64944">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.1给水工程</w:t>
      </w:r>
    </w:p>
    <w:p w14:paraId="3194477C">
      <w:pPr>
        <w:overflowPunct w:val="0"/>
        <w:topLinePunct/>
        <w:ind w:firstLine="48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rPr>
        <w:t>（1）用水量</w:t>
      </w:r>
    </w:p>
    <w:p w14:paraId="0199665C">
      <w:pPr>
        <w:overflowPunct w:val="0"/>
        <w:topLinePunct/>
        <w:ind w:firstLine="480"/>
        <w:rPr>
          <w:rFonts w:hint="default" w:ascii="Times New Roman" w:hAnsi="Times New Roman" w:cs="Times New Roman"/>
          <w:color w:val="auto"/>
          <w:spacing w:val="0"/>
          <w:sz w:val="24"/>
          <w:szCs w:val="28"/>
          <w:highlight w:val="none"/>
        </w:rPr>
      </w:pPr>
      <w:r>
        <w:rPr>
          <w:rFonts w:hint="default" w:ascii="Times New Roman" w:hAnsi="Times New Roman" w:cs="Times New Roman"/>
          <w:color w:val="auto"/>
          <w:spacing w:val="0"/>
          <w:sz w:val="24"/>
          <w:szCs w:val="28"/>
          <w:highlight w:val="none"/>
        </w:rPr>
        <w:t>本项目用水</w:t>
      </w:r>
      <w:r>
        <w:rPr>
          <w:rFonts w:hint="default" w:ascii="Times New Roman" w:hAnsi="Times New Roman" w:cs="Times New Roman"/>
          <w:color w:val="auto"/>
          <w:spacing w:val="0"/>
          <w:sz w:val="24"/>
          <w:highlight w:val="none"/>
        </w:rPr>
        <w:t>主要包括生活用水、生产用水</w:t>
      </w:r>
      <w:r>
        <w:rPr>
          <w:rFonts w:hint="eastAsia" w:cs="Times New Roman"/>
          <w:color w:val="auto"/>
          <w:spacing w:val="0"/>
          <w:sz w:val="24"/>
          <w:highlight w:val="none"/>
          <w:lang w:eastAsia="zh-CN"/>
        </w:rPr>
        <w:t>、</w:t>
      </w:r>
      <w:r>
        <w:rPr>
          <w:rFonts w:hint="default" w:ascii="Times New Roman" w:hAnsi="Times New Roman" w:cs="Times New Roman"/>
          <w:color w:val="auto"/>
          <w:spacing w:val="0"/>
          <w:sz w:val="24"/>
          <w:highlight w:val="none"/>
          <w:lang w:val="en-US" w:eastAsia="zh-CN"/>
        </w:rPr>
        <w:t>锅炉用水</w:t>
      </w:r>
      <w:r>
        <w:rPr>
          <w:rFonts w:hint="eastAsia" w:cs="Times New Roman"/>
          <w:color w:val="auto"/>
          <w:spacing w:val="0"/>
          <w:sz w:val="24"/>
          <w:highlight w:val="none"/>
          <w:lang w:val="en-US" w:eastAsia="zh-CN"/>
        </w:rPr>
        <w:t>、绿化及降尘用水</w:t>
      </w:r>
      <w:r>
        <w:rPr>
          <w:rFonts w:hint="default" w:ascii="Times New Roman" w:hAnsi="Times New Roman" w:cs="Times New Roman"/>
          <w:color w:val="auto"/>
          <w:spacing w:val="0"/>
          <w:sz w:val="24"/>
          <w:highlight w:val="none"/>
        </w:rPr>
        <w:t>，其中生产用水包括选矿生产用水。本项目</w:t>
      </w:r>
      <w:r>
        <w:rPr>
          <w:rFonts w:hint="default" w:ascii="Times New Roman" w:hAnsi="Times New Roman" w:cs="Times New Roman"/>
          <w:color w:val="auto"/>
          <w:spacing w:val="0"/>
          <w:sz w:val="24"/>
          <w:highlight w:val="none"/>
          <w:lang w:val="en-US" w:eastAsia="zh-CN"/>
        </w:rPr>
        <w:t>非灌溉期</w:t>
      </w:r>
      <w:r>
        <w:rPr>
          <w:rFonts w:hint="eastAsia" w:cs="Times New Roman"/>
          <w:color w:val="auto"/>
          <w:spacing w:val="0"/>
          <w:sz w:val="24"/>
          <w:highlight w:val="none"/>
          <w:lang w:val="en-US" w:eastAsia="zh-CN"/>
        </w:rPr>
        <w:t>新鲜水</w:t>
      </w:r>
      <w:r>
        <w:rPr>
          <w:rFonts w:hint="default" w:ascii="Times New Roman" w:hAnsi="Times New Roman" w:cs="Times New Roman"/>
          <w:color w:val="auto"/>
          <w:spacing w:val="0"/>
          <w:sz w:val="24"/>
          <w:highlight w:val="none"/>
        </w:rPr>
        <w:t>总用水量为</w:t>
      </w:r>
      <w:r>
        <w:rPr>
          <w:rFonts w:hint="eastAsia" w:cs="Times New Roman"/>
          <w:color w:val="auto"/>
          <w:spacing w:val="0"/>
          <w:sz w:val="24"/>
          <w:highlight w:val="none"/>
          <w:lang w:val="en-US" w:eastAsia="zh-CN"/>
        </w:rPr>
        <w:t>1756.4</w:t>
      </w:r>
      <w:r>
        <w:rPr>
          <w:rFonts w:hint="default" w:ascii="Times New Roman" w:hAnsi="Times New Roman" w:cs="Times New Roman"/>
          <w:color w:val="auto"/>
          <w:spacing w:val="0"/>
          <w:sz w:val="24"/>
          <w:highlight w:val="none"/>
        </w:rPr>
        <w:t>m</w:t>
      </w:r>
      <w:r>
        <w:rPr>
          <w:rFonts w:hint="default" w:ascii="Times New Roman" w:hAnsi="Times New Roman" w:cs="Times New Roman"/>
          <w:color w:val="auto"/>
          <w:spacing w:val="0"/>
          <w:sz w:val="24"/>
          <w:highlight w:val="none"/>
          <w:vertAlign w:val="superscript"/>
        </w:rPr>
        <w:t>3</w:t>
      </w:r>
      <w:r>
        <w:rPr>
          <w:rFonts w:hint="default" w:ascii="Times New Roman" w:hAnsi="Times New Roman" w:cs="Times New Roman"/>
          <w:color w:val="auto"/>
          <w:spacing w:val="0"/>
          <w:sz w:val="24"/>
          <w:highlight w:val="none"/>
        </w:rPr>
        <w:t>/d，</w:t>
      </w:r>
      <w:r>
        <w:rPr>
          <w:rFonts w:hint="default" w:ascii="Times New Roman" w:hAnsi="Times New Roman" w:cs="Times New Roman"/>
          <w:color w:val="auto"/>
          <w:spacing w:val="0"/>
          <w:sz w:val="24"/>
          <w:highlight w:val="none"/>
          <w:lang w:val="en-US" w:eastAsia="zh-CN"/>
        </w:rPr>
        <w:t>灌溉期</w:t>
      </w:r>
      <w:r>
        <w:rPr>
          <w:rFonts w:hint="eastAsia" w:cs="Times New Roman"/>
          <w:color w:val="auto"/>
          <w:spacing w:val="0"/>
          <w:sz w:val="24"/>
          <w:highlight w:val="none"/>
          <w:lang w:val="en-US" w:eastAsia="zh-CN"/>
        </w:rPr>
        <w:t>新鲜水</w:t>
      </w:r>
      <w:r>
        <w:rPr>
          <w:rFonts w:hint="default" w:ascii="Times New Roman" w:hAnsi="Times New Roman" w:cs="Times New Roman"/>
          <w:color w:val="auto"/>
          <w:spacing w:val="0"/>
          <w:sz w:val="24"/>
          <w:highlight w:val="none"/>
        </w:rPr>
        <w:t>总用水量为</w:t>
      </w:r>
      <w:r>
        <w:rPr>
          <w:rFonts w:hint="eastAsia" w:cs="Times New Roman"/>
          <w:color w:val="auto"/>
          <w:spacing w:val="0"/>
          <w:sz w:val="24"/>
          <w:highlight w:val="none"/>
          <w:lang w:val="en-US" w:eastAsia="zh-CN"/>
        </w:rPr>
        <w:t>1676.16</w:t>
      </w:r>
      <w:r>
        <w:rPr>
          <w:rFonts w:hint="default" w:ascii="Times New Roman" w:hAnsi="Times New Roman" w:cs="Times New Roman"/>
          <w:color w:val="auto"/>
          <w:spacing w:val="0"/>
          <w:sz w:val="24"/>
          <w:highlight w:val="none"/>
        </w:rPr>
        <w:t>m</w:t>
      </w:r>
      <w:r>
        <w:rPr>
          <w:rFonts w:hint="default" w:ascii="Times New Roman" w:hAnsi="Times New Roman" w:cs="Times New Roman"/>
          <w:color w:val="auto"/>
          <w:spacing w:val="0"/>
          <w:sz w:val="24"/>
          <w:highlight w:val="none"/>
          <w:vertAlign w:val="superscript"/>
        </w:rPr>
        <w:t>3</w:t>
      </w:r>
      <w:r>
        <w:rPr>
          <w:rFonts w:hint="default" w:ascii="Times New Roman" w:hAnsi="Times New Roman" w:cs="Times New Roman"/>
          <w:color w:val="auto"/>
          <w:spacing w:val="0"/>
          <w:sz w:val="24"/>
          <w:highlight w:val="none"/>
        </w:rPr>
        <w:t>/d，</w:t>
      </w:r>
      <w:r>
        <w:rPr>
          <w:rFonts w:hint="eastAsia" w:cs="Times New Roman"/>
          <w:color w:val="auto"/>
          <w:spacing w:val="0"/>
          <w:sz w:val="24"/>
          <w:highlight w:val="none"/>
          <w:lang w:val="en-US" w:eastAsia="zh-CN"/>
        </w:rPr>
        <w:t>新鲜水年合计</w:t>
      </w:r>
      <w:r>
        <w:rPr>
          <w:rFonts w:hint="default" w:ascii="Times New Roman" w:hAnsi="Times New Roman" w:cs="Times New Roman"/>
          <w:color w:val="auto"/>
          <w:spacing w:val="0"/>
          <w:sz w:val="24"/>
          <w:highlight w:val="none"/>
        </w:rPr>
        <w:t>用水量</w:t>
      </w:r>
      <w:r>
        <w:rPr>
          <w:rFonts w:hint="default" w:ascii="Times New Roman" w:hAnsi="Times New Roman" w:cs="Times New Roman"/>
          <w:color w:val="auto"/>
          <w:spacing w:val="0"/>
          <w:sz w:val="24"/>
          <w:highlight w:val="none"/>
          <w:lang w:val="en-US" w:eastAsia="zh-CN"/>
        </w:rPr>
        <w:t>为</w:t>
      </w:r>
      <w:r>
        <w:rPr>
          <w:rFonts w:hint="eastAsia" w:cs="Times New Roman"/>
          <w:color w:val="auto"/>
          <w:spacing w:val="0"/>
          <w:sz w:val="24"/>
          <w:highlight w:val="none"/>
          <w:lang w:val="en-US" w:eastAsia="zh-CN"/>
        </w:rPr>
        <w:t>51.4884</w:t>
      </w:r>
      <w:r>
        <w:rPr>
          <w:rFonts w:hint="default" w:ascii="Times New Roman" w:hAnsi="Times New Roman" w:cs="Times New Roman"/>
          <w:color w:val="auto"/>
          <w:spacing w:val="0"/>
          <w:sz w:val="24"/>
          <w:highlight w:val="none"/>
        </w:rPr>
        <w:t>万m</w:t>
      </w:r>
      <w:r>
        <w:rPr>
          <w:rFonts w:hint="default" w:ascii="Times New Roman" w:hAnsi="Times New Roman" w:cs="Times New Roman"/>
          <w:color w:val="auto"/>
          <w:spacing w:val="0"/>
          <w:sz w:val="24"/>
          <w:highlight w:val="none"/>
          <w:vertAlign w:val="superscript"/>
        </w:rPr>
        <w:t>3</w:t>
      </w:r>
      <w:r>
        <w:rPr>
          <w:rFonts w:hint="default" w:ascii="Times New Roman" w:hAnsi="Times New Roman" w:cs="Times New Roman"/>
          <w:color w:val="auto"/>
          <w:spacing w:val="0"/>
          <w:sz w:val="24"/>
          <w:highlight w:val="none"/>
        </w:rPr>
        <w:t>/a。本项目</w:t>
      </w:r>
      <w:r>
        <w:rPr>
          <w:rFonts w:hint="default" w:ascii="Times New Roman" w:hAnsi="Times New Roman" w:cs="Times New Roman"/>
          <w:color w:val="auto"/>
          <w:spacing w:val="0"/>
          <w:sz w:val="24"/>
          <w:highlight w:val="none"/>
          <w:lang w:val="en-US" w:eastAsia="zh-CN"/>
        </w:rPr>
        <w:t>非灌溉</w:t>
      </w:r>
      <w:r>
        <w:rPr>
          <w:rFonts w:hint="eastAsia" w:cs="Times New Roman"/>
          <w:color w:val="auto"/>
          <w:spacing w:val="0"/>
          <w:sz w:val="24"/>
          <w:highlight w:val="none"/>
          <w:lang w:val="en-US" w:eastAsia="zh-CN"/>
        </w:rPr>
        <w:t>季</w:t>
      </w:r>
      <w:r>
        <w:rPr>
          <w:rFonts w:hint="default" w:ascii="Times New Roman" w:hAnsi="Times New Roman" w:cs="Times New Roman"/>
          <w:color w:val="auto"/>
          <w:spacing w:val="0"/>
          <w:sz w:val="24"/>
          <w:highlight w:val="none"/>
        </w:rPr>
        <w:t>总用水量为</w:t>
      </w:r>
      <w:r>
        <w:rPr>
          <w:rFonts w:hint="eastAsia" w:cs="Times New Roman"/>
          <w:color w:val="auto"/>
          <w:spacing w:val="0"/>
          <w:sz w:val="24"/>
          <w:highlight w:val="none"/>
          <w:lang w:val="en-US" w:eastAsia="zh-CN"/>
        </w:rPr>
        <w:t>9167.79</w:t>
      </w:r>
      <w:r>
        <w:rPr>
          <w:rFonts w:hint="default" w:ascii="Times New Roman" w:hAnsi="Times New Roman" w:cs="Times New Roman"/>
          <w:color w:val="auto"/>
          <w:spacing w:val="0"/>
          <w:sz w:val="24"/>
          <w:highlight w:val="none"/>
        </w:rPr>
        <w:t>m</w:t>
      </w:r>
      <w:r>
        <w:rPr>
          <w:rFonts w:hint="default" w:ascii="Times New Roman" w:hAnsi="Times New Roman" w:cs="Times New Roman"/>
          <w:color w:val="auto"/>
          <w:spacing w:val="0"/>
          <w:sz w:val="24"/>
          <w:highlight w:val="none"/>
          <w:vertAlign w:val="superscript"/>
        </w:rPr>
        <w:t>3</w:t>
      </w:r>
      <w:r>
        <w:rPr>
          <w:rFonts w:hint="default" w:ascii="Times New Roman" w:hAnsi="Times New Roman" w:cs="Times New Roman"/>
          <w:color w:val="auto"/>
          <w:spacing w:val="0"/>
          <w:sz w:val="24"/>
          <w:highlight w:val="none"/>
        </w:rPr>
        <w:t>/d，</w:t>
      </w:r>
      <w:r>
        <w:rPr>
          <w:rFonts w:hint="default" w:ascii="Times New Roman" w:hAnsi="Times New Roman" w:cs="Times New Roman"/>
          <w:color w:val="auto"/>
          <w:spacing w:val="0"/>
          <w:sz w:val="24"/>
          <w:highlight w:val="none"/>
          <w:lang w:val="en-US" w:eastAsia="zh-CN"/>
        </w:rPr>
        <w:t>灌溉</w:t>
      </w:r>
      <w:r>
        <w:rPr>
          <w:rFonts w:hint="eastAsia" w:cs="Times New Roman"/>
          <w:color w:val="auto"/>
          <w:spacing w:val="0"/>
          <w:sz w:val="24"/>
          <w:highlight w:val="none"/>
          <w:lang w:val="en-US" w:eastAsia="zh-CN"/>
        </w:rPr>
        <w:t>季</w:t>
      </w:r>
      <w:r>
        <w:rPr>
          <w:rFonts w:hint="default" w:ascii="Times New Roman" w:hAnsi="Times New Roman" w:cs="Times New Roman"/>
          <w:color w:val="auto"/>
          <w:spacing w:val="0"/>
          <w:sz w:val="24"/>
          <w:highlight w:val="none"/>
        </w:rPr>
        <w:t>总用水量为</w:t>
      </w:r>
      <w:r>
        <w:rPr>
          <w:rFonts w:hint="default" w:ascii="Times New Roman" w:hAnsi="Times New Roman" w:cs="Times New Roman"/>
          <w:color w:val="auto"/>
          <w:spacing w:val="0"/>
          <w:sz w:val="24"/>
          <w:highlight w:val="none"/>
          <w:lang w:val="en-US" w:eastAsia="zh-CN"/>
        </w:rPr>
        <w:t>9038.35</w:t>
      </w:r>
      <w:r>
        <w:rPr>
          <w:rFonts w:hint="default" w:ascii="Times New Roman" w:hAnsi="Times New Roman" w:cs="Times New Roman"/>
          <w:color w:val="auto"/>
          <w:spacing w:val="0"/>
          <w:sz w:val="24"/>
          <w:highlight w:val="none"/>
        </w:rPr>
        <w:t>m</w:t>
      </w:r>
      <w:r>
        <w:rPr>
          <w:rFonts w:hint="default" w:ascii="Times New Roman" w:hAnsi="Times New Roman" w:cs="Times New Roman"/>
          <w:color w:val="auto"/>
          <w:spacing w:val="0"/>
          <w:sz w:val="24"/>
          <w:highlight w:val="none"/>
          <w:vertAlign w:val="superscript"/>
        </w:rPr>
        <w:t>3</w:t>
      </w:r>
      <w:r>
        <w:rPr>
          <w:rFonts w:hint="default" w:ascii="Times New Roman" w:hAnsi="Times New Roman" w:cs="Times New Roman"/>
          <w:color w:val="auto"/>
          <w:spacing w:val="0"/>
          <w:sz w:val="24"/>
          <w:highlight w:val="none"/>
        </w:rPr>
        <w:t>/d，合计总用水量</w:t>
      </w:r>
      <w:r>
        <w:rPr>
          <w:rFonts w:hint="eastAsia" w:cs="Times New Roman"/>
          <w:color w:val="auto"/>
          <w:spacing w:val="0"/>
          <w:sz w:val="24"/>
          <w:highlight w:val="none"/>
          <w:lang w:val="en-US" w:eastAsia="zh-CN"/>
        </w:rPr>
        <w:t>273.0921万</w:t>
      </w:r>
      <w:r>
        <w:rPr>
          <w:rFonts w:hint="default" w:ascii="Times New Roman" w:hAnsi="Times New Roman" w:cs="Times New Roman"/>
          <w:color w:val="auto"/>
          <w:spacing w:val="0"/>
          <w:sz w:val="24"/>
          <w:highlight w:val="none"/>
        </w:rPr>
        <w:t>m</w:t>
      </w:r>
      <w:r>
        <w:rPr>
          <w:rFonts w:hint="default" w:ascii="Times New Roman" w:hAnsi="Times New Roman" w:cs="Times New Roman"/>
          <w:color w:val="auto"/>
          <w:spacing w:val="0"/>
          <w:sz w:val="24"/>
          <w:highlight w:val="none"/>
          <w:vertAlign w:val="superscript"/>
        </w:rPr>
        <w:t>3</w:t>
      </w:r>
      <w:r>
        <w:rPr>
          <w:rFonts w:hint="default" w:ascii="Times New Roman" w:hAnsi="Times New Roman" w:cs="Times New Roman"/>
          <w:color w:val="auto"/>
          <w:spacing w:val="0"/>
          <w:sz w:val="24"/>
          <w:highlight w:val="none"/>
        </w:rPr>
        <w:t>/a。主要用水量估算如下：</w:t>
      </w:r>
    </w:p>
    <w:p w14:paraId="60E85588">
      <w:pPr>
        <w:overflowPunct w:val="0"/>
        <w:topLinePunct/>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rPr>
        <w:t>①办公生活用水</w:t>
      </w:r>
    </w:p>
    <w:p w14:paraId="655335CC">
      <w:pPr>
        <w:pStyle w:val="43"/>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本项目劳动定员</w:t>
      </w:r>
      <w:r>
        <w:rPr>
          <w:rFonts w:hint="default" w:ascii="Times New Roman" w:hAnsi="Times New Roman" w:cs="Times New Roman"/>
          <w:color w:val="auto"/>
          <w:highlight w:val="none"/>
          <w:lang w:val="en-US" w:eastAsia="zh-CN"/>
        </w:rPr>
        <w:t>72</w:t>
      </w:r>
      <w:r>
        <w:rPr>
          <w:rFonts w:hint="default" w:ascii="Times New Roman" w:hAnsi="Times New Roman" w:cs="Times New Roman"/>
          <w:color w:val="auto"/>
          <w:highlight w:val="none"/>
        </w:rPr>
        <w:t>人，生活用水包括饮用水、淋浴用水及其它冲洗用水，根据</w:t>
      </w:r>
      <w:r>
        <w:rPr>
          <w:rFonts w:hint="default" w:ascii="Times New Roman" w:hAnsi="Times New Roman" w:cs="Times New Roman"/>
          <w:color w:val="auto"/>
          <w:szCs w:val="24"/>
          <w:highlight w:val="none"/>
        </w:rPr>
        <w:t>《新疆维吾尔自治区生活用水定额》</w:t>
      </w:r>
      <w:r>
        <w:rPr>
          <w:rFonts w:hint="default" w:ascii="Times New Roman" w:hAnsi="Times New Roman" w:cs="Times New Roman"/>
          <w:color w:val="auto"/>
          <w:highlight w:val="none"/>
        </w:rPr>
        <w:t>每人每天用水量约为100L，则总用水量约</w:t>
      </w:r>
      <w:r>
        <w:rPr>
          <w:rFonts w:hint="default" w:ascii="Times New Roman" w:hAnsi="Times New Roman" w:cs="Times New Roman"/>
          <w:color w:val="auto"/>
          <w:highlight w:val="none"/>
          <w:lang w:val="en-US" w:eastAsia="zh-CN"/>
        </w:rPr>
        <w:t>7.2</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p>
    <w:p w14:paraId="29780F95">
      <w:pPr>
        <w:overflowPunct w:val="0"/>
        <w:topLinePunct/>
        <w:ind w:firstLine="480"/>
        <w:rPr>
          <w:rFonts w:hint="default" w:ascii="Times New Roman" w:hAnsi="Times New Roman" w:eastAsia="宋体" w:cs="Times New Roman"/>
          <w:color w:val="auto"/>
          <w:szCs w:val="28"/>
          <w:highlight w:val="none"/>
          <w:lang w:eastAsia="zh-CN"/>
        </w:rPr>
      </w:pPr>
      <w:r>
        <w:rPr>
          <w:rFonts w:hint="default" w:ascii="Times New Roman" w:hAnsi="Times New Roman" w:cs="Times New Roman"/>
          <w:color w:val="auto"/>
          <w:szCs w:val="28"/>
          <w:highlight w:val="none"/>
        </w:rPr>
        <w:t>②生产用水</w:t>
      </w:r>
    </w:p>
    <w:p w14:paraId="1C2D727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选矿生产用水主要为选矿工艺用水</w:t>
      </w:r>
      <w:r>
        <w:rPr>
          <w:rFonts w:hint="default" w:ascii="Times New Roman" w:hAnsi="Times New Roman" w:cs="Times New Roman"/>
          <w:color w:val="auto"/>
          <w:highlight w:val="none"/>
          <w:lang w:eastAsia="zh-CN"/>
        </w:rPr>
        <w:t>及</w:t>
      </w:r>
      <w:r>
        <w:rPr>
          <w:rFonts w:hint="default" w:ascii="Times New Roman" w:hAnsi="Times New Roman" w:cs="Times New Roman"/>
          <w:color w:val="auto"/>
          <w:highlight w:val="none"/>
        </w:rPr>
        <w:t>设备冷却</w:t>
      </w:r>
      <w:r>
        <w:rPr>
          <w:rFonts w:hint="default" w:ascii="Times New Roman" w:hAnsi="Times New Roman" w:cs="Times New Roman"/>
          <w:color w:val="auto"/>
          <w:highlight w:val="none"/>
          <w:lang w:eastAsia="zh-CN"/>
        </w:rPr>
        <w:t>补水</w:t>
      </w:r>
      <w:r>
        <w:rPr>
          <w:rFonts w:hint="default" w:ascii="Times New Roman" w:hAnsi="Times New Roman" w:cs="Times New Roman"/>
          <w:color w:val="auto"/>
          <w:highlight w:val="none"/>
        </w:rPr>
        <w:t>，</w:t>
      </w:r>
      <w:r>
        <w:rPr>
          <w:rFonts w:hint="default" w:ascii="Times New Roman" w:hAnsi="Times New Roman" w:cs="Times New Roman"/>
          <w:color w:val="auto"/>
          <w:spacing w:val="0"/>
          <w:sz w:val="24"/>
          <w:highlight w:val="none"/>
        </w:rPr>
        <w:t>选矿生产用水量</w:t>
      </w:r>
      <w:r>
        <w:rPr>
          <w:rFonts w:hint="eastAsia" w:cs="Times New Roman"/>
          <w:color w:val="auto"/>
          <w:spacing w:val="0"/>
          <w:sz w:val="24"/>
          <w:highlight w:val="none"/>
          <w:lang w:val="en-US" w:eastAsia="zh-CN"/>
        </w:rPr>
        <w:t>8997.15</w:t>
      </w:r>
      <w:r>
        <w:rPr>
          <w:rFonts w:hint="default" w:ascii="Times New Roman" w:hAnsi="Times New Roman" w:eastAsia="宋体" w:cs="Times New Roman"/>
          <w:color w:val="auto"/>
          <w:spacing w:val="-1"/>
          <w:kern w:val="0"/>
          <w:sz w:val="24"/>
          <w:szCs w:val="24"/>
          <w:highlight w:val="none"/>
        </w:rPr>
        <w:t>m</w:t>
      </w:r>
      <w:r>
        <w:rPr>
          <w:rFonts w:hint="default" w:ascii="Times New Roman" w:hAnsi="Times New Roman" w:eastAsia="宋体" w:cs="Times New Roman"/>
          <w:color w:val="auto"/>
          <w:spacing w:val="-1"/>
          <w:kern w:val="0"/>
          <w:sz w:val="24"/>
          <w:szCs w:val="24"/>
          <w:highlight w:val="none"/>
          <w:vertAlign w:val="superscript"/>
        </w:rPr>
        <w:t>3</w:t>
      </w:r>
      <w:r>
        <w:rPr>
          <w:rFonts w:hint="default" w:ascii="Times New Roman" w:hAnsi="Times New Roman" w:eastAsia="宋体" w:cs="Times New Roman"/>
          <w:color w:val="auto"/>
          <w:spacing w:val="-1"/>
          <w:kern w:val="0"/>
          <w:sz w:val="24"/>
          <w:szCs w:val="24"/>
          <w:highlight w:val="none"/>
        </w:rPr>
        <w:t>/</w:t>
      </w:r>
      <w:r>
        <w:rPr>
          <w:rFonts w:hint="default" w:ascii="Times New Roman" w:hAnsi="Times New Roman" w:cs="Times New Roman"/>
          <w:color w:val="auto"/>
          <w:spacing w:val="-1"/>
          <w:kern w:val="0"/>
          <w:sz w:val="24"/>
          <w:szCs w:val="24"/>
          <w:highlight w:val="none"/>
          <w:lang w:val="en-US" w:eastAsia="zh-CN"/>
        </w:rPr>
        <w:t>d</w:t>
      </w:r>
      <w:r>
        <w:rPr>
          <w:rFonts w:hint="default" w:ascii="Times New Roman" w:hAnsi="Times New Roman" w:cs="Times New Roman"/>
          <w:color w:val="auto"/>
          <w:spacing w:val="0"/>
          <w:sz w:val="24"/>
          <w:highlight w:val="none"/>
        </w:rPr>
        <w:t>，</w:t>
      </w:r>
      <w:r>
        <w:rPr>
          <w:rFonts w:hint="default" w:ascii="Times New Roman" w:hAnsi="Times New Roman" w:cs="Times New Roman"/>
          <w:color w:val="auto"/>
          <w:spacing w:val="0"/>
          <w:sz w:val="24"/>
          <w:highlight w:val="none"/>
          <w:lang w:eastAsia="zh-CN"/>
        </w:rPr>
        <w:t>其中</w:t>
      </w:r>
      <w:r>
        <w:rPr>
          <w:rFonts w:hint="default" w:ascii="Times New Roman" w:hAnsi="Times New Roman" w:cs="Times New Roman"/>
          <w:color w:val="auto"/>
          <w:spacing w:val="0"/>
          <w:sz w:val="24"/>
          <w:highlight w:val="none"/>
          <w:lang w:val="en-US" w:eastAsia="zh-CN"/>
        </w:rPr>
        <w:t>灌溉季</w:t>
      </w:r>
      <w:r>
        <w:rPr>
          <w:rFonts w:hint="default" w:ascii="Times New Roman" w:hAnsi="Times New Roman" w:cs="Times New Roman"/>
          <w:color w:val="auto"/>
          <w:spacing w:val="0"/>
          <w:sz w:val="24"/>
          <w:highlight w:val="none"/>
        </w:rPr>
        <w:t>新鲜水用水量为</w:t>
      </w:r>
      <w:r>
        <w:rPr>
          <w:rFonts w:hint="eastAsia" w:cs="Times New Roman"/>
          <w:color w:val="auto"/>
          <w:spacing w:val="-1"/>
          <w:kern w:val="0"/>
          <w:sz w:val="24"/>
          <w:szCs w:val="24"/>
          <w:highlight w:val="none"/>
          <w:lang w:val="en-US" w:eastAsia="zh-CN"/>
        </w:rPr>
        <w:t>1676.16</w:t>
      </w:r>
      <w:r>
        <w:rPr>
          <w:rFonts w:hint="default" w:ascii="Times New Roman" w:hAnsi="Times New Roman" w:eastAsia="宋体" w:cs="Times New Roman"/>
          <w:color w:val="auto"/>
          <w:spacing w:val="-1"/>
          <w:kern w:val="0"/>
          <w:sz w:val="24"/>
          <w:szCs w:val="24"/>
          <w:highlight w:val="none"/>
        </w:rPr>
        <w:t>m</w:t>
      </w:r>
      <w:r>
        <w:rPr>
          <w:rFonts w:hint="default" w:ascii="Times New Roman" w:hAnsi="Times New Roman" w:eastAsia="宋体" w:cs="Times New Roman"/>
          <w:color w:val="auto"/>
          <w:spacing w:val="-1"/>
          <w:kern w:val="0"/>
          <w:sz w:val="24"/>
          <w:szCs w:val="24"/>
          <w:highlight w:val="none"/>
          <w:vertAlign w:val="superscript"/>
        </w:rPr>
        <w:t>3</w:t>
      </w:r>
      <w:r>
        <w:rPr>
          <w:rFonts w:hint="default" w:ascii="Times New Roman" w:hAnsi="Times New Roman" w:eastAsia="宋体" w:cs="Times New Roman"/>
          <w:color w:val="auto"/>
          <w:spacing w:val="-1"/>
          <w:kern w:val="0"/>
          <w:sz w:val="24"/>
          <w:szCs w:val="24"/>
          <w:highlight w:val="none"/>
        </w:rPr>
        <w:t>/d</w:t>
      </w:r>
      <w:r>
        <w:rPr>
          <w:rFonts w:hint="default" w:ascii="Times New Roman" w:hAnsi="Times New Roman" w:cs="Times New Roman"/>
          <w:color w:val="auto"/>
          <w:spacing w:val="0"/>
          <w:sz w:val="24"/>
          <w:highlight w:val="none"/>
        </w:rPr>
        <w:t>，</w:t>
      </w:r>
      <w:r>
        <w:rPr>
          <w:rFonts w:hint="default" w:ascii="Times New Roman" w:hAnsi="Times New Roman" w:cs="Times New Roman"/>
          <w:color w:val="auto"/>
          <w:spacing w:val="0"/>
          <w:sz w:val="24"/>
          <w:highlight w:val="none"/>
          <w:lang w:val="en-US" w:eastAsia="zh-CN"/>
        </w:rPr>
        <w:t>非灌溉季</w:t>
      </w:r>
      <w:r>
        <w:rPr>
          <w:rFonts w:hint="default" w:ascii="Times New Roman" w:hAnsi="Times New Roman" w:cs="Times New Roman"/>
          <w:color w:val="auto"/>
          <w:spacing w:val="0"/>
          <w:sz w:val="24"/>
          <w:highlight w:val="none"/>
        </w:rPr>
        <w:t>新鲜水用水量为</w:t>
      </w:r>
      <w:r>
        <w:rPr>
          <w:rFonts w:hint="eastAsia" w:cs="Times New Roman"/>
          <w:color w:val="auto"/>
          <w:spacing w:val="-1"/>
          <w:kern w:val="0"/>
          <w:sz w:val="24"/>
          <w:szCs w:val="24"/>
          <w:highlight w:val="none"/>
          <w:lang w:val="en-US" w:eastAsia="zh-CN"/>
        </w:rPr>
        <w:t>1756.4</w:t>
      </w:r>
      <w:r>
        <w:rPr>
          <w:rFonts w:hint="default" w:ascii="Times New Roman" w:hAnsi="Times New Roman" w:eastAsia="宋体" w:cs="Times New Roman"/>
          <w:color w:val="auto"/>
          <w:spacing w:val="-1"/>
          <w:kern w:val="0"/>
          <w:sz w:val="24"/>
          <w:szCs w:val="24"/>
          <w:highlight w:val="none"/>
        </w:rPr>
        <w:t>m</w:t>
      </w:r>
      <w:r>
        <w:rPr>
          <w:rFonts w:hint="default" w:ascii="Times New Roman" w:hAnsi="Times New Roman" w:eastAsia="宋体" w:cs="Times New Roman"/>
          <w:color w:val="auto"/>
          <w:spacing w:val="-1"/>
          <w:kern w:val="0"/>
          <w:sz w:val="24"/>
          <w:szCs w:val="24"/>
          <w:highlight w:val="none"/>
          <w:vertAlign w:val="superscript"/>
        </w:rPr>
        <w:t>3</w:t>
      </w:r>
      <w:r>
        <w:rPr>
          <w:rFonts w:hint="default" w:ascii="Times New Roman" w:hAnsi="Times New Roman" w:eastAsia="宋体" w:cs="Times New Roman"/>
          <w:color w:val="auto"/>
          <w:spacing w:val="-1"/>
          <w:kern w:val="0"/>
          <w:sz w:val="24"/>
          <w:szCs w:val="24"/>
          <w:highlight w:val="none"/>
        </w:rPr>
        <w:t>/d</w:t>
      </w:r>
      <w:r>
        <w:rPr>
          <w:rFonts w:hint="default" w:ascii="Times New Roman" w:hAnsi="Times New Roman" w:cs="Times New Roman"/>
          <w:color w:val="auto"/>
          <w:spacing w:val="0"/>
          <w:sz w:val="24"/>
          <w:highlight w:val="none"/>
        </w:rPr>
        <w:t>，选矿工艺回用水量</w:t>
      </w:r>
      <w:r>
        <w:rPr>
          <w:rFonts w:hint="eastAsia" w:cs="Times New Roman"/>
          <w:color w:val="auto"/>
          <w:spacing w:val="-1"/>
          <w:kern w:val="0"/>
          <w:sz w:val="24"/>
          <w:szCs w:val="24"/>
          <w:highlight w:val="none"/>
          <w:lang w:val="en-US" w:eastAsia="zh-CN"/>
        </w:rPr>
        <w:t>7362.19</w:t>
      </w:r>
      <w:r>
        <w:rPr>
          <w:rFonts w:hint="default" w:ascii="Times New Roman" w:hAnsi="Times New Roman" w:eastAsia="宋体" w:cs="Times New Roman"/>
          <w:color w:val="auto"/>
          <w:spacing w:val="-1"/>
          <w:kern w:val="0"/>
          <w:sz w:val="24"/>
          <w:szCs w:val="24"/>
          <w:highlight w:val="none"/>
        </w:rPr>
        <w:t>m</w:t>
      </w:r>
      <w:r>
        <w:rPr>
          <w:rFonts w:hint="default" w:ascii="Times New Roman" w:hAnsi="Times New Roman" w:eastAsia="宋体" w:cs="Times New Roman"/>
          <w:color w:val="auto"/>
          <w:spacing w:val="-1"/>
          <w:kern w:val="0"/>
          <w:sz w:val="24"/>
          <w:szCs w:val="24"/>
          <w:highlight w:val="none"/>
          <w:vertAlign w:val="superscript"/>
        </w:rPr>
        <w:t>3</w:t>
      </w:r>
      <w:r>
        <w:rPr>
          <w:rFonts w:hint="default" w:ascii="Times New Roman" w:hAnsi="Times New Roman" w:eastAsia="宋体" w:cs="Times New Roman"/>
          <w:color w:val="auto"/>
          <w:spacing w:val="-1"/>
          <w:kern w:val="0"/>
          <w:sz w:val="24"/>
          <w:szCs w:val="24"/>
          <w:highlight w:val="none"/>
        </w:rPr>
        <w:t>/d</w:t>
      </w:r>
      <w:r>
        <w:rPr>
          <w:rFonts w:hint="default" w:ascii="Times New Roman" w:hAnsi="Times New Roman" w:cs="Times New Roman"/>
          <w:color w:val="auto"/>
          <w:highlight w:val="none"/>
        </w:rPr>
        <w:t>。</w:t>
      </w:r>
    </w:p>
    <w:p w14:paraId="6B68D355">
      <w:pPr>
        <w:overflowPunct w:val="0"/>
        <w:topLinePunct/>
        <w:ind w:firstLine="48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rPr>
        <w:fldChar w:fldCharType="begin"/>
      </w:r>
      <w:r>
        <w:rPr>
          <w:rFonts w:hint="default" w:ascii="Times New Roman" w:hAnsi="Times New Roman" w:cs="Times New Roman"/>
          <w:color w:val="auto"/>
          <w:szCs w:val="28"/>
          <w:highlight w:val="none"/>
        </w:rPr>
        <w:instrText xml:space="preserve"> = 3 \* GB3 \* MERGEFORMAT </w:instrText>
      </w:r>
      <w:r>
        <w:rPr>
          <w:rFonts w:hint="default" w:ascii="Times New Roman" w:hAnsi="Times New Roman" w:cs="Times New Roman"/>
          <w:color w:val="auto"/>
          <w:szCs w:val="28"/>
          <w:highlight w:val="none"/>
        </w:rPr>
        <w:fldChar w:fldCharType="separate"/>
      </w:r>
      <w:r>
        <w:rPr>
          <w:rFonts w:hint="default" w:ascii="Times New Roman" w:hAnsi="Times New Roman" w:cs="Times New Roman"/>
          <w:color w:val="auto"/>
          <w:highlight w:val="none"/>
        </w:rPr>
        <w:t>③</w:t>
      </w:r>
      <w:r>
        <w:rPr>
          <w:rFonts w:hint="default" w:ascii="Times New Roman" w:hAnsi="Times New Roman" w:cs="Times New Roman"/>
          <w:color w:val="auto"/>
          <w:szCs w:val="28"/>
          <w:highlight w:val="none"/>
        </w:rPr>
        <w:fldChar w:fldCharType="end"/>
      </w:r>
      <w:r>
        <w:rPr>
          <w:rFonts w:hint="default" w:ascii="Times New Roman" w:hAnsi="Times New Roman" w:cs="Times New Roman"/>
          <w:color w:val="auto"/>
          <w:szCs w:val="28"/>
          <w:highlight w:val="none"/>
          <w:lang w:eastAsia="zh-CN"/>
        </w:rPr>
        <w:t>锅炉用水</w:t>
      </w:r>
    </w:p>
    <w:p w14:paraId="670FAEF8">
      <w:pPr>
        <w:overflowPunct w:val="0"/>
        <w:topLinePunct/>
        <w:ind w:firstLine="48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rPr>
        <w:t>锅炉生产用水均为新鲜水，根据</w:t>
      </w:r>
      <w:r>
        <w:rPr>
          <w:rFonts w:hint="default" w:ascii="Times New Roman" w:hAnsi="Times New Roman" w:cs="Times New Roman"/>
          <w:color w:val="auto"/>
          <w:szCs w:val="28"/>
          <w:highlight w:val="none"/>
          <w:lang w:eastAsia="zh-CN"/>
        </w:rPr>
        <w:t>设计资料</w:t>
      </w:r>
      <w:r>
        <w:rPr>
          <w:rFonts w:hint="default" w:ascii="Times New Roman" w:hAnsi="Times New Roman" w:cs="Times New Roman"/>
          <w:color w:val="auto"/>
          <w:szCs w:val="28"/>
          <w:highlight w:val="none"/>
        </w:rPr>
        <w:t>，锅炉</w:t>
      </w:r>
      <w:r>
        <w:rPr>
          <w:rFonts w:hint="default" w:ascii="Times New Roman" w:hAnsi="Times New Roman" w:cs="Times New Roman"/>
          <w:color w:val="auto"/>
          <w:szCs w:val="28"/>
          <w:highlight w:val="none"/>
          <w:lang w:val="en-US" w:eastAsia="zh-CN"/>
        </w:rPr>
        <w:t>新鲜水</w:t>
      </w:r>
      <w:r>
        <w:rPr>
          <w:rFonts w:hint="default" w:ascii="Times New Roman" w:hAnsi="Times New Roman" w:cs="Times New Roman"/>
          <w:color w:val="auto"/>
          <w:szCs w:val="28"/>
          <w:highlight w:val="none"/>
        </w:rPr>
        <w:t>用水量为</w:t>
      </w:r>
      <w:r>
        <w:rPr>
          <w:rFonts w:hint="eastAsia" w:cs="Times New Roman"/>
          <w:color w:val="auto"/>
          <w:highlight w:val="none"/>
          <w:lang w:val="en-US" w:eastAsia="zh-CN"/>
        </w:rPr>
        <w:t>131.04</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p>
    <w:p w14:paraId="1C2701A0">
      <w:pPr>
        <w:overflowPunct w:val="0"/>
        <w:topLinePunct/>
        <w:ind w:firstLine="480"/>
        <w:rPr>
          <w:rFonts w:hint="default" w:ascii="Times New Roman" w:hAnsi="Times New Roman" w:cs="Times New Roman"/>
          <w:color w:val="auto"/>
          <w:szCs w:val="28"/>
          <w:highlight w:val="none"/>
          <w:lang w:val="en-US" w:eastAsia="zh-CN"/>
        </w:rPr>
      </w:pPr>
      <w:r>
        <w:rPr>
          <w:rFonts w:hint="default" w:ascii="Times New Roman" w:hAnsi="Times New Roman" w:cs="Times New Roman"/>
          <w:color w:val="auto"/>
          <w:szCs w:val="28"/>
          <w:highlight w:val="none"/>
          <w:lang w:val="en-US" w:eastAsia="zh-CN"/>
        </w:rPr>
        <w:t>④</w:t>
      </w:r>
      <w:r>
        <w:rPr>
          <w:rFonts w:hint="default" w:ascii="Times New Roman" w:hAnsi="Times New Roman" w:cs="Times New Roman"/>
          <w:color w:val="auto"/>
          <w:spacing w:val="0"/>
          <w:sz w:val="24"/>
          <w:highlight w:val="none"/>
        </w:rPr>
        <w:t>绿化用水</w:t>
      </w:r>
    </w:p>
    <w:p w14:paraId="3A45F14B">
      <w:pPr>
        <w:overflowPunct w:val="0"/>
        <w:topLinePunct/>
        <w:ind w:firstLine="480"/>
        <w:rPr>
          <w:rFonts w:hint="default" w:ascii="Times New Roman" w:hAnsi="Times New Roman" w:cs="Times New Roman"/>
          <w:color w:val="auto"/>
          <w:szCs w:val="28"/>
          <w:highlight w:val="none"/>
          <w:lang w:val="en-US" w:eastAsia="zh-CN"/>
        </w:rPr>
      </w:pPr>
      <w:r>
        <w:rPr>
          <w:rFonts w:hint="default" w:ascii="Times New Roman" w:hAnsi="Times New Roman" w:cs="Times New Roman"/>
          <w:color w:val="auto"/>
          <w:szCs w:val="28"/>
          <w:highlight w:val="none"/>
          <w:lang w:val="en-US" w:eastAsia="zh-CN"/>
        </w:rPr>
        <w:t>本项目新增绿化面积约0.4hm</w:t>
      </w:r>
      <w:r>
        <w:rPr>
          <w:rFonts w:hint="default" w:ascii="Times New Roman" w:hAnsi="Times New Roman" w:cs="Times New Roman"/>
          <w:color w:val="auto"/>
          <w:szCs w:val="28"/>
          <w:highlight w:val="none"/>
          <w:vertAlign w:val="superscript"/>
          <w:lang w:val="en-US" w:eastAsia="zh-CN"/>
        </w:rPr>
        <w:t>2</w:t>
      </w:r>
      <w:r>
        <w:rPr>
          <w:rFonts w:hint="default" w:ascii="Times New Roman" w:hAnsi="Times New Roman" w:cs="Times New Roman"/>
          <w:color w:val="auto"/>
          <w:szCs w:val="28"/>
          <w:highlight w:val="none"/>
          <w:lang w:val="en-US" w:eastAsia="zh-CN"/>
        </w:rPr>
        <w:t>，按照用水定额标准绿地1.5L/m</w:t>
      </w:r>
      <w:r>
        <w:rPr>
          <w:rFonts w:hint="default" w:ascii="Times New Roman" w:hAnsi="Times New Roman" w:cs="Times New Roman"/>
          <w:color w:val="auto"/>
          <w:szCs w:val="28"/>
          <w:highlight w:val="none"/>
          <w:vertAlign w:val="superscript"/>
          <w:lang w:val="en-US" w:eastAsia="zh-CN"/>
        </w:rPr>
        <w:t>2</w:t>
      </w:r>
      <w:r>
        <w:rPr>
          <w:rFonts w:hint="default" w:ascii="Times New Roman" w:hAnsi="Times New Roman" w:cs="Times New Roman"/>
          <w:color w:val="auto"/>
          <w:szCs w:val="28"/>
          <w:highlight w:val="none"/>
          <w:lang w:val="en-US" w:eastAsia="zh-CN"/>
        </w:rPr>
        <w:t>·d来计算，则灌溉期绿化用水量为6m</w:t>
      </w:r>
      <w:r>
        <w:rPr>
          <w:rFonts w:hint="default" w:ascii="Times New Roman" w:hAnsi="Times New Roman" w:cs="Times New Roman"/>
          <w:color w:val="auto"/>
          <w:szCs w:val="28"/>
          <w:highlight w:val="none"/>
          <w:vertAlign w:val="superscript"/>
          <w:lang w:val="en-US" w:eastAsia="zh-CN"/>
        </w:rPr>
        <w:t>3</w:t>
      </w:r>
      <w:r>
        <w:rPr>
          <w:rFonts w:hint="default" w:ascii="Times New Roman" w:hAnsi="Times New Roman" w:cs="Times New Roman"/>
          <w:color w:val="auto"/>
          <w:szCs w:val="28"/>
          <w:highlight w:val="none"/>
          <w:lang w:val="en-US" w:eastAsia="zh-CN"/>
        </w:rPr>
        <w:t>/d。</w:t>
      </w:r>
    </w:p>
    <w:p w14:paraId="099A8D31">
      <w:pPr>
        <w:overflowPunct w:val="0"/>
        <w:topLinePunct/>
        <w:ind w:firstLine="480"/>
        <w:rPr>
          <w:rFonts w:hint="default" w:ascii="Times New Roman" w:hAnsi="Times New Roman" w:eastAsia="宋体" w:cs="Times New Roman"/>
          <w:color w:val="auto"/>
          <w:szCs w:val="28"/>
          <w:highlight w:val="none"/>
          <w:lang w:val="en-US" w:eastAsia="zh-CN"/>
        </w:rPr>
      </w:pPr>
      <w:r>
        <w:rPr>
          <w:rFonts w:hint="default" w:ascii="Times New Roman" w:hAnsi="Times New Roman" w:cs="Times New Roman"/>
          <w:color w:val="auto"/>
          <w:szCs w:val="28"/>
          <w:highlight w:val="none"/>
          <w:lang w:val="en-US" w:eastAsia="zh-CN"/>
        </w:rPr>
        <w:t>⑤降尘用水</w:t>
      </w:r>
    </w:p>
    <w:p w14:paraId="574DA467">
      <w:pPr>
        <w:overflowPunct w:val="0"/>
        <w:topLinePunct/>
        <w:ind w:firstLine="480"/>
        <w:rPr>
          <w:rFonts w:hint="default" w:ascii="Times New Roman" w:hAnsi="Times New Roman" w:cs="Times New Roman"/>
          <w:color w:val="auto"/>
          <w:szCs w:val="28"/>
          <w:highlight w:val="none"/>
        </w:rPr>
      </w:pPr>
      <w:r>
        <w:rPr>
          <w:rFonts w:hint="default" w:ascii="Times New Roman" w:hAnsi="Times New Roman" w:cs="Times New Roman"/>
          <w:color w:val="auto"/>
          <w:highlight w:val="none"/>
          <w:lang w:val="en-US" w:eastAsia="zh-CN"/>
        </w:rPr>
        <w:t>根据</w:t>
      </w:r>
      <w:r>
        <w:rPr>
          <w:rFonts w:hint="default" w:ascii="Times New Roman" w:hAnsi="Times New Roman" w:cs="Times New Roman"/>
          <w:color w:val="auto"/>
          <w:highlight w:val="none"/>
        </w:rPr>
        <w:t>新疆嘉西矿业有限公司哈密市伊州区雅满苏镇M1033萤石选矿厂初步设计</w:t>
      </w:r>
      <w:r>
        <w:rPr>
          <w:rFonts w:hint="default" w:ascii="Times New Roman" w:hAnsi="Times New Roman" w:cs="Times New Roman"/>
          <w:color w:val="auto"/>
          <w:highlight w:val="none"/>
          <w:lang w:val="en-US" w:eastAsia="zh-CN"/>
        </w:rPr>
        <w:t>中数据，项目区建设有三类道路，分别为A型道路（重载主干道），道路宽10m，长度0.389km，工程量3890m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lang w:val="en-US" w:eastAsia="zh-CN"/>
        </w:rPr>
        <w:t>；B型道路（次干道及车间引道），道路宽6m，长度0.353km，工程量2118m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lang w:val="en-US" w:eastAsia="zh-CN"/>
        </w:rPr>
        <w:t>、C型道路（消防通道、人行道）工程量3358m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rPr>
        <w:t>，</w:t>
      </w:r>
      <w:r>
        <w:rPr>
          <w:rFonts w:hint="default" w:ascii="Times New Roman" w:hAnsi="Times New Roman" w:cs="Times New Roman" w:eastAsiaTheme="minorEastAsia"/>
          <w:color w:val="auto"/>
          <w:kern w:val="0"/>
          <w:szCs w:val="21"/>
          <w:highlight w:val="none"/>
        </w:rPr>
        <w:t>场内道路</w:t>
      </w:r>
      <w:r>
        <w:rPr>
          <w:rFonts w:hint="default" w:ascii="Times New Roman" w:hAnsi="Times New Roman" w:cs="Times New Roman" w:eastAsiaTheme="minorEastAsia"/>
          <w:color w:val="auto"/>
          <w:kern w:val="0"/>
          <w:szCs w:val="21"/>
          <w:highlight w:val="none"/>
          <w:lang w:val="en-US" w:eastAsia="zh-CN"/>
        </w:rPr>
        <w:t>总</w:t>
      </w:r>
      <w:r>
        <w:rPr>
          <w:rFonts w:hint="default" w:ascii="Times New Roman" w:hAnsi="Times New Roman" w:cs="Times New Roman" w:eastAsiaTheme="minorEastAsia"/>
          <w:color w:val="auto"/>
          <w:kern w:val="0"/>
          <w:szCs w:val="21"/>
          <w:highlight w:val="none"/>
        </w:rPr>
        <w:t>占地</w:t>
      </w:r>
      <w:r>
        <w:rPr>
          <w:rFonts w:hint="default" w:ascii="Times New Roman" w:hAnsi="Times New Roman" w:cs="Times New Roman" w:eastAsiaTheme="minorEastAsia"/>
          <w:color w:val="auto"/>
          <w:kern w:val="0"/>
          <w:szCs w:val="21"/>
          <w:highlight w:val="none"/>
          <w:lang w:val="en-US" w:eastAsia="zh-CN"/>
        </w:rPr>
        <w:t>9370</w:t>
      </w:r>
      <w:r>
        <w:rPr>
          <w:rFonts w:hint="default" w:ascii="Times New Roman" w:hAnsi="Times New Roman" w:cs="Times New Roman" w:eastAsiaTheme="minorEastAsia"/>
          <w:color w:val="auto"/>
          <w:kern w:val="0"/>
          <w:szCs w:val="21"/>
          <w:highlight w:val="none"/>
        </w:rPr>
        <w:t>m</w:t>
      </w:r>
      <w:r>
        <w:rPr>
          <w:rFonts w:hint="default" w:ascii="Times New Roman" w:hAnsi="Times New Roman" w:cs="Times New Roman" w:eastAsiaTheme="minorEastAsia"/>
          <w:color w:val="auto"/>
          <w:kern w:val="0"/>
          <w:szCs w:val="21"/>
          <w:highlight w:val="none"/>
          <w:vertAlign w:val="superscript"/>
        </w:rPr>
        <w:t>2</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道路降尘洒水定额按1.0~1.5L/m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lang w:val="en-US" w:eastAsia="zh-CN"/>
        </w:rPr>
        <w:t>次计，每天五次，</w:t>
      </w:r>
      <w:r>
        <w:rPr>
          <w:rFonts w:hint="default" w:ascii="Times New Roman" w:hAnsi="Times New Roman" w:cs="Times New Roman" w:eastAsiaTheme="minorEastAsia"/>
          <w:color w:val="auto"/>
          <w:kern w:val="0"/>
          <w:szCs w:val="21"/>
          <w:highlight w:val="none"/>
        </w:rPr>
        <w:t>场内道路</w:t>
      </w:r>
      <w:r>
        <w:rPr>
          <w:rFonts w:hint="default" w:ascii="Times New Roman" w:hAnsi="Times New Roman" w:cs="Times New Roman" w:eastAsiaTheme="minorEastAsia"/>
          <w:color w:val="auto"/>
          <w:kern w:val="0"/>
          <w:szCs w:val="21"/>
          <w:highlight w:val="none"/>
          <w:lang w:val="en-US" w:eastAsia="zh-CN"/>
        </w:rPr>
        <w:t>总</w:t>
      </w:r>
      <w:r>
        <w:rPr>
          <w:rFonts w:hint="default" w:ascii="Times New Roman" w:hAnsi="Times New Roman" w:cs="Times New Roman" w:eastAsiaTheme="minorEastAsia"/>
          <w:color w:val="auto"/>
          <w:kern w:val="0"/>
          <w:szCs w:val="21"/>
          <w:highlight w:val="none"/>
        </w:rPr>
        <w:t>占地</w:t>
      </w:r>
      <w:r>
        <w:rPr>
          <w:rFonts w:hint="default" w:ascii="Times New Roman" w:hAnsi="Times New Roman" w:cs="Times New Roman" w:eastAsiaTheme="minorEastAsia"/>
          <w:color w:val="auto"/>
          <w:kern w:val="0"/>
          <w:szCs w:val="21"/>
          <w:highlight w:val="none"/>
          <w:lang w:val="en-US" w:eastAsia="zh-CN"/>
        </w:rPr>
        <w:t>面积为9370</w:t>
      </w:r>
      <w:r>
        <w:rPr>
          <w:rFonts w:hint="default" w:ascii="Times New Roman" w:hAnsi="Times New Roman" w:cs="Times New Roman" w:eastAsiaTheme="minorEastAsia"/>
          <w:color w:val="auto"/>
          <w:kern w:val="0"/>
          <w:szCs w:val="21"/>
          <w:highlight w:val="none"/>
        </w:rPr>
        <w:t>m</w:t>
      </w:r>
      <w:r>
        <w:rPr>
          <w:rFonts w:hint="default" w:ascii="Times New Roman" w:hAnsi="Times New Roman" w:cs="Times New Roman" w:eastAsiaTheme="minorEastAsia"/>
          <w:color w:val="auto"/>
          <w:kern w:val="0"/>
          <w:szCs w:val="21"/>
          <w:highlight w:val="none"/>
          <w:vertAlign w:val="superscript"/>
        </w:rPr>
        <w:t>2</w:t>
      </w:r>
      <w:r>
        <w:rPr>
          <w:rFonts w:hint="default" w:ascii="Times New Roman" w:hAnsi="Times New Roman" w:cs="Times New Roman"/>
          <w:color w:val="auto"/>
          <w:highlight w:val="none"/>
          <w:lang w:val="en-US" w:eastAsia="zh-CN"/>
        </w:rPr>
        <w:t>，则道路抑尘用水量约为28m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/d</w:t>
      </w:r>
      <w:r>
        <w:rPr>
          <w:rFonts w:hint="eastAsia" w:cs="Times New Roman"/>
          <w:color w:val="auto"/>
          <w:highlight w:val="none"/>
          <w:lang w:val="en-US" w:eastAsia="zh-CN"/>
        </w:rPr>
        <w:t>。哈密市冬季气温较低，洒水会导致道路结冰无法行驶，项目仅在灌溉季对道路进行洒水降尘，全年抑尘150天</w:t>
      </w:r>
      <w:r>
        <w:rPr>
          <w:rFonts w:hint="default" w:ascii="Times New Roman" w:hAnsi="Times New Roman" w:cs="Times New Roman"/>
          <w:color w:val="auto"/>
          <w:highlight w:val="none"/>
          <w:lang w:val="en-US" w:eastAsia="zh-CN"/>
        </w:rPr>
        <w:t>。</w:t>
      </w:r>
    </w:p>
    <w:p w14:paraId="1D37BC96">
      <w:pPr>
        <w:overflowPunct w:val="0"/>
        <w:topLinePunct/>
        <w:ind w:firstLine="48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rPr>
        <w:t>（2）水源及供水系统</w:t>
      </w:r>
    </w:p>
    <w:p w14:paraId="27015A2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szCs w:val="28"/>
          <w:highlight w:val="none"/>
        </w:rPr>
        <w:t>①</w:t>
      </w:r>
      <w:r>
        <w:rPr>
          <w:rFonts w:hint="default" w:ascii="Times New Roman" w:hAnsi="Times New Roman" w:cs="Times New Roman"/>
          <w:color w:val="auto"/>
          <w:highlight w:val="none"/>
        </w:rPr>
        <w:t>水源</w:t>
      </w:r>
    </w:p>
    <w:p w14:paraId="1E88C573">
      <w:pPr>
        <w:overflowPunct w:val="0"/>
        <w:topLinePunct/>
        <w:ind w:firstLine="48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rPr>
        <w:t>设计选矿厂生产用水引自企业自备水井，生活用水取自雅满苏镇，采用罐车运输至选矿厂。</w:t>
      </w:r>
    </w:p>
    <w:p w14:paraId="0720A89C">
      <w:pPr>
        <w:overflowPunct w:val="0"/>
        <w:topLinePunct/>
        <w:ind w:firstLine="48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rPr>
        <w:t>②供水系统</w:t>
      </w:r>
    </w:p>
    <w:p w14:paraId="7CBB0026">
      <w:pPr>
        <w:overflowPunct w:val="0"/>
        <w:topLinePunct/>
        <w:ind w:firstLine="48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rPr>
        <w:t>本项目生产用水取自自备水井，并配套建设井泵房，安装深井潜水泵，将地下水抽升至地面。生活用水取自90公里外的雅满苏镇，由密封罐车定期拉运生活用水至厂区，并建设生活用水储水池及加压泵送设施，将水送至各生活用水点。</w:t>
      </w:r>
    </w:p>
    <w:p w14:paraId="0BA23AAC">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.2排水工程</w:t>
      </w:r>
    </w:p>
    <w:p w14:paraId="750AE0EB">
      <w:pPr>
        <w:pStyle w:val="84"/>
        <w:overflowPunct w:val="0"/>
        <w:topLinePunct/>
        <w:spacing w:beforeLines="0" w:afterLines="0" w:line="480" w:lineRule="exact"/>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（1）废水量</w:t>
      </w:r>
    </w:p>
    <w:p w14:paraId="269DC3B6">
      <w:pPr>
        <w:pStyle w:val="84"/>
        <w:overflowPunct w:val="0"/>
        <w:topLinePunct/>
        <w:spacing w:beforeLines="0" w:afterLines="0" w:line="480" w:lineRule="exact"/>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本项目废水主要为选矿工艺产生的选矿废水、办公生活区产生的少量生活污水、锅炉房</w:t>
      </w:r>
      <w:r>
        <w:rPr>
          <w:rFonts w:hint="eastAsia" w:ascii="Times New Roman" w:hAnsi="Times New Roman" w:cs="Times New Roman"/>
          <w:color w:val="auto"/>
          <w:highlight w:val="none"/>
          <w:lang w:val="en-US" w:eastAsia="zh-CN"/>
        </w:rPr>
        <w:t>锅炉软化、锅炉排污及水膜脱硫除尘产生的脱硫</w:t>
      </w:r>
      <w:r>
        <w:rPr>
          <w:rFonts w:hint="default" w:ascii="Times New Roman" w:hAnsi="Times New Roman" w:cs="Times New Roman"/>
          <w:color w:val="auto"/>
          <w:highlight w:val="none"/>
        </w:rPr>
        <w:t>废水，废水总量为</w:t>
      </w:r>
      <w:r>
        <w:rPr>
          <w:rFonts w:hint="eastAsia" w:ascii="Times New Roman" w:hAnsi="Times New Roman" w:cs="Times New Roman"/>
          <w:color w:val="auto"/>
          <w:highlight w:val="none"/>
          <w:lang w:val="en-US" w:eastAsia="zh-CN"/>
        </w:rPr>
        <w:t>47.5416</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p>
    <w:p w14:paraId="065C169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szCs w:val="28"/>
          <w:highlight w:val="none"/>
        </w:rPr>
        <w:t>①</w:t>
      </w:r>
      <w:r>
        <w:rPr>
          <w:rFonts w:hint="default" w:ascii="Times New Roman" w:hAnsi="Times New Roman" w:cs="Times New Roman"/>
          <w:color w:val="auto"/>
          <w:highlight w:val="none"/>
        </w:rPr>
        <w:t>选矿废水</w:t>
      </w:r>
    </w:p>
    <w:p w14:paraId="42D2590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本项目运营期选矿废水产生于选矿过程中，选矿废水量约为</w:t>
      </w:r>
      <w:r>
        <w:rPr>
          <w:rFonts w:hint="eastAsia" w:cs="Times New Roman"/>
          <w:color w:val="auto"/>
          <w:highlight w:val="none"/>
          <w:lang w:val="en-US" w:eastAsia="zh-CN"/>
        </w:rPr>
        <w:t>1554</w:t>
      </w:r>
      <w:r>
        <w:rPr>
          <w:rFonts w:hint="default" w:ascii="Times New Roman" w:hAnsi="Times New Roman" w:cs="Times New Roman"/>
          <w:color w:val="auto"/>
          <w:spacing w:val="0"/>
          <w:sz w:val="24"/>
          <w:highlight w:val="none"/>
        </w:rPr>
        <w:t>m</w:t>
      </w:r>
      <w:r>
        <w:rPr>
          <w:rFonts w:hint="default" w:ascii="Times New Roman" w:hAnsi="Times New Roman" w:cs="Times New Roman"/>
          <w:color w:val="auto"/>
          <w:spacing w:val="0"/>
          <w:sz w:val="24"/>
          <w:highlight w:val="none"/>
          <w:vertAlign w:val="superscript"/>
        </w:rPr>
        <w:t>3</w:t>
      </w:r>
      <w:r>
        <w:rPr>
          <w:rFonts w:hint="default" w:ascii="Times New Roman" w:hAnsi="Times New Roman" w:cs="Times New Roman"/>
          <w:color w:val="auto"/>
          <w:spacing w:val="0"/>
          <w:sz w:val="24"/>
          <w:highlight w:val="none"/>
        </w:rPr>
        <w:t>/d</w:t>
      </w:r>
      <w:r>
        <w:rPr>
          <w:rFonts w:hint="eastAsia" w:cs="Times New Roman"/>
          <w:color w:val="auto"/>
          <w:spacing w:val="0"/>
          <w:sz w:val="24"/>
          <w:highlight w:val="none"/>
          <w:lang w:eastAsia="zh-CN"/>
        </w:rPr>
        <w:t>（</w:t>
      </w:r>
      <w:r>
        <w:rPr>
          <w:rFonts w:hint="eastAsia" w:cs="Times New Roman"/>
          <w:color w:val="auto"/>
          <w:highlight w:val="none"/>
          <w:lang w:val="en-US" w:eastAsia="zh-CN"/>
        </w:rPr>
        <w:t>46.62</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r>
        <w:rPr>
          <w:rFonts w:hint="eastAsia" w:cs="Times New Roman"/>
          <w:color w:val="auto"/>
          <w:spacing w:val="0"/>
          <w:sz w:val="24"/>
          <w:highlight w:val="none"/>
          <w:lang w:eastAsia="zh-CN"/>
        </w:rPr>
        <w:t>）</w:t>
      </w:r>
      <w:r>
        <w:rPr>
          <w:rFonts w:hint="default" w:ascii="Times New Roman" w:hAnsi="Times New Roman" w:cs="Times New Roman"/>
          <w:color w:val="auto"/>
          <w:highlight w:val="none"/>
        </w:rPr>
        <w:t>。选矿废水部分被</w:t>
      </w:r>
      <w:r>
        <w:rPr>
          <w:rFonts w:hint="default" w:ascii="Times New Roman" w:hAnsi="Times New Roman" w:cs="Times New Roman"/>
          <w:color w:val="auto"/>
          <w:highlight w:val="none"/>
          <w:lang w:eastAsia="zh-CN"/>
        </w:rPr>
        <w:t>萤石</w:t>
      </w:r>
      <w:r>
        <w:rPr>
          <w:rFonts w:hint="default" w:ascii="Times New Roman" w:hAnsi="Times New Roman" w:cs="Times New Roman"/>
          <w:color w:val="auto"/>
          <w:highlight w:val="none"/>
        </w:rPr>
        <w:t>精带走，</w:t>
      </w:r>
      <w:r>
        <w:rPr>
          <w:rFonts w:hint="default" w:ascii="Times New Roman" w:hAnsi="Times New Roman" w:cs="Times New Roman"/>
          <w:color w:val="auto"/>
          <w:highlight w:val="none"/>
          <w:lang w:eastAsia="zh-CN"/>
        </w:rPr>
        <w:t>精矿压滤</w:t>
      </w:r>
      <w:r>
        <w:rPr>
          <w:rFonts w:hint="default" w:ascii="Times New Roman" w:hAnsi="Times New Roman" w:cs="Times New Roman"/>
          <w:color w:val="auto"/>
          <w:highlight w:val="none"/>
        </w:rPr>
        <w:t>水、尾矿浓缩溢流水返回生产工序循环利用，尾矿矿浆通过管道输送至尾矿库，尾矿库设有回水系统，使用水泵将库内澄清水通过管道泵送至选矿厂生产回水池，供选矿循环使用，实现生产废水</w:t>
      </w:r>
      <w:r>
        <w:rPr>
          <w:rFonts w:hint="eastAsia" w:cs="Times New Roman"/>
          <w:color w:val="auto"/>
          <w:highlight w:val="none"/>
          <w:lang w:eastAsia="zh-CN"/>
        </w:rPr>
        <w:t>“</w:t>
      </w:r>
      <w:r>
        <w:rPr>
          <w:rFonts w:hint="default" w:ascii="Times New Roman" w:hAnsi="Times New Roman" w:cs="Times New Roman"/>
          <w:color w:val="auto"/>
          <w:highlight w:val="none"/>
        </w:rPr>
        <w:t>闭路循环</w:t>
      </w:r>
      <w:r>
        <w:rPr>
          <w:rFonts w:hint="eastAsia" w:cs="Times New Roman"/>
          <w:color w:val="auto"/>
          <w:highlight w:val="none"/>
          <w:lang w:eastAsia="zh-CN"/>
        </w:rPr>
        <w:t>”</w:t>
      </w:r>
      <w:r>
        <w:rPr>
          <w:rFonts w:hint="default" w:ascii="Times New Roman" w:hAnsi="Times New Roman" w:cs="Times New Roman"/>
          <w:color w:val="auto"/>
          <w:highlight w:val="none"/>
        </w:rPr>
        <w:t>，不外排。</w:t>
      </w:r>
    </w:p>
    <w:p w14:paraId="1F42312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szCs w:val="28"/>
          <w:highlight w:val="none"/>
        </w:rPr>
        <w:t>②</w:t>
      </w:r>
      <w:r>
        <w:rPr>
          <w:rFonts w:hint="default" w:ascii="Times New Roman" w:hAnsi="Times New Roman" w:cs="Times New Roman"/>
          <w:color w:val="auto"/>
          <w:highlight w:val="none"/>
        </w:rPr>
        <w:t>生活污水</w:t>
      </w:r>
    </w:p>
    <w:p w14:paraId="22518D2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生活污水产生量按照生活用水量的85%计，生活污水量约</w:t>
      </w:r>
      <w:r>
        <w:rPr>
          <w:rFonts w:hint="default" w:ascii="Times New Roman" w:hAnsi="Times New Roman" w:cs="Times New Roman"/>
          <w:color w:val="auto"/>
          <w:highlight w:val="none"/>
          <w:lang w:val="en-US" w:eastAsia="zh-CN"/>
        </w:rPr>
        <w:t>6.12</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highlight w:val="none"/>
          <w:lang w:val="en-US" w:eastAsia="zh-CN"/>
        </w:rPr>
        <w:t>0.18</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/a）。本项目生活污水排入化粪池定期清运至哈密市污水处理厂，不外排。</w:t>
      </w:r>
    </w:p>
    <w:p w14:paraId="0E54E16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szCs w:val="28"/>
          <w:highlight w:val="none"/>
        </w:rPr>
        <w:fldChar w:fldCharType="begin"/>
      </w:r>
      <w:r>
        <w:rPr>
          <w:rFonts w:hint="default" w:ascii="Times New Roman" w:hAnsi="Times New Roman" w:cs="Times New Roman"/>
          <w:color w:val="auto"/>
          <w:szCs w:val="28"/>
          <w:highlight w:val="none"/>
        </w:rPr>
        <w:instrText xml:space="preserve"> = 3 \* GB3 \* MERGEFORMAT </w:instrText>
      </w:r>
      <w:r>
        <w:rPr>
          <w:rFonts w:hint="default" w:ascii="Times New Roman" w:hAnsi="Times New Roman" w:cs="Times New Roman"/>
          <w:color w:val="auto"/>
          <w:szCs w:val="28"/>
          <w:highlight w:val="none"/>
        </w:rPr>
        <w:fldChar w:fldCharType="separate"/>
      </w:r>
      <w:r>
        <w:rPr>
          <w:rFonts w:hint="default" w:ascii="Times New Roman" w:hAnsi="Times New Roman" w:cs="Times New Roman"/>
          <w:color w:val="auto"/>
          <w:highlight w:val="none"/>
        </w:rPr>
        <w:t>③</w:t>
      </w:r>
      <w:r>
        <w:rPr>
          <w:rFonts w:hint="default" w:ascii="Times New Roman" w:hAnsi="Times New Roman" w:cs="Times New Roman"/>
          <w:color w:val="auto"/>
          <w:szCs w:val="28"/>
          <w:highlight w:val="none"/>
        </w:rPr>
        <w:fldChar w:fldCharType="end"/>
      </w:r>
      <w:r>
        <w:rPr>
          <w:rFonts w:hint="default" w:ascii="Times New Roman" w:hAnsi="Times New Roman" w:cs="Times New Roman"/>
          <w:color w:val="auto"/>
          <w:highlight w:val="none"/>
        </w:rPr>
        <w:t>锅炉房废水</w:t>
      </w:r>
    </w:p>
    <w:p w14:paraId="2191E67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锅炉房废水包括锅炉排污水、软水废水</w:t>
      </w:r>
      <w:r>
        <w:rPr>
          <w:rFonts w:hint="eastAsia" w:cs="Times New Roman"/>
          <w:color w:val="auto"/>
          <w:highlight w:val="none"/>
          <w:lang w:eastAsia="zh-CN"/>
        </w:rPr>
        <w:t>、</w:t>
      </w:r>
      <w:r>
        <w:rPr>
          <w:rFonts w:hint="eastAsia" w:ascii="Times New Roman" w:hAnsi="Times New Roman" w:cs="Times New Roman"/>
          <w:color w:val="auto"/>
          <w:highlight w:val="none"/>
          <w:lang w:val="en-US" w:eastAsia="zh-CN"/>
        </w:rPr>
        <w:t>水膜脱硫除尘</w:t>
      </w:r>
      <w:r>
        <w:rPr>
          <w:rFonts w:hint="eastAsia" w:cs="Times New Roman"/>
          <w:color w:val="auto"/>
          <w:highlight w:val="none"/>
          <w:lang w:val="en-US" w:eastAsia="zh-CN"/>
        </w:rPr>
        <w:t>废水</w:t>
      </w:r>
      <w:r>
        <w:rPr>
          <w:rFonts w:hint="default" w:ascii="Times New Roman" w:hAnsi="Times New Roman" w:cs="Times New Roman"/>
          <w:color w:val="auto"/>
          <w:highlight w:val="none"/>
        </w:rPr>
        <w:t>，废水量约</w:t>
      </w:r>
      <w:r>
        <w:rPr>
          <w:rFonts w:hint="eastAsia" w:cs="Times New Roman"/>
          <w:color w:val="auto"/>
          <w:highlight w:val="none"/>
          <w:lang w:val="en-US" w:eastAsia="zh-CN"/>
        </w:rPr>
        <w:t>49.2</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eastAsia" w:cs="Times New Roman"/>
          <w:color w:val="auto"/>
          <w:highlight w:val="none"/>
          <w:lang w:val="en-US" w:eastAsia="zh-CN"/>
        </w:rPr>
        <w:t>0.738</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/a），经沉淀池沉淀、中和处理后</w:t>
      </w:r>
      <w:r>
        <w:rPr>
          <w:rFonts w:hint="eastAsia" w:cs="Times New Roman"/>
          <w:color w:val="auto"/>
          <w:highlight w:val="none"/>
          <w:lang w:val="en-US" w:eastAsia="zh-CN"/>
        </w:rPr>
        <w:t>上清液</w:t>
      </w:r>
      <w:r>
        <w:rPr>
          <w:rFonts w:hint="default" w:ascii="Times New Roman" w:hAnsi="Times New Roman" w:cs="Times New Roman"/>
          <w:color w:val="auto"/>
          <w:highlight w:val="none"/>
        </w:rPr>
        <w:t>回用选矿生产工序循环使用。</w:t>
      </w:r>
    </w:p>
    <w:p w14:paraId="7251394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（2）排水方案</w:t>
      </w:r>
    </w:p>
    <w:p w14:paraId="0C567AA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①选矿废水</w:t>
      </w:r>
    </w:p>
    <w:p w14:paraId="49E95D3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本项目选矿工艺废水</w:t>
      </w:r>
      <w:r>
        <w:rPr>
          <w:rFonts w:hint="eastAsia" w:cs="Times New Roman"/>
          <w:color w:val="auto"/>
          <w:highlight w:val="none"/>
          <w:lang w:eastAsia="zh-CN"/>
        </w:rPr>
        <w:t>“</w:t>
      </w:r>
      <w:r>
        <w:rPr>
          <w:rFonts w:hint="default" w:ascii="Times New Roman" w:hAnsi="Times New Roman" w:cs="Times New Roman"/>
          <w:color w:val="auto"/>
          <w:highlight w:val="none"/>
        </w:rPr>
        <w:t>闭路循环</w:t>
      </w:r>
      <w:r>
        <w:rPr>
          <w:rFonts w:hint="eastAsia" w:cs="Times New Roman"/>
          <w:color w:val="auto"/>
          <w:highlight w:val="none"/>
          <w:lang w:eastAsia="zh-CN"/>
        </w:rPr>
        <w:t>”</w:t>
      </w:r>
      <w:r>
        <w:rPr>
          <w:rFonts w:hint="default" w:ascii="Times New Roman" w:hAnsi="Times New Roman" w:cs="Times New Roman"/>
          <w:color w:val="auto"/>
          <w:highlight w:val="none"/>
        </w:rPr>
        <w:t>，正常工况下不外排；非正常工况下，选矿水溢出，立即停止生产，溢出水排入车间排水沟，最终由车间回水泵排入选矿车间外防渗</w:t>
      </w:r>
      <w:r>
        <w:rPr>
          <w:rFonts w:hint="default" w:ascii="Times New Roman" w:hAnsi="Times New Roman" w:cs="Times New Roman"/>
          <w:color w:val="auto"/>
          <w:highlight w:val="none"/>
          <w:lang w:eastAsia="zh-CN"/>
        </w:rPr>
        <w:t>循环水</w:t>
      </w:r>
      <w:r>
        <w:rPr>
          <w:rFonts w:hint="default" w:ascii="Times New Roman" w:hAnsi="Times New Roman" w:cs="Times New Roman"/>
          <w:color w:val="auto"/>
          <w:highlight w:val="none"/>
        </w:rPr>
        <w:t>池，保证不外排。</w:t>
      </w:r>
    </w:p>
    <w:p w14:paraId="27DEFEF4">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2 \* GB3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②</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生活污水</w:t>
      </w:r>
    </w:p>
    <w:p w14:paraId="7E7A0BD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本项目生活污水排入化粪池定期清运至哈密市污水处理厂，不外排。</w:t>
      </w:r>
    </w:p>
    <w:p w14:paraId="3AA71FD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3 \* GB3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③</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锅炉房废水</w:t>
      </w:r>
    </w:p>
    <w:p w14:paraId="167E6A3B">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锅炉排污水、软水废水、水膜脱硫除尘废水</w:t>
      </w:r>
      <w:r>
        <w:rPr>
          <w:rFonts w:hint="default" w:ascii="Times New Roman" w:hAnsi="Times New Roman" w:cs="Times New Roman"/>
          <w:color w:val="auto"/>
          <w:spacing w:val="-1"/>
          <w:highlight w:val="none"/>
          <w:lang w:val="en-US" w:eastAsia="zh-CN"/>
        </w:rPr>
        <w:t>综合</w:t>
      </w:r>
      <w:r>
        <w:rPr>
          <w:rFonts w:hint="eastAsia" w:cs="Times New Roman"/>
          <w:color w:val="auto"/>
          <w:spacing w:val="-1"/>
          <w:highlight w:val="none"/>
          <w:lang w:val="en-US" w:eastAsia="zh-CN"/>
        </w:rPr>
        <w:t>利用</w:t>
      </w:r>
      <w:r>
        <w:rPr>
          <w:rFonts w:hint="default" w:ascii="Times New Roman" w:hAnsi="Times New Roman" w:cs="Times New Roman"/>
          <w:color w:val="auto"/>
          <w:spacing w:val="-1"/>
          <w:highlight w:val="none"/>
        </w:rPr>
        <w:t>于选矿生产工序</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锅炉房废水不外排。</w:t>
      </w:r>
    </w:p>
    <w:p w14:paraId="5EAE03C0">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.3供热工程</w:t>
      </w:r>
    </w:p>
    <w:p w14:paraId="38B95E3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为满足本项目采暖需求，在主厂房东南侧建设一座锅炉房：规格24×24×9m，设置15t</w:t>
      </w:r>
      <w:r>
        <w:rPr>
          <w:rFonts w:hint="eastAsia" w:cs="Times New Roman"/>
          <w:color w:val="auto"/>
          <w:highlight w:val="none"/>
          <w:lang w:val="en-US" w:eastAsia="zh-CN"/>
        </w:rPr>
        <w:t>/h</w:t>
      </w:r>
      <w:r>
        <w:rPr>
          <w:rFonts w:hint="default" w:ascii="Times New Roman" w:hAnsi="Times New Roman" w:cs="Times New Roman"/>
          <w:color w:val="auto"/>
          <w:highlight w:val="none"/>
        </w:rPr>
        <w:t>蒸汽锅炉一台。锅炉房外供高温热水主要用于选矿厂生产建筑、辅助生活设施采暖用热，考虑到管网损失和锅炉排污等因素，锅炉所需补水由锅炉房所设全自动软水器生产的软化水补给。厂区采暖回水和补充水进入锅炉房内软化水箱，经除氧器、锅炉给水泵加压后进入锅炉给水系统。</w:t>
      </w:r>
    </w:p>
    <w:p w14:paraId="2A8DBF2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锅炉房蒸汽工艺流程：来自软化水箱的软化水经除氧器除氧后由锅炉给水泵送入锅炉，锅炉产生的蒸汽经管网输送到</w:t>
      </w:r>
      <w:r>
        <w:rPr>
          <w:rFonts w:hint="default" w:ascii="Times New Roman" w:hAnsi="Times New Roman" w:cs="Times New Roman"/>
          <w:color w:val="auto"/>
          <w:highlight w:val="none"/>
          <w:lang w:val="en-US" w:eastAsia="zh-CN"/>
        </w:rPr>
        <w:t>浮选</w:t>
      </w:r>
      <w:r>
        <w:rPr>
          <w:rFonts w:hint="default" w:ascii="Times New Roman" w:hAnsi="Times New Roman" w:cs="Times New Roman"/>
          <w:color w:val="auto"/>
          <w:highlight w:val="none"/>
        </w:rPr>
        <w:t>车间</w:t>
      </w:r>
      <w:r>
        <w:rPr>
          <w:rFonts w:hint="default" w:ascii="Times New Roman" w:hAnsi="Times New Roman" w:cs="Times New Roman"/>
          <w:color w:val="auto"/>
          <w:highlight w:val="none"/>
          <w:lang w:val="en-US" w:eastAsia="zh-CN"/>
        </w:rPr>
        <w:t>矿浆加热</w:t>
      </w:r>
      <w:r>
        <w:rPr>
          <w:rFonts w:hint="default" w:ascii="Times New Roman" w:hAnsi="Times New Roman" w:cs="Times New Roman"/>
          <w:color w:val="auto"/>
          <w:highlight w:val="none"/>
        </w:rPr>
        <w:t>用汽点，</w:t>
      </w:r>
      <w:r>
        <w:rPr>
          <w:rFonts w:hint="default" w:ascii="Times New Roman" w:hAnsi="Times New Roman" w:cs="Times New Roman"/>
          <w:color w:val="auto"/>
          <w:highlight w:val="none"/>
          <w:lang w:val="en-US" w:eastAsia="zh-CN"/>
        </w:rPr>
        <w:t>蒸汽直接使用，无凝结水回收</w:t>
      </w:r>
      <w:r>
        <w:rPr>
          <w:rFonts w:hint="default" w:ascii="Times New Roman" w:hAnsi="Times New Roman" w:cs="Times New Roman"/>
          <w:color w:val="auto"/>
          <w:highlight w:val="none"/>
        </w:rPr>
        <w:t>。</w:t>
      </w:r>
    </w:p>
    <w:p w14:paraId="7A11E1C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锅炉房热水工艺流程：锅炉房补充水</w:t>
      </w:r>
      <w:r>
        <w:rPr>
          <w:rFonts w:hint="default" w:ascii="Times New Roman" w:hAnsi="Times New Roman" w:cs="Times New Roman"/>
          <w:color w:val="auto"/>
          <w:highlight w:val="none"/>
          <w:lang w:val="en-US" w:eastAsia="zh-CN"/>
        </w:rPr>
        <w:t>来自生活用水取水点</w:t>
      </w:r>
      <w:r>
        <w:rPr>
          <w:rFonts w:hint="default" w:ascii="Times New Roman" w:hAnsi="Times New Roman" w:cs="Times New Roman"/>
          <w:color w:val="auto"/>
          <w:highlight w:val="none"/>
        </w:rPr>
        <w:t>，经组合式软水器软化后进入软化水箱，经补水泵补充到采暖系统。</w:t>
      </w:r>
    </w:p>
    <w:p w14:paraId="47D7D02C">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.4供电工程</w:t>
      </w:r>
    </w:p>
    <w:p w14:paraId="28CC281F">
      <w:pPr>
        <w:keepNext w:val="0"/>
        <w:keepLines w:val="0"/>
        <w:pageBreakBefore w:val="0"/>
        <w:widowControl w:val="0"/>
        <w:kinsoku/>
        <w:wordWrap/>
        <w:overflowPunct w:val="0"/>
        <w:topLinePunct/>
        <w:autoSpaceDE/>
        <w:autoSpaceDN/>
        <w:bidi w:val="0"/>
        <w:adjustRightInd/>
        <w:snapToGrid/>
        <w:ind w:firstLine="480"/>
        <w:textAlignment w:val="auto"/>
        <w:rPr>
          <w:rFonts w:hint="default" w:ascii="Times New Roman" w:hAnsi="Times New Roman" w:eastAsia="宋体" w:cs="Times New Roman"/>
          <w:color w:val="auto"/>
          <w:szCs w:val="28"/>
          <w:highlight w:val="none"/>
          <w:lang w:eastAsia="zh-CN"/>
        </w:rPr>
      </w:pPr>
      <w:r>
        <w:rPr>
          <w:rFonts w:hint="default" w:ascii="Times New Roman" w:hAnsi="Times New Roman" w:cs="Times New Roman"/>
          <w:color w:val="auto"/>
          <w:szCs w:val="28"/>
          <w:highlight w:val="none"/>
        </w:rPr>
        <w:t>根据建设单位与当地供电部门达成的供电协议，本工程采用单回电源引自厂区外新建35kV总降压变电站10kV侧。35kV总降压变电站内置8000kVA主变压器一台</w:t>
      </w:r>
      <w:r>
        <w:rPr>
          <w:rFonts w:hint="default" w:ascii="Times New Roman" w:hAnsi="Times New Roman" w:cs="Times New Roman"/>
          <w:color w:val="auto"/>
          <w:szCs w:val="28"/>
          <w:highlight w:val="none"/>
          <w:lang w:val="en-US" w:eastAsia="zh-CN"/>
        </w:rPr>
        <w:t>大于</w:t>
      </w:r>
      <w:r>
        <w:rPr>
          <w:rFonts w:hint="default" w:ascii="Times New Roman" w:hAnsi="Times New Roman" w:cs="Times New Roman"/>
          <w:color w:val="auto"/>
          <w:szCs w:val="28"/>
          <w:highlight w:val="none"/>
        </w:rPr>
        <w:t>厂用负荷5060.12kVA，可满足本工程负荷需求。</w:t>
      </w:r>
    </w:p>
    <w:p w14:paraId="1C2CFA7A">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.5通风</w:t>
      </w:r>
    </w:p>
    <w:p w14:paraId="5D38B4D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对过磨矿车间、浮选车间、</w:t>
      </w:r>
      <w:r>
        <w:rPr>
          <w:rFonts w:hint="default" w:ascii="Times New Roman" w:hAnsi="Times New Roman" w:cs="Times New Roman"/>
          <w:color w:val="auto"/>
          <w:highlight w:val="none"/>
          <w:lang w:eastAsia="zh-CN"/>
        </w:rPr>
        <w:t>药剂</w:t>
      </w:r>
      <w:r>
        <w:rPr>
          <w:rFonts w:hint="default" w:ascii="Times New Roman" w:hAnsi="Times New Roman" w:cs="Times New Roman"/>
          <w:color w:val="auto"/>
          <w:highlight w:val="none"/>
        </w:rPr>
        <w:t>制备</w:t>
      </w:r>
      <w:r>
        <w:rPr>
          <w:rFonts w:hint="default" w:ascii="Times New Roman" w:hAnsi="Times New Roman" w:cs="Times New Roman"/>
          <w:color w:val="auto"/>
          <w:highlight w:val="none"/>
          <w:lang w:val="en-US" w:eastAsia="zh-CN"/>
        </w:rPr>
        <w:t>室</w:t>
      </w:r>
      <w:r>
        <w:rPr>
          <w:rFonts w:hint="default" w:ascii="Times New Roman" w:hAnsi="Times New Roman" w:cs="Times New Roman"/>
          <w:color w:val="auto"/>
          <w:highlight w:val="none"/>
        </w:rPr>
        <w:t>设有机械排风系统，排风系统的排风量均按室内换气次数≥10次设计兼顾事故通风；以排除车间内的余湿</w:t>
      </w:r>
      <w:r>
        <w:rPr>
          <w:rFonts w:hint="default" w:ascii="Times New Roman" w:hAnsi="Times New Roman" w:cs="Times New Roman"/>
          <w:color w:val="auto"/>
          <w:highlight w:val="none"/>
          <w:lang w:eastAsia="zh-CN"/>
        </w:rPr>
        <w:t>、余热等</w:t>
      </w:r>
      <w:r>
        <w:rPr>
          <w:rFonts w:hint="default" w:ascii="Times New Roman" w:hAnsi="Times New Roman" w:cs="Times New Roman"/>
          <w:color w:val="auto"/>
          <w:highlight w:val="none"/>
        </w:rPr>
        <w:t>，排风机均采用T35-11型轴流风机。</w:t>
      </w:r>
    </w:p>
    <w:p w14:paraId="0172FFFB">
      <w:pPr>
        <w:pStyle w:val="4"/>
        <w:rPr>
          <w:rFonts w:hint="default" w:ascii="Times New Roman" w:hAnsi="Times New Roman" w:cs="Times New Roman"/>
          <w:color w:val="auto"/>
          <w:highlight w:val="none"/>
        </w:rPr>
      </w:pPr>
      <w:bookmarkStart w:id="377" w:name="_Toc23929"/>
      <w:bookmarkStart w:id="378" w:name="_Toc10820"/>
      <w:bookmarkStart w:id="379" w:name="_Toc6018"/>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项目总平面布置</w:t>
      </w:r>
      <w:bookmarkEnd w:id="377"/>
      <w:bookmarkEnd w:id="378"/>
      <w:bookmarkEnd w:id="379"/>
    </w:p>
    <w:p w14:paraId="35CC3364">
      <w:pPr>
        <w:overflowPunct w:val="0"/>
        <w:topLinePunct/>
        <w:ind w:firstLine="480"/>
        <w:rPr>
          <w:rFonts w:hint="default" w:ascii="Times New Roman" w:hAnsi="Times New Roman" w:cs="Times New Roman"/>
          <w:color w:val="auto"/>
          <w:szCs w:val="28"/>
          <w:highlight w:val="none"/>
          <w:lang w:val="en-US"/>
        </w:rPr>
      </w:pPr>
      <w:r>
        <w:rPr>
          <w:rFonts w:hint="default" w:ascii="Times New Roman" w:hAnsi="Times New Roman" w:cs="Times New Roman"/>
          <w:color w:val="auto"/>
          <w:szCs w:val="28"/>
          <w:highlight w:val="none"/>
          <w:lang w:val="en-US" w:eastAsia="zh-CN"/>
        </w:rPr>
        <w:t>本项目</w:t>
      </w:r>
      <w:r>
        <w:rPr>
          <w:rFonts w:hint="default" w:ascii="Times New Roman" w:hAnsi="Times New Roman" w:cs="Times New Roman"/>
          <w:color w:val="auto"/>
          <w:szCs w:val="28"/>
          <w:highlight w:val="none"/>
        </w:rPr>
        <w:t>地表设施分为三部分，分别为新建选矿厂</w:t>
      </w:r>
      <w:r>
        <w:rPr>
          <w:rFonts w:hint="default" w:ascii="Times New Roman" w:hAnsi="Times New Roman" w:cs="Times New Roman"/>
          <w:color w:val="auto"/>
          <w:szCs w:val="28"/>
          <w:highlight w:val="none"/>
          <w:lang w:val="en-US" w:eastAsia="zh-CN"/>
        </w:rPr>
        <w:t>、</w:t>
      </w:r>
      <w:r>
        <w:rPr>
          <w:rFonts w:hint="default" w:ascii="Times New Roman" w:hAnsi="Times New Roman" w:cs="Times New Roman"/>
          <w:color w:val="auto"/>
          <w:szCs w:val="28"/>
          <w:highlight w:val="none"/>
        </w:rPr>
        <w:t>尾矿库及生活办公</w:t>
      </w:r>
      <w:r>
        <w:rPr>
          <w:rFonts w:hint="default" w:ascii="Times New Roman" w:hAnsi="Times New Roman" w:cs="Times New Roman"/>
          <w:color w:val="auto"/>
          <w:szCs w:val="28"/>
          <w:highlight w:val="none"/>
          <w:lang w:val="en-US" w:eastAsia="zh-CN"/>
        </w:rPr>
        <w:t>区</w:t>
      </w:r>
      <w:r>
        <w:rPr>
          <w:rFonts w:hint="eastAsia" w:cs="Times New Roman"/>
          <w:color w:val="auto"/>
          <w:szCs w:val="28"/>
          <w:highlight w:val="none"/>
          <w:lang w:val="en-US" w:eastAsia="zh-CN"/>
        </w:rPr>
        <w:t>等</w:t>
      </w:r>
      <w:r>
        <w:rPr>
          <w:rFonts w:hint="default" w:ascii="Times New Roman" w:hAnsi="Times New Roman" w:cs="Times New Roman"/>
          <w:color w:val="auto"/>
          <w:szCs w:val="28"/>
          <w:highlight w:val="none"/>
        </w:rPr>
        <w:t>。其中新建选矿设施布置于</w:t>
      </w:r>
      <w:r>
        <w:rPr>
          <w:rFonts w:hint="default" w:ascii="Times New Roman" w:hAnsi="Times New Roman" w:cs="Times New Roman"/>
          <w:color w:val="auto"/>
          <w:szCs w:val="28"/>
          <w:highlight w:val="none"/>
          <w:lang w:eastAsia="zh-CN"/>
        </w:rPr>
        <w:t>矿区南</w:t>
      </w:r>
      <w:r>
        <w:rPr>
          <w:rFonts w:hint="default" w:ascii="Times New Roman" w:hAnsi="Times New Roman" w:cs="Times New Roman"/>
          <w:color w:val="auto"/>
          <w:szCs w:val="28"/>
          <w:highlight w:val="none"/>
        </w:rPr>
        <w:t>侧；尾矿库位于</w:t>
      </w:r>
      <w:r>
        <w:rPr>
          <w:rFonts w:hint="default" w:ascii="Times New Roman" w:hAnsi="Times New Roman" w:cs="Times New Roman"/>
          <w:color w:val="auto"/>
          <w:szCs w:val="28"/>
          <w:highlight w:val="none"/>
          <w:lang w:eastAsia="zh-CN"/>
        </w:rPr>
        <w:t>选矿厂</w:t>
      </w:r>
      <w:r>
        <w:rPr>
          <w:rFonts w:hint="default" w:ascii="Times New Roman" w:hAnsi="Times New Roman" w:cs="Times New Roman"/>
          <w:color w:val="auto"/>
          <w:szCs w:val="28"/>
          <w:highlight w:val="none"/>
          <w:lang w:val="en-US" w:eastAsia="zh-CN"/>
        </w:rPr>
        <w:t>北</w:t>
      </w:r>
      <w:r>
        <w:rPr>
          <w:rFonts w:hint="default" w:ascii="Times New Roman" w:hAnsi="Times New Roman" w:cs="Times New Roman"/>
          <w:color w:val="auto"/>
          <w:szCs w:val="28"/>
          <w:highlight w:val="none"/>
        </w:rPr>
        <w:t>侧。</w:t>
      </w:r>
      <w:r>
        <w:rPr>
          <w:rFonts w:hint="eastAsia"/>
          <w:color w:val="auto"/>
          <w:highlight w:val="none"/>
          <w:lang w:val="en-US" w:eastAsia="zh-CN"/>
        </w:rPr>
        <w:t>本项目平面布置示意见图3.1-3。</w:t>
      </w:r>
    </w:p>
    <w:p w14:paraId="456F2EE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（1）选矿厂</w:t>
      </w:r>
    </w:p>
    <w:p w14:paraId="744EA1D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选矿厂位于矿山东南侧。选厂分为生产区、办公生活区，办公生活区布置在生产区西北侧约290m处，生产区和生活区分离。选矿工业场地设置在矿区东南侧，选矿厂包括破碎车间、中碎车间、粉矿仓、主厂房等建构筑物。</w:t>
      </w:r>
    </w:p>
    <w:p w14:paraId="68780DC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项目区当地主导风向为</w:t>
      </w:r>
      <w:r>
        <w:rPr>
          <w:rFonts w:hint="default" w:ascii="Times New Roman" w:hAnsi="Times New Roman" w:cs="Times New Roman"/>
          <w:color w:val="auto"/>
          <w:highlight w:val="none"/>
          <w:lang w:eastAsia="zh-CN"/>
        </w:rPr>
        <w:t>东北</w:t>
      </w:r>
      <w:r>
        <w:rPr>
          <w:rFonts w:hint="default" w:ascii="Times New Roman" w:hAnsi="Times New Roman" w:cs="Times New Roman"/>
          <w:color w:val="auto"/>
          <w:highlight w:val="none"/>
        </w:rPr>
        <w:t>风，选矿厂下风向无环境敏感目标，平面布置较合理。</w:t>
      </w:r>
    </w:p>
    <w:p w14:paraId="03722852">
      <w:pPr>
        <w:overflowPunct w:val="0"/>
        <w:topLinePunct/>
        <w:ind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（2）</w:t>
      </w:r>
      <w:r>
        <w:rPr>
          <w:rFonts w:hint="default" w:ascii="Times New Roman" w:hAnsi="Times New Roman" w:cs="Times New Roman"/>
          <w:color w:val="auto"/>
          <w:highlight w:val="none"/>
          <w:lang w:val="en-US" w:eastAsia="zh-CN"/>
        </w:rPr>
        <w:t>生活办公场地</w:t>
      </w:r>
    </w:p>
    <w:p w14:paraId="09A10085">
      <w:pPr>
        <w:overflowPunct w:val="0"/>
        <w:topLinePunct/>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生活办公场地设置在选矿厂工业场地的西北方向约290m处，设有办公楼、宿舍楼等行政福利设施，以满足员工基本生活需要。</w:t>
      </w:r>
    </w:p>
    <w:p w14:paraId="643D953A">
      <w:pPr>
        <w:overflowPunct w:val="0"/>
        <w:topLinePunct/>
        <w:ind w:firstLine="48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（3）锅炉房</w:t>
      </w:r>
    </w:p>
    <w:p w14:paraId="2AEC0A68">
      <w:pPr>
        <w:overflowPunct w:val="0"/>
        <w:topLinePunct/>
        <w:ind w:firstLine="48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在选矿厂东南侧</w:t>
      </w:r>
      <w:r>
        <w:rPr>
          <w:rFonts w:hint="eastAsia" w:cs="Times New Roman"/>
          <w:color w:val="auto"/>
          <w:highlight w:val="none"/>
          <w:lang w:val="en-US" w:eastAsia="zh-CN"/>
        </w:rPr>
        <w:t>200m处</w:t>
      </w:r>
      <w:r>
        <w:rPr>
          <w:rFonts w:hint="default" w:ascii="Times New Roman" w:hAnsi="Times New Roman" w:eastAsia="宋体" w:cs="Times New Roman"/>
          <w:color w:val="auto"/>
          <w:highlight w:val="none"/>
          <w:lang w:val="en-US" w:eastAsia="zh-CN"/>
        </w:rPr>
        <w:t>建设一座锅炉房</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锅炉房外供高温热水主要用于选矿厂生产建筑、辅助生活设施采暖用热</w:t>
      </w:r>
      <w:r>
        <w:rPr>
          <w:rFonts w:hint="eastAsia" w:cs="Times New Roman"/>
          <w:color w:val="auto"/>
          <w:highlight w:val="none"/>
          <w:lang w:val="en-US" w:eastAsia="zh-CN"/>
        </w:rPr>
        <w:t>。</w:t>
      </w:r>
    </w:p>
    <w:p w14:paraId="48DD117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cs="Times New Roman"/>
          <w:color w:val="auto"/>
          <w:highlight w:val="none"/>
          <w:lang w:val="en-US" w:eastAsia="zh-CN"/>
        </w:rPr>
        <w:t>4</w:t>
      </w:r>
      <w:r>
        <w:rPr>
          <w:rFonts w:hint="default" w:ascii="Times New Roman" w:hAnsi="Times New Roman" w:cs="Times New Roman"/>
          <w:color w:val="auto"/>
          <w:highlight w:val="none"/>
        </w:rPr>
        <w:t>）尾矿库</w:t>
      </w:r>
    </w:p>
    <w:p w14:paraId="23249751">
      <w:pPr>
        <w:overflowPunct w:val="0"/>
        <w:topLinePunct/>
        <w:ind w:firstLine="48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新疆嘉西矿业有限公司哈密市伊州区雅满苏镇M1033萤石选矿厂尾矿库为平地四面筑坝型尾矿库，总库容102万m</w:t>
      </w:r>
      <w:r>
        <w:rPr>
          <w:rFonts w:hint="default"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lang w:eastAsia="zh-CN"/>
        </w:rPr>
        <w:t>，总坝高16m，设计服务期为5.2年，尾矿库等别为四等，堆存方式采用湿式堆存，排放方式为库周放矿。地理坐标东经93°55′25.89″-93°55′52.93″，北纬41°12′9.18″-41°12′25.88″</w:t>
      </w:r>
      <w:r>
        <w:rPr>
          <w:rFonts w:hint="eastAsia" w:cs="Times New Roman"/>
          <w:color w:val="auto"/>
          <w:highlight w:val="none"/>
          <w:lang w:eastAsia="zh-CN"/>
        </w:rPr>
        <w:t>。</w:t>
      </w:r>
    </w:p>
    <w:p w14:paraId="490F0C5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尾矿坝采用一次建坝分期建设，坝型为碾压式土石坝，采用采矿废石筑坝。尾矿库设计分两期建设，分别为一期尾矿库和二期尾矿库。一期坝顶标高1180m，坝高9m，采用三面围筑的型式，形成全库容31万m</w:t>
      </w:r>
      <w:r>
        <w:rPr>
          <w:rFonts w:hint="default"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lang w:eastAsia="zh-CN"/>
        </w:rPr>
        <w:t>，可服务1.3年。二期坝尾矿坝在一期坝的基础上向下游加高7m，坝顶标高1187m，坝高16m，增加全库容71万m</w:t>
      </w:r>
      <w:r>
        <w:rPr>
          <w:rFonts w:hint="default" w:ascii="Times New Roman" w:hAnsi="Times New Roman" w:cs="Times New Roman"/>
          <w:color w:val="auto"/>
          <w:highlight w:val="none"/>
          <w:vertAlign w:val="superscript"/>
          <w:lang w:eastAsia="zh-CN"/>
        </w:rPr>
        <w:t>3</w:t>
      </w:r>
      <w:r>
        <w:rPr>
          <w:rFonts w:hint="default" w:ascii="Times New Roman" w:hAnsi="Times New Roman" w:cs="Times New Roman"/>
          <w:color w:val="auto"/>
          <w:highlight w:val="none"/>
          <w:lang w:eastAsia="zh-CN"/>
        </w:rPr>
        <w:t>，可服务3.9年。尾矿采用湿式排放，坝前排放方式。采用排洪方式为溢洪道。</w:t>
      </w:r>
    </w:p>
    <w:p w14:paraId="34415374">
      <w:pPr>
        <w:pStyle w:val="4"/>
        <w:rPr>
          <w:rFonts w:hint="default" w:ascii="Times New Roman" w:hAnsi="Times New Roman" w:cs="Times New Roman"/>
          <w:color w:val="auto"/>
          <w:highlight w:val="none"/>
        </w:rPr>
      </w:pPr>
      <w:bookmarkStart w:id="380" w:name="_Toc7124"/>
      <w:bookmarkStart w:id="381" w:name="_Toc19004"/>
      <w:bookmarkStart w:id="382" w:name="_Toc17509"/>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选址合理性分析</w:t>
      </w:r>
      <w:bookmarkEnd w:id="380"/>
      <w:bookmarkEnd w:id="381"/>
      <w:bookmarkEnd w:id="382"/>
    </w:p>
    <w:p w14:paraId="02448214">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.1选矿厂选址合理性分析</w:t>
      </w:r>
    </w:p>
    <w:p w14:paraId="77B7E89B">
      <w:pPr>
        <w:overflowPunct w:val="0"/>
        <w:topLinePunct/>
        <w:ind w:firstLine="48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rPr>
        <w:t>选矿厂选址</w:t>
      </w:r>
      <w:r>
        <w:rPr>
          <w:rFonts w:hint="eastAsia" w:cs="Times New Roman"/>
          <w:color w:val="auto"/>
          <w:szCs w:val="28"/>
          <w:highlight w:val="none"/>
          <w:lang w:val="en-US" w:eastAsia="zh-CN"/>
        </w:rPr>
        <w:t>位</w:t>
      </w:r>
      <w:r>
        <w:rPr>
          <w:rFonts w:hint="default" w:ascii="Times New Roman" w:hAnsi="Times New Roman" w:cs="Times New Roman"/>
          <w:color w:val="auto"/>
          <w:szCs w:val="28"/>
          <w:highlight w:val="none"/>
        </w:rPr>
        <w:t>于</w:t>
      </w:r>
      <w:r>
        <w:rPr>
          <w:rFonts w:hint="default" w:ascii="Times New Roman" w:hAnsi="Times New Roman" w:cs="Times New Roman"/>
          <w:color w:val="auto"/>
          <w:highlight w:val="none"/>
          <w:lang w:eastAsia="zh-CN"/>
        </w:rPr>
        <w:t>矿区南</w:t>
      </w:r>
      <w:r>
        <w:rPr>
          <w:rFonts w:hint="default" w:ascii="Times New Roman" w:hAnsi="Times New Roman" w:cs="Times New Roman"/>
          <w:color w:val="auto"/>
          <w:highlight w:val="none"/>
        </w:rPr>
        <w:t>侧，区域地势</w:t>
      </w:r>
      <w:r>
        <w:rPr>
          <w:rFonts w:hint="default" w:ascii="Times New Roman" w:hAnsi="Times New Roman" w:cs="Times New Roman"/>
          <w:color w:val="auto"/>
          <w:highlight w:val="none"/>
          <w:lang w:eastAsia="zh-CN"/>
        </w:rPr>
        <w:t>相对</w:t>
      </w:r>
      <w:r>
        <w:rPr>
          <w:rFonts w:hint="default" w:ascii="Times New Roman" w:hAnsi="Times New Roman" w:cs="Times New Roman"/>
          <w:color w:val="auto"/>
          <w:highlight w:val="none"/>
        </w:rPr>
        <w:t>平坦，占地性质为</w:t>
      </w:r>
      <w:r>
        <w:rPr>
          <w:rFonts w:hint="default" w:ascii="Times New Roman" w:hAnsi="Times New Roman" w:cs="Times New Roman"/>
          <w:color w:val="auto"/>
          <w:highlight w:val="none"/>
          <w:lang w:val="en-US" w:eastAsia="zh-CN"/>
        </w:rPr>
        <w:t>裸岩石砾地</w:t>
      </w:r>
      <w:r>
        <w:rPr>
          <w:rFonts w:hint="default" w:ascii="Times New Roman" w:hAnsi="Times New Roman" w:cs="Times New Roman"/>
          <w:color w:val="auto"/>
          <w:highlight w:val="none"/>
        </w:rPr>
        <w:t>，建设条件良好，不占用基本农田，不在自然保护区、世界自然遗产地、风景名胜区、森林公园、地质公园、重要湿地、饮用水水源保护区等重点保护区域内及其它法律法规禁止的区域，选址基本合理。</w:t>
      </w:r>
    </w:p>
    <w:p w14:paraId="5F1955A4">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尾矿库选址合理性分析</w:t>
      </w:r>
    </w:p>
    <w:p w14:paraId="0C4F2C97">
      <w:pPr>
        <w:overflowPunct w:val="0"/>
        <w:topLinePunct/>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1）</w:t>
      </w:r>
      <w:r>
        <w:rPr>
          <w:rFonts w:hint="eastAsia" w:cs="Times New Roman"/>
          <w:color w:val="auto"/>
          <w:sz w:val="24"/>
          <w:szCs w:val="24"/>
          <w:highlight w:val="none"/>
          <w:lang w:val="en-US" w:eastAsia="zh-CN"/>
        </w:rPr>
        <w:t>尾矿库建库</w:t>
      </w:r>
      <w:r>
        <w:rPr>
          <w:rFonts w:hint="default" w:ascii="Times New Roman" w:hAnsi="Times New Roman" w:eastAsia="宋体" w:cs="Times New Roman"/>
          <w:color w:val="auto"/>
          <w:sz w:val="24"/>
          <w:szCs w:val="24"/>
          <w:highlight w:val="none"/>
        </w:rPr>
        <w:t>比选方案</w:t>
      </w:r>
    </w:p>
    <w:p w14:paraId="78F36401">
      <w:pPr>
        <w:overflowPunct w:val="0"/>
        <w:topLinePunct/>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受制于用地区域的限制，在选矿厂周边有两个库址</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两种建设方案</w:t>
      </w:r>
      <w:r>
        <w:rPr>
          <w:rFonts w:hint="default" w:ascii="Times New Roman" w:hAnsi="Times New Roman" w:eastAsia="宋体" w:cs="Times New Roman"/>
          <w:color w:val="auto"/>
          <w:sz w:val="24"/>
          <w:szCs w:val="24"/>
          <w:highlight w:val="none"/>
        </w:rPr>
        <w:t>可供选择</w:t>
      </w:r>
      <w:r>
        <w:rPr>
          <w:rFonts w:hint="default" w:ascii="Times New Roman" w:hAnsi="Times New Roman" w:eastAsia="宋体" w:cs="Times New Roman"/>
          <w:color w:val="auto"/>
          <w:sz w:val="24"/>
          <w:szCs w:val="24"/>
          <w:highlight w:val="none"/>
          <w:lang w:eastAsia="zh-CN"/>
        </w:rPr>
        <w:t>：</w:t>
      </w:r>
    </w:p>
    <w:p w14:paraId="4E783BB1">
      <w:pPr>
        <w:overflowPunct w:val="0"/>
        <w:topLinePunct/>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1 \* GB3 \* MERGEFORMAT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①</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尾矿库选址方案一（库址一）</w:t>
      </w:r>
    </w:p>
    <w:p w14:paraId="127CB0FB">
      <w:pPr>
        <w:widowControl w:val="0"/>
        <w:spacing w:line="480" w:lineRule="exact"/>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尾矿库等别为四等，总坝高16m，总库容102万m</w:t>
      </w:r>
      <w:r>
        <w:rPr>
          <w:rFonts w:hint="default" w:ascii="Times New Roman" w:hAnsi="Times New Roman" w:eastAsia="宋体" w:cs="Times New Roman"/>
          <w:color w:val="auto"/>
          <w:kern w:val="0"/>
          <w:sz w:val="24"/>
          <w:szCs w:val="24"/>
          <w:highlight w:val="none"/>
          <w:vertAlign w:val="superscript"/>
          <w:lang w:val="en-US" w:eastAsia="zh-CN" w:bidi="ar-SA"/>
        </w:rPr>
        <w:t>3</w:t>
      </w:r>
      <w:r>
        <w:rPr>
          <w:rFonts w:hint="default" w:ascii="Times New Roman" w:hAnsi="Times New Roman" w:eastAsia="宋体" w:cs="Times New Roman"/>
          <w:color w:val="auto"/>
          <w:kern w:val="0"/>
          <w:sz w:val="24"/>
          <w:szCs w:val="24"/>
          <w:highlight w:val="none"/>
          <w:lang w:val="en-US" w:eastAsia="zh-CN" w:bidi="ar-SA"/>
        </w:rPr>
        <w:t>，可服务5.2年。尾矿库占地面积249亩（不含道路）。堆存方式为湿式堆存，放矿方式采用四周放矿。</w:t>
      </w:r>
    </w:p>
    <w:p w14:paraId="549E48C0">
      <w:pPr>
        <w:widowControl w:val="0"/>
        <w:spacing w:line="480" w:lineRule="exact"/>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尾矿坝采用一次建坝分期建设及使用。</w:t>
      </w:r>
    </w:p>
    <w:p w14:paraId="5759D719">
      <w:pPr>
        <w:widowControl w:val="0"/>
        <w:spacing w:line="480" w:lineRule="exact"/>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一期库区坝顶标高1180.0m，坝高9m，全库容3万m</w:t>
      </w:r>
      <w:r>
        <w:rPr>
          <w:rFonts w:hint="default" w:ascii="Times New Roman" w:hAnsi="Times New Roman" w:eastAsia="宋体" w:cs="Times New Roman"/>
          <w:color w:val="auto"/>
          <w:kern w:val="0"/>
          <w:sz w:val="24"/>
          <w:szCs w:val="24"/>
          <w:highlight w:val="none"/>
          <w:vertAlign w:val="superscript"/>
          <w:lang w:val="en-US" w:eastAsia="zh-CN" w:bidi="ar-SA"/>
        </w:rPr>
        <w:t>3</w:t>
      </w:r>
      <w:r>
        <w:rPr>
          <w:rFonts w:hint="default" w:ascii="Times New Roman" w:hAnsi="Times New Roman" w:eastAsia="宋体" w:cs="Times New Roman"/>
          <w:color w:val="auto"/>
          <w:kern w:val="0"/>
          <w:sz w:val="24"/>
          <w:szCs w:val="24"/>
          <w:highlight w:val="none"/>
          <w:lang w:val="en-US" w:eastAsia="zh-CN" w:bidi="ar-SA"/>
        </w:rPr>
        <w:t>，可服务1.3年，筑坝土石方量约10.5万m</w:t>
      </w:r>
      <w:r>
        <w:rPr>
          <w:rFonts w:hint="default" w:ascii="Times New Roman" w:hAnsi="Times New Roman" w:eastAsia="宋体" w:cs="Times New Roman"/>
          <w:color w:val="auto"/>
          <w:kern w:val="0"/>
          <w:sz w:val="24"/>
          <w:szCs w:val="24"/>
          <w:highlight w:val="none"/>
          <w:vertAlign w:val="superscript"/>
          <w:lang w:val="en-US" w:eastAsia="zh-CN" w:bidi="ar-SA"/>
        </w:rPr>
        <w:t>3</w:t>
      </w:r>
      <w:r>
        <w:rPr>
          <w:rFonts w:hint="default" w:ascii="Times New Roman" w:hAnsi="Times New Roman" w:eastAsia="宋体" w:cs="Times New Roman"/>
          <w:color w:val="auto"/>
          <w:kern w:val="0"/>
          <w:sz w:val="24"/>
          <w:szCs w:val="24"/>
          <w:highlight w:val="none"/>
          <w:lang w:val="en-US" w:eastAsia="zh-CN" w:bidi="ar-SA"/>
        </w:rPr>
        <w:t>，采用采矿废石筑坝。</w:t>
      </w:r>
    </w:p>
    <w:p w14:paraId="2C9DC2C2">
      <w:pPr>
        <w:widowControl w:val="0"/>
        <w:spacing w:line="480" w:lineRule="exact"/>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二期库区坝顶标高1187.0m，坝高16m，增加全库容71万m</w:t>
      </w:r>
      <w:r>
        <w:rPr>
          <w:rFonts w:hint="default" w:ascii="Times New Roman" w:hAnsi="Times New Roman" w:eastAsia="宋体" w:cs="Times New Roman"/>
          <w:color w:val="auto"/>
          <w:kern w:val="0"/>
          <w:sz w:val="24"/>
          <w:szCs w:val="24"/>
          <w:highlight w:val="none"/>
          <w:vertAlign w:val="superscript"/>
          <w:lang w:val="en-US" w:eastAsia="zh-CN" w:bidi="ar-SA"/>
        </w:rPr>
        <w:t>3</w:t>
      </w:r>
      <w:r>
        <w:rPr>
          <w:rFonts w:hint="default" w:ascii="Times New Roman" w:hAnsi="Times New Roman" w:eastAsia="宋体" w:cs="Times New Roman"/>
          <w:color w:val="auto"/>
          <w:kern w:val="0"/>
          <w:sz w:val="24"/>
          <w:szCs w:val="24"/>
          <w:highlight w:val="none"/>
          <w:lang w:val="en-US" w:eastAsia="zh-CN" w:bidi="ar-SA"/>
        </w:rPr>
        <w:t>，可服务3.9年，筑坝土石方量约39万m</w:t>
      </w:r>
      <w:r>
        <w:rPr>
          <w:rFonts w:hint="default" w:ascii="Times New Roman" w:hAnsi="Times New Roman" w:eastAsia="宋体" w:cs="Times New Roman"/>
          <w:color w:val="auto"/>
          <w:kern w:val="0"/>
          <w:sz w:val="24"/>
          <w:szCs w:val="24"/>
          <w:highlight w:val="none"/>
          <w:vertAlign w:val="superscript"/>
          <w:lang w:val="en-US" w:eastAsia="zh-CN" w:bidi="ar-SA"/>
        </w:rPr>
        <w:t>3</w:t>
      </w:r>
      <w:r>
        <w:rPr>
          <w:rFonts w:hint="default" w:ascii="Times New Roman" w:hAnsi="Times New Roman" w:eastAsia="宋体" w:cs="Times New Roman"/>
          <w:color w:val="auto"/>
          <w:kern w:val="0"/>
          <w:sz w:val="24"/>
          <w:szCs w:val="24"/>
          <w:highlight w:val="none"/>
          <w:lang w:val="en-US" w:eastAsia="zh-CN" w:bidi="ar-SA"/>
        </w:rPr>
        <w:t>，采用采矿废石筑坝。</w:t>
      </w:r>
    </w:p>
    <w:p w14:paraId="3B455CCD">
      <w:pPr>
        <w:widowControl w:val="0"/>
        <w:spacing w:line="480" w:lineRule="exact"/>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一、二期分别设置溢洪道排洪。</w:t>
      </w:r>
    </w:p>
    <w:p w14:paraId="58565874">
      <w:pPr>
        <w:overflowPunct w:val="0"/>
        <w:topLinePunct/>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SA"/>
        </w:rPr>
        <w:t>尾矿库全库区防渗，主防渗层采用1.0mm厚HDPE膜，防渗面积8.66hm</w:t>
      </w:r>
      <w:r>
        <w:rPr>
          <w:rFonts w:hint="default" w:ascii="Times New Roman" w:hAnsi="Times New Roman" w:eastAsia="宋体" w:cs="Times New Roman"/>
          <w:color w:val="auto"/>
          <w:kern w:val="0"/>
          <w:sz w:val="24"/>
          <w:szCs w:val="24"/>
          <w:highlight w:val="none"/>
          <w:vertAlign w:val="superscript"/>
          <w:lang w:val="en-US" w:eastAsia="zh-CN" w:bidi="ar-SA"/>
        </w:rPr>
        <w:t>2</w:t>
      </w:r>
      <w:r>
        <w:rPr>
          <w:rFonts w:hint="default" w:ascii="Times New Roman" w:hAnsi="Times New Roman" w:eastAsia="宋体" w:cs="Times New Roman"/>
          <w:color w:val="auto"/>
          <w:kern w:val="0"/>
          <w:sz w:val="24"/>
          <w:szCs w:val="24"/>
          <w:highlight w:val="none"/>
          <w:lang w:val="en-US" w:eastAsia="zh-CN" w:bidi="ar-SA"/>
        </w:rPr>
        <w:t>，其中一期7.6万m</w:t>
      </w:r>
      <w:r>
        <w:rPr>
          <w:rFonts w:hint="default" w:ascii="Times New Roman" w:hAnsi="Times New Roman" w:eastAsia="宋体" w:cs="Times New Roman"/>
          <w:color w:val="auto"/>
          <w:kern w:val="0"/>
          <w:sz w:val="24"/>
          <w:szCs w:val="24"/>
          <w:highlight w:val="none"/>
          <w:vertAlign w:val="superscript"/>
          <w:lang w:val="en-US" w:eastAsia="zh-CN" w:bidi="ar-SA"/>
        </w:rPr>
        <w:t>2</w:t>
      </w:r>
      <w:r>
        <w:rPr>
          <w:rFonts w:hint="default" w:ascii="Times New Roman" w:hAnsi="Times New Roman" w:eastAsia="宋体" w:cs="Times New Roman"/>
          <w:color w:val="auto"/>
          <w:kern w:val="0"/>
          <w:sz w:val="24"/>
          <w:szCs w:val="24"/>
          <w:highlight w:val="none"/>
          <w:lang w:val="en-US" w:eastAsia="zh-CN" w:bidi="ar-SA"/>
        </w:rPr>
        <w:t>，二期1.6万m</w:t>
      </w:r>
      <w:r>
        <w:rPr>
          <w:rFonts w:hint="default" w:ascii="Times New Roman" w:hAnsi="Times New Roman" w:eastAsia="宋体" w:cs="Times New Roman"/>
          <w:color w:val="auto"/>
          <w:kern w:val="0"/>
          <w:sz w:val="24"/>
          <w:szCs w:val="24"/>
          <w:highlight w:val="none"/>
          <w:vertAlign w:val="superscript"/>
          <w:lang w:val="en-US" w:eastAsia="zh-CN" w:bidi="ar-SA"/>
        </w:rPr>
        <w:t>2</w:t>
      </w:r>
      <w:r>
        <w:rPr>
          <w:rFonts w:hint="default" w:ascii="Times New Roman" w:hAnsi="Times New Roman" w:eastAsia="宋体" w:cs="Times New Roman"/>
          <w:color w:val="auto"/>
          <w:kern w:val="0"/>
          <w:sz w:val="24"/>
          <w:szCs w:val="24"/>
          <w:highlight w:val="none"/>
          <w:lang w:val="en-US" w:eastAsia="zh-CN" w:bidi="ar-SA"/>
        </w:rPr>
        <w:t>。</w:t>
      </w:r>
    </w:p>
    <w:p w14:paraId="7B2232D3">
      <w:pPr>
        <w:keepNext w:val="0"/>
        <w:keepLines w:val="0"/>
        <w:pageBreakBefore w:val="0"/>
        <w:widowControl w:val="0"/>
        <w:kinsoku/>
        <w:wordWrap/>
        <w:overflowPunct w:val="0"/>
        <w:topLinePunct/>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highlight w:val="none"/>
        </w:rPr>
        <w:drawing>
          <wp:inline distT="0" distB="0" distL="114300" distR="114300">
            <wp:extent cx="5201285" cy="3563620"/>
            <wp:effectExtent l="0" t="0" r="18415" b="177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a:stretch>
                      <a:fillRect/>
                    </a:stretch>
                  </pic:blipFill>
                  <pic:spPr>
                    <a:xfrm>
                      <a:off x="0" y="0"/>
                      <a:ext cx="5201285" cy="3563620"/>
                    </a:xfrm>
                    <a:prstGeom prst="rect">
                      <a:avLst/>
                    </a:prstGeom>
                    <a:noFill/>
                    <a:ln>
                      <a:noFill/>
                    </a:ln>
                  </pic:spPr>
                </pic:pic>
              </a:graphicData>
            </a:graphic>
          </wp:inline>
        </w:drawing>
      </w:r>
    </w:p>
    <w:p w14:paraId="58D8FF3E">
      <w:pPr>
        <w:ind w:firstLine="0" w:firstLineChars="0"/>
        <w:jc w:val="center"/>
        <w:rPr>
          <w:rFonts w:hint="default" w:ascii="Times New Roman" w:hAnsi="Times New Roman" w:eastAsia="宋体" w:cs="Times New Roman"/>
          <w:b/>
          <w:bCs/>
          <w:color w:val="auto"/>
          <w:szCs w:val="28"/>
          <w:highlight w:val="none"/>
        </w:rPr>
      </w:pPr>
      <w:r>
        <w:rPr>
          <w:rFonts w:hint="default" w:ascii="Times New Roman" w:hAnsi="Times New Roman" w:eastAsia="宋体" w:cs="Times New Roman"/>
          <w:b/>
          <w:bCs/>
          <w:color w:val="auto"/>
          <w:szCs w:val="28"/>
          <w:highlight w:val="none"/>
        </w:rPr>
        <w:t>图3.</w:t>
      </w:r>
      <w:r>
        <w:rPr>
          <w:rFonts w:hint="default" w:ascii="Times New Roman" w:hAnsi="Times New Roman" w:eastAsia="宋体" w:cs="Times New Roman"/>
          <w:b/>
          <w:bCs/>
          <w:color w:val="auto"/>
          <w:szCs w:val="28"/>
          <w:highlight w:val="none"/>
          <w:lang w:val="en-US" w:eastAsia="zh-CN"/>
        </w:rPr>
        <w:t>1</w:t>
      </w:r>
      <w:r>
        <w:rPr>
          <w:rFonts w:hint="default" w:ascii="Times New Roman" w:hAnsi="Times New Roman" w:eastAsia="宋体" w:cs="Times New Roman"/>
          <w:b/>
          <w:bCs/>
          <w:color w:val="auto"/>
          <w:szCs w:val="28"/>
          <w:highlight w:val="none"/>
        </w:rPr>
        <w:t>-</w:t>
      </w:r>
      <w:r>
        <w:rPr>
          <w:rFonts w:hint="default" w:ascii="Times New Roman" w:hAnsi="Times New Roman" w:eastAsia="宋体" w:cs="Times New Roman"/>
          <w:b/>
          <w:bCs/>
          <w:color w:val="auto"/>
          <w:szCs w:val="28"/>
          <w:highlight w:val="none"/>
          <w:lang w:val="en-US" w:eastAsia="zh-CN"/>
        </w:rPr>
        <w:t>5</w:t>
      </w:r>
      <w:r>
        <w:rPr>
          <w:rFonts w:hint="default" w:ascii="Times New Roman" w:hAnsi="Times New Roman" w:eastAsia="宋体" w:cs="Times New Roman"/>
          <w:b/>
          <w:bCs/>
          <w:color w:val="auto"/>
          <w:szCs w:val="28"/>
          <w:highlight w:val="none"/>
        </w:rPr>
        <w:t xml:space="preserve">    尾矿库分区建库方案</w:t>
      </w:r>
    </w:p>
    <w:p w14:paraId="6D4244DB">
      <w:pPr>
        <w:overflowPunct w:val="0"/>
        <w:topLinePunct/>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2 \* GB3 \* MERGEFORMAT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②</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尾矿库选址方案二（库址二）</w:t>
      </w:r>
    </w:p>
    <w:p w14:paraId="419ECCA8">
      <w:pPr>
        <w:widowControl w:val="0"/>
        <w:spacing w:line="480" w:lineRule="exact"/>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尾矿库等别为四等，坝高15m，坝顶标高1185m，总库容117.0万m</w:t>
      </w:r>
      <w:r>
        <w:rPr>
          <w:rFonts w:hint="default" w:ascii="Times New Roman" w:hAnsi="Times New Roman" w:eastAsia="宋体" w:cs="Times New Roman"/>
          <w:color w:val="auto"/>
          <w:kern w:val="0"/>
          <w:sz w:val="24"/>
          <w:szCs w:val="24"/>
          <w:highlight w:val="none"/>
          <w:vertAlign w:val="superscript"/>
          <w:lang w:val="en-US" w:eastAsia="zh-CN" w:bidi="ar-SA"/>
        </w:rPr>
        <w:t>3</w:t>
      </w:r>
      <w:r>
        <w:rPr>
          <w:rFonts w:hint="default" w:ascii="Times New Roman" w:hAnsi="Times New Roman" w:eastAsia="宋体" w:cs="Times New Roman"/>
          <w:color w:val="auto"/>
          <w:kern w:val="0"/>
          <w:sz w:val="24"/>
          <w:szCs w:val="24"/>
          <w:highlight w:val="none"/>
          <w:lang w:val="en-US" w:eastAsia="zh-CN" w:bidi="ar-SA"/>
        </w:rPr>
        <w:t>，可服务5.2年。尾矿库占地面积237亩（不含道路）。堆存方式为湿式堆存，放矿方式采用四周放矿。</w:t>
      </w:r>
    </w:p>
    <w:p w14:paraId="041E22F3">
      <w:pPr>
        <w:widowControl w:val="0"/>
        <w:spacing w:line="480" w:lineRule="exact"/>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尾矿坝采用土石料一次建坝分两期建设。</w:t>
      </w:r>
    </w:p>
    <w:p w14:paraId="132F768F">
      <w:pPr>
        <w:widowControl w:val="0"/>
        <w:spacing w:line="480" w:lineRule="exact"/>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一期坝顶标高1180m，坝高10m，全库容68.5万m</w:t>
      </w:r>
      <w:r>
        <w:rPr>
          <w:rFonts w:hint="default" w:ascii="Times New Roman" w:hAnsi="Times New Roman" w:eastAsia="宋体" w:cs="Times New Roman"/>
          <w:color w:val="auto"/>
          <w:kern w:val="0"/>
          <w:sz w:val="24"/>
          <w:szCs w:val="24"/>
          <w:highlight w:val="none"/>
          <w:vertAlign w:val="superscript"/>
          <w:lang w:val="en-US" w:eastAsia="zh-CN" w:bidi="ar-SA"/>
        </w:rPr>
        <w:t>3</w:t>
      </w:r>
      <w:r>
        <w:rPr>
          <w:rFonts w:hint="default" w:ascii="Times New Roman" w:hAnsi="Times New Roman" w:eastAsia="宋体" w:cs="Times New Roman"/>
          <w:color w:val="auto"/>
          <w:kern w:val="0"/>
          <w:sz w:val="24"/>
          <w:szCs w:val="24"/>
          <w:highlight w:val="none"/>
          <w:lang w:val="en-US" w:eastAsia="zh-CN" w:bidi="ar-SA"/>
        </w:rPr>
        <w:t>，可服务3.0年，筑坝土石方量约28.2万m</w:t>
      </w:r>
      <w:r>
        <w:rPr>
          <w:rFonts w:hint="default" w:ascii="Times New Roman" w:hAnsi="Times New Roman" w:eastAsia="宋体" w:cs="Times New Roman"/>
          <w:color w:val="auto"/>
          <w:kern w:val="0"/>
          <w:sz w:val="24"/>
          <w:szCs w:val="24"/>
          <w:highlight w:val="none"/>
          <w:vertAlign w:val="superscript"/>
          <w:lang w:val="en-US" w:eastAsia="zh-CN" w:bidi="ar-SA"/>
        </w:rPr>
        <w:t>3</w:t>
      </w:r>
      <w:r>
        <w:rPr>
          <w:rFonts w:hint="default" w:ascii="Times New Roman" w:hAnsi="Times New Roman" w:eastAsia="宋体" w:cs="Times New Roman"/>
          <w:color w:val="auto"/>
          <w:kern w:val="0"/>
          <w:sz w:val="24"/>
          <w:szCs w:val="24"/>
          <w:highlight w:val="none"/>
          <w:lang w:val="en-US" w:eastAsia="zh-CN" w:bidi="ar-SA"/>
        </w:rPr>
        <w:t>，其中库内取土20.4万m</w:t>
      </w:r>
      <w:r>
        <w:rPr>
          <w:rFonts w:hint="default" w:ascii="Times New Roman" w:hAnsi="Times New Roman" w:eastAsia="宋体" w:cs="Times New Roman"/>
          <w:color w:val="auto"/>
          <w:kern w:val="0"/>
          <w:sz w:val="24"/>
          <w:szCs w:val="24"/>
          <w:highlight w:val="none"/>
          <w:vertAlign w:val="superscript"/>
          <w:lang w:val="en-US" w:eastAsia="zh-CN" w:bidi="ar-SA"/>
        </w:rPr>
        <w:t>3</w:t>
      </w:r>
      <w:r>
        <w:rPr>
          <w:rFonts w:hint="default" w:ascii="Times New Roman" w:hAnsi="Times New Roman" w:eastAsia="宋体" w:cs="Times New Roman"/>
          <w:color w:val="auto"/>
          <w:kern w:val="0"/>
          <w:sz w:val="24"/>
          <w:szCs w:val="24"/>
          <w:highlight w:val="none"/>
          <w:lang w:val="en-US" w:eastAsia="zh-CN" w:bidi="ar-SA"/>
        </w:rPr>
        <w:t>，（挖深3m），其余采用</w:t>
      </w:r>
      <w:bookmarkStart w:id="383" w:name="OLE_LINK12"/>
      <w:r>
        <w:rPr>
          <w:rFonts w:hint="default" w:ascii="Times New Roman" w:hAnsi="Times New Roman" w:eastAsia="宋体" w:cs="Times New Roman"/>
          <w:color w:val="auto"/>
          <w:kern w:val="0"/>
          <w:sz w:val="24"/>
          <w:szCs w:val="24"/>
          <w:highlight w:val="none"/>
          <w:lang w:val="en-US" w:eastAsia="zh-CN" w:bidi="ar-SA"/>
        </w:rPr>
        <w:t>采矿废石</w:t>
      </w:r>
      <w:bookmarkEnd w:id="383"/>
      <w:r>
        <w:rPr>
          <w:rFonts w:hint="default" w:ascii="Times New Roman" w:hAnsi="Times New Roman" w:eastAsia="宋体" w:cs="Times New Roman"/>
          <w:color w:val="auto"/>
          <w:kern w:val="0"/>
          <w:sz w:val="24"/>
          <w:szCs w:val="24"/>
          <w:highlight w:val="none"/>
          <w:lang w:val="en-US" w:eastAsia="zh-CN" w:bidi="ar-SA"/>
        </w:rPr>
        <w:t>筑坝。</w:t>
      </w:r>
    </w:p>
    <w:p w14:paraId="1EE3FADB">
      <w:pPr>
        <w:widowControl w:val="0"/>
        <w:spacing w:line="480" w:lineRule="exact"/>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二期尾矿坝在一期坝的基础上向下游加高5m，坝顶标高1185m，坝高15m，增加全库容48.5万m</w:t>
      </w:r>
      <w:r>
        <w:rPr>
          <w:rFonts w:hint="default" w:ascii="Times New Roman" w:hAnsi="Times New Roman" w:eastAsia="宋体" w:cs="Times New Roman"/>
          <w:color w:val="auto"/>
          <w:kern w:val="0"/>
          <w:sz w:val="24"/>
          <w:szCs w:val="24"/>
          <w:highlight w:val="none"/>
          <w:vertAlign w:val="superscript"/>
          <w:lang w:val="en-US" w:eastAsia="zh-CN" w:bidi="ar-SA"/>
        </w:rPr>
        <w:t>3</w:t>
      </w:r>
      <w:r>
        <w:rPr>
          <w:rFonts w:hint="default" w:ascii="Times New Roman" w:hAnsi="Times New Roman" w:eastAsia="宋体" w:cs="Times New Roman"/>
          <w:color w:val="auto"/>
          <w:kern w:val="0"/>
          <w:sz w:val="24"/>
          <w:szCs w:val="24"/>
          <w:highlight w:val="none"/>
          <w:lang w:val="en-US" w:eastAsia="zh-CN" w:bidi="ar-SA"/>
        </w:rPr>
        <w:t>，可服务2.2年，筑坝土石方量约40.5万m</w:t>
      </w:r>
      <w:r>
        <w:rPr>
          <w:rFonts w:hint="default" w:ascii="Times New Roman" w:hAnsi="Times New Roman" w:eastAsia="宋体" w:cs="Times New Roman"/>
          <w:color w:val="auto"/>
          <w:kern w:val="0"/>
          <w:sz w:val="24"/>
          <w:szCs w:val="24"/>
          <w:highlight w:val="none"/>
          <w:vertAlign w:val="superscript"/>
          <w:lang w:val="en-US" w:eastAsia="zh-CN" w:bidi="ar-SA"/>
        </w:rPr>
        <w:t>3</w:t>
      </w:r>
      <w:r>
        <w:rPr>
          <w:rFonts w:hint="default" w:ascii="Times New Roman" w:hAnsi="Times New Roman" w:eastAsia="宋体" w:cs="Times New Roman"/>
          <w:color w:val="auto"/>
          <w:kern w:val="0"/>
          <w:sz w:val="24"/>
          <w:szCs w:val="24"/>
          <w:highlight w:val="none"/>
          <w:lang w:val="en-US" w:eastAsia="zh-CN" w:bidi="ar-SA"/>
        </w:rPr>
        <w:t>，采用采矿废石筑坝。</w:t>
      </w:r>
    </w:p>
    <w:p w14:paraId="2B1B7229">
      <w:pPr>
        <w:widowControl w:val="0"/>
        <w:spacing w:line="480" w:lineRule="exact"/>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排洪设施为溢洪道，布置在库区北侧。</w:t>
      </w:r>
    </w:p>
    <w:p w14:paraId="56F75720">
      <w:pPr>
        <w:widowControl w:val="0"/>
        <w:spacing w:line="480" w:lineRule="exact"/>
        <w:ind w:firstLine="480" w:firstLineChars="200"/>
        <w:jc w:val="both"/>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尾矿库全库区防渗，主防渗层采用1.5mm厚HDPE膜，防渗面积约10.9万m</w:t>
      </w:r>
      <w:r>
        <w:rPr>
          <w:rFonts w:hint="default" w:ascii="Times New Roman" w:hAnsi="Times New Roman" w:eastAsia="宋体" w:cs="Times New Roman"/>
          <w:color w:val="auto"/>
          <w:kern w:val="0"/>
          <w:sz w:val="24"/>
          <w:szCs w:val="24"/>
          <w:highlight w:val="none"/>
          <w:vertAlign w:val="superscript"/>
          <w:lang w:val="en-US" w:eastAsia="zh-CN" w:bidi="ar-SA"/>
        </w:rPr>
        <w:t>2</w:t>
      </w:r>
      <w:r>
        <w:rPr>
          <w:rFonts w:hint="default" w:ascii="Times New Roman" w:hAnsi="Times New Roman" w:eastAsia="宋体" w:cs="Times New Roman"/>
          <w:color w:val="auto"/>
          <w:kern w:val="0"/>
          <w:sz w:val="24"/>
          <w:szCs w:val="24"/>
          <w:highlight w:val="none"/>
          <w:lang w:val="en-US" w:eastAsia="zh-CN" w:bidi="ar-SA"/>
        </w:rPr>
        <w:t>。</w:t>
      </w:r>
    </w:p>
    <w:p w14:paraId="01FC977B">
      <w:pPr>
        <w:keepNext w:val="0"/>
        <w:keepLines w:val="0"/>
        <w:pageBreakBefore w:val="0"/>
        <w:widowControl w:val="0"/>
        <w:kinsoku/>
        <w:wordWrap/>
        <w:overflowPunct w:val="0"/>
        <w:topLinePunct/>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highlight w:val="none"/>
        </w:rPr>
        <w:drawing>
          <wp:inline distT="0" distB="0" distL="0" distR="0">
            <wp:extent cx="4622165" cy="3697605"/>
            <wp:effectExtent l="0" t="0" r="6985" b="17145"/>
            <wp:docPr id="13776760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676092"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622165" cy="3697605"/>
                    </a:xfrm>
                    <a:prstGeom prst="rect">
                      <a:avLst/>
                    </a:prstGeom>
                    <a:noFill/>
                    <a:ln>
                      <a:noFill/>
                    </a:ln>
                  </pic:spPr>
                </pic:pic>
              </a:graphicData>
            </a:graphic>
          </wp:inline>
        </w:drawing>
      </w:r>
    </w:p>
    <w:p w14:paraId="6D7D0E1F">
      <w:pPr>
        <w:ind w:firstLine="0" w:firstLineChars="0"/>
        <w:jc w:val="center"/>
        <w:rPr>
          <w:rFonts w:hint="default" w:ascii="Times New Roman" w:hAnsi="Times New Roman" w:eastAsia="宋体" w:cs="Times New Roman"/>
          <w:b/>
          <w:bCs/>
          <w:color w:val="auto"/>
          <w:szCs w:val="28"/>
          <w:highlight w:val="none"/>
        </w:rPr>
      </w:pPr>
      <w:r>
        <w:rPr>
          <w:rFonts w:hint="default" w:ascii="Times New Roman" w:hAnsi="Times New Roman" w:eastAsia="宋体" w:cs="Times New Roman"/>
          <w:b/>
          <w:bCs/>
          <w:color w:val="auto"/>
          <w:szCs w:val="28"/>
          <w:highlight w:val="none"/>
        </w:rPr>
        <w:t>图3.</w:t>
      </w:r>
      <w:r>
        <w:rPr>
          <w:rFonts w:hint="default" w:ascii="Times New Roman" w:hAnsi="Times New Roman" w:eastAsia="宋体" w:cs="Times New Roman"/>
          <w:b/>
          <w:bCs/>
          <w:color w:val="auto"/>
          <w:szCs w:val="28"/>
          <w:highlight w:val="none"/>
          <w:lang w:val="en-US" w:eastAsia="zh-CN"/>
        </w:rPr>
        <w:t>1</w:t>
      </w:r>
      <w:r>
        <w:rPr>
          <w:rFonts w:hint="default" w:ascii="Times New Roman" w:hAnsi="Times New Roman" w:eastAsia="宋体" w:cs="Times New Roman"/>
          <w:b/>
          <w:bCs/>
          <w:color w:val="auto"/>
          <w:szCs w:val="28"/>
          <w:highlight w:val="none"/>
        </w:rPr>
        <w:t>-</w:t>
      </w:r>
      <w:r>
        <w:rPr>
          <w:rFonts w:hint="default" w:ascii="Times New Roman" w:hAnsi="Times New Roman" w:eastAsia="宋体" w:cs="Times New Roman"/>
          <w:b/>
          <w:bCs/>
          <w:color w:val="auto"/>
          <w:szCs w:val="28"/>
          <w:highlight w:val="none"/>
          <w:lang w:val="en-US" w:eastAsia="zh-CN"/>
        </w:rPr>
        <w:t>6</w:t>
      </w:r>
      <w:r>
        <w:rPr>
          <w:rFonts w:hint="default" w:ascii="Times New Roman" w:hAnsi="Times New Roman" w:eastAsia="宋体" w:cs="Times New Roman"/>
          <w:b/>
          <w:bCs/>
          <w:color w:val="auto"/>
          <w:szCs w:val="28"/>
          <w:highlight w:val="none"/>
        </w:rPr>
        <w:t xml:space="preserve">    不分区建库方案</w:t>
      </w:r>
    </w:p>
    <w:p w14:paraId="5D16B4D9">
      <w:pPr>
        <w:ind w:firstLine="480"/>
        <w:rPr>
          <w:rFonts w:hint="default" w:ascii="Times New Roman" w:hAnsi="Times New Roman" w:eastAsia="宋体" w:cs="Times New Roman"/>
          <w:color w:val="auto"/>
          <w:szCs w:val="28"/>
          <w:highlight w:val="none"/>
        </w:rPr>
      </w:pPr>
      <w:r>
        <w:rPr>
          <w:rFonts w:hint="default" w:ascii="Times New Roman" w:hAnsi="Times New Roman" w:eastAsia="宋体" w:cs="Times New Roman"/>
          <w:color w:val="auto"/>
          <w:szCs w:val="28"/>
          <w:highlight w:val="none"/>
        </w:rPr>
        <w:t>尾矿库</w:t>
      </w:r>
      <w:r>
        <w:rPr>
          <w:rFonts w:hint="eastAsia" w:cs="Times New Roman"/>
          <w:color w:val="auto"/>
          <w:szCs w:val="28"/>
          <w:highlight w:val="none"/>
          <w:lang w:val="en-US" w:eastAsia="zh-CN"/>
        </w:rPr>
        <w:t>建库</w:t>
      </w:r>
      <w:r>
        <w:rPr>
          <w:rFonts w:hint="default" w:ascii="Times New Roman" w:hAnsi="Times New Roman" w:eastAsia="宋体" w:cs="Times New Roman"/>
          <w:color w:val="auto"/>
          <w:szCs w:val="28"/>
          <w:highlight w:val="none"/>
        </w:rPr>
        <w:t>方案比选情况见表3.</w:t>
      </w:r>
      <w:r>
        <w:rPr>
          <w:rFonts w:hint="default" w:ascii="Times New Roman" w:hAnsi="Times New Roman" w:eastAsia="宋体" w:cs="Times New Roman"/>
          <w:color w:val="auto"/>
          <w:szCs w:val="28"/>
          <w:highlight w:val="none"/>
          <w:lang w:val="en-US" w:eastAsia="zh-CN"/>
        </w:rPr>
        <w:t>1</w:t>
      </w:r>
      <w:r>
        <w:rPr>
          <w:rFonts w:hint="default" w:ascii="Times New Roman" w:hAnsi="Times New Roman" w:eastAsia="宋体" w:cs="Times New Roman"/>
          <w:color w:val="auto"/>
          <w:szCs w:val="28"/>
          <w:highlight w:val="none"/>
        </w:rPr>
        <w:t>-</w:t>
      </w:r>
      <w:r>
        <w:rPr>
          <w:rFonts w:hint="default" w:ascii="Times New Roman" w:hAnsi="Times New Roman" w:eastAsia="宋体" w:cs="Times New Roman"/>
          <w:color w:val="auto"/>
          <w:szCs w:val="28"/>
          <w:highlight w:val="none"/>
          <w:lang w:val="en-US" w:eastAsia="zh-CN"/>
        </w:rPr>
        <w:t>13</w:t>
      </w:r>
      <w:r>
        <w:rPr>
          <w:rFonts w:hint="default" w:ascii="Times New Roman" w:hAnsi="Times New Roman" w:eastAsia="宋体" w:cs="Times New Roman"/>
          <w:color w:val="auto"/>
          <w:szCs w:val="28"/>
          <w:highlight w:val="none"/>
        </w:rPr>
        <w:t>。</w:t>
      </w:r>
    </w:p>
    <w:p w14:paraId="6B2B38F5">
      <w:pPr>
        <w:ind w:firstLine="0" w:firstLineChars="0"/>
        <w:jc w:val="center"/>
        <w:rPr>
          <w:rFonts w:hint="default" w:ascii="Times New Roman" w:hAnsi="Times New Roman" w:eastAsia="宋体" w:cs="Times New Roman"/>
          <w:b/>
          <w:bCs/>
          <w:color w:val="auto"/>
          <w:kern w:val="0"/>
          <w:highlight w:val="none"/>
        </w:rPr>
      </w:pPr>
      <w:r>
        <w:rPr>
          <w:rFonts w:hint="default" w:ascii="Times New Roman" w:hAnsi="Times New Roman" w:eastAsia="宋体" w:cs="Times New Roman"/>
          <w:b/>
          <w:bCs/>
          <w:color w:val="auto"/>
          <w:szCs w:val="28"/>
          <w:highlight w:val="none"/>
        </w:rPr>
        <w:t>表3.</w:t>
      </w:r>
      <w:r>
        <w:rPr>
          <w:rFonts w:hint="default" w:ascii="Times New Roman" w:hAnsi="Times New Roman" w:eastAsia="宋体" w:cs="Times New Roman"/>
          <w:b/>
          <w:bCs/>
          <w:color w:val="auto"/>
          <w:szCs w:val="28"/>
          <w:highlight w:val="none"/>
          <w:lang w:val="en-US" w:eastAsia="zh-CN"/>
        </w:rPr>
        <w:t>1-13</w:t>
      </w:r>
      <w:r>
        <w:rPr>
          <w:rFonts w:hint="default" w:ascii="Times New Roman" w:hAnsi="Times New Roman" w:eastAsia="宋体" w:cs="Times New Roman"/>
          <w:b/>
          <w:bCs/>
          <w:color w:val="auto"/>
          <w:szCs w:val="28"/>
          <w:highlight w:val="none"/>
        </w:rPr>
        <w:t xml:space="preserve">    </w:t>
      </w:r>
      <w:r>
        <w:rPr>
          <w:rFonts w:hint="default" w:ascii="Times New Roman" w:hAnsi="Times New Roman" w:eastAsia="宋体" w:cs="Times New Roman"/>
          <w:b/>
          <w:bCs/>
          <w:color w:val="auto"/>
          <w:kern w:val="0"/>
          <w:highlight w:val="none"/>
        </w:rPr>
        <w:t>尾矿库主要技术参数及可比部分投资比较表</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20"/>
        <w:gridCol w:w="1220"/>
        <w:gridCol w:w="2866"/>
        <w:gridCol w:w="2868"/>
      </w:tblGrid>
      <w:tr w14:paraId="664B69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875" w:type="pct"/>
            <w:gridSpan w:val="2"/>
            <w:vAlign w:val="center"/>
          </w:tcPr>
          <w:p w14:paraId="682A0BE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562" w:type="pct"/>
            <w:vAlign w:val="center"/>
          </w:tcPr>
          <w:p w14:paraId="3017503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方案一</w:t>
            </w:r>
          </w:p>
        </w:tc>
        <w:tc>
          <w:tcPr>
            <w:tcW w:w="1563" w:type="pct"/>
            <w:vAlign w:val="center"/>
          </w:tcPr>
          <w:p w14:paraId="096E44A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方案二</w:t>
            </w:r>
          </w:p>
        </w:tc>
      </w:tr>
      <w:tr w14:paraId="19BE51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75" w:type="pct"/>
            <w:gridSpan w:val="2"/>
            <w:vAlign w:val="center"/>
          </w:tcPr>
          <w:p w14:paraId="7617152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占地面积</w:t>
            </w:r>
            <w:r>
              <w:rPr>
                <w:rFonts w:hint="eastAsia"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亩</w:t>
            </w:r>
            <w:r>
              <w:rPr>
                <w:rFonts w:hint="eastAsia" w:cs="Times New Roman"/>
                <w:color w:val="auto"/>
                <w:kern w:val="0"/>
                <w:sz w:val="21"/>
                <w:szCs w:val="21"/>
                <w:highlight w:val="none"/>
                <w:lang w:val="en-US" w:eastAsia="zh-CN" w:bidi="ar-SA"/>
              </w:rPr>
              <w:t>）</w:t>
            </w:r>
          </w:p>
        </w:tc>
        <w:tc>
          <w:tcPr>
            <w:tcW w:w="1562" w:type="pct"/>
            <w:vAlign w:val="center"/>
          </w:tcPr>
          <w:p w14:paraId="6E93E56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249</w:t>
            </w:r>
          </w:p>
        </w:tc>
        <w:tc>
          <w:tcPr>
            <w:tcW w:w="1563" w:type="pct"/>
            <w:vAlign w:val="center"/>
          </w:tcPr>
          <w:p w14:paraId="3AD508C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237</w:t>
            </w:r>
          </w:p>
        </w:tc>
      </w:tr>
      <w:tr w14:paraId="271B8B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75" w:type="pct"/>
            <w:gridSpan w:val="2"/>
            <w:vAlign w:val="center"/>
          </w:tcPr>
          <w:p w14:paraId="3552E09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总坝高</w:t>
            </w:r>
            <w:r>
              <w:rPr>
                <w:rFonts w:hint="eastAsia"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m</w:t>
            </w:r>
            <w:r>
              <w:rPr>
                <w:rFonts w:hint="eastAsia" w:cs="Times New Roman"/>
                <w:color w:val="auto"/>
                <w:kern w:val="0"/>
                <w:sz w:val="21"/>
                <w:szCs w:val="21"/>
                <w:highlight w:val="none"/>
                <w:lang w:val="en-US" w:eastAsia="zh-CN" w:bidi="ar-SA"/>
              </w:rPr>
              <w:t>）</w:t>
            </w:r>
          </w:p>
        </w:tc>
        <w:tc>
          <w:tcPr>
            <w:tcW w:w="1562" w:type="pct"/>
            <w:vAlign w:val="center"/>
          </w:tcPr>
          <w:p w14:paraId="477F7A7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16</w:t>
            </w:r>
          </w:p>
        </w:tc>
        <w:tc>
          <w:tcPr>
            <w:tcW w:w="1563" w:type="pct"/>
            <w:vAlign w:val="center"/>
          </w:tcPr>
          <w:p w14:paraId="00891C9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15</w:t>
            </w:r>
          </w:p>
        </w:tc>
      </w:tr>
      <w:tr w14:paraId="576B3B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75" w:type="pct"/>
            <w:gridSpan w:val="2"/>
            <w:vAlign w:val="center"/>
          </w:tcPr>
          <w:p w14:paraId="66C4816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总库容</w:t>
            </w:r>
            <w:r>
              <w:rPr>
                <w:rFonts w:hint="default" w:ascii="Times New Roman" w:hAnsi="Times New Roman"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万m</w:t>
            </w:r>
            <w:r>
              <w:rPr>
                <w:rFonts w:hint="default" w:ascii="Times New Roman" w:hAnsi="Times New Roman" w:eastAsia="宋体" w:cs="Times New Roman"/>
                <w:color w:val="auto"/>
                <w:kern w:val="0"/>
                <w:sz w:val="21"/>
                <w:szCs w:val="21"/>
                <w:highlight w:val="none"/>
                <w:vertAlign w:val="superscript"/>
                <w:lang w:val="en-US" w:eastAsia="zh-CN" w:bidi="ar-SA"/>
              </w:rPr>
              <w:t>3</w:t>
            </w:r>
            <w:r>
              <w:rPr>
                <w:rFonts w:hint="default" w:ascii="Times New Roman" w:hAnsi="Times New Roman" w:cs="Times New Roman"/>
                <w:color w:val="auto"/>
                <w:kern w:val="0"/>
                <w:sz w:val="21"/>
                <w:szCs w:val="21"/>
                <w:highlight w:val="none"/>
                <w:vertAlign w:val="baseline"/>
                <w:lang w:val="en-US" w:eastAsia="zh-CN" w:bidi="ar-SA"/>
              </w:rPr>
              <w:t>）</w:t>
            </w:r>
          </w:p>
        </w:tc>
        <w:tc>
          <w:tcPr>
            <w:tcW w:w="1562" w:type="pct"/>
            <w:vAlign w:val="center"/>
          </w:tcPr>
          <w:p w14:paraId="1BA4223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102</w:t>
            </w:r>
          </w:p>
        </w:tc>
        <w:tc>
          <w:tcPr>
            <w:tcW w:w="1563" w:type="pct"/>
            <w:vAlign w:val="center"/>
          </w:tcPr>
          <w:p w14:paraId="02C1948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117.0</w:t>
            </w:r>
          </w:p>
        </w:tc>
      </w:tr>
      <w:tr w14:paraId="58288A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75" w:type="pct"/>
            <w:gridSpan w:val="2"/>
            <w:vAlign w:val="center"/>
          </w:tcPr>
          <w:p w14:paraId="47C6782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服务年限</w:t>
            </w:r>
            <w:r>
              <w:rPr>
                <w:rFonts w:hint="eastAsia"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年</w:t>
            </w:r>
            <w:r>
              <w:rPr>
                <w:rFonts w:hint="eastAsia" w:cs="Times New Roman"/>
                <w:color w:val="auto"/>
                <w:kern w:val="0"/>
                <w:sz w:val="21"/>
                <w:szCs w:val="21"/>
                <w:highlight w:val="none"/>
                <w:lang w:val="en-US" w:eastAsia="zh-CN" w:bidi="ar-SA"/>
              </w:rPr>
              <w:t>）</w:t>
            </w:r>
          </w:p>
        </w:tc>
        <w:tc>
          <w:tcPr>
            <w:tcW w:w="1562" w:type="pct"/>
            <w:vAlign w:val="center"/>
          </w:tcPr>
          <w:p w14:paraId="23FBA99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5.2</w:t>
            </w:r>
          </w:p>
        </w:tc>
        <w:tc>
          <w:tcPr>
            <w:tcW w:w="1563" w:type="pct"/>
            <w:vAlign w:val="center"/>
          </w:tcPr>
          <w:p w14:paraId="08A5B54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5.2</w:t>
            </w:r>
          </w:p>
        </w:tc>
      </w:tr>
      <w:tr w14:paraId="5A16D7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75" w:type="pct"/>
            <w:gridSpan w:val="2"/>
            <w:vAlign w:val="center"/>
          </w:tcPr>
          <w:p w14:paraId="26577B8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尾矿库等别</w:t>
            </w:r>
          </w:p>
        </w:tc>
        <w:tc>
          <w:tcPr>
            <w:tcW w:w="1562" w:type="pct"/>
            <w:vAlign w:val="center"/>
          </w:tcPr>
          <w:p w14:paraId="052A575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四等</w:t>
            </w:r>
          </w:p>
        </w:tc>
        <w:tc>
          <w:tcPr>
            <w:tcW w:w="1563" w:type="pct"/>
            <w:vAlign w:val="center"/>
          </w:tcPr>
          <w:p w14:paraId="4464622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四等</w:t>
            </w:r>
          </w:p>
        </w:tc>
      </w:tr>
      <w:tr w14:paraId="54F7F4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10" w:type="pct"/>
            <w:vMerge w:val="restart"/>
            <w:vAlign w:val="center"/>
          </w:tcPr>
          <w:p w14:paraId="395FA93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筑坝工程量</w:t>
            </w:r>
          </w:p>
          <w:p w14:paraId="25EB228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万m</w:t>
            </w:r>
            <w:r>
              <w:rPr>
                <w:rFonts w:hint="default" w:ascii="Times New Roman" w:hAnsi="Times New Roman" w:eastAsia="宋体" w:cs="Times New Roman"/>
                <w:color w:val="auto"/>
                <w:kern w:val="0"/>
                <w:sz w:val="21"/>
                <w:szCs w:val="21"/>
                <w:highlight w:val="none"/>
                <w:vertAlign w:val="superscript"/>
                <w:lang w:val="en-US" w:eastAsia="zh-CN" w:bidi="ar-SA"/>
              </w:rPr>
              <w:t>3</w:t>
            </w:r>
            <w:r>
              <w:rPr>
                <w:rFonts w:hint="eastAsia" w:cs="Times New Roman"/>
                <w:color w:val="auto"/>
                <w:kern w:val="0"/>
                <w:sz w:val="21"/>
                <w:szCs w:val="21"/>
                <w:highlight w:val="none"/>
                <w:vertAlign w:val="superscript"/>
                <w:lang w:val="en-US" w:eastAsia="zh-CN" w:bidi="ar-SA"/>
              </w:rPr>
              <w:t>）</w:t>
            </w:r>
          </w:p>
        </w:tc>
        <w:tc>
          <w:tcPr>
            <w:tcW w:w="665" w:type="pct"/>
            <w:vAlign w:val="center"/>
          </w:tcPr>
          <w:p w14:paraId="489891C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一期</w:t>
            </w:r>
          </w:p>
        </w:tc>
        <w:tc>
          <w:tcPr>
            <w:tcW w:w="1562" w:type="pct"/>
            <w:vAlign w:val="center"/>
          </w:tcPr>
          <w:p w14:paraId="201E298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10.5</w:t>
            </w:r>
          </w:p>
        </w:tc>
        <w:tc>
          <w:tcPr>
            <w:tcW w:w="1563" w:type="pct"/>
            <w:vAlign w:val="center"/>
          </w:tcPr>
          <w:p w14:paraId="402B375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28.2</w:t>
            </w:r>
            <w:r>
              <w:rPr>
                <w:rFonts w:hint="eastAsia"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库内取土20.4</w:t>
            </w:r>
            <w:r>
              <w:rPr>
                <w:rFonts w:hint="eastAsia" w:cs="Times New Roman"/>
                <w:color w:val="auto"/>
                <w:kern w:val="0"/>
                <w:sz w:val="21"/>
                <w:szCs w:val="21"/>
                <w:highlight w:val="none"/>
                <w:lang w:val="en-US" w:eastAsia="zh-CN" w:bidi="ar-SA"/>
              </w:rPr>
              <w:t>）</w:t>
            </w:r>
          </w:p>
        </w:tc>
      </w:tr>
      <w:tr w14:paraId="77237E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10" w:type="pct"/>
            <w:vMerge w:val="continue"/>
            <w:vAlign w:val="center"/>
          </w:tcPr>
          <w:p w14:paraId="476BCD2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665" w:type="pct"/>
            <w:vAlign w:val="center"/>
          </w:tcPr>
          <w:p w14:paraId="0DAA5EA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二期</w:t>
            </w:r>
          </w:p>
        </w:tc>
        <w:tc>
          <w:tcPr>
            <w:tcW w:w="1562" w:type="pct"/>
            <w:vAlign w:val="center"/>
          </w:tcPr>
          <w:p w14:paraId="5BFD444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39</w:t>
            </w:r>
          </w:p>
        </w:tc>
        <w:tc>
          <w:tcPr>
            <w:tcW w:w="1563" w:type="pct"/>
            <w:vAlign w:val="center"/>
          </w:tcPr>
          <w:p w14:paraId="1E31CA1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40.5</w:t>
            </w:r>
          </w:p>
        </w:tc>
      </w:tr>
      <w:tr w14:paraId="72E8B8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10" w:type="pct"/>
            <w:vMerge w:val="restart"/>
            <w:vAlign w:val="center"/>
          </w:tcPr>
          <w:p w14:paraId="27B2DE9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防渗面积</w:t>
            </w:r>
          </w:p>
          <w:p w14:paraId="1411506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万m</w:t>
            </w:r>
            <w:r>
              <w:rPr>
                <w:rFonts w:hint="default" w:ascii="Times New Roman" w:hAnsi="Times New Roman" w:eastAsia="宋体" w:cs="Times New Roman"/>
                <w:color w:val="auto"/>
                <w:kern w:val="0"/>
                <w:sz w:val="21"/>
                <w:szCs w:val="21"/>
                <w:highlight w:val="none"/>
                <w:vertAlign w:val="superscript"/>
                <w:lang w:val="en-US" w:eastAsia="zh-CN" w:bidi="ar-SA"/>
              </w:rPr>
              <w:t>2</w:t>
            </w:r>
            <w:r>
              <w:rPr>
                <w:rFonts w:hint="eastAsia" w:cs="Times New Roman"/>
                <w:color w:val="auto"/>
                <w:kern w:val="0"/>
                <w:sz w:val="21"/>
                <w:szCs w:val="21"/>
                <w:highlight w:val="none"/>
                <w:vertAlign w:val="superscript"/>
                <w:lang w:val="en-US" w:eastAsia="zh-CN" w:bidi="ar-SA"/>
              </w:rPr>
              <w:t>）</w:t>
            </w:r>
          </w:p>
        </w:tc>
        <w:tc>
          <w:tcPr>
            <w:tcW w:w="665" w:type="pct"/>
            <w:vAlign w:val="center"/>
          </w:tcPr>
          <w:p w14:paraId="774605D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一期</w:t>
            </w:r>
          </w:p>
        </w:tc>
        <w:tc>
          <w:tcPr>
            <w:tcW w:w="1562" w:type="pct"/>
            <w:vAlign w:val="center"/>
          </w:tcPr>
          <w:p w14:paraId="545BBA9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7.6</w:t>
            </w:r>
          </w:p>
        </w:tc>
        <w:tc>
          <w:tcPr>
            <w:tcW w:w="1563" w:type="pct"/>
            <w:vAlign w:val="center"/>
          </w:tcPr>
          <w:p w14:paraId="5E11FB7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8.1</w:t>
            </w:r>
          </w:p>
        </w:tc>
      </w:tr>
      <w:tr w14:paraId="650892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10" w:type="pct"/>
            <w:vMerge w:val="continue"/>
            <w:vAlign w:val="center"/>
          </w:tcPr>
          <w:p w14:paraId="64EACBC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665" w:type="pct"/>
            <w:vAlign w:val="center"/>
          </w:tcPr>
          <w:p w14:paraId="1E987C8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二期</w:t>
            </w:r>
          </w:p>
        </w:tc>
        <w:tc>
          <w:tcPr>
            <w:tcW w:w="1562" w:type="pct"/>
            <w:vAlign w:val="center"/>
          </w:tcPr>
          <w:p w14:paraId="5AEDAB0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1.6</w:t>
            </w:r>
          </w:p>
        </w:tc>
        <w:tc>
          <w:tcPr>
            <w:tcW w:w="1563" w:type="pct"/>
            <w:vAlign w:val="center"/>
          </w:tcPr>
          <w:p w14:paraId="6AC6BB3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2.8</w:t>
            </w:r>
          </w:p>
        </w:tc>
      </w:tr>
      <w:tr w14:paraId="374D15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10" w:type="pct"/>
            <w:vMerge w:val="restart"/>
            <w:vAlign w:val="center"/>
          </w:tcPr>
          <w:p w14:paraId="14E1A11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防排洪设施</w:t>
            </w:r>
          </w:p>
        </w:tc>
        <w:tc>
          <w:tcPr>
            <w:tcW w:w="665" w:type="pct"/>
            <w:vAlign w:val="center"/>
          </w:tcPr>
          <w:p w14:paraId="2EECBDC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一期</w:t>
            </w:r>
          </w:p>
        </w:tc>
        <w:tc>
          <w:tcPr>
            <w:tcW w:w="1562" w:type="pct"/>
            <w:vAlign w:val="center"/>
          </w:tcPr>
          <w:p w14:paraId="4B39426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钢砼溢洪道长34m，消力池1座</w:t>
            </w:r>
          </w:p>
        </w:tc>
        <w:tc>
          <w:tcPr>
            <w:tcW w:w="1563" w:type="pct"/>
            <w:vAlign w:val="center"/>
          </w:tcPr>
          <w:p w14:paraId="6EB52B5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钢砼溢洪道长37m，消力池1座</w:t>
            </w:r>
          </w:p>
        </w:tc>
      </w:tr>
      <w:tr w14:paraId="733B9F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10" w:type="pct"/>
            <w:vMerge w:val="continue"/>
            <w:vAlign w:val="center"/>
          </w:tcPr>
          <w:p w14:paraId="234E22A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665" w:type="pct"/>
            <w:vAlign w:val="center"/>
          </w:tcPr>
          <w:p w14:paraId="07940B1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二期</w:t>
            </w:r>
          </w:p>
        </w:tc>
        <w:tc>
          <w:tcPr>
            <w:tcW w:w="1562" w:type="pct"/>
            <w:vAlign w:val="center"/>
          </w:tcPr>
          <w:p w14:paraId="5579D0C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钢砼溢洪道长50m，消力池1座</w:t>
            </w:r>
          </w:p>
        </w:tc>
        <w:tc>
          <w:tcPr>
            <w:tcW w:w="1563" w:type="pct"/>
            <w:vAlign w:val="center"/>
          </w:tcPr>
          <w:p w14:paraId="3D4AA22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钢砼溢洪道长46m，消力池1座</w:t>
            </w:r>
          </w:p>
        </w:tc>
      </w:tr>
      <w:tr w14:paraId="7AA40D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10" w:type="pct"/>
            <w:vMerge w:val="restart"/>
            <w:vAlign w:val="center"/>
          </w:tcPr>
          <w:p w14:paraId="516DD84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建设投资</w:t>
            </w:r>
          </w:p>
          <w:p w14:paraId="7E0E27B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万元</w:t>
            </w:r>
            <w:r>
              <w:rPr>
                <w:rFonts w:hint="eastAsia" w:cs="Times New Roman"/>
                <w:color w:val="auto"/>
                <w:kern w:val="0"/>
                <w:sz w:val="21"/>
                <w:szCs w:val="21"/>
                <w:highlight w:val="none"/>
                <w:lang w:val="en-US" w:eastAsia="zh-CN" w:bidi="ar-SA"/>
              </w:rPr>
              <w:t>）</w:t>
            </w:r>
          </w:p>
        </w:tc>
        <w:tc>
          <w:tcPr>
            <w:tcW w:w="665" w:type="pct"/>
            <w:vAlign w:val="center"/>
          </w:tcPr>
          <w:p w14:paraId="0016FCE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一期</w:t>
            </w:r>
          </w:p>
        </w:tc>
        <w:tc>
          <w:tcPr>
            <w:tcW w:w="1562" w:type="pct"/>
            <w:vAlign w:val="center"/>
          </w:tcPr>
          <w:p w14:paraId="0CF157A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1034.4</w:t>
            </w:r>
          </w:p>
        </w:tc>
        <w:tc>
          <w:tcPr>
            <w:tcW w:w="1563" w:type="pct"/>
            <w:vAlign w:val="center"/>
          </w:tcPr>
          <w:p w14:paraId="21BD6A4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1753.2</w:t>
            </w:r>
          </w:p>
        </w:tc>
      </w:tr>
      <w:tr w14:paraId="315698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10" w:type="pct"/>
            <w:vMerge w:val="continue"/>
            <w:vAlign w:val="center"/>
          </w:tcPr>
          <w:p w14:paraId="02A2A1E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665" w:type="pct"/>
            <w:vAlign w:val="center"/>
          </w:tcPr>
          <w:p w14:paraId="3429D60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二期</w:t>
            </w:r>
          </w:p>
        </w:tc>
        <w:tc>
          <w:tcPr>
            <w:tcW w:w="1562" w:type="pct"/>
            <w:vAlign w:val="center"/>
          </w:tcPr>
          <w:p w14:paraId="4404FD2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2076.4</w:t>
            </w:r>
          </w:p>
        </w:tc>
        <w:tc>
          <w:tcPr>
            <w:tcW w:w="1563" w:type="pct"/>
            <w:vAlign w:val="center"/>
          </w:tcPr>
          <w:p w14:paraId="0E71730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1524.2</w:t>
            </w:r>
          </w:p>
        </w:tc>
      </w:tr>
      <w:tr w14:paraId="4D7DC8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10" w:type="pct"/>
            <w:vMerge w:val="continue"/>
            <w:vAlign w:val="center"/>
          </w:tcPr>
          <w:p w14:paraId="62273E3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665" w:type="pct"/>
            <w:vAlign w:val="center"/>
          </w:tcPr>
          <w:p w14:paraId="168B0B3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合计</w:t>
            </w:r>
          </w:p>
        </w:tc>
        <w:tc>
          <w:tcPr>
            <w:tcW w:w="1562" w:type="pct"/>
            <w:vAlign w:val="center"/>
          </w:tcPr>
          <w:p w14:paraId="6F3A162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3110.8</w:t>
            </w:r>
          </w:p>
        </w:tc>
        <w:tc>
          <w:tcPr>
            <w:tcW w:w="1563" w:type="pct"/>
            <w:vAlign w:val="center"/>
          </w:tcPr>
          <w:p w14:paraId="2270692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3277.4</w:t>
            </w:r>
          </w:p>
        </w:tc>
      </w:tr>
      <w:tr w14:paraId="6EB549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75" w:type="pct"/>
            <w:gridSpan w:val="2"/>
            <w:vAlign w:val="center"/>
          </w:tcPr>
          <w:p w14:paraId="5339B49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征地费用</w:t>
            </w:r>
            <w:r>
              <w:rPr>
                <w:rFonts w:hint="eastAsia"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不分期，万元</w:t>
            </w:r>
            <w:r>
              <w:rPr>
                <w:rFonts w:hint="eastAsia" w:cs="Times New Roman"/>
                <w:color w:val="auto"/>
                <w:kern w:val="0"/>
                <w:sz w:val="21"/>
                <w:szCs w:val="21"/>
                <w:highlight w:val="none"/>
                <w:lang w:val="en-US" w:eastAsia="zh-CN" w:bidi="ar-SA"/>
              </w:rPr>
              <w:t>）</w:t>
            </w:r>
          </w:p>
        </w:tc>
        <w:tc>
          <w:tcPr>
            <w:tcW w:w="1562" w:type="pct"/>
            <w:vAlign w:val="center"/>
          </w:tcPr>
          <w:p w14:paraId="67D0CD6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2490</w:t>
            </w:r>
          </w:p>
        </w:tc>
        <w:tc>
          <w:tcPr>
            <w:tcW w:w="1563" w:type="pct"/>
            <w:vAlign w:val="center"/>
          </w:tcPr>
          <w:p w14:paraId="5065DBF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2370</w:t>
            </w:r>
          </w:p>
        </w:tc>
      </w:tr>
      <w:tr w14:paraId="60655E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75" w:type="pct"/>
            <w:gridSpan w:val="2"/>
            <w:vAlign w:val="center"/>
          </w:tcPr>
          <w:p w14:paraId="3BCD119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可比投资总计</w:t>
            </w:r>
            <w:r>
              <w:rPr>
                <w:rFonts w:hint="eastAsia"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万元</w:t>
            </w:r>
            <w:r>
              <w:rPr>
                <w:rFonts w:hint="eastAsia" w:cs="Times New Roman"/>
                <w:color w:val="auto"/>
                <w:kern w:val="0"/>
                <w:sz w:val="21"/>
                <w:szCs w:val="21"/>
                <w:highlight w:val="none"/>
                <w:lang w:val="en-US" w:eastAsia="zh-CN" w:bidi="ar-SA"/>
              </w:rPr>
              <w:t>）</w:t>
            </w:r>
          </w:p>
        </w:tc>
        <w:tc>
          <w:tcPr>
            <w:tcW w:w="1562" w:type="pct"/>
            <w:vAlign w:val="center"/>
          </w:tcPr>
          <w:p w14:paraId="4528915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5600.4</w:t>
            </w:r>
          </w:p>
        </w:tc>
        <w:tc>
          <w:tcPr>
            <w:tcW w:w="1563" w:type="pct"/>
            <w:vAlign w:val="center"/>
          </w:tcPr>
          <w:p w14:paraId="405D8FE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5705.5</w:t>
            </w:r>
          </w:p>
        </w:tc>
      </w:tr>
      <w:tr w14:paraId="265E5A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875" w:type="pct"/>
            <w:gridSpan w:val="2"/>
            <w:vAlign w:val="center"/>
          </w:tcPr>
          <w:p w14:paraId="2BDC35A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一期工程+征地</w:t>
            </w:r>
            <w:r>
              <w:rPr>
                <w:rFonts w:hint="eastAsia"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万元</w:t>
            </w:r>
            <w:r>
              <w:rPr>
                <w:rFonts w:hint="eastAsia" w:cs="Times New Roman"/>
                <w:color w:val="auto"/>
                <w:kern w:val="0"/>
                <w:sz w:val="21"/>
                <w:szCs w:val="21"/>
                <w:highlight w:val="none"/>
                <w:lang w:val="en-US" w:eastAsia="zh-CN" w:bidi="ar-SA"/>
              </w:rPr>
              <w:t>）</w:t>
            </w:r>
          </w:p>
        </w:tc>
        <w:tc>
          <w:tcPr>
            <w:tcW w:w="1562" w:type="pct"/>
            <w:vAlign w:val="center"/>
          </w:tcPr>
          <w:p w14:paraId="3A03210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3524.4</w:t>
            </w:r>
          </w:p>
        </w:tc>
        <w:tc>
          <w:tcPr>
            <w:tcW w:w="1563" w:type="pct"/>
            <w:vAlign w:val="center"/>
          </w:tcPr>
          <w:p w14:paraId="25180AA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4123.2</w:t>
            </w:r>
          </w:p>
        </w:tc>
      </w:tr>
    </w:tbl>
    <w:p w14:paraId="5673C23F">
      <w:pPr>
        <w:overflowPunct w:val="0"/>
        <w:topLinePunct/>
        <w:ind w:firstLine="480"/>
        <w:rPr>
          <w:rFonts w:hint="default" w:ascii="Times New Roman" w:hAnsi="Times New Roman" w:eastAsia="宋体" w:cs="Times New Roman"/>
          <w:color w:val="auto"/>
          <w:szCs w:val="28"/>
          <w:highlight w:val="none"/>
        </w:rPr>
      </w:pPr>
      <w:r>
        <w:rPr>
          <w:rFonts w:hint="default" w:ascii="Times New Roman" w:hAnsi="Times New Roman" w:eastAsia="宋体" w:cs="Times New Roman"/>
          <w:color w:val="auto"/>
          <w:szCs w:val="28"/>
          <w:highlight w:val="none"/>
        </w:rPr>
        <w:t>通过表3.</w:t>
      </w:r>
      <w:r>
        <w:rPr>
          <w:rFonts w:hint="default" w:ascii="Times New Roman" w:hAnsi="Times New Roman" w:eastAsia="宋体" w:cs="Times New Roman"/>
          <w:color w:val="auto"/>
          <w:szCs w:val="28"/>
          <w:highlight w:val="none"/>
          <w:lang w:val="en-US" w:eastAsia="zh-CN"/>
        </w:rPr>
        <w:t>1</w:t>
      </w:r>
      <w:r>
        <w:rPr>
          <w:rFonts w:hint="default" w:ascii="Times New Roman" w:hAnsi="Times New Roman" w:eastAsia="宋体" w:cs="Times New Roman"/>
          <w:color w:val="auto"/>
          <w:szCs w:val="28"/>
          <w:highlight w:val="none"/>
        </w:rPr>
        <w:t>-</w:t>
      </w:r>
      <w:r>
        <w:rPr>
          <w:rFonts w:hint="default" w:ascii="Times New Roman" w:hAnsi="Times New Roman" w:eastAsia="宋体" w:cs="Times New Roman"/>
          <w:color w:val="auto"/>
          <w:szCs w:val="28"/>
          <w:highlight w:val="none"/>
          <w:lang w:val="en-US" w:eastAsia="zh-CN"/>
        </w:rPr>
        <w:t>13</w:t>
      </w:r>
      <w:r>
        <w:rPr>
          <w:rFonts w:hint="default" w:ascii="Times New Roman" w:hAnsi="Times New Roman" w:eastAsia="宋体" w:cs="Times New Roman"/>
          <w:color w:val="auto"/>
          <w:szCs w:val="28"/>
          <w:highlight w:val="none"/>
        </w:rPr>
        <w:t>分析可知，</w:t>
      </w:r>
      <w:r>
        <w:rPr>
          <w:rFonts w:hint="default" w:ascii="Times New Roman" w:hAnsi="Times New Roman" w:eastAsia="宋体" w:cs="Times New Roman"/>
          <w:color w:val="auto"/>
          <w:highlight w:val="none"/>
        </w:rPr>
        <w:t>方案一库址筑坝工程量小，防渗面积稍小，建设费用较低；方案二库址总库容较大，占地面积稍小，建设费用较高。经方案比较并结合建设单位，本次选取方案一作为尾矿库库址。</w:t>
      </w:r>
    </w:p>
    <w:p w14:paraId="61F94356">
      <w:pPr>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选址合理性分析</w:t>
      </w:r>
    </w:p>
    <w:p w14:paraId="03CE4274">
      <w:pPr>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按照库区选址的基本要求，从工程选址区域的工程地质、水文地质状况、区域地形地貌、气候气象因素、周围环境敏感目标分布等环境条件结合《尾矿设施设计规范》（GB50863-2013）、《尾矿库安全规程》（GB39496-2020）判断尾矿库拟选场址合理性，项目尾矿库选址方案</w:t>
      </w:r>
      <w:r>
        <w:rPr>
          <w:rFonts w:hint="eastAsia" w:cs="Times New Roman"/>
          <w:color w:val="auto"/>
          <w:highlight w:val="none"/>
          <w:lang w:val="en-US" w:eastAsia="zh-CN"/>
        </w:rPr>
        <w:t>见图3.1-7，</w:t>
      </w:r>
      <w:r>
        <w:rPr>
          <w:rFonts w:hint="default" w:ascii="Times New Roman" w:hAnsi="Times New Roman" w:eastAsia="宋体" w:cs="Times New Roman"/>
          <w:color w:val="auto"/>
          <w:highlight w:val="none"/>
        </w:rPr>
        <w:t>尾矿库选址合理性分析</w:t>
      </w:r>
      <w:r>
        <w:rPr>
          <w:rFonts w:hint="eastAsia" w:cs="Times New Roman"/>
          <w:color w:val="auto"/>
          <w:highlight w:val="none"/>
          <w:lang w:val="en-US" w:eastAsia="zh-CN"/>
        </w:rPr>
        <w:t>见表</w:t>
      </w:r>
      <w:r>
        <w:rPr>
          <w:rFonts w:hint="default" w:ascii="Times New Roman" w:hAnsi="Times New Roman" w:eastAsia="宋体" w:cs="Times New Roman"/>
          <w:color w:val="auto"/>
          <w:highlight w:val="none"/>
        </w:rPr>
        <w:t>3.</w:t>
      </w: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14~</w:t>
      </w:r>
      <w:r>
        <w:rPr>
          <w:rFonts w:hint="default" w:ascii="Times New Roman" w:hAnsi="Times New Roman" w:eastAsia="宋体" w:cs="Times New Roman"/>
          <w:color w:val="auto"/>
          <w:highlight w:val="none"/>
          <w:lang w:val="en-US" w:eastAsia="zh-CN"/>
        </w:rPr>
        <w:t>15</w:t>
      </w:r>
      <w:r>
        <w:rPr>
          <w:rFonts w:hint="default" w:ascii="Times New Roman" w:hAnsi="Times New Roman" w:eastAsia="宋体" w:cs="Times New Roman"/>
          <w:color w:val="auto"/>
          <w:highlight w:val="none"/>
        </w:rPr>
        <w:t>。</w:t>
      </w:r>
    </w:p>
    <w:p w14:paraId="2766EE64">
      <w:pPr>
        <w:keepNext w:val="0"/>
        <w:keepLines w:val="0"/>
        <w:pageBreakBefore w:val="0"/>
        <w:widowControl w:val="0"/>
        <w:kinsoku/>
        <w:wordWrap/>
        <w:overflowPunct w:val="0"/>
        <w:topLinePunct/>
        <w:autoSpaceDE/>
        <w:autoSpaceDN/>
        <w:bidi w:val="0"/>
        <w:adjustRightInd/>
        <w:snapToGrid/>
        <w:spacing w:line="240" w:lineRule="atLeast"/>
        <w:ind w:left="0" w:leftChars="0" w:firstLine="0" w:firstLineChars="0"/>
        <w:textAlignment w:val="auto"/>
        <w:rPr>
          <w:rFonts w:hint="default" w:ascii="Times New Roman" w:hAnsi="Times New Roman" w:eastAsia="宋体" w:cs="Times New Roman"/>
          <w:color w:val="auto"/>
          <w:highlight w:val="none"/>
        </w:rPr>
      </w:pPr>
      <w:r>
        <w:rPr>
          <w:color w:val="auto"/>
          <w:highlight w:val="none"/>
        </w:rPr>
        <w:drawing>
          <wp:inline distT="0" distB="0" distL="114300" distR="114300">
            <wp:extent cx="5678170" cy="3397250"/>
            <wp:effectExtent l="0" t="0" r="17780" b="12700"/>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22"/>
                    <a:stretch>
                      <a:fillRect/>
                    </a:stretch>
                  </pic:blipFill>
                  <pic:spPr>
                    <a:xfrm>
                      <a:off x="0" y="0"/>
                      <a:ext cx="5678170" cy="3397250"/>
                    </a:xfrm>
                    <a:prstGeom prst="rect">
                      <a:avLst/>
                    </a:prstGeom>
                    <a:noFill/>
                    <a:ln>
                      <a:noFill/>
                    </a:ln>
                  </pic:spPr>
                </pic:pic>
              </a:graphicData>
            </a:graphic>
          </wp:inline>
        </w:drawing>
      </w:r>
    </w:p>
    <w:p w14:paraId="4FB20367">
      <w:pPr>
        <w:ind w:firstLine="0" w:firstLineChars="0"/>
        <w:jc w:val="center"/>
        <w:rPr>
          <w:rFonts w:hint="eastAsia" w:ascii="Times New Roman" w:hAnsi="Times New Roman" w:eastAsia="宋体" w:cs="Times New Roman"/>
          <w:b/>
          <w:bCs/>
          <w:color w:val="auto"/>
          <w:szCs w:val="28"/>
          <w:highlight w:val="none"/>
          <w:lang w:val="en-US" w:eastAsia="zh-CN"/>
        </w:rPr>
      </w:pPr>
      <w:r>
        <w:rPr>
          <w:rFonts w:hint="default" w:ascii="Times New Roman" w:hAnsi="Times New Roman" w:eastAsia="宋体" w:cs="Times New Roman"/>
          <w:b/>
          <w:bCs/>
          <w:color w:val="auto"/>
          <w:szCs w:val="28"/>
          <w:highlight w:val="none"/>
        </w:rPr>
        <w:t>图3.</w:t>
      </w:r>
      <w:r>
        <w:rPr>
          <w:rFonts w:hint="default" w:ascii="Times New Roman" w:hAnsi="Times New Roman" w:eastAsia="宋体" w:cs="Times New Roman"/>
          <w:b/>
          <w:bCs/>
          <w:color w:val="auto"/>
          <w:szCs w:val="28"/>
          <w:highlight w:val="none"/>
          <w:lang w:val="en-US" w:eastAsia="zh-CN"/>
        </w:rPr>
        <w:t>1</w:t>
      </w:r>
      <w:r>
        <w:rPr>
          <w:rFonts w:hint="default" w:ascii="Times New Roman" w:hAnsi="Times New Roman" w:eastAsia="宋体" w:cs="Times New Roman"/>
          <w:b/>
          <w:bCs/>
          <w:color w:val="auto"/>
          <w:szCs w:val="28"/>
          <w:highlight w:val="none"/>
        </w:rPr>
        <w:t>-</w:t>
      </w:r>
      <w:r>
        <w:rPr>
          <w:rFonts w:hint="eastAsia" w:cs="Times New Roman"/>
          <w:b/>
          <w:bCs/>
          <w:color w:val="auto"/>
          <w:szCs w:val="28"/>
          <w:highlight w:val="none"/>
          <w:lang w:val="en-US" w:eastAsia="zh-CN"/>
        </w:rPr>
        <w:t>7</w:t>
      </w:r>
      <w:r>
        <w:rPr>
          <w:rFonts w:hint="default" w:ascii="Times New Roman" w:hAnsi="Times New Roman" w:eastAsia="宋体" w:cs="Times New Roman"/>
          <w:b/>
          <w:bCs/>
          <w:color w:val="auto"/>
          <w:szCs w:val="28"/>
          <w:highlight w:val="none"/>
        </w:rPr>
        <w:t xml:space="preserve">    </w:t>
      </w:r>
      <w:r>
        <w:rPr>
          <w:rFonts w:hint="eastAsia" w:cs="Times New Roman"/>
          <w:b/>
          <w:bCs/>
          <w:color w:val="auto"/>
          <w:szCs w:val="28"/>
          <w:highlight w:val="none"/>
          <w:lang w:val="en-US" w:eastAsia="zh-CN"/>
        </w:rPr>
        <w:t>项目尾矿库选址</w:t>
      </w:r>
      <w:r>
        <w:rPr>
          <w:rFonts w:hint="default" w:ascii="Times New Roman" w:hAnsi="Times New Roman" w:eastAsia="宋体" w:cs="Times New Roman"/>
          <w:b/>
          <w:bCs/>
          <w:color w:val="auto"/>
          <w:szCs w:val="28"/>
          <w:highlight w:val="none"/>
        </w:rPr>
        <w:t>方案</w:t>
      </w:r>
    </w:p>
    <w:p w14:paraId="7C74AB2E">
      <w:pPr>
        <w:ind w:firstLine="0" w:firstLineChars="0"/>
        <w:jc w:val="center"/>
        <w:rPr>
          <w:rFonts w:hint="default" w:ascii="Times New Roman" w:hAnsi="Times New Roman" w:eastAsia="宋体" w:cs="Times New Roman"/>
          <w:b/>
          <w:bCs/>
          <w:color w:val="auto"/>
          <w:kern w:val="0"/>
          <w:highlight w:val="none"/>
        </w:rPr>
      </w:pPr>
      <w:r>
        <w:rPr>
          <w:rFonts w:hint="default" w:ascii="Times New Roman" w:hAnsi="Times New Roman" w:eastAsia="宋体" w:cs="Times New Roman"/>
          <w:b/>
          <w:bCs/>
          <w:color w:val="auto"/>
          <w:szCs w:val="28"/>
          <w:highlight w:val="none"/>
        </w:rPr>
        <w:t>表3.</w:t>
      </w:r>
      <w:r>
        <w:rPr>
          <w:rFonts w:hint="default" w:ascii="Times New Roman" w:hAnsi="Times New Roman" w:eastAsia="宋体" w:cs="Times New Roman"/>
          <w:b/>
          <w:bCs/>
          <w:color w:val="auto"/>
          <w:szCs w:val="28"/>
          <w:highlight w:val="none"/>
          <w:lang w:val="en-US" w:eastAsia="zh-CN"/>
        </w:rPr>
        <w:t>1-14</w:t>
      </w:r>
      <w:r>
        <w:rPr>
          <w:rFonts w:hint="default" w:ascii="Times New Roman" w:hAnsi="Times New Roman" w:eastAsia="宋体" w:cs="Times New Roman"/>
          <w:b/>
          <w:bCs/>
          <w:color w:val="auto"/>
          <w:szCs w:val="28"/>
          <w:highlight w:val="none"/>
        </w:rPr>
        <w:t xml:space="preserve">    </w:t>
      </w:r>
      <w:r>
        <w:rPr>
          <w:rFonts w:hint="default" w:ascii="Times New Roman" w:hAnsi="Times New Roman" w:eastAsia="宋体" w:cs="Times New Roman"/>
          <w:b/>
          <w:bCs/>
          <w:color w:val="auto"/>
          <w:kern w:val="0"/>
          <w:highlight w:val="none"/>
        </w:rPr>
        <w:t>尾矿库选址方案比较表</w:t>
      </w:r>
    </w:p>
    <w:tbl>
      <w:tblPr>
        <w:tblStyle w:val="33"/>
        <w:tblW w:w="5000"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Layout w:type="autofit"/>
        <w:tblCellMar>
          <w:top w:w="15" w:type="dxa"/>
          <w:left w:w="15" w:type="dxa"/>
          <w:bottom w:w="15" w:type="dxa"/>
          <w:right w:w="15" w:type="dxa"/>
        </w:tblCellMar>
      </w:tblPr>
      <w:tblGrid>
        <w:gridCol w:w="443"/>
        <w:gridCol w:w="973"/>
        <w:gridCol w:w="3846"/>
        <w:gridCol w:w="3846"/>
      </w:tblGrid>
      <w:tr w14:paraId="12306D7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0" w:hRule="atLeast"/>
          <w:tblHeader/>
        </w:trPr>
        <w:tc>
          <w:tcPr>
            <w:tcW w:w="0" w:type="auto"/>
            <w:vMerge w:val="restart"/>
            <w:shd w:val="clear" w:color="auto" w:fill="auto"/>
            <w:tcMar>
              <w:top w:w="0" w:type="dxa"/>
              <w:left w:w="75" w:type="dxa"/>
              <w:bottom w:w="0" w:type="dxa"/>
              <w:right w:w="75" w:type="dxa"/>
            </w:tcMar>
            <w:vAlign w:val="center"/>
          </w:tcPr>
          <w:p w14:paraId="5F687B0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序号</w:t>
            </w:r>
          </w:p>
        </w:tc>
        <w:tc>
          <w:tcPr>
            <w:tcW w:w="0" w:type="auto"/>
            <w:vMerge w:val="restart"/>
            <w:shd w:val="clear" w:color="auto" w:fill="auto"/>
            <w:tcMar>
              <w:top w:w="0" w:type="dxa"/>
              <w:left w:w="75" w:type="dxa"/>
              <w:bottom w:w="0" w:type="dxa"/>
              <w:right w:w="75" w:type="dxa"/>
            </w:tcMar>
            <w:vAlign w:val="center"/>
          </w:tcPr>
          <w:p w14:paraId="442790B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项目</w:t>
            </w:r>
          </w:p>
        </w:tc>
        <w:tc>
          <w:tcPr>
            <w:tcW w:w="0" w:type="auto"/>
            <w:gridSpan w:val="2"/>
            <w:shd w:val="clear" w:color="auto" w:fill="auto"/>
            <w:tcMar>
              <w:top w:w="0" w:type="dxa"/>
              <w:left w:w="75" w:type="dxa"/>
              <w:bottom w:w="0" w:type="dxa"/>
              <w:right w:w="75" w:type="dxa"/>
            </w:tcMar>
            <w:vAlign w:val="center"/>
          </w:tcPr>
          <w:p w14:paraId="4717376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库址</w:t>
            </w:r>
          </w:p>
        </w:tc>
      </w:tr>
      <w:tr w14:paraId="0B79AE5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0" w:hRule="atLeast"/>
          <w:tblHeader/>
        </w:trPr>
        <w:tc>
          <w:tcPr>
            <w:tcW w:w="0" w:type="auto"/>
            <w:vMerge w:val="continue"/>
            <w:shd w:val="clear" w:color="auto" w:fill="auto"/>
            <w:tcMar>
              <w:top w:w="0" w:type="dxa"/>
              <w:left w:w="75" w:type="dxa"/>
              <w:bottom w:w="0" w:type="dxa"/>
              <w:right w:w="75" w:type="dxa"/>
            </w:tcMar>
            <w:vAlign w:val="center"/>
          </w:tcPr>
          <w:p w14:paraId="76BE3BD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0" w:type="auto"/>
            <w:vMerge w:val="continue"/>
            <w:shd w:val="clear" w:color="auto" w:fill="auto"/>
            <w:tcMar>
              <w:top w:w="0" w:type="dxa"/>
              <w:left w:w="75" w:type="dxa"/>
              <w:bottom w:w="0" w:type="dxa"/>
              <w:right w:w="75" w:type="dxa"/>
            </w:tcMar>
            <w:vAlign w:val="center"/>
          </w:tcPr>
          <w:p w14:paraId="14A4E0F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0" w:type="auto"/>
            <w:shd w:val="clear" w:color="auto" w:fill="auto"/>
            <w:tcMar>
              <w:top w:w="0" w:type="dxa"/>
              <w:left w:w="75" w:type="dxa"/>
              <w:bottom w:w="0" w:type="dxa"/>
              <w:right w:w="75" w:type="dxa"/>
            </w:tcMar>
            <w:vAlign w:val="center"/>
          </w:tcPr>
          <w:p w14:paraId="362261E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方案一（推荐）</w:t>
            </w:r>
          </w:p>
        </w:tc>
        <w:tc>
          <w:tcPr>
            <w:tcW w:w="0" w:type="auto"/>
            <w:shd w:val="clear" w:color="auto" w:fill="auto"/>
            <w:tcMar>
              <w:top w:w="0" w:type="dxa"/>
              <w:left w:w="75" w:type="dxa"/>
              <w:bottom w:w="0" w:type="dxa"/>
              <w:right w:w="75" w:type="dxa"/>
            </w:tcMar>
            <w:vAlign w:val="center"/>
          </w:tcPr>
          <w:p w14:paraId="1390938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方案二</w:t>
            </w:r>
          </w:p>
        </w:tc>
      </w:tr>
      <w:tr w14:paraId="087F18D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15" w:type="dxa"/>
            <w:left w:w="15" w:type="dxa"/>
            <w:bottom w:w="15" w:type="dxa"/>
            <w:right w:w="15" w:type="dxa"/>
          </w:tblCellMar>
        </w:tblPrEx>
        <w:trPr>
          <w:trHeight w:val="176" w:hRule="atLeast"/>
        </w:trPr>
        <w:tc>
          <w:tcPr>
            <w:tcW w:w="0" w:type="auto"/>
            <w:shd w:val="clear" w:color="auto" w:fill="auto"/>
            <w:tcMar>
              <w:top w:w="0" w:type="dxa"/>
              <w:left w:w="90" w:type="dxa"/>
              <w:bottom w:w="0" w:type="dxa"/>
              <w:right w:w="90" w:type="dxa"/>
            </w:tcMar>
            <w:vAlign w:val="center"/>
          </w:tcPr>
          <w:p w14:paraId="6F11B42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w:t>
            </w:r>
          </w:p>
        </w:tc>
        <w:tc>
          <w:tcPr>
            <w:tcW w:w="0" w:type="auto"/>
            <w:shd w:val="clear" w:color="auto" w:fill="auto"/>
            <w:tcMar>
              <w:top w:w="0" w:type="dxa"/>
              <w:left w:w="90" w:type="dxa"/>
              <w:bottom w:w="0" w:type="dxa"/>
              <w:right w:w="90" w:type="dxa"/>
            </w:tcMar>
            <w:vAlign w:val="center"/>
          </w:tcPr>
          <w:p w14:paraId="4BE226E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环境敏感性</w:t>
            </w:r>
          </w:p>
        </w:tc>
        <w:tc>
          <w:tcPr>
            <w:tcW w:w="0" w:type="auto"/>
            <w:shd w:val="clear" w:color="auto" w:fill="auto"/>
            <w:tcMar>
              <w:top w:w="0" w:type="dxa"/>
              <w:left w:w="90" w:type="dxa"/>
              <w:bottom w:w="0" w:type="dxa"/>
              <w:right w:w="90" w:type="dxa"/>
            </w:tcMar>
            <w:vAlign w:val="center"/>
          </w:tcPr>
          <w:p w14:paraId="7B8A4B0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周边无敏感目标，符合规范要求</w:t>
            </w:r>
          </w:p>
        </w:tc>
        <w:tc>
          <w:tcPr>
            <w:tcW w:w="0" w:type="auto"/>
            <w:shd w:val="clear" w:color="auto" w:fill="auto"/>
            <w:tcMar>
              <w:top w:w="0" w:type="dxa"/>
              <w:left w:w="90" w:type="dxa"/>
              <w:bottom w:w="0" w:type="dxa"/>
              <w:right w:w="90" w:type="dxa"/>
            </w:tcMar>
            <w:vAlign w:val="center"/>
          </w:tcPr>
          <w:p w14:paraId="7E4F833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周边无敏感目标，符合规范要求</w:t>
            </w:r>
          </w:p>
        </w:tc>
      </w:tr>
      <w:tr w14:paraId="179B72F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946" w:hRule="atLeast"/>
        </w:trPr>
        <w:tc>
          <w:tcPr>
            <w:tcW w:w="0" w:type="auto"/>
            <w:shd w:val="clear" w:color="auto" w:fill="auto"/>
            <w:tcMar>
              <w:top w:w="0" w:type="dxa"/>
              <w:left w:w="90" w:type="dxa"/>
              <w:bottom w:w="0" w:type="dxa"/>
              <w:right w:w="90" w:type="dxa"/>
            </w:tcMar>
            <w:vAlign w:val="center"/>
          </w:tcPr>
          <w:p w14:paraId="67390FD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w:t>
            </w:r>
          </w:p>
        </w:tc>
        <w:tc>
          <w:tcPr>
            <w:tcW w:w="0" w:type="auto"/>
            <w:shd w:val="clear" w:color="auto" w:fill="auto"/>
            <w:tcMar>
              <w:top w:w="0" w:type="dxa"/>
              <w:left w:w="90" w:type="dxa"/>
              <w:bottom w:w="0" w:type="dxa"/>
              <w:right w:w="90" w:type="dxa"/>
            </w:tcMar>
            <w:vAlign w:val="center"/>
          </w:tcPr>
          <w:p w14:paraId="64D56AF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对周围环境的影响</w:t>
            </w:r>
          </w:p>
        </w:tc>
        <w:tc>
          <w:tcPr>
            <w:tcW w:w="0" w:type="auto"/>
            <w:shd w:val="clear" w:color="auto" w:fill="auto"/>
            <w:tcMar>
              <w:top w:w="0" w:type="dxa"/>
              <w:left w:w="90" w:type="dxa"/>
              <w:bottom w:w="0" w:type="dxa"/>
              <w:right w:w="90" w:type="dxa"/>
            </w:tcMar>
            <w:vAlign w:val="center"/>
          </w:tcPr>
          <w:p w14:paraId="1B0EB94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占地249亩，采用全库防渗（HDPE 1.0mm），污染控制措施完善，施工期影响较小</w:t>
            </w:r>
          </w:p>
        </w:tc>
        <w:tc>
          <w:tcPr>
            <w:tcW w:w="0" w:type="auto"/>
            <w:shd w:val="clear" w:color="auto" w:fill="auto"/>
            <w:tcMar>
              <w:top w:w="0" w:type="dxa"/>
              <w:left w:w="90" w:type="dxa"/>
              <w:bottom w:w="0" w:type="dxa"/>
              <w:right w:w="90" w:type="dxa"/>
            </w:tcMar>
            <w:vAlign w:val="center"/>
          </w:tcPr>
          <w:p w14:paraId="0BB32CD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占地237亩，防渗面积较大（HDPE 1.5mm），但库内取土扰动较大，施工影响略高</w:t>
            </w:r>
          </w:p>
        </w:tc>
      </w:tr>
      <w:tr w14:paraId="3C25D63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0" w:hRule="atLeast"/>
        </w:trPr>
        <w:tc>
          <w:tcPr>
            <w:tcW w:w="0" w:type="auto"/>
            <w:shd w:val="clear" w:color="auto" w:fill="auto"/>
            <w:tcMar>
              <w:top w:w="0" w:type="dxa"/>
              <w:left w:w="90" w:type="dxa"/>
              <w:bottom w:w="0" w:type="dxa"/>
              <w:right w:w="90" w:type="dxa"/>
            </w:tcMar>
            <w:vAlign w:val="center"/>
          </w:tcPr>
          <w:p w14:paraId="484517D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w:t>
            </w:r>
          </w:p>
        </w:tc>
        <w:tc>
          <w:tcPr>
            <w:tcW w:w="0" w:type="auto"/>
            <w:shd w:val="clear" w:color="auto" w:fill="auto"/>
            <w:tcMar>
              <w:top w:w="0" w:type="dxa"/>
              <w:left w:w="90" w:type="dxa"/>
              <w:bottom w:w="0" w:type="dxa"/>
              <w:right w:w="90" w:type="dxa"/>
            </w:tcMar>
            <w:vAlign w:val="center"/>
          </w:tcPr>
          <w:p w14:paraId="58FF34F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工程占地</w:t>
            </w:r>
          </w:p>
        </w:tc>
        <w:tc>
          <w:tcPr>
            <w:tcW w:w="0" w:type="auto"/>
            <w:shd w:val="clear" w:color="auto" w:fill="auto"/>
            <w:tcMar>
              <w:top w:w="0" w:type="dxa"/>
              <w:left w:w="90" w:type="dxa"/>
              <w:bottom w:w="0" w:type="dxa"/>
              <w:right w:w="90" w:type="dxa"/>
            </w:tcMar>
            <w:vAlign w:val="center"/>
          </w:tcPr>
          <w:p w14:paraId="7064200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249亩（不含道路）</w:t>
            </w:r>
          </w:p>
        </w:tc>
        <w:tc>
          <w:tcPr>
            <w:tcW w:w="0" w:type="auto"/>
            <w:shd w:val="clear" w:color="auto" w:fill="auto"/>
            <w:tcMar>
              <w:top w:w="0" w:type="dxa"/>
              <w:left w:w="90" w:type="dxa"/>
              <w:bottom w:w="0" w:type="dxa"/>
              <w:right w:w="90" w:type="dxa"/>
            </w:tcMar>
            <w:vAlign w:val="center"/>
          </w:tcPr>
          <w:p w14:paraId="768261B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237亩（不含道路）</w:t>
            </w:r>
          </w:p>
        </w:tc>
      </w:tr>
      <w:tr w14:paraId="08B6F72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0" w:hRule="atLeast"/>
        </w:trPr>
        <w:tc>
          <w:tcPr>
            <w:tcW w:w="0" w:type="auto"/>
            <w:shd w:val="clear" w:color="auto" w:fill="auto"/>
            <w:tcMar>
              <w:top w:w="0" w:type="dxa"/>
              <w:left w:w="90" w:type="dxa"/>
              <w:bottom w:w="0" w:type="dxa"/>
              <w:right w:w="90" w:type="dxa"/>
            </w:tcMar>
            <w:vAlign w:val="center"/>
          </w:tcPr>
          <w:p w14:paraId="1912330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w:t>
            </w:r>
          </w:p>
        </w:tc>
        <w:tc>
          <w:tcPr>
            <w:tcW w:w="0" w:type="auto"/>
            <w:shd w:val="clear" w:color="auto" w:fill="auto"/>
            <w:tcMar>
              <w:top w:w="0" w:type="dxa"/>
              <w:left w:w="90" w:type="dxa"/>
              <w:bottom w:w="0" w:type="dxa"/>
              <w:right w:w="90" w:type="dxa"/>
            </w:tcMar>
            <w:vAlign w:val="center"/>
          </w:tcPr>
          <w:p w14:paraId="1E9FAD6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地质状况</w:t>
            </w:r>
          </w:p>
        </w:tc>
        <w:tc>
          <w:tcPr>
            <w:tcW w:w="0" w:type="auto"/>
            <w:shd w:val="clear" w:color="auto" w:fill="auto"/>
            <w:tcMar>
              <w:top w:w="0" w:type="dxa"/>
              <w:left w:w="90" w:type="dxa"/>
              <w:bottom w:w="0" w:type="dxa"/>
              <w:right w:w="90" w:type="dxa"/>
            </w:tcMar>
            <w:vAlign w:val="center"/>
          </w:tcPr>
          <w:p w14:paraId="1E40FC6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采用采矿废石筑坝，地质条件良好，无不良地质</w:t>
            </w:r>
          </w:p>
        </w:tc>
        <w:tc>
          <w:tcPr>
            <w:tcW w:w="0" w:type="auto"/>
            <w:shd w:val="clear" w:color="auto" w:fill="auto"/>
            <w:tcMar>
              <w:top w:w="0" w:type="dxa"/>
              <w:left w:w="90" w:type="dxa"/>
              <w:bottom w:w="0" w:type="dxa"/>
              <w:right w:w="90" w:type="dxa"/>
            </w:tcMar>
            <w:vAlign w:val="center"/>
          </w:tcPr>
          <w:p w14:paraId="5851918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库内取土20.4万m</w:t>
            </w:r>
            <w:r>
              <w:rPr>
                <w:rFonts w:hint="eastAsia" w:ascii="Times New Roman" w:hAnsi="Times New Roman" w:eastAsia="宋体" w:cs="Times New Roman"/>
                <w:color w:val="auto"/>
                <w:kern w:val="0"/>
                <w:sz w:val="21"/>
                <w:szCs w:val="21"/>
                <w:highlight w:val="none"/>
                <w:vertAlign w:val="superscript"/>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，可能对库区原地貌扰动较大，增加不稳定因素</w:t>
            </w:r>
          </w:p>
        </w:tc>
      </w:tr>
      <w:tr w14:paraId="27D71C9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0" w:hRule="atLeast"/>
        </w:trPr>
        <w:tc>
          <w:tcPr>
            <w:tcW w:w="0" w:type="auto"/>
            <w:shd w:val="clear" w:color="auto" w:fill="auto"/>
            <w:tcMar>
              <w:top w:w="0" w:type="dxa"/>
              <w:left w:w="90" w:type="dxa"/>
              <w:bottom w:w="0" w:type="dxa"/>
              <w:right w:w="90" w:type="dxa"/>
            </w:tcMar>
            <w:vAlign w:val="center"/>
          </w:tcPr>
          <w:p w14:paraId="1219CBE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w:t>
            </w:r>
          </w:p>
        </w:tc>
        <w:tc>
          <w:tcPr>
            <w:tcW w:w="0" w:type="auto"/>
            <w:shd w:val="clear" w:color="auto" w:fill="auto"/>
            <w:tcMar>
              <w:top w:w="0" w:type="dxa"/>
              <w:left w:w="90" w:type="dxa"/>
              <w:bottom w:w="0" w:type="dxa"/>
              <w:right w:w="90" w:type="dxa"/>
            </w:tcMar>
            <w:vAlign w:val="center"/>
          </w:tcPr>
          <w:p w14:paraId="366E8A4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能耗</w:t>
            </w:r>
          </w:p>
        </w:tc>
        <w:tc>
          <w:tcPr>
            <w:tcW w:w="0" w:type="auto"/>
            <w:shd w:val="clear" w:color="auto" w:fill="auto"/>
            <w:tcMar>
              <w:top w:w="0" w:type="dxa"/>
              <w:left w:w="90" w:type="dxa"/>
              <w:bottom w:w="0" w:type="dxa"/>
              <w:right w:w="90" w:type="dxa"/>
            </w:tcMar>
            <w:vAlign w:val="center"/>
          </w:tcPr>
          <w:p w14:paraId="0AA92F4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筑坝工程量小（一期10.5万m</w:t>
            </w:r>
            <w:r>
              <w:rPr>
                <w:rFonts w:hint="eastAsia" w:ascii="Times New Roman" w:hAnsi="Times New Roman" w:eastAsia="宋体" w:cs="Times New Roman"/>
                <w:color w:val="auto"/>
                <w:kern w:val="0"/>
                <w:sz w:val="21"/>
                <w:szCs w:val="21"/>
                <w:highlight w:val="none"/>
                <w:vertAlign w:val="superscript"/>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+二期39万m</w:t>
            </w:r>
            <w:r>
              <w:rPr>
                <w:rFonts w:hint="eastAsia" w:ascii="Times New Roman" w:hAnsi="Times New Roman" w:eastAsia="宋体" w:cs="Times New Roman"/>
                <w:color w:val="auto"/>
                <w:kern w:val="0"/>
                <w:sz w:val="21"/>
                <w:szCs w:val="21"/>
                <w:highlight w:val="none"/>
                <w:vertAlign w:val="superscript"/>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），能耗相对较低</w:t>
            </w:r>
          </w:p>
        </w:tc>
        <w:tc>
          <w:tcPr>
            <w:tcW w:w="0" w:type="auto"/>
            <w:shd w:val="clear" w:color="auto" w:fill="auto"/>
            <w:tcMar>
              <w:top w:w="0" w:type="dxa"/>
              <w:left w:w="90" w:type="dxa"/>
              <w:bottom w:w="0" w:type="dxa"/>
              <w:right w:w="90" w:type="dxa"/>
            </w:tcMar>
            <w:vAlign w:val="center"/>
          </w:tcPr>
          <w:p w14:paraId="5E86688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筑坝工程量大（一期28.2万m</w:t>
            </w:r>
            <w:r>
              <w:rPr>
                <w:rFonts w:hint="eastAsia" w:ascii="Times New Roman" w:hAnsi="Times New Roman" w:eastAsia="宋体" w:cs="Times New Roman"/>
                <w:color w:val="auto"/>
                <w:kern w:val="0"/>
                <w:sz w:val="21"/>
                <w:szCs w:val="21"/>
                <w:highlight w:val="none"/>
                <w:vertAlign w:val="superscript"/>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+二期40.5万m</w:t>
            </w:r>
            <w:r>
              <w:rPr>
                <w:rFonts w:hint="eastAsia" w:ascii="Times New Roman" w:hAnsi="Times New Roman" w:eastAsia="宋体" w:cs="Times New Roman"/>
                <w:color w:val="auto"/>
                <w:kern w:val="0"/>
                <w:sz w:val="21"/>
                <w:szCs w:val="21"/>
                <w:highlight w:val="none"/>
                <w:vertAlign w:val="superscript"/>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），能耗较高</w:t>
            </w:r>
          </w:p>
        </w:tc>
      </w:tr>
      <w:tr w14:paraId="7D697D5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0" w:hRule="atLeast"/>
        </w:trPr>
        <w:tc>
          <w:tcPr>
            <w:tcW w:w="0" w:type="auto"/>
            <w:shd w:val="clear" w:color="auto" w:fill="auto"/>
            <w:tcMar>
              <w:top w:w="0" w:type="dxa"/>
              <w:left w:w="90" w:type="dxa"/>
              <w:bottom w:w="0" w:type="dxa"/>
              <w:right w:w="90" w:type="dxa"/>
            </w:tcMar>
            <w:vAlign w:val="center"/>
          </w:tcPr>
          <w:p w14:paraId="1974D95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w:t>
            </w:r>
          </w:p>
        </w:tc>
        <w:tc>
          <w:tcPr>
            <w:tcW w:w="0" w:type="auto"/>
            <w:shd w:val="clear" w:color="auto" w:fill="auto"/>
            <w:tcMar>
              <w:top w:w="0" w:type="dxa"/>
              <w:left w:w="90" w:type="dxa"/>
              <w:bottom w:w="0" w:type="dxa"/>
              <w:right w:w="90" w:type="dxa"/>
            </w:tcMar>
            <w:vAlign w:val="center"/>
          </w:tcPr>
          <w:p w14:paraId="0244268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地形地貌</w:t>
            </w:r>
          </w:p>
        </w:tc>
        <w:tc>
          <w:tcPr>
            <w:tcW w:w="0" w:type="auto"/>
            <w:shd w:val="clear" w:color="auto" w:fill="auto"/>
            <w:tcMar>
              <w:top w:w="0" w:type="dxa"/>
              <w:left w:w="90" w:type="dxa"/>
              <w:bottom w:w="0" w:type="dxa"/>
              <w:right w:w="90" w:type="dxa"/>
            </w:tcMar>
            <w:vAlign w:val="center"/>
          </w:tcPr>
          <w:p w14:paraId="1E3FD4E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沟谷地形，适宜分期筑坝、分区防渗，可有效减少初期投资</w:t>
            </w:r>
          </w:p>
        </w:tc>
        <w:tc>
          <w:tcPr>
            <w:tcW w:w="0" w:type="auto"/>
            <w:shd w:val="clear" w:color="auto" w:fill="auto"/>
            <w:tcMar>
              <w:top w:w="0" w:type="dxa"/>
              <w:left w:w="90" w:type="dxa"/>
              <w:bottom w:w="0" w:type="dxa"/>
              <w:right w:w="90" w:type="dxa"/>
            </w:tcMar>
            <w:vAlign w:val="center"/>
          </w:tcPr>
          <w:p w14:paraId="180BDED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地形较开阔，一次建坝分期加高，但库内取土破坏原始地貌</w:t>
            </w:r>
          </w:p>
        </w:tc>
      </w:tr>
      <w:tr w14:paraId="4C3F21E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CellMar>
            <w:top w:w="15" w:type="dxa"/>
            <w:left w:w="15" w:type="dxa"/>
            <w:bottom w:w="15" w:type="dxa"/>
            <w:right w:w="15" w:type="dxa"/>
          </w:tblCellMar>
        </w:tblPrEx>
        <w:trPr>
          <w:trHeight w:val="0" w:hRule="atLeast"/>
        </w:trPr>
        <w:tc>
          <w:tcPr>
            <w:tcW w:w="0" w:type="auto"/>
            <w:shd w:val="clear" w:color="auto" w:fill="auto"/>
            <w:tcMar>
              <w:top w:w="0" w:type="dxa"/>
              <w:left w:w="90" w:type="dxa"/>
              <w:bottom w:w="0" w:type="dxa"/>
              <w:right w:w="90" w:type="dxa"/>
            </w:tcMar>
            <w:vAlign w:val="center"/>
          </w:tcPr>
          <w:p w14:paraId="262EFDB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7</w:t>
            </w:r>
          </w:p>
        </w:tc>
        <w:tc>
          <w:tcPr>
            <w:tcW w:w="0" w:type="auto"/>
            <w:shd w:val="clear" w:color="auto" w:fill="auto"/>
            <w:tcMar>
              <w:top w:w="0" w:type="dxa"/>
              <w:left w:w="90" w:type="dxa"/>
              <w:bottom w:w="0" w:type="dxa"/>
              <w:right w:w="90" w:type="dxa"/>
            </w:tcMar>
            <w:vAlign w:val="center"/>
          </w:tcPr>
          <w:p w14:paraId="2D820F2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环境风险</w:t>
            </w:r>
          </w:p>
        </w:tc>
        <w:tc>
          <w:tcPr>
            <w:tcW w:w="0" w:type="auto"/>
            <w:shd w:val="clear" w:color="auto" w:fill="auto"/>
            <w:tcMar>
              <w:top w:w="0" w:type="dxa"/>
              <w:left w:w="90" w:type="dxa"/>
              <w:bottom w:w="0" w:type="dxa"/>
              <w:right w:w="90" w:type="dxa"/>
            </w:tcMar>
            <w:vAlign w:val="center"/>
          </w:tcPr>
          <w:p w14:paraId="743FA6C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防渗面积8.66hm</w:t>
            </w:r>
            <w:r>
              <w:rPr>
                <w:rFonts w:hint="eastAsia" w:cs="Times New Roman"/>
                <w:color w:val="auto"/>
                <w:kern w:val="0"/>
                <w:sz w:val="21"/>
                <w:szCs w:val="21"/>
                <w:highlight w:val="none"/>
                <w:vertAlign w:val="superscript"/>
                <w:lang w:val="en-US" w:eastAsia="zh-CN" w:bidi="ar-SA"/>
              </w:rPr>
              <w:t>2</w:t>
            </w:r>
            <w:r>
              <w:rPr>
                <w:rFonts w:hint="default" w:ascii="Times New Roman" w:hAnsi="Times New Roman" w:eastAsia="宋体" w:cs="Times New Roman"/>
                <w:color w:val="auto"/>
                <w:kern w:val="0"/>
                <w:sz w:val="21"/>
                <w:szCs w:val="21"/>
                <w:highlight w:val="none"/>
                <w:lang w:val="en-US" w:eastAsia="zh-CN" w:bidi="ar-SA"/>
              </w:rPr>
              <w:t>，膜厚1.0mm，风险可控，且设有溢洪道等设施</w:t>
            </w:r>
          </w:p>
        </w:tc>
        <w:tc>
          <w:tcPr>
            <w:tcW w:w="0" w:type="auto"/>
            <w:shd w:val="clear" w:color="auto" w:fill="auto"/>
            <w:tcMar>
              <w:top w:w="0" w:type="dxa"/>
              <w:left w:w="90" w:type="dxa"/>
              <w:bottom w:w="0" w:type="dxa"/>
              <w:right w:w="90" w:type="dxa"/>
            </w:tcMar>
            <w:vAlign w:val="center"/>
          </w:tcPr>
          <w:p w14:paraId="7E80559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防渗面积10.9hm</w:t>
            </w:r>
            <w:r>
              <w:rPr>
                <w:rFonts w:hint="eastAsia" w:cs="Times New Roman"/>
                <w:color w:val="auto"/>
                <w:kern w:val="0"/>
                <w:sz w:val="21"/>
                <w:szCs w:val="21"/>
                <w:highlight w:val="none"/>
                <w:vertAlign w:val="superscript"/>
                <w:lang w:val="en-US" w:eastAsia="zh-CN" w:bidi="ar-SA"/>
              </w:rPr>
              <w:t>2</w:t>
            </w:r>
            <w:r>
              <w:rPr>
                <w:rFonts w:hint="default" w:ascii="Times New Roman" w:hAnsi="Times New Roman" w:eastAsia="宋体" w:cs="Times New Roman"/>
                <w:color w:val="auto"/>
                <w:kern w:val="0"/>
                <w:sz w:val="21"/>
                <w:szCs w:val="21"/>
                <w:highlight w:val="none"/>
                <w:lang w:val="en-US" w:eastAsia="zh-CN" w:bidi="ar-SA"/>
              </w:rPr>
              <w:t>，膜厚1.5mm，防渗性能更优，但建设投资高，风险概率相近</w:t>
            </w:r>
          </w:p>
        </w:tc>
      </w:tr>
    </w:tbl>
    <w:p w14:paraId="029DD640">
      <w:pPr>
        <w:overflowPunct w:val="0"/>
        <w:topLinePunct/>
        <w:ind w:firstLine="0" w:firstLineChars="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表3.</w:t>
      </w:r>
      <w:r>
        <w:rPr>
          <w:rFonts w:hint="default" w:ascii="Times New Roman" w:hAnsi="Times New Roman" w:eastAsia="宋体" w:cs="Times New Roman"/>
          <w:b/>
          <w:color w:val="auto"/>
          <w:highlight w:val="none"/>
          <w:lang w:val="en-US" w:eastAsia="zh-CN"/>
        </w:rPr>
        <w:t>1</w:t>
      </w:r>
      <w:r>
        <w:rPr>
          <w:rFonts w:hint="default" w:ascii="Times New Roman" w:hAnsi="Times New Roman" w:eastAsia="宋体" w:cs="Times New Roman"/>
          <w:b/>
          <w:color w:val="auto"/>
          <w:highlight w:val="none"/>
        </w:rPr>
        <w:t>-</w:t>
      </w:r>
      <w:r>
        <w:rPr>
          <w:rFonts w:hint="default" w:ascii="Times New Roman" w:hAnsi="Times New Roman" w:eastAsia="宋体" w:cs="Times New Roman"/>
          <w:b/>
          <w:color w:val="auto"/>
          <w:highlight w:val="none"/>
          <w:lang w:val="en-US" w:eastAsia="zh-CN"/>
        </w:rPr>
        <w:t>15</w:t>
      </w:r>
      <w:r>
        <w:rPr>
          <w:rFonts w:hint="default" w:ascii="Times New Roman" w:hAnsi="Times New Roman" w:eastAsia="宋体" w:cs="Times New Roman"/>
          <w:b/>
          <w:color w:val="auto"/>
          <w:highlight w:val="none"/>
        </w:rPr>
        <w:t xml:space="preserve">    </w:t>
      </w:r>
      <w:r>
        <w:rPr>
          <w:rFonts w:hint="default" w:ascii="Times New Roman" w:hAnsi="Times New Roman" w:eastAsia="宋体" w:cs="Times New Roman"/>
          <w:b/>
          <w:color w:val="auto"/>
          <w:kern w:val="0"/>
          <w:highlight w:val="none"/>
        </w:rPr>
        <w:t>尾矿库选址合理性分析一览表</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7"/>
        <w:gridCol w:w="1851"/>
        <w:gridCol w:w="1851"/>
        <w:gridCol w:w="1914"/>
        <w:gridCol w:w="1575"/>
        <w:gridCol w:w="1556"/>
      </w:tblGrid>
      <w:tr w14:paraId="7049F2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27" w:type="dxa"/>
            <w:vAlign w:val="center"/>
          </w:tcPr>
          <w:p w14:paraId="54ED64AE">
            <w:pPr>
              <w:overflowPunct w:val="0"/>
              <w:topLinePunct/>
              <w:spacing w:line="360" w:lineRule="exact"/>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1851" w:type="dxa"/>
            <w:vAlign w:val="center"/>
          </w:tcPr>
          <w:p w14:paraId="2EBEF5A9">
            <w:pPr>
              <w:overflowPunct w:val="0"/>
              <w:topLinePunct/>
              <w:spacing w:line="360" w:lineRule="exact"/>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《尾矿设施设计规范》（GB50863-2013）</w:t>
            </w:r>
          </w:p>
        </w:tc>
        <w:tc>
          <w:tcPr>
            <w:tcW w:w="1851" w:type="dxa"/>
            <w:vAlign w:val="center"/>
          </w:tcPr>
          <w:p w14:paraId="006D03B6">
            <w:pPr>
              <w:overflowPunct w:val="0"/>
              <w:topLinePunct/>
              <w:spacing w:line="360" w:lineRule="exact"/>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《尾矿库安全规程》（GB39496-2020）</w:t>
            </w:r>
          </w:p>
        </w:tc>
        <w:tc>
          <w:tcPr>
            <w:tcW w:w="1914" w:type="dxa"/>
            <w:vAlign w:val="center"/>
          </w:tcPr>
          <w:p w14:paraId="17888E3F">
            <w:pPr>
              <w:overflowPunct w:val="0"/>
              <w:topLinePunct/>
              <w:spacing w:line="360" w:lineRule="exact"/>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《一般工业固体废物贮存和填埋污染控制标准》（GB18599-2020）</w:t>
            </w:r>
          </w:p>
        </w:tc>
        <w:tc>
          <w:tcPr>
            <w:tcW w:w="1575" w:type="dxa"/>
            <w:vAlign w:val="center"/>
          </w:tcPr>
          <w:p w14:paraId="4B7D7213">
            <w:pPr>
              <w:overflowPunct w:val="0"/>
              <w:topLinePunct/>
              <w:spacing w:line="360" w:lineRule="exact"/>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拟选场址（库址</w:t>
            </w:r>
            <w:r>
              <w:rPr>
                <w:rFonts w:hint="eastAsia" w:cs="Times New Roman"/>
                <w:b/>
                <w:color w:val="auto"/>
                <w:sz w:val="21"/>
                <w:szCs w:val="21"/>
                <w:highlight w:val="none"/>
                <w:lang w:val="en-US" w:eastAsia="zh-CN"/>
              </w:rPr>
              <w:t>方案一</w:t>
            </w:r>
            <w:r>
              <w:rPr>
                <w:rFonts w:hint="default" w:ascii="Times New Roman" w:hAnsi="Times New Roman" w:eastAsia="宋体" w:cs="Times New Roman"/>
                <w:b/>
                <w:color w:val="auto"/>
                <w:sz w:val="21"/>
                <w:szCs w:val="21"/>
                <w:highlight w:val="none"/>
              </w:rPr>
              <w:t>）</w:t>
            </w:r>
          </w:p>
        </w:tc>
        <w:tc>
          <w:tcPr>
            <w:tcW w:w="1556" w:type="dxa"/>
            <w:vAlign w:val="center"/>
          </w:tcPr>
          <w:p w14:paraId="69BA3E22">
            <w:pPr>
              <w:overflowPunct w:val="0"/>
              <w:topLinePunct/>
              <w:spacing w:line="360" w:lineRule="exact"/>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拟选场址（库址</w:t>
            </w:r>
            <w:r>
              <w:rPr>
                <w:rFonts w:hint="eastAsia" w:cs="Times New Roman"/>
                <w:b/>
                <w:color w:val="auto"/>
                <w:sz w:val="21"/>
                <w:szCs w:val="21"/>
                <w:highlight w:val="none"/>
                <w:lang w:val="en-US" w:eastAsia="zh-CN"/>
              </w:rPr>
              <w:t>方案二</w:t>
            </w:r>
            <w:r>
              <w:rPr>
                <w:rFonts w:hint="default" w:ascii="Times New Roman" w:hAnsi="Times New Roman" w:eastAsia="宋体" w:cs="Times New Roman"/>
                <w:b/>
                <w:color w:val="auto"/>
                <w:sz w:val="21"/>
                <w:szCs w:val="21"/>
                <w:highlight w:val="none"/>
              </w:rPr>
              <w:t>）</w:t>
            </w:r>
          </w:p>
        </w:tc>
      </w:tr>
      <w:tr w14:paraId="1BAB28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7" w:type="dxa"/>
            <w:vAlign w:val="center"/>
          </w:tcPr>
          <w:p w14:paraId="60774B85">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851" w:type="dxa"/>
            <w:vAlign w:val="center"/>
          </w:tcPr>
          <w:p w14:paraId="79F6EE66">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不宜位于工矿企业、大型水源地、水产基地和大型居民区上游。</w:t>
            </w:r>
          </w:p>
        </w:tc>
        <w:tc>
          <w:tcPr>
            <w:tcW w:w="1851" w:type="dxa"/>
            <w:vAlign w:val="center"/>
          </w:tcPr>
          <w:p w14:paraId="6D6D3B21">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不宜位于工矿企业、大型水源地、水产基地和大型居民区上游。</w:t>
            </w:r>
          </w:p>
        </w:tc>
        <w:tc>
          <w:tcPr>
            <w:tcW w:w="1914" w:type="dxa"/>
            <w:vAlign w:val="center"/>
          </w:tcPr>
          <w:p w14:paraId="409A36A9">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75" w:type="dxa"/>
            <w:vAlign w:val="center"/>
          </w:tcPr>
          <w:p w14:paraId="0D3FE13F">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选址区域无大型居民区、水源地，符合要求。</w:t>
            </w:r>
          </w:p>
        </w:tc>
        <w:tc>
          <w:tcPr>
            <w:tcW w:w="1556" w:type="dxa"/>
            <w:vAlign w:val="center"/>
          </w:tcPr>
          <w:p w14:paraId="1EAFDDC4">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选址区域无大型居民区、水源地，符合要求。</w:t>
            </w:r>
          </w:p>
        </w:tc>
      </w:tr>
      <w:tr w14:paraId="3CE6AD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7" w:type="dxa"/>
            <w:vAlign w:val="center"/>
          </w:tcPr>
          <w:p w14:paraId="51C6B69B">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851" w:type="dxa"/>
            <w:vAlign w:val="center"/>
          </w:tcPr>
          <w:p w14:paraId="4807F92E">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不应位于全国和省重点保护名胜古迹上游。</w:t>
            </w:r>
          </w:p>
        </w:tc>
        <w:tc>
          <w:tcPr>
            <w:tcW w:w="1851" w:type="dxa"/>
            <w:vAlign w:val="center"/>
          </w:tcPr>
          <w:p w14:paraId="64EF1C12">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不应位于全国和省重点保护名胜古迹的上游。</w:t>
            </w:r>
          </w:p>
        </w:tc>
        <w:tc>
          <w:tcPr>
            <w:tcW w:w="1914" w:type="dxa"/>
            <w:vAlign w:val="center"/>
          </w:tcPr>
          <w:p w14:paraId="71BCEF8F">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贮存场、填埋场不得选在生态保护红线区域、永久基本农田集中区域和其他需要特别保护的区域内。</w:t>
            </w:r>
          </w:p>
        </w:tc>
        <w:tc>
          <w:tcPr>
            <w:tcW w:w="1575" w:type="dxa"/>
            <w:vAlign w:val="center"/>
          </w:tcPr>
          <w:p w14:paraId="4AFFF894">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不涉及上述区域，符合要求。</w:t>
            </w:r>
          </w:p>
        </w:tc>
        <w:tc>
          <w:tcPr>
            <w:tcW w:w="1556" w:type="dxa"/>
            <w:vAlign w:val="center"/>
          </w:tcPr>
          <w:p w14:paraId="05BB27CF">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不涉及上述区域，符合要求。</w:t>
            </w:r>
          </w:p>
        </w:tc>
      </w:tr>
      <w:tr w14:paraId="1DCF1B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7" w:type="dxa"/>
            <w:vAlign w:val="center"/>
          </w:tcPr>
          <w:p w14:paraId="6C05E2F4">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851" w:type="dxa"/>
            <w:vAlign w:val="center"/>
          </w:tcPr>
          <w:p w14:paraId="1461CF00">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工程、水文地质条件好。</w:t>
            </w:r>
          </w:p>
        </w:tc>
        <w:tc>
          <w:tcPr>
            <w:tcW w:w="1851" w:type="dxa"/>
            <w:vAlign w:val="center"/>
          </w:tcPr>
          <w:p w14:paraId="41ECD047">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应避开地质构造复杂、不良地质现象严重区域。</w:t>
            </w:r>
          </w:p>
        </w:tc>
        <w:tc>
          <w:tcPr>
            <w:tcW w:w="1914" w:type="dxa"/>
            <w:vAlign w:val="center"/>
          </w:tcPr>
          <w:p w14:paraId="602CBAE3">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贮存场、填埋场应避开活动断层、溶洞区、天然滑坡或泥石流影响区以及湿地等区域。</w:t>
            </w:r>
          </w:p>
        </w:tc>
        <w:tc>
          <w:tcPr>
            <w:tcW w:w="1575" w:type="dxa"/>
            <w:vAlign w:val="center"/>
          </w:tcPr>
          <w:p w14:paraId="7E512235">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地质条件良好，无不良地质现象，符合要求。</w:t>
            </w:r>
          </w:p>
        </w:tc>
        <w:tc>
          <w:tcPr>
            <w:tcW w:w="1556" w:type="dxa"/>
            <w:vAlign w:val="center"/>
          </w:tcPr>
          <w:p w14:paraId="3CD10D16">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地质条件良好，无不良地质现象，符合要求。</w:t>
            </w:r>
          </w:p>
        </w:tc>
      </w:tr>
      <w:tr w14:paraId="6815AA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7" w:type="dxa"/>
            <w:vAlign w:val="center"/>
          </w:tcPr>
          <w:p w14:paraId="6DE441CE">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851" w:type="dxa"/>
            <w:vAlign w:val="center"/>
          </w:tcPr>
          <w:p w14:paraId="404BF7EA">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不宜位于有开采价值的矿床上面。</w:t>
            </w:r>
          </w:p>
        </w:tc>
        <w:tc>
          <w:tcPr>
            <w:tcW w:w="1851" w:type="dxa"/>
            <w:vAlign w:val="center"/>
          </w:tcPr>
          <w:p w14:paraId="4E49D9EE">
            <w:pPr>
              <w:autoSpaceDE w:val="0"/>
              <w:autoSpaceDN w:val="0"/>
              <w:adjustRightInd w:val="0"/>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不宜位于有开采价值的矿床上面。</w:t>
            </w:r>
          </w:p>
        </w:tc>
        <w:tc>
          <w:tcPr>
            <w:tcW w:w="1914" w:type="dxa"/>
            <w:vAlign w:val="center"/>
          </w:tcPr>
          <w:p w14:paraId="14B1DA77">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75" w:type="dxa"/>
            <w:vAlign w:val="center"/>
          </w:tcPr>
          <w:p w14:paraId="2BF62A15">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无矿床分布，符合要求。</w:t>
            </w:r>
          </w:p>
        </w:tc>
        <w:tc>
          <w:tcPr>
            <w:tcW w:w="1556" w:type="dxa"/>
            <w:vAlign w:val="center"/>
          </w:tcPr>
          <w:p w14:paraId="711A9480">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无矿床分布，符合要求。</w:t>
            </w:r>
          </w:p>
        </w:tc>
      </w:tr>
      <w:tr w14:paraId="5EBF14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7" w:type="dxa"/>
            <w:vAlign w:val="center"/>
          </w:tcPr>
          <w:p w14:paraId="52472B01">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851" w:type="dxa"/>
            <w:vAlign w:val="center"/>
          </w:tcPr>
          <w:p w14:paraId="3B4CE351">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汇水面积小，有足够的库容和初、终期库长。</w:t>
            </w:r>
          </w:p>
        </w:tc>
        <w:tc>
          <w:tcPr>
            <w:tcW w:w="1851" w:type="dxa"/>
            <w:vAlign w:val="center"/>
          </w:tcPr>
          <w:p w14:paraId="6AF67D10">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汇水面积小，有足够的库容和初、终期库长。</w:t>
            </w:r>
          </w:p>
        </w:tc>
        <w:tc>
          <w:tcPr>
            <w:tcW w:w="1914" w:type="dxa"/>
            <w:vAlign w:val="center"/>
          </w:tcPr>
          <w:p w14:paraId="659B26B9">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75" w:type="dxa"/>
            <w:vAlign w:val="center"/>
          </w:tcPr>
          <w:p w14:paraId="3C341384">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汇水面积适中，总库容102万</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rPr>
              <w:t>，服务年限5.2年，符合要求。</w:t>
            </w:r>
          </w:p>
        </w:tc>
        <w:tc>
          <w:tcPr>
            <w:tcW w:w="1556" w:type="dxa"/>
            <w:vAlign w:val="center"/>
          </w:tcPr>
          <w:p w14:paraId="6CB2785B">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汇水面积适中，总库容102万</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rPr>
              <w:t>，服务年限5.2年，符合要求。</w:t>
            </w:r>
          </w:p>
        </w:tc>
      </w:tr>
      <w:tr w14:paraId="04C3E3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7" w:type="dxa"/>
            <w:vAlign w:val="center"/>
          </w:tcPr>
          <w:p w14:paraId="0EB0D96D">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1851" w:type="dxa"/>
            <w:vAlign w:val="center"/>
          </w:tcPr>
          <w:p w14:paraId="56F1A491">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不宜位于大居民区及厂区最大频率风向的上风侧。</w:t>
            </w:r>
          </w:p>
        </w:tc>
        <w:tc>
          <w:tcPr>
            <w:tcW w:w="1851" w:type="dxa"/>
            <w:vAlign w:val="center"/>
          </w:tcPr>
          <w:p w14:paraId="5D613499">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914" w:type="dxa"/>
            <w:vAlign w:val="center"/>
          </w:tcPr>
          <w:p w14:paraId="4D6BB3E7">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75" w:type="dxa"/>
            <w:vAlign w:val="center"/>
          </w:tcPr>
          <w:p w14:paraId="5ED90FE0">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选址位于厂区下风向，符合要求。</w:t>
            </w:r>
          </w:p>
        </w:tc>
        <w:tc>
          <w:tcPr>
            <w:tcW w:w="1556" w:type="dxa"/>
            <w:vAlign w:val="center"/>
          </w:tcPr>
          <w:p w14:paraId="0646438D">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选址位于厂区下风向，符合要求。</w:t>
            </w:r>
          </w:p>
        </w:tc>
      </w:tr>
      <w:tr w14:paraId="451CCB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7" w:type="dxa"/>
            <w:vAlign w:val="center"/>
          </w:tcPr>
          <w:p w14:paraId="4698F0A1">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1851" w:type="dxa"/>
            <w:vAlign w:val="center"/>
          </w:tcPr>
          <w:p w14:paraId="181014BA">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筑坝工程最小，生产管理方便。</w:t>
            </w:r>
          </w:p>
        </w:tc>
        <w:tc>
          <w:tcPr>
            <w:tcW w:w="1851" w:type="dxa"/>
            <w:vAlign w:val="center"/>
          </w:tcPr>
          <w:p w14:paraId="2BB16514">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914" w:type="dxa"/>
            <w:vAlign w:val="center"/>
          </w:tcPr>
          <w:p w14:paraId="674AA703">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75" w:type="dxa"/>
            <w:vAlign w:val="center"/>
          </w:tcPr>
          <w:p w14:paraId="2BF0FC6E">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筑坝工程量小，分期建设，管理方便，符合要求。</w:t>
            </w:r>
          </w:p>
        </w:tc>
        <w:tc>
          <w:tcPr>
            <w:tcW w:w="1556" w:type="dxa"/>
            <w:vAlign w:val="center"/>
          </w:tcPr>
          <w:p w14:paraId="1AC67115">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筑坝工程量大（一期28.2万m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+二期40.5万m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），能耗较高</w:t>
            </w:r>
          </w:p>
        </w:tc>
      </w:tr>
      <w:tr w14:paraId="318C79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7" w:type="dxa"/>
            <w:vAlign w:val="center"/>
          </w:tcPr>
          <w:p w14:paraId="54D29B33">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1851" w:type="dxa"/>
            <w:vAlign w:val="center"/>
          </w:tcPr>
          <w:p w14:paraId="33D290F4">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不迁或少迁村庄。</w:t>
            </w:r>
          </w:p>
        </w:tc>
        <w:tc>
          <w:tcPr>
            <w:tcW w:w="1851" w:type="dxa"/>
            <w:vAlign w:val="center"/>
          </w:tcPr>
          <w:p w14:paraId="3C7F332A">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914" w:type="dxa"/>
            <w:vAlign w:val="center"/>
          </w:tcPr>
          <w:p w14:paraId="7ECEAB09">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75" w:type="dxa"/>
            <w:vAlign w:val="center"/>
          </w:tcPr>
          <w:p w14:paraId="4ED83963">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不涉及村庄搬迁，符合要求。</w:t>
            </w:r>
          </w:p>
        </w:tc>
        <w:tc>
          <w:tcPr>
            <w:tcW w:w="1556" w:type="dxa"/>
            <w:vAlign w:val="center"/>
          </w:tcPr>
          <w:p w14:paraId="25042E80">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不涉及村庄搬迁，符合要求。</w:t>
            </w:r>
          </w:p>
        </w:tc>
      </w:tr>
      <w:tr w14:paraId="29A455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7" w:type="dxa"/>
            <w:vAlign w:val="center"/>
          </w:tcPr>
          <w:p w14:paraId="5E279FDB">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1851" w:type="dxa"/>
            <w:vAlign w:val="center"/>
          </w:tcPr>
          <w:p w14:paraId="2A55DC7D">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尾矿输送距离短，能自流或扬</w:t>
            </w:r>
            <w:r>
              <w:rPr>
                <w:rFonts w:hint="default" w:ascii="Times New Roman" w:hAnsi="Times New Roman" w:eastAsia="宋体" w:cs="Times New Roman"/>
                <w:color w:val="auto"/>
                <w:sz w:val="21"/>
                <w:szCs w:val="21"/>
                <w:highlight w:val="none"/>
                <w:lang w:eastAsia="zh-CN"/>
              </w:rPr>
              <w:t>程</w:t>
            </w:r>
            <w:r>
              <w:rPr>
                <w:rFonts w:hint="default" w:ascii="Times New Roman" w:hAnsi="Times New Roman" w:eastAsia="宋体" w:cs="Times New Roman"/>
                <w:color w:val="auto"/>
                <w:sz w:val="21"/>
                <w:szCs w:val="21"/>
                <w:highlight w:val="none"/>
              </w:rPr>
              <w:t>小。</w:t>
            </w:r>
          </w:p>
        </w:tc>
        <w:tc>
          <w:tcPr>
            <w:tcW w:w="1851" w:type="dxa"/>
            <w:vAlign w:val="center"/>
          </w:tcPr>
          <w:p w14:paraId="360F5ED4">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914" w:type="dxa"/>
            <w:vAlign w:val="center"/>
          </w:tcPr>
          <w:p w14:paraId="21773FB4">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75" w:type="dxa"/>
            <w:vAlign w:val="center"/>
          </w:tcPr>
          <w:p w14:paraId="7AC7DD04">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尾矿输送直线</w:t>
            </w:r>
            <w:r>
              <w:rPr>
                <w:rFonts w:hint="default" w:ascii="Times New Roman" w:hAnsi="Times New Roman" w:eastAsia="宋体" w:cs="Times New Roman"/>
                <w:color w:val="auto"/>
                <w:sz w:val="21"/>
                <w:szCs w:val="21"/>
                <w:highlight w:val="none"/>
              </w:rPr>
              <w:t>距离</w:t>
            </w:r>
            <w:r>
              <w:rPr>
                <w:rFonts w:hint="eastAsia" w:cs="Times New Roman"/>
                <w:color w:val="auto"/>
                <w:sz w:val="21"/>
                <w:szCs w:val="21"/>
                <w:highlight w:val="none"/>
                <w:lang w:val="en-US" w:eastAsia="zh-CN"/>
              </w:rPr>
              <w:t>约408m</w:t>
            </w:r>
            <w:r>
              <w:rPr>
                <w:rFonts w:hint="default" w:ascii="Times New Roman" w:hAnsi="Times New Roman" w:eastAsia="宋体" w:cs="Times New Roman"/>
                <w:color w:val="auto"/>
                <w:sz w:val="21"/>
                <w:szCs w:val="21"/>
                <w:highlight w:val="none"/>
              </w:rPr>
              <w:t>适中，输送条件良好。</w:t>
            </w:r>
          </w:p>
        </w:tc>
        <w:tc>
          <w:tcPr>
            <w:tcW w:w="1556" w:type="dxa"/>
            <w:vAlign w:val="center"/>
          </w:tcPr>
          <w:p w14:paraId="63266465">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尾矿输送直线</w:t>
            </w:r>
            <w:r>
              <w:rPr>
                <w:rFonts w:hint="default" w:ascii="Times New Roman" w:hAnsi="Times New Roman" w:eastAsia="宋体" w:cs="Times New Roman"/>
                <w:color w:val="auto"/>
                <w:sz w:val="21"/>
                <w:szCs w:val="21"/>
                <w:highlight w:val="none"/>
              </w:rPr>
              <w:t>距离</w:t>
            </w:r>
            <w:r>
              <w:rPr>
                <w:rFonts w:hint="eastAsia" w:cs="Times New Roman"/>
                <w:color w:val="auto"/>
                <w:sz w:val="21"/>
                <w:szCs w:val="21"/>
                <w:highlight w:val="none"/>
                <w:lang w:val="en-US" w:eastAsia="zh-CN"/>
              </w:rPr>
              <w:t>约2.29km</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输送</w:t>
            </w:r>
            <w:r>
              <w:rPr>
                <w:rFonts w:hint="eastAsia" w:cs="Times New Roman"/>
                <w:color w:val="auto"/>
                <w:sz w:val="21"/>
                <w:szCs w:val="21"/>
                <w:highlight w:val="none"/>
                <w:lang w:val="en-US" w:eastAsia="zh-CN"/>
              </w:rPr>
              <w:t>条件较差</w:t>
            </w:r>
            <w:r>
              <w:rPr>
                <w:rFonts w:hint="default" w:ascii="Times New Roman" w:hAnsi="Times New Roman" w:eastAsia="宋体" w:cs="Times New Roman"/>
                <w:color w:val="auto"/>
                <w:sz w:val="21"/>
                <w:szCs w:val="21"/>
                <w:highlight w:val="none"/>
              </w:rPr>
              <w:t>。</w:t>
            </w:r>
          </w:p>
        </w:tc>
      </w:tr>
      <w:tr w14:paraId="2D0EC4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7" w:type="dxa"/>
            <w:vAlign w:val="center"/>
          </w:tcPr>
          <w:p w14:paraId="6C53F1C4">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1851" w:type="dxa"/>
            <w:vAlign w:val="center"/>
          </w:tcPr>
          <w:p w14:paraId="78A16EC0">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851" w:type="dxa"/>
            <w:vAlign w:val="center"/>
          </w:tcPr>
          <w:p w14:paraId="748EE803">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914" w:type="dxa"/>
            <w:vAlign w:val="center"/>
          </w:tcPr>
          <w:p w14:paraId="61FDB315">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贮存场、填埋场不得选在江河、湖泊、运河、渠道、水库最高水位线以下的滩地和岸坡，以及国家和地方长远规划中的水库等人工蓄水设施的淹没区和保护区之内。</w:t>
            </w:r>
          </w:p>
        </w:tc>
        <w:tc>
          <w:tcPr>
            <w:tcW w:w="1575" w:type="dxa"/>
            <w:vAlign w:val="center"/>
          </w:tcPr>
          <w:p w14:paraId="34715B67">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不涉及上述区域，符合要求。</w:t>
            </w:r>
          </w:p>
        </w:tc>
        <w:tc>
          <w:tcPr>
            <w:tcW w:w="1556" w:type="dxa"/>
            <w:vAlign w:val="center"/>
          </w:tcPr>
          <w:p w14:paraId="3D985FF9">
            <w:pPr>
              <w:overflowPunct w:val="0"/>
              <w:topLinePunct/>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不涉及上述区域，符合要求。</w:t>
            </w:r>
          </w:p>
        </w:tc>
      </w:tr>
    </w:tbl>
    <w:p w14:paraId="23BA26F1">
      <w:pPr>
        <w:overflowPunct w:val="0"/>
        <w:topLinePunct/>
        <w:ind w:firstLine="480"/>
        <w:rPr>
          <w:rFonts w:hint="default" w:ascii="Times New Roman" w:hAnsi="Times New Roman" w:cs="Times New Roman"/>
          <w:color w:val="auto"/>
          <w:highlight w:val="none"/>
          <w:lang w:eastAsia="zh-CN"/>
        </w:rPr>
      </w:pPr>
      <w:r>
        <w:rPr>
          <w:rFonts w:hint="default" w:ascii="Times New Roman" w:hAnsi="Times New Roman" w:eastAsia="宋体" w:cs="Times New Roman"/>
          <w:color w:val="auto"/>
          <w:highlight w:val="none"/>
        </w:rPr>
        <w:t>由上述分析可以看出，本工程尾矿库选址</w:t>
      </w:r>
      <w:r>
        <w:rPr>
          <w:rFonts w:hint="eastAsia" w:cs="Times New Roman"/>
          <w:color w:val="auto"/>
          <w:highlight w:val="none"/>
          <w:lang w:val="en-US" w:eastAsia="zh-CN"/>
        </w:rPr>
        <w:t>拟选用方案一，方案一更</w:t>
      </w:r>
      <w:r>
        <w:rPr>
          <w:rFonts w:hint="default" w:ascii="Times New Roman" w:hAnsi="Times New Roman" w:eastAsia="宋体" w:cs="Times New Roman"/>
          <w:color w:val="auto"/>
          <w:highlight w:val="none"/>
        </w:rPr>
        <w:t>符合相关规范、标准的要求，选址合理。</w:t>
      </w:r>
    </w:p>
    <w:p w14:paraId="3B83BEDB">
      <w:pPr>
        <w:pStyle w:val="3"/>
        <w:spacing w:line="560" w:lineRule="atLeast"/>
        <w:rPr>
          <w:rFonts w:hint="default" w:ascii="Times New Roman" w:hAnsi="Times New Roman" w:cs="Times New Roman"/>
          <w:color w:val="auto"/>
          <w:highlight w:val="none"/>
        </w:rPr>
      </w:pPr>
      <w:bookmarkStart w:id="384" w:name="_Toc18572"/>
      <w:bookmarkStart w:id="385" w:name="_Toc14202"/>
      <w:bookmarkStart w:id="386" w:name="_Toc3946"/>
      <w:bookmarkStart w:id="387" w:name="_Toc13594"/>
      <w:bookmarkStart w:id="388" w:name="_Toc107414655"/>
      <w:bookmarkStart w:id="389" w:name="_Toc107413888"/>
      <w:bookmarkStart w:id="390" w:name="_Toc25769"/>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工程分析</w:t>
      </w:r>
      <w:bookmarkEnd w:id="384"/>
      <w:bookmarkEnd w:id="385"/>
      <w:bookmarkEnd w:id="386"/>
      <w:bookmarkEnd w:id="387"/>
      <w:bookmarkEnd w:id="388"/>
      <w:bookmarkEnd w:id="389"/>
      <w:bookmarkEnd w:id="390"/>
    </w:p>
    <w:p w14:paraId="343FE993">
      <w:pPr>
        <w:pStyle w:val="4"/>
        <w:rPr>
          <w:rFonts w:hint="default" w:ascii="Times New Roman" w:hAnsi="Times New Roman" w:cs="Times New Roman"/>
          <w:color w:val="auto"/>
          <w:highlight w:val="none"/>
        </w:rPr>
      </w:pPr>
      <w:bookmarkStart w:id="391" w:name="_Toc25255"/>
      <w:bookmarkStart w:id="392" w:name="_Toc31055"/>
      <w:bookmarkStart w:id="393" w:name="_Toc3942"/>
      <w:bookmarkStart w:id="394" w:name="_Toc3646"/>
      <w:bookmarkStart w:id="395" w:name="_Toc31159"/>
      <w:bookmarkStart w:id="396" w:name="_Toc18585"/>
      <w:bookmarkStart w:id="397" w:name="_Toc6523"/>
      <w:bookmarkStart w:id="398" w:name="_Toc12441"/>
      <w:bookmarkStart w:id="399" w:name="_Toc26227"/>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.1工艺流程</w:t>
      </w:r>
      <w:bookmarkEnd w:id="391"/>
      <w:bookmarkEnd w:id="392"/>
      <w:bookmarkEnd w:id="393"/>
      <w:bookmarkEnd w:id="394"/>
      <w:bookmarkEnd w:id="395"/>
      <w:bookmarkEnd w:id="396"/>
      <w:bookmarkEnd w:id="397"/>
      <w:bookmarkEnd w:id="398"/>
      <w:bookmarkEnd w:id="399"/>
    </w:p>
    <w:p w14:paraId="1820E2F9">
      <w:pPr>
        <w:keepNext w:val="0"/>
        <w:keepLines w:val="0"/>
        <w:pageBreakBefore w:val="0"/>
        <w:widowControl w:val="0"/>
        <w:kinsoku/>
        <w:wordWrap/>
        <w:overflowPunct w:val="0"/>
        <w:topLinePunct/>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本项目原料萤石矿石来自新疆嘉西矿业有限公司哈密市伊州区雅满苏镇M1033三支萤石矿采矿工程开采的矿石。拟定的选矿工艺指标见表3.2-1。</w:t>
      </w:r>
    </w:p>
    <w:p w14:paraId="0B27E34E">
      <w:pPr>
        <w:overflowPunct w:val="0"/>
        <w:topLinePunct/>
        <w:ind w:firstLine="0" w:firstLineChars="0"/>
        <w:jc w:val="center"/>
        <w:rPr>
          <w:rFonts w:hint="default" w:ascii="Times New Roman" w:hAnsi="Times New Roman" w:cs="Times New Roman"/>
          <w:b/>
          <w:color w:val="auto"/>
          <w:kern w:val="0"/>
          <w:highlight w:val="none"/>
          <w:lang w:val="en-US" w:eastAsia="zh-CN"/>
        </w:rPr>
      </w:pPr>
      <w:r>
        <w:rPr>
          <w:rFonts w:hint="default" w:ascii="Times New Roman" w:hAnsi="Times New Roman" w:cs="Times New Roman"/>
          <w:b/>
          <w:color w:val="auto"/>
          <w:kern w:val="0"/>
          <w:highlight w:val="none"/>
          <w:lang w:val="en-US" w:eastAsia="zh-CN"/>
        </w:rPr>
        <w:t>表3.2-1    选矿工艺指标表</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2340"/>
        <w:gridCol w:w="1908"/>
        <w:gridCol w:w="2107"/>
        <w:gridCol w:w="1410"/>
      </w:tblGrid>
      <w:tr w14:paraId="7199AA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4" w:type="dxa"/>
            <w:vAlign w:val="center"/>
          </w:tcPr>
          <w:p w14:paraId="4D1A838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867" w:type="dxa"/>
            <w:vAlign w:val="center"/>
          </w:tcPr>
          <w:p w14:paraId="6F6EC9B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w:t>
            </w:r>
          </w:p>
        </w:tc>
        <w:tc>
          <w:tcPr>
            <w:tcW w:w="1522" w:type="dxa"/>
            <w:shd w:val="clear" w:color="auto" w:fill="auto"/>
            <w:vAlign w:val="center"/>
          </w:tcPr>
          <w:p w14:paraId="0AD7A38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指标</w:t>
            </w:r>
          </w:p>
        </w:tc>
        <w:tc>
          <w:tcPr>
            <w:tcW w:w="1681" w:type="dxa"/>
            <w:vAlign w:val="center"/>
          </w:tcPr>
          <w:p w14:paraId="21D7A35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单位</w:t>
            </w:r>
          </w:p>
        </w:tc>
        <w:tc>
          <w:tcPr>
            <w:tcW w:w="1125" w:type="dxa"/>
            <w:vAlign w:val="center"/>
          </w:tcPr>
          <w:p w14:paraId="7FDADA0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备注</w:t>
            </w:r>
          </w:p>
        </w:tc>
      </w:tr>
      <w:tr w14:paraId="312551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4" w:type="dxa"/>
            <w:vAlign w:val="center"/>
          </w:tcPr>
          <w:p w14:paraId="7E96D11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867" w:type="dxa"/>
            <w:vAlign w:val="center"/>
          </w:tcPr>
          <w:p w14:paraId="5B1C167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选矿规模</w:t>
            </w:r>
          </w:p>
        </w:tc>
        <w:tc>
          <w:tcPr>
            <w:tcW w:w="1522" w:type="dxa"/>
            <w:shd w:val="clear" w:color="auto" w:fill="auto"/>
            <w:vAlign w:val="center"/>
          </w:tcPr>
          <w:p w14:paraId="4806D18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1681" w:type="dxa"/>
            <w:vAlign w:val="center"/>
          </w:tcPr>
          <w:p w14:paraId="41C1DFC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万吨/年</w:t>
            </w:r>
          </w:p>
        </w:tc>
        <w:tc>
          <w:tcPr>
            <w:tcW w:w="1125" w:type="dxa"/>
            <w:vAlign w:val="center"/>
          </w:tcPr>
          <w:p w14:paraId="0F47E46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原矿</w:t>
            </w:r>
          </w:p>
        </w:tc>
      </w:tr>
      <w:tr w14:paraId="18BE35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4" w:type="dxa"/>
            <w:vAlign w:val="center"/>
          </w:tcPr>
          <w:p w14:paraId="5145368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867" w:type="dxa"/>
            <w:vAlign w:val="center"/>
          </w:tcPr>
          <w:p w14:paraId="2D8F570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原矿品位</w:t>
            </w:r>
          </w:p>
        </w:tc>
        <w:tc>
          <w:tcPr>
            <w:tcW w:w="1522" w:type="dxa"/>
            <w:shd w:val="clear" w:color="auto" w:fill="auto"/>
            <w:vAlign w:val="center"/>
          </w:tcPr>
          <w:p w14:paraId="229C4E4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25.16</w:t>
            </w:r>
          </w:p>
        </w:tc>
        <w:tc>
          <w:tcPr>
            <w:tcW w:w="1681" w:type="dxa"/>
            <w:vAlign w:val="center"/>
          </w:tcPr>
          <w:p w14:paraId="72D5946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25" w:type="dxa"/>
            <w:vAlign w:val="center"/>
          </w:tcPr>
          <w:p w14:paraId="4B0BBCD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CaF</w:t>
            </w:r>
            <w:r>
              <w:rPr>
                <w:rFonts w:hint="default" w:ascii="Times New Roman" w:hAnsi="Times New Roman" w:eastAsia="宋体" w:cs="Times New Roman"/>
                <w:color w:val="auto"/>
                <w:sz w:val="21"/>
                <w:szCs w:val="21"/>
                <w:highlight w:val="none"/>
                <w:vertAlign w:val="subscript"/>
              </w:rPr>
              <w:t>2</w:t>
            </w:r>
          </w:p>
        </w:tc>
      </w:tr>
      <w:tr w14:paraId="7CAA8D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4" w:type="dxa"/>
            <w:vMerge w:val="restart"/>
            <w:vAlign w:val="center"/>
          </w:tcPr>
          <w:p w14:paraId="1D6BAC5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867" w:type="dxa"/>
            <w:vAlign w:val="center"/>
          </w:tcPr>
          <w:p w14:paraId="5CD2E77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精矿产量</w:t>
            </w:r>
          </w:p>
        </w:tc>
        <w:tc>
          <w:tcPr>
            <w:tcW w:w="1522" w:type="dxa"/>
            <w:shd w:val="clear" w:color="auto" w:fill="auto"/>
            <w:vAlign w:val="center"/>
          </w:tcPr>
          <w:p w14:paraId="415E926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13.38</w:t>
            </w:r>
          </w:p>
        </w:tc>
        <w:tc>
          <w:tcPr>
            <w:tcW w:w="1681" w:type="dxa"/>
            <w:vAlign w:val="center"/>
          </w:tcPr>
          <w:p w14:paraId="5E1F932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万吨/年</w:t>
            </w:r>
          </w:p>
        </w:tc>
        <w:tc>
          <w:tcPr>
            <w:tcW w:w="1125" w:type="dxa"/>
            <w:vAlign w:val="center"/>
          </w:tcPr>
          <w:p w14:paraId="2140673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p>
        </w:tc>
      </w:tr>
      <w:tr w14:paraId="48D7E2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4" w:type="dxa"/>
            <w:vMerge w:val="continue"/>
            <w:vAlign w:val="center"/>
          </w:tcPr>
          <w:p w14:paraId="37BEADA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867" w:type="dxa"/>
            <w:vAlign w:val="center"/>
          </w:tcPr>
          <w:p w14:paraId="7861A94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精矿品位</w:t>
            </w:r>
          </w:p>
        </w:tc>
        <w:tc>
          <w:tcPr>
            <w:tcW w:w="1522" w:type="dxa"/>
            <w:shd w:val="clear" w:color="auto" w:fill="auto"/>
            <w:vAlign w:val="center"/>
          </w:tcPr>
          <w:p w14:paraId="449BC1D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94</w:t>
            </w:r>
          </w:p>
        </w:tc>
        <w:tc>
          <w:tcPr>
            <w:tcW w:w="1681" w:type="dxa"/>
            <w:vAlign w:val="center"/>
          </w:tcPr>
          <w:p w14:paraId="12F01E1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25" w:type="dxa"/>
            <w:vAlign w:val="center"/>
          </w:tcPr>
          <w:p w14:paraId="382F412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CaF</w:t>
            </w:r>
            <w:r>
              <w:rPr>
                <w:rFonts w:hint="eastAsia" w:cs="Times New Roman"/>
                <w:color w:val="auto"/>
                <w:sz w:val="21"/>
                <w:szCs w:val="21"/>
                <w:highlight w:val="none"/>
                <w:vertAlign w:val="subscript"/>
                <w:lang w:val="en-US" w:eastAsia="zh-CN"/>
              </w:rPr>
              <w:t>2</w:t>
            </w:r>
          </w:p>
        </w:tc>
      </w:tr>
      <w:tr w14:paraId="33EF11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4" w:type="dxa"/>
            <w:vMerge w:val="restart"/>
            <w:vAlign w:val="center"/>
          </w:tcPr>
          <w:p w14:paraId="29F209C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867" w:type="dxa"/>
            <w:vAlign w:val="center"/>
          </w:tcPr>
          <w:p w14:paraId="362BF09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精矿产率</w:t>
            </w:r>
          </w:p>
        </w:tc>
        <w:tc>
          <w:tcPr>
            <w:tcW w:w="1522" w:type="dxa"/>
            <w:shd w:val="clear" w:color="auto" w:fill="auto"/>
            <w:vAlign w:val="center"/>
          </w:tcPr>
          <w:p w14:paraId="0F51174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22.30</w:t>
            </w:r>
          </w:p>
        </w:tc>
        <w:tc>
          <w:tcPr>
            <w:tcW w:w="1681" w:type="dxa"/>
            <w:vAlign w:val="center"/>
          </w:tcPr>
          <w:p w14:paraId="2839967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25" w:type="dxa"/>
            <w:vAlign w:val="center"/>
          </w:tcPr>
          <w:p w14:paraId="504282D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p>
        </w:tc>
      </w:tr>
      <w:tr w14:paraId="69733C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4" w:type="dxa"/>
            <w:vMerge w:val="continue"/>
            <w:vAlign w:val="center"/>
          </w:tcPr>
          <w:p w14:paraId="2493BFA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867" w:type="dxa"/>
            <w:vAlign w:val="center"/>
          </w:tcPr>
          <w:p w14:paraId="7760C4B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回收率</w:t>
            </w:r>
          </w:p>
        </w:tc>
        <w:tc>
          <w:tcPr>
            <w:tcW w:w="1522" w:type="dxa"/>
            <w:shd w:val="clear" w:color="auto" w:fill="auto"/>
            <w:vAlign w:val="center"/>
          </w:tcPr>
          <w:p w14:paraId="5380884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83.32</w:t>
            </w:r>
          </w:p>
        </w:tc>
        <w:tc>
          <w:tcPr>
            <w:tcW w:w="1681" w:type="dxa"/>
            <w:vAlign w:val="center"/>
          </w:tcPr>
          <w:p w14:paraId="3FDCED9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25" w:type="dxa"/>
            <w:vAlign w:val="center"/>
          </w:tcPr>
          <w:p w14:paraId="4ECE869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p>
        </w:tc>
      </w:tr>
    </w:tbl>
    <w:p w14:paraId="44A3EA08">
      <w:pPr>
        <w:keepNext/>
        <w:keepLines/>
        <w:widowControl w:val="0"/>
        <w:spacing w:line="480" w:lineRule="exact"/>
        <w:ind w:firstLine="482" w:firstLineChars="0"/>
        <w:jc w:val="both"/>
        <w:outlineLvl w:val="3"/>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3.2.1.1破碎系统</w:t>
      </w:r>
    </w:p>
    <w:p w14:paraId="2BC4A98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采用三段一闭路破碎流程，粗碎选用PEF750×1060颚式破碎机一台，中碎选用一台PEX350×1500颚式破碎机，中碎以前先用一台2YK2400×6000双层振动筛筛分，上层大于60mm以上进到PEX350×1500破碎机破碎后与振动筛中间20-60mm产品一起用输送带送到细碎破碎机PYY500C,细碎机PYY500C产品一起送到振动筛筛分合格产品小于20mm用输送带送到粉矿仓。</w:t>
      </w:r>
    </w:p>
    <w:p w14:paraId="522228F0">
      <w:pPr>
        <w:keepNext/>
        <w:keepLines/>
        <w:widowControl w:val="0"/>
        <w:spacing w:line="480" w:lineRule="exact"/>
        <w:ind w:firstLine="482" w:firstLineChars="0"/>
        <w:jc w:val="both"/>
        <w:outlineLvl w:val="3"/>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3.2.1.2磨矿系统</w:t>
      </w:r>
    </w:p>
    <w:p w14:paraId="77CCEDB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采用两段磨矿两次分级，磨矿一段磨矿粒度-200目占60%，一段磨机选用MQG3600×4500格子型球磨机和3米双螺旋分级机组成一段磨矿回路，双螺旋分级机返砂通过Φ500螺旋给料机和3600球磨机联合给料器将返砂返回球磨机。-200目占60%的分级机溢流流到二段磨机分级泵槽，分级泵将分级机溢流和二段磨机排矿一起送到旋流器组6-Φ350进行分级，旋流器沉砂返回</w:t>
      </w:r>
      <w:r>
        <w:rPr>
          <w:rFonts w:hint="eastAsia" w:cs="Times New Roman"/>
          <w:color w:val="auto"/>
          <w:highlight w:val="none"/>
          <w:lang w:eastAsia="zh-CN"/>
        </w:rPr>
        <w:t>到</w:t>
      </w:r>
      <w:r>
        <w:rPr>
          <w:rFonts w:hint="default" w:ascii="Times New Roman" w:hAnsi="Times New Roman" w:cs="Times New Roman"/>
          <w:color w:val="auto"/>
          <w:highlight w:val="none"/>
        </w:rPr>
        <w:t>二段球磨机进料口，溢流-200目占85%自流到浮选搅拌槽。</w:t>
      </w:r>
    </w:p>
    <w:p w14:paraId="497825F8">
      <w:pPr>
        <w:keepNext/>
        <w:keepLines/>
        <w:widowControl w:val="0"/>
        <w:spacing w:line="480" w:lineRule="exact"/>
        <w:ind w:firstLine="482" w:firstLineChars="0"/>
        <w:jc w:val="both"/>
        <w:outlineLvl w:val="3"/>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3.2.1.3浮选系统</w:t>
      </w:r>
    </w:p>
    <w:p w14:paraId="209A880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磨矿产品-200目占85%自流到2台Φ4000×4000高效搅拌槽与药剂充分搅拌后自流到浮选机进行选别作业。浮选流程采用一粗三扫七精工艺。粗选用6槽</w:t>
      </w:r>
      <w:r>
        <w:rPr>
          <w:rFonts w:hint="eastAsia" w:cs="Times New Roman"/>
          <w:color w:val="auto"/>
          <w:highlight w:val="none"/>
          <w:lang w:eastAsia="zh-CN"/>
        </w:rPr>
        <w:t>SF-16</w:t>
      </w:r>
      <w:r>
        <w:rPr>
          <w:rFonts w:hint="default" w:ascii="Times New Roman" w:hAnsi="Times New Roman" w:cs="Times New Roman"/>
          <w:color w:val="auto"/>
          <w:highlight w:val="none"/>
        </w:rPr>
        <w:t>浮选机，1扫选用4台浮选</w:t>
      </w:r>
      <w:r>
        <w:rPr>
          <w:rFonts w:hint="eastAsia" w:cs="Times New Roman"/>
          <w:color w:val="auto"/>
          <w:highlight w:val="none"/>
          <w:lang w:eastAsia="zh-CN"/>
        </w:rPr>
        <w:t>SF-16</w:t>
      </w:r>
      <w:r>
        <w:rPr>
          <w:rFonts w:hint="default" w:ascii="Times New Roman" w:hAnsi="Times New Roman" w:cs="Times New Roman"/>
          <w:color w:val="auto"/>
          <w:highlight w:val="none"/>
        </w:rPr>
        <w:t>机。二扫选用3台浮选</w:t>
      </w:r>
      <w:r>
        <w:rPr>
          <w:rFonts w:hint="eastAsia" w:cs="Times New Roman"/>
          <w:color w:val="auto"/>
          <w:highlight w:val="none"/>
          <w:lang w:eastAsia="zh-CN"/>
        </w:rPr>
        <w:t>SF-16</w:t>
      </w:r>
      <w:r>
        <w:rPr>
          <w:rFonts w:hint="default" w:ascii="Times New Roman" w:hAnsi="Times New Roman" w:cs="Times New Roman"/>
          <w:color w:val="auto"/>
          <w:highlight w:val="none"/>
        </w:rPr>
        <w:t>机，三扫选用2台浮选</w:t>
      </w:r>
      <w:r>
        <w:rPr>
          <w:rFonts w:hint="eastAsia" w:cs="Times New Roman"/>
          <w:color w:val="auto"/>
          <w:highlight w:val="none"/>
          <w:lang w:eastAsia="zh-CN"/>
        </w:rPr>
        <w:t>SF-16</w:t>
      </w:r>
      <w:r>
        <w:rPr>
          <w:rFonts w:hint="default" w:ascii="Times New Roman" w:hAnsi="Times New Roman" w:cs="Times New Roman"/>
          <w:color w:val="auto"/>
          <w:highlight w:val="none"/>
        </w:rPr>
        <w:t>机。一精选用4台浮选</w:t>
      </w:r>
      <w:r>
        <w:rPr>
          <w:rFonts w:hint="eastAsia" w:cs="Times New Roman"/>
          <w:color w:val="auto"/>
          <w:highlight w:val="none"/>
          <w:lang w:eastAsia="zh-CN"/>
        </w:rPr>
        <w:t>SF-16</w:t>
      </w:r>
      <w:r>
        <w:rPr>
          <w:rFonts w:hint="default" w:ascii="Times New Roman" w:hAnsi="Times New Roman" w:cs="Times New Roman"/>
          <w:color w:val="auto"/>
          <w:highlight w:val="none"/>
        </w:rPr>
        <w:t>机，二精选用4台浮选</w:t>
      </w:r>
      <w:r>
        <w:rPr>
          <w:rFonts w:hint="eastAsia" w:cs="Times New Roman"/>
          <w:color w:val="auto"/>
          <w:highlight w:val="none"/>
          <w:lang w:eastAsia="zh-CN"/>
        </w:rPr>
        <w:t>SF-16</w:t>
      </w:r>
      <w:r>
        <w:rPr>
          <w:rFonts w:hint="default" w:ascii="Times New Roman" w:hAnsi="Times New Roman" w:cs="Times New Roman"/>
          <w:color w:val="auto"/>
          <w:highlight w:val="none"/>
        </w:rPr>
        <w:t>机，三精选用3台浮选</w:t>
      </w:r>
      <w:r>
        <w:rPr>
          <w:rFonts w:hint="eastAsia" w:cs="Times New Roman"/>
          <w:color w:val="auto"/>
          <w:highlight w:val="none"/>
          <w:lang w:eastAsia="zh-CN"/>
        </w:rPr>
        <w:t>SF-16</w:t>
      </w:r>
      <w:r>
        <w:rPr>
          <w:rFonts w:hint="default" w:ascii="Times New Roman" w:hAnsi="Times New Roman" w:cs="Times New Roman"/>
          <w:color w:val="auto"/>
          <w:highlight w:val="none"/>
        </w:rPr>
        <w:t>机，四精选用3台浮选</w:t>
      </w:r>
      <w:r>
        <w:rPr>
          <w:rFonts w:hint="eastAsia" w:cs="Times New Roman"/>
          <w:color w:val="auto"/>
          <w:highlight w:val="none"/>
          <w:lang w:eastAsia="zh-CN"/>
        </w:rPr>
        <w:t>SF-16</w:t>
      </w:r>
      <w:r>
        <w:rPr>
          <w:rFonts w:hint="default" w:ascii="Times New Roman" w:hAnsi="Times New Roman" w:cs="Times New Roman"/>
          <w:color w:val="auto"/>
          <w:highlight w:val="none"/>
        </w:rPr>
        <w:t>机，五精选用2台</w:t>
      </w:r>
      <w:bookmarkStart w:id="400" w:name="_Hlk193180291"/>
      <w:r>
        <w:rPr>
          <w:rFonts w:hint="default" w:ascii="Times New Roman" w:hAnsi="Times New Roman" w:cs="Times New Roman"/>
          <w:color w:val="auto"/>
          <w:highlight w:val="none"/>
        </w:rPr>
        <w:t>浮选</w:t>
      </w:r>
      <w:r>
        <w:rPr>
          <w:rFonts w:hint="eastAsia" w:cs="Times New Roman"/>
          <w:color w:val="auto"/>
          <w:highlight w:val="none"/>
          <w:lang w:eastAsia="zh-CN"/>
        </w:rPr>
        <w:t>SF-16</w:t>
      </w:r>
      <w:r>
        <w:rPr>
          <w:rFonts w:hint="default" w:ascii="Times New Roman" w:hAnsi="Times New Roman" w:cs="Times New Roman"/>
          <w:color w:val="auto"/>
          <w:highlight w:val="none"/>
        </w:rPr>
        <w:t>机</w:t>
      </w:r>
      <w:bookmarkEnd w:id="400"/>
      <w:r>
        <w:rPr>
          <w:rFonts w:hint="default" w:ascii="Times New Roman" w:hAnsi="Times New Roman" w:cs="Times New Roman"/>
          <w:color w:val="auto"/>
          <w:highlight w:val="none"/>
        </w:rPr>
        <w:t>，六精选用2台浮选</w:t>
      </w:r>
      <w:r>
        <w:rPr>
          <w:rFonts w:hint="eastAsia" w:cs="Times New Roman"/>
          <w:color w:val="auto"/>
          <w:highlight w:val="none"/>
          <w:lang w:eastAsia="zh-CN"/>
        </w:rPr>
        <w:t>SF-16</w:t>
      </w:r>
      <w:r>
        <w:rPr>
          <w:rFonts w:hint="default" w:ascii="Times New Roman" w:hAnsi="Times New Roman" w:cs="Times New Roman"/>
          <w:color w:val="auto"/>
          <w:highlight w:val="none"/>
        </w:rPr>
        <w:t>机，七精选用2台浮选</w:t>
      </w:r>
      <w:r>
        <w:rPr>
          <w:rFonts w:hint="eastAsia" w:cs="Times New Roman"/>
          <w:color w:val="auto"/>
          <w:highlight w:val="none"/>
          <w:lang w:eastAsia="zh-CN"/>
        </w:rPr>
        <w:t>SF-16</w:t>
      </w:r>
      <w:r>
        <w:rPr>
          <w:rFonts w:hint="default" w:ascii="Times New Roman" w:hAnsi="Times New Roman" w:cs="Times New Roman"/>
          <w:color w:val="auto"/>
          <w:highlight w:val="none"/>
        </w:rPr>
        <w:t>机。浮选精矿用泵送到精矿脱水系统，尾矿用泵送到尾矿库。</w:t>
      </w:r>
    </w:p>
    <w:p w14:paraId="6D8A897E">
      <w:pPr>
        <w:keepNext/>
        <w:keepLines/>
        <w:widowControl w:val="0"/>
        <w:spacing w:line="480" w:lineRule="exact"/>
        <w:ind w:firstLine="482" w:firstLineChars="0"/>
        <w:jc w:val="both"/>
        <w:outlineLvl w:val="3"/>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3.2.1.4精矿脱水系统</w:t>
      </w:r>
    </w:p>
    <w:p w14:paraId="7E0F747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浮选精矿用泵送到一台Φ24m液压中心传动浓缩机，浓缩机底流自流到1台60m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盘式过滤机，生产出含水12%左右萤石粉精矿。过滤水流到沉淀池沉淀后返回生产系统。本项目生产系统工艺流程及排污节点见图3.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p>
    <w:p w14:paraId="5F5CD4E8">
      <w:pPr>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p w14:paraId="79C30F80">
      <w:pPr>
        <w:pStyle w:val="27"/>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4587875</wp:posOffset>
                </wp:positionH>
                <wp:positionV relativeFrom="paragraph">
                  <wp:posOffset>5253355</wp:posOffset>
                </wp:positionV>
                <wp:extent cx="1020445" cy="1365250"/>
                <wp:effectExtent l="4445" t="4445" r="22860" b="20955"/>
                <wp:wrapNone/>
                <wp:docPr id="8" name="矩形 75"/>
                <wp:cNvGraphicFramePr/>
                <a:graphic xmlns:a="http://schemas.openxmlformats.org/drawingml/2006/main">
                  <a:graphicData uri="http://schemas.microsoft.com/office/word/2010/wordprocessingShape">
                    <wps:wsp>
                      <wps:cNvSpPr/>
                      <wps:spPr>
                        <a:xfrm>
                          <a:off x="0" y="0"/>
                          <a:ext cx="1020445" cy="13652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700987">
                            <w:pPr>
                              <w:spacing w:after="120" w:afterLines="50" w:line="360" w:lineRule="exact"/>
                              <w:ind w:firstLine="0" w:firstLineChars="0"/>
                              <w:jc w:val="center"/>
                              <w:rPr>
                                <w:b/>
                                <w:bCs/>
                                <w:sz w:val="18"/>
                                <w:szCs w:val="18"/>
                              </w:rPr>
                            </w:pPr>
                            <w:r>
                              <w:rPr>
                                <w:rFonts w:hint="eastAsia"/>
                                <w:b/>
                                <w:bCs/>
                                <w:sz w:val="18"/>
                                <w:szCs w:val="18"/>
                              </w:rPr>
                              <w:t>图例</w:t>
                            </w:r>
                          </w:p>
                          <w:p w14:paraId="163BF517">
                            <w:pPr>
                              <w:wordWrap w:val="0"/>
                              <w:spacing w:line="360" w:lineRule="exact"/>
                              <w:ind w:firstLine="0" w:firstLineChars="0"/>
                              <w:jc w:val="right"/>
                              <w:rPr>
                                <w:sz w:val="18"/>
                                <w:szCs w:val="18"/>
                              </w:rPr>
                            </w:pPr>
                            <w:r>
                              <w:rPr>
                                <w:rFonts w:hint="eastAsia"/>
                                <w:sz w:val="18"/>
                                <w:szCs w:val="18"/>
                              </w:rPr>
                              <w:t xml:space="preserve">W   废水    </w:t>
                            </w:r>
                          </w:p>
                          <w:p w14:paraId="2F8AFBE6">
                            <w:pPr>
                              <w:wordWrap w:val="0"/>
                              <w:spacing w:line="360" w:lineRule="exact"/>
                              <w:ind w:firstLine="0" w:firstLineChars="0"/>
                              <w:jc w:val="right"/>
                              <w:rPr>
                                <w:sz w:val="18"/>
                                <w:szCs w:val="18"/>
                              </w:rPr>
                            </w:pPr>
                            <w:r>
                              <w:rPr>
                                <w:rFonts w:hint="eastAsia"/>
                                <w:sz w:val="18"/>
                                <w:szCs w:val="18"/>
                              </w:rPr>
                              <w:t xml:space="preserve">G   废气    </w:t>
                            </w:r>
                          </w:p>
                          <w:p w14:paraId="42CBD8A8">
                            <w:pPr>
                              <w:spacing w:line="360" w:lineRule="exact"/>
                              <w:ind w:firstLine="0" w:firstLineChars="0"/>
                              <w:jc w:val="right"/>
                              <w:rPr>
                                <w:sz w:val="18"/>
                                <w:szCs w:val="18"/>
                              </w:rPr>
                            </w:pPr>
                            <w:r>
                              <w:rPr>
                                <w:rFonts w:hint="eastAsia"/>
                                <w:sz w:val="18"/>
                                <w:szCs w:val="18"/>
                              </w:rPr>
                              <w:t>S   固体废物</w:t>
                            </w:r>
                          </w:p>
                          <w:p w14:paraId="30EA41E8">
                            <w:pPr>
                              <w:wordWrap w:val="0"/>
                              <w:spacing w:line="360" w:lineRule="exact"/>
                              <w:ind w:firstLine="0" w:firstLineChars="0"/>
                              <w:jc w:val="right"/>
                              <w:rPr>
                                <w:sz w:val="18"/>
                                <w:szCs w:val="18"/>
                              </w:rPr>
                            </w:pPr>
                            <w:r>
                              <w:rPr>
                                <w:rFonts w:hint="eastAsia"/>
                                <w:sz w:val="18"/>
                                <w:szCs w:val="18"/>
                              </w:rPr>
                              <w:t xml:space="preserve">N   噪声    </w:t>
                            </w:r>
                          </w:p>
                        </w:txbxContent>
                      </wps:txbx>
                      <wps:bodyPr upright="1"/>
                    </wps:wsp>
                  </a:graphicData>
                </a:graphic>
              </wp:anchor>
            </w:drawing>
          </mc:Choice>
          <mc:Fallback>
            <w:pict>
              <v:rect id="矩形 75" o:spid="_x0000_s1026" o:spt="1" style="position:absolute;left:0pt;margin-left:361.25pt;margin-top:413.65pt;height:107.5pt;width:80.35pt;z-index:251662336;mso-width-relative:page;mso-height-relative:page;" fillcolor="#FFFFFF" filled="t" stroked="t" coordsize="21600,21600" o:gfxdata="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Wv4aHZAAAADAEAAA8AAAAAAAAAAQAgAAAAIgAAAGRy&#10;cy9kb3ducmV2LnhtbFBLAQIUABQAAAAIAIdO4kDcdzvFBAIAACsEAAAOAAAAAAAAAAEAIAAAACgB&#10;AABkcnMvZTJvRG9jLnhtbFBLBQYAAAAABgAGAFkBAACeBQAAAAA=&#10;">
                <v:fill on="t" focussize="0,0"/>
                <v:stroke color="#000000" joinstyle="miter"/>
                <v:imagedata o:title=""/>
                <o:lock v:ext="edit" aspectratio="f"/>
                <v:textbox>
                  <w:txbxContent>
                    <w:p w14:paraId="24700987">
                      <w:pPr>
                        <w:spacing w:after="120" w:afterLines="50" w:line="360" w:lineRule="exact"/>
                        <w:ind w:firstLine="0" w:firstLineChars="0"/>
                        <w:jc w:val="center"/>
                        <w:rPr>
                          <w:b/>
                          <w:bCs/>
                          <w:sz w:val="18"/>
                          <w:szCs w:val="18"/>
                        </w:rPr>
                      </w:pPr>
                      <w:r>
                        <w:rPr>
                          <w:rFonts w:hint="eastAsia"/>
                          <w:b/>
                          <w:bCs/>
                          <w:sz w:val="18"/>
                          <w:szCs w:val="18"/>
                        </w:rPr>
                        <w:t>图例</w:t>
                      </w:r>
                    </w:p>
                    <w:p w14:paraId="163BF517">
                      <w:pPr>
                        <w:wordWrap w:val="0"/>
                        <w:spacing w:line="360" w:lineRule="exact"/>
                        <w:ind w:firstLine="0" w:firstLineChars="0"/>
                        <w:jc w:val="right"/>
                        <w:rPr>
                          <w:sz w:val="18"/>
                          <w:szCs w:val="18"/>
                        </w:rPr>
                      </w:pPr>
                      <w:r>
                        <w:rPr>
                          <w:rFonts w:hint="eastAsia"/>
                          <w:sz w:val="18"/>
                          <w:szCs w:val="18"/>
                        </w:rPr>
                        <w:t xml:space="preserve">W   废水    </w:t>
                      </w:r>
                    </w:p>
                    <w:p w14:paraId="2F8AFBE6">
                      <w:pPr>
                        <w:wordWrap w:val="0"/>
                        <w:spacing w:line="360" w:lineRule="exact"/>
                        <w:ind w:firstLine="0" w:firstLineChars="0"/>
                        <w:jc w:val="right"/>
                        <w:rPr>
                          <w:sz w:val="18"/>
                          <w:szCs w:val="18"/>
                        </w:rPr>
                      </w:pPr>
                      <w:r>
                        <w:rPr>
                          <w:rFonts w:hint="eastAsia"/>
                          <w:sz w:val="18"/>
                          <w:szCs w:val="18"/>
                        </w:rPr>
                        <w:t xml:space="preserve">G   废气    </w:t>
                      </w:r>
                    </w:p>
                    <w:p w14:paraId="42CBD8A8">
                      <w:pPr>
                        <w:spacing w:line="360" w:lineRule="exact"/>
                        <w:ind w:firstLine="0" w:firstLineChars="0"/>
                        <w:jc w:val="right"/>
                        <w:rPr>
                          <w:sz w:val="18"/>
                          <w:szCs w:val="18"/>
                        </w:rPr>
                      </w:pPr>
                      <w:r>
                        <w:rPr>
                          <w:rFonts w:hint="eastAsia"/>
                          <w:sz w:val="18"/>
                          <w:szCs w:val="18"/>
                        </w:rPr>
                        <w:t>S   固体废物</w:t>
                      </w:r>
                    </w:p>
                    <w:p w14:paraId="30EA41E8">
                      <w:pPr>
                        <w:wordWrap w:val="0"/>
                        <w:spacing w:line="360" w:lineRule="exact"/>
                        <w:ind w:firstLine="0" w:firstLineChars="0"/>
                        <w:jc w:val="right"/>
                        <w:rPr>
                          <w:sz w:val="18"/>
                          <w:szCs w:val="18"/>
                        </w:rPr>
                      </w:pPr>
                      <w:r>
                        <w:rPr>
                          <w:rFonts w:hint="eastAsia"/>
                          <w:sz w:val="18"/>
                          <w:szCs w:val="18"/>
                        </w:rPr>
                        <w:t xml:space="preserve">N   噪声    </w:t>
                      </w:r>
                    </w:p>
                  </w:txbxContent>
                </v:textbox>
              </v:rect>
            </w:pict>
          </mc:Fallback>
        </mc:AlternateContent>
      </w:r>
      <w:r>
        <w:rPr>
          <w:rFonts w:hint="default" w:ascii="Times New Roman" w:hAnsi="Times New Roman" w:eastAsia="宋体" w:cs="Times New Roman"/>
          <w:color w:val="auto"/>
          <w:highlight w:val="none"/>
          <w:lang w:eastAsia="zh-CN"/>
        </w:rPr>
        <w:drawing>
          <wp:inline distT="0" distB="0" distL="114300" distR="114300">
            <wp:extent cx="5683250" cy="6694805"/>
            <wp:effectExtent l="0" t="0" r="12700" b="10795"/>
            <wp:docPr id="11" name="图片 11" descr="流程图产物节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流程图产物节点"/>
                    <pic:cNvPicPr>
                      <a:picLocks noChangeAspect="1"/>
                    </pic:cNvPicPr>
                  </pic:nvPicPr>
                  <pic:blipFill>
                    <a:blip r:embed="rId23"/>
                    <a:stretch>
                      <a:fillRect/>
                    </a:stretch>
                  </pic:blipFill>
                  <pic:spPr>
                    <a:xfrm>
                      <a:off x="0" y="0"/>
                      <a:ext cx="5683250" cy="6694805"/>
                    </a:xfrm>
                    <a:prstGeom prst="rect">
                      <a:avLst/>
                    </a:prstGeom>
                  </pic:spPr>
                </pic:pic>
              </a:graphicData>
            </a:graphic>
          </wp:inline>
        </w:drawing>
      </w:r>
    </w:p>
    <w:p w14:paraId="026540C7">
      <w:pPr>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b/>
          <w:bCs/>
          <w:color w:val="auto"/>
          <w:highlight w:val="none"/>
        </w:rPr>
        <w:t>图3.</w:t>
      </w:r>
      <w:r>
        <w:rPr>
          <w:rFonts w:hint="default" w:ascii="Times New Roman" w:hAnsi="Times New Roman" w:cs="Times New Roman"/>
          <w:b/>
          <w:bCs/>
          <w:color w:val="auto"/>
          <w:highlight w:val="none"/>
          <w:lang w:val="en-US" w:eastAsia="zh-CN"/>
        </w:rPr>
        <w:t>2</w:t>
      </w:r>
      <w:r>
        <w:rPr>
          <w:rFonts w:hint="default" w:ascii="Times New Roman" w:hAnsi="Times New Roman" w:cs="Times New Roman"/>
          <w:b/>
          <w:bCs/>
          <w:color w:val="auto"/>
          <w:highlight w:val="none"/>
        </w:rPr>
        <w:t>-</w:t>
      </w:r>
      <w:r>
        <w:rPr>
          <w:rFonts w:hint="default" w:ascii="Times New Roman" w:hAnsi="Times New Roman" w:cs="Times New Roman"/>
          <w:b/>
          <w:bCs/>
          <w:color w:val="auto"/>
          <w:highlight w:val="none"/>
          <w:lang w:val="en-US" w:eastAsia="zh-CN"/>
        </w:rPr>
        <w:t>1</w:t>
      </w:r>
      <w:r>
        <w:rPr>
          <w:rFonts w:hint="default" w:ascii="Times New Roman" w:hAnsi="Times New Roman" w:cs="Times New Roman"/>
          <w:b/>
          <w:bCs/>
          <w:color w:val="auto"/>
          <w:highlight w:val="none"/>
        </w:rPr>
        <w:t xml:space="preserve">    本项目生产系统工艺流程及排污节点图</w:t>
      </w:r>
    </w:p>
    <w:p w14:paraId="1180D848">
      <w:pPr>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p w14:paraId="461253F4">
      <w:pPr>
        <w:pStyle w:val="4"/>
        <w:rPr>
          <w:rFonts w:hint="default" w:ascii="Times New Roman" w:hAnsi="Times New Roman" w:cs="Times New Roman"/>
          <w:color w:val="auto"/>
          <w:highlight w:val="none"/>
        </w:rPr>
      </w:pPr>
      <w:bookmarkStart w:id="401" w:name="_Toc2239"/>
      <w:bookmarkStart w:id="402" w:name="_Toc22294"/>
      <w:bookmarkStart w:id="403" w:name="_Toc14983"/>
      <w:bookmarkStart w:id="404" w:name="_Toc4348"/>
      <w:bookmarkStart w:id="405" w:name="_Toc20558"/>
      <w:bookmarkStart w:id="406" w:name="_Toc7773"/>
      <w:bookmarkStart w:id="407" w:name="_Toc24592"/>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r>
        <w:rPr>
          <w:rFonts w:hint="eastAsia" w:cs="Times New Roman"/>
          <w:color w:val="auto"/>
          <w:highlight w:val="none"/>
          <w:lang w:val="en-US" w:eastAsia="zh-CN"/>
        </w:rPr>
        <w:t>2</w:t>
      </w:r>
      <w:r>
        <w:rPr>
          <w:rFonts w:hint="default" w:ascii="Times New Roman" w:hAnsi="Times New Roman" w:cs="Times New Roman"/>
          <w:color w:val="auto"/>
          <w:highlight w:val="none"/>
        </w:rPr>
        <w:t>产污环节分析</w:t>
      </w:r>
      <w:bookmarkEnd w:id="401"/>
      <w:bookmarkEnd w:id="402"/>
      <w:bookmarkEnd w:id="403"/>
      <w:bookmarkEnd w:id="404"/>
      <w:bookmarkEnd w:id="405"/>
      <w:bookmarkEnd w:id="406"/>
      <w:bookmarkEnd w:id="407"/>
    </w:p>
    <w:p w14:paraId="35790DCF">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r>
        <w:rPr>
          <w:rFonts w:hint="eastAsia" w:cs="Times New Roman"/>
          <w:color w:val="auto"/>
          <w:highlight w:val="none"/>
          <w:lang w:val="en-US" w:eastAsia="zh-CN"/>
        </w:rPr>
        <w:t>2</w:t>
      </w:r>
      <w:r>
        <w:rPr>
          <w:rFonts w:hint="default" w:ascii="Times New Roman" w:hAnsi="Times New Roman" w:cs="Times New Roman"/>
          <w:color w:val="auto"/>
          <w:highlight w:val="none"/>
        </w:rPr>
        <w:t>.1大气污染因素分析</w:t>
      </w:r>
    </w:p>
    <w:p w14:paraId="69154CA5">
      <w:pPr>
        <w:pStyle w:val="56"/>
        <w:overflowPunct w:val="0"/>
        <w:topLinePunct/>
        <w:spacing w:line="480" w:lineRule="exact"/>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本项目原料来自</w:t>
      </w:r>
      <w:r>
        <w:rPr>
          <w:rFonts w:hint="default" w:ascii="Times New Roman" w:hAnsi="Times New Roman" w:cs="Times New Roman"/>
          <w:color w:val="auto"/>
          <w:sz w:val="24"/>
          <w:highlight w:val="none"/>
          <w:lang w:eastAsia="zh-CN"/>
        </w:rPr>
        <w:t>新疆嘉西矿业有限公司哈密市伊州区雅满苏镇M1033三支萤石矿</w:t>
      </w:r>
      <w:r>
        <w:rPr>
          <w:rFonts w:hint="default" w:ascii="Times New Roman" w:hAnsi="Times New Roman" w:cs="Times New Roman"/>
          <w:color w:val="auto"/>
          <w:sz w:val="24"/>
          <w:highlight w:val="none"/>
        </w:rPr>
        <w:t>，项目运营期大气污染影响主要</w:t>
      </w:r>
      <w:r>
        <w:rPr>
          <w:rFonts w:hint="eastAsia" w:cs="Times New Roman"/>
          <w:color w:val="auto"/>
          <w:sz w:val="24"/>
          <w:highlight w:val="none"/>
          <w:lang w:eastAsia="zh-CN"/>
        </w:rPr>
        <w:t>存在</w:t>
      </w:r>
      <w:r>
        <w:rPr>
          <w:rFonts w:hint="default" w:ascii="Times New Roman" w:hAnsi="Times New Roman" w:cs="Times New Roman"/>
          <w:color w:val="auto"/>
          <w:sz w:val="24"/>
          <w:highlight w:val="none"/>
        </w:rPr>
        <w:t>以下几个方面：</w:t>
      </w:r>
    </w:p>
    <w:p w14:paraId="71F14E8C">
      <w:pPr>
        <w:overflowPunct w:val="0"/>
        <w:topLinePunct/>
        <w:ind w:left="480" w:firstLine="0" w:firstLineChars="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（1）矿石</w:t>
      </w:r>
      <w:r>
        <w:rPr>
          <w:rFonts w:hint="eastAsia" w:cs="Times New Roman"/>
          <w:color w:val="auto"/>
          <w:highlight w:val="none"/>
          <w:lang w:val="en-US" w:eastAsia="zh-CN"/>
        </w:rPr>
        <w:t>破碎、筛分工段废气</w:t>
      </w:r>
      <w:r>
        <w:rPr>
          <w:rFonts w:hint="default" w:ascii="Times New Roman" w:hAnsi="Times New Roman" w:cs="Times New Roman"/>
          <w:color w:val="auto"/>
          <w:highlight w:val="none"/>
          <w:lang w:eastAsia="zh-CN"/>
        </w:rPr>
        <w:t>；</w:t>
      </w:r>
    </w:p>
    <w:p w14:paraId="121BB206">
      <w:pPr>
        <w:overflowPunct w:val="0"/>
        <w:topLinePunct/>
        <w:ind w:left="480" w:firstLine="0" w:firstLineChars="0"/>
        <w:rPr>
          <w:rFonts w:hint="default" w:ascii="Times New Roman" w:hAnsi="Times New Roman" w:cs="Times New Roman"/>
          <w:color w:val="auto"/>
          <w:kern w:val="0"/>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原料装卸扬尘、运输扬尘以及汽车尾气等</w:t>
      </w:r>
      <w:r>
        <w:rPr>
          <w:rFonts w:hint="default" w:ascii="Times New Roman" w:hAnsi="Times New Roman" w:cs="Times New Roman"/>
          <w:color w:val="auto"/>
          <w:kern w:val="0"/>
          <w:highlight w:val="none"/>
        </w:rPr>
        <w:t>；</w:t>
      </w:r>
    </w:p>
    <w:p w14:paraId="1541F56E">
      <w:pPr>
        <w:overflowPunct w:val="0"/>
        <w:topLinePunct/>
        <w:ind w:left="48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（3）供热期燃煤锅炉废气。</w:t>
      </w:r>
    </w:p>
    <w:p w14:paraId="581774DF">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r>
        <w:rPr>
          <w:rFonts w:hint="eastAsia" w:cs="Times New Roman"/>
          <w:color w:val="auto"/>
          <w:highlight w:val="none"/>
          <w:lang w:val="en-US" w:eastAsia="zh-CN"/>
        </w:rPr>
        <w:t>2</w:t>
      </w:r>
      <w:r>
        <w:rPr>
          <w:rFonts w:hint="default" w:ascii="Times New Roman" w:hAnsi="Times New Roman" w:cs="Times New Roman"/>
          <w:color w:val="auto"/>
          <w:highlight w:val="none"/>
        </w:rPr>
        <w:t>.2水污染因素分析</w:t>
      </w:r>
    </w:p>
    <w:p w14:paraId="7CA947B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本项目生产废水</w:t>
      </w:r>
      <w:r>
        <w:rPr>
          <w:rFonts w:hint="eastAsia" w:cs="Times New Roman"/>
          <w:color w:val="auto"/>
          <w:kern w:val="0"/>
          <w:highlight w:val="none"/>
          <w:lang w:eastAsia="zh-CN"/>
        </w:rPr>
        <w:t>“</w:t>
      </w:r>
      <w:r>
        <w:rPr>
          <w:rFonts w:hint="default" w:ascii="Times New Roman" w:hAnsi="Times New Roman" w:cs="Times New Roman"/>
          <w:color w:val="auto"/>
          <w:kern w:val="0"/>
          <w:highlight w:val="none"/>
        </w:rPr>
        <w:t>闭路循环</w:t>
      </w:r>
      <w:r>
        <w:rPr>
          <w:rFonts w:hint="eastAsia" w:cs="Times New Roman"/>
          <w:color w:val="auto"/>
          <w:kern w:val="0"/>
          <w:highlight w:val="none"/>
          <w:lang w:eastAsia="zh-CN"/>
        </w:rPr>
        <w:t>”</w:t>
      </w:r>
      <w:r>
        <w:rPr>
          <w:rFonts w:hint="default" w:ascii="Times New Roman" w:hAnsi="Times New Roman" w:cs="Times New Roman"/>
          <w:color w:val="auto"/>
          <w:kern w:val="0"/>
          <w:highlight w:val="none"/>
        </w:rPr>
        <w:t>，不外排；生活污水</w:t>
      </w:r>
      <w:r>
        <w:rPr>
          <w:rFonts w:hint="eastAsia" w:cs="Times New Roman"/>
          <w:color w:val="auto"/>
          <w:kern w:val="0"/>
          <w:highlight w:val="none"/>
          <w:lang w:val="en-US" w:eastAsia="zh-CN"/>
        </w:rPr>
        <w:t>经化粪池处理后，定期抽运至哈密市污水处理厂处理</w:t>
      </w:r>
      <w:r>
        <w:rPr>
          <w:rFonts w:hint="default" w:ascii="Times New Roman" w:hAnsi="Times New Roman" w:cs="Times New Roman"/>
          <w:color w:val="auto"/>
          <w:highlight w:val="none"/>
        </w:rPr>
        <w:t>。</w:t>
      </w:r>
    </w:p>
    <w:p w14:paraId="7F3A7ACB">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r>
        <w:rPr>
          <w:rFonts w:hint="eastAsia" w:cs="Times New Roman"/>
          <w:color w:val="auto"/>
          <w:highlight w:val="none"/>
          <w:lang w:val="en-US" w:eastAsia="zh-CN"/>
        </w:rPr>
        <w:t>2</w:t>
      </w:r>
      <w:r>
        <w:rPr>
          <w:rFonts w:hint="default" w:ascii="Times New Roman" w:hAnsi="Times New Roman" w:cs="Times New Roman"/>
          <w:color w:val="auto"/>
          <w:highlight w:val="none"/>
        </w:rPr>
        <w:t>.3固体废物污染因素分析</w:t>
      </w:r>
    </w:p>
    <w:p w14:paraId="0415071C">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运营期固体废物主要来源于选矿工序产生的尾矿砂、除尘灰（除尘器收集的粉尘）、废药剂及包装物、废离子交换树脂、废布袋、</w:t>
      </w:r>
      <w:r>
        <w:rPr>
          <w:rFonts w:hint="default" w:ascii="Times New Roman" w:hAnsi="Times New Roman" w:cs="Times New Roman"/>
          <w:color w:val="auto"/>
          <w:kern w:val="0"/>
          <w:highlight w:val="none"/>
          <w:lang w:val="en-US" w:eastAsia="zh-CN"/>
        </w:rPr>
        <w:t>澄清池</w:t>
      </w:r>
      <w:r>
        <w:rPr>
          <w:rFonts w:hint="default" w:ascii="Times New Roman" w:hAnsi="Times New Roman" w:cs="Times New Roman"/>
          <w:color w:val="auto"/>
          <w:kern w:val="0"/>
          <w:highlight w:val="none"/>
        </w:rPr>
        <w:t>底泥、生活垃圾及少量废机油、废油桶等。</w:t>
      </w:r>
    </w:p>
    <w:p w14:paraId="1287C55E">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r>
        <w:rPr>
          <w:rFonts w:hint="eastAsia" w:cs="Times New Roman"/>
          <w:color w:val="auto"/>
          <w:highlight w:val="none"/>
          <w:lang w:val="en-US" w:eastAsia="zh-CN"/>
        </w:rPr>
        <w:t>2</w:t>
      </w:r>
      <w:r>
        <w:rPr>
          <w:rFonts w:hint="default" w:ascii="Times New Roman" w:hAnsi="Times New Roman" w:cs="Times New Roman"/>
          <w:color w:val="auto"/>
          <w:highlight w:val="none"/>
        </w:rPr>
        <w:t>.4噪声污染因素分析</w:t>
      </w:r>
    </w:p>
    <w:p w14:paraId="39FBAA9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运营期主要噪声来源于</w:t>
      </w:r>
      <w:r>
        <w:rPr>
          <w:rFonts w:hint="default" w:ascii="Times New Roman" w:hAnsi="Times New Roman" w:cs="Times New Roman"/>
          <w:color w:val="auto"/>
          <w:kern w:val="0"/>
          <w:highlight w:val="none"/>
          <w:lang w:eastAsia="zh-CN"/>
        </w:rPr>
        <w:t>破碎筛分设备、</w:t>
      </w:r>
      <w:r>
        <w:rPr>
          <w:rFonts w:hint="default" w:ascii="Times New Roman" w:hAnsi="Times New Roman" w:cs="Times New Roman"/>
          <w:color w:val="auto"/>
          <w:kern w:val="0"/>
          <w:highlight w:val="none"/>
        </w:rPr>
        <w:t>球磨机、分级机、</w:t>
      </w:r>
      <w:r>
        <w:rPr>
          <w:rFonts w:hint="default" w:ascii="Times New Roman" w:hAnsi="Times New Roman" w:cs="Times New Roman"/>
          <w:color w:val="auto"/>
          <w:kern w:val="0"/>
          <w:highlight w:val="none"/>
          <w:lang w:eastAsia="zh-CN"/>
        </w:rPr>
        <w:t>浮</w:t>
      </w:r>
      <w:r>
        <w:rPr>
          <w:rFonts w:hint="default" w:ascii="Times New Roman" w:hAnsi="Times New Roman" w:cs="Times New Roman"/>
          <w:color w:val="auto"/>
          <w:kern w:val="0"/>
          <w:highlight w:val="none"/>
        </w:rPr>
        <w:t>选机</w:t>
      </w:r>
      <w:r>
        <w:rPr>
          <w:rFonts w:hint="default" w:ascii="Times New Roman" w:hAnsi="Times New Roman" w:cs="Times New Roman"/>
          <w:color w:val="auto"/>
          <w:kern w:val="0"/>
          <w:highlight w:val="none"/>
          <w:lang w:val="en-US" w:eastAsia="zh-CN"/>
        </w:rPr>
        <w:t>及</w:t>
      </w:r>
      <w:r>
        <w:rPr>
          <w:rFonts w:hint="default" w:ascii="Times New Roman" w:hAnsi="Times New Roman" w:cs="Times New Roman"/>
          <w:color w:val="auto"/>
          <w:kern w:val="0"/>
          <w:highlight w:val="none"/>
        </w:rPr>
        <w:t>水泵等设备运行和生产过程中产生的设备噪声</w:t>
      </w:r>
      <w:r>
        <w:rPr>
          <w:rFonts w:hint="eastAsia" w:cs="Times New Roman"/>
          <w:color w:val="auto"/>
          <w:kern w:val="0"/>
          <w:highlight w:val="none"/>
          <w:lang w:eastAsia="zh-CN"/>
        </w:rPr>
        <w:t>、</w:t>
      </w:r>
      <w:r>
        <w:rPr>
          <w:rFonts w:hint="eastAsia" w:cs="Times New Roman"/>
          <w:color w:val="auto"/>
          <w:kern w:val="0"/>
          <w:highlight w:val="none"/>
          <w:lang w:val="en-US" w:eastAsia="zh-CN"/>
        </w:rPr>
        <w:t>锅炉运行产生的噪声</w:t>
      </w:r>
      <w:r>
        <w:rPr>
          <w:rFonts w:hint="default" w:ascii="Times New Roman" w:hAnsi="Times New Roman" w:cs="Times New Roman"/>
          <w:color w:val="auto"/>
          <w:kern w:val="0"/>
          <w:highlight w:val="none"/>
        </w:rPr>
        <w:t>及运输车辆产生的交通运输噪声。</w:t>
      </w:r>
    </w:p>
    <w:p w14:paraId="3E6206C5">
      <w:pPr>
        <w:pStyle w:val="4"/>
        <w:rPr>
          <w:rFonts w:hint="default" w:ascii="Times New Roman" w:hAnsi="Times New Roman" w:cs="Times New Roman"/>
          <w:color w:val="auto"/>
          <w:highlight w:val="none"/>
        </w:rPr>
      </w:pPr>
      <w:bookmarkStart w:id="408" w:name="_Toc3065"/>
      <w:bookmarkStart w:id="409" w:name="_Toc31945"/>
      <w:bookmarkStart w:id="410" w:name="_Toc7298"/>
      <w:bookmarkStart w:id="411" w:name="_Toc24011"/>
      <w:bookmarkStart w:id="412" w:name="_Toc16492"/>
      <w:bookmarkStart w:id="413" w:name="_Toc10054"/>
      <w:bookmarkStart w:id="414" w:name="_Toc1381"/>
      <w:bookmarkStart w:id="415" w:name="_Toc13426"/>
      <w:bookmarkStart w:id="416" w:name="_Toc4102"/>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.2</w:t>
      </w:r>
      <w:bookmarkEnd w:id="408"/>
      <w:bookmarkEnd w:id="409"/>
      <w:r>
        <w:rPr>
          <w:rFonts w:hint="default" w:ascii="Times New Roman" w:hAnsi="Times New Roman" w:cs="Times New Roman"/>
          <w:color w:val="auto"/>
          <w:highlight w:val="none"/>
        </w:rPr>
        <w:t>物料平衡及水平衡</w:t>
      </w:r>
      <w:bookmarkEnd w:id="410"/>
      <w:bookmarkEnd w:id="411"/>
      <w:bookmarkEnd w:id="412"/>
      <w:bookmarkEnd w:id="413"/>
      <w:bookmarkEnd w:id="414"/>
      <w:bookmarkEnd w:id="415"/>
      <w:bookmarkEnd w:id="416"/>
    </w:p>
    <w:p w14:paraId="48B63ED6">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r>
        <w:rPr>
          <w:rFonts w:hint="eastAsia" w:cs="Times New Roman"/>
          <w:color w:val="auto"/>
          <w:highlight w:val="none"/>
          <w:lang w:val="en-US" w:eastAsia="zh-CN"/>
        </w:rPr>
        <w:t>3</w:t>
      </w:r>
      <w:r>
        <w:rPr>
          <w:rFonts w:hint="default" w:ascii="Times New Roman" w:hAnsi="Times New Roman" w:cs="Times New Roman"/>
          <w:color w:val="auto"/>
          <w:highlight w:val="none"/>
        </w:rPr>
        <w:t>.1物料平衡</w:t>
      </w:r>
    </w:p>
    <w:p w14:paraId="554AFB4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本项目运营后，全厂物料平衡见表3.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p>
    <w:p w14:paraId="363D7CD2">
      <w:pPr>
        <w:ind w:firstLine="0" w:firstLineChars="0"/>
        <w:jc w:val="center"/>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表3.</w:t>
      </w:r>
      <w:r>
        <w:rPr>
          <w:rFonts w:hint="default" w:ascii="Times New Roman" w:hAnsi="Times New Roman" w:cs="Times New Roman"/>
          <w:b/>
          <w:color w:val="auto"/>
          <w:kern w:val="0"/>
          <w:highlight w:val="none"/>
          <w:lang w:val="en-US" w:eastAsia="zh-CN"/>
        </w:rPr>
        <w:t>2</w:t>
      </w:r>
      <w:r>
        <w:rPr>
          <w:rFonts w:hint="default" w:ascii="Times New Roman" w:hAnsi="Times New Roman" w:cs="Times New Roman"/>
          <w:b/>
          <w:color w:val="auto"/>
          <w:kern w:val="0"/>
          <w:highlight w:val="none"/>
        </w:rPr>
        <w:t>-</w:t>
      </w:r>
      <w:r>
        <w:rPr>
          <w:rFonts w:hint="default" w:ascii="Times New Roman" w:hAnsi="Times New Roman" w:cs="Times New Roman"/>
          <w:b/>
          <w:color w:val="auto"/>
          <w:kern w:val="0"/>
          <w:highlight w:val="none"/>
          <w:lang w:val="en-US" w:eastAsia="zh-CN"/>
        </w:rPr>
        <w:t>2</w:t>
      </w:r>
      <w:r>
        <w:rPr>
          <w:rFonts w:hint="default" w:ascii="Times New Roman" w:hAnsi="Times New Roman" w:cs="Times New Roman"/>
          <w:b/>
          <w:color w:val="auto"/>
          <w:kern w:val="0"/>
          <w:highlight w:val="none"/>
        </w:rPr>
        <w:t xml:space="preserve">    物料平衡表</w:t>
      </w:r>
    </w:p>
    <w:tbl>
      <w:tblPr>
        <w:tblStyle w:val="34"/>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732"/>
        <w:gridCol w:w="1509"/>
        <w:gridCol w:w="1365"/>
        <w:gridCol w:w="899"/>
        <w:gridCol w:w="3342"/>
        <w:gridCol w:w="1327"/>
      </w:tblGrid>
      <w:tr w14:paraId="04669F8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blHeader/>
        </w:trPr>
        <w:tc>
          <w:tcPr>
            <w:tcW w:w="1965" w:type="pct"/>
            <w:gridSpan w:val="3"/>
            <w:vAlign w:val="center"/>
          </w:tcPr>
          <w:p w14:paraId="0C9E7E1C">
            <w:pPr>
              <w:adjustRightInd w:val="0"/>
              <w:snapToGrid w:val="0"/>
              <w:spacing w:line="360" w:lineRule="exact"/>
              <w:ind w:firstLine="0" w:firstLineChars="0"/>
              <w:jc w:val="center"/>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投入</w:t>
            </w:r>
          </w:p>
        </w:tc>
        <w:tc>
          <w:tcPr>
            <w:tcW w:w="3034" w:type="pct"/>
            <w:gridSpan w:val="3"/>
            <w:vAlign w:val="center"/>
          </w:tcPr>
          <w:p w14:paraId="42D5D792">
            <w:pPr>
              <w:adjustRightInd w:val="0"/>
              <w:snapToGrid w:val="0"/>
              <w:spacing w:line="360" w:lineRule="exact"/>
              <w:ind w:firstLine="0" w:firstLineChars="0"/>
              <w:jc w:val="center"/>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产出</w:t>
            </w:r>
          </w:p>
        </w:tc>
      </w:tr>
      <w:tr w14:paraId="2795CF1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blHeader/>
        </w:trPr>
        <w:tc>
          <w:tcPr>
            <w:tcW w:w="399" w:type="pct"/>
            <w:vAlign w:val="center"/>
          </w:tcPr>
          <w:p w14:paraId="7E2A869D">
            <w:pPr>
              <w:adjustRightInd w:val="0"/>
              <w:snapToGrid w:val="0"/>
              <w:spacing w:line="360" w:lineRule="exact"/>
              <w:ind w:firstLine="0" w:firstLineChars="0"/>
              <w:jc w:val="center"/>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序号</w:t>
            </w:r>
          </w:p>
        </w:tc>
        <w:tc>
          <w:tcPr>
            <w:tcW w:w="822" w:type="pct"/>
            <w:vAlign w:val="center"/>
          </w:tcPr>
          <w:p w14:paraId="4FC66F90">
            <w:pPr>
              <w:adjustRightInd w:val="0"/>
              <w:snapToGrid w:val="0"/>
              <w:spacing w:line="360" w:lineRule="exact"/>
              <w:ind w:firstLine="0" w:firstLineChars="0"/>
              <w:jc w:val="center"/>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名称</w:t>
            </w:r>
          </w:p>
        </w:tc>
        <w:tc>
          <w:tcPr>
            <w:tcW w:w="743" w:type="pct"/>
            <w:vAlign w:val="center"/>
          </w:tcPr>
          <w:p w14:paraId="20F78D77">
            <w:pPr>
              <w:adjustRightInd w:val="0"/>
              <w:snapToGrid w:val="0"/>
              <w:spacing w:line="360" w:lineRule="exact"/>
              <w:ind w:firstLine="0" w:firstLineChars="0"/>
              <w:jc w:val="center"/>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数量（t/a）</w:t>
            </w:r>
          </w:p>
        </w:tc>
        <w:tc>
          <w:tcPr>
            <w:tcW w:w="490" w:type="pct"/>
            <w:vAlign w:val="center"/>
          </w:tcPr>
          <w:p w14:paraId="368D9906">
            <w:pPr>
              <w:adjustRightInd w:val="0"/>
              <w:snapToGrid w:val="0"/>
              <w:spacing w:line="360" w:lineRule="exact"/>
              <w:ind w:firstLine="0" w:firstLineChars="0"/>
              <w:jc w:val="center"/>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序号</w:t>
            </w:r>
          </w:p>
        </w:tc>
        <w:tc>
          <w:tcPr>
            <w:tcW w:w="1821" w:type="pct"/>
            <w:vAlign w:val="center"/>
          </w:tcPr>
          <w:p w14:paraId="070C3FE7">
            <w:pPr>
              <w:adjustRightInd w:val="0"/>
              <w:snapToGrid w:val="0"/>
              <w:spacing w:line="360" w:lineRule="exact"/>
              <w:ind w:firstLine="0" w:firstLineChars="0"/>
              <w:jc w:val="center"/>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名称</w:t>
            </w:r>
          </w:p>
        </w:tc>
        <w:tc>
          <w:tcPr>
            <w:tcW w:w="722" w:type="pct"/>
            <w:vAlign w:val="center"/>
          </w:tcPr>
          <w:p w14:paraId="2C686A82">
            <w:pPr>
              <w:adjustRightInd w:val="0"/>
              <w:snapToGrid w:val="0"/>
              <w:spacing w:line="360" w:lineRule="exact"/>
              <w:ind w:firstLine="0" w:firstLineChars="0"/>
              <w:jc w:val="center"/>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数量（t/a）</w:t>
            </w:r>
          </w:p>
        </w:tc>
      </w:tr>
      <w:tr w14:paraId="0745369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99" w:type="pct"/>
            <w:vAlign w:val="center"/>
          </w:tcPr>
          <w:p w14:paraId="05F74430">
            <w:pPr>
              <w:adjustRightInd w:val="0"/>
              <w:snapToGrid w:val="0"/>
              <w:spacing w:line="360" w:lineRule="exact"/>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w:t>
            </w:r>
          </w:p>
        </w:tc>
        <w:tc>
          <w:tcPr>
            <w:tcW w:w="822" w:type="pct"/>
            <w:vAlign w:val="center"/>
          </w:tcPr>
          <w:p w14:paraId="65A83782">
            <w:pPr>
              <w:adjustRightInd w:val="0"/>
              <w:snapToGrid w:val="0"/>
              <w:spacing w:line="360" w:lineRule="exact"/>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 w:val="21"/>
                <w:szCs w:val="21"/>
                <w:highlight w:val="none"/>
                <w:lang w:eastAsia="zh-CN"/>
              </w:rPr>
              <w:t>萤石</w:t>
            </w:r>
            <w:r>
              <w:rPr>
                <w:rFonts w:hint="default" w:ascii="Times New Roman" w:hAnsi="Times New Roman" w:cs="Times New Roman"/>
                <w:color w:val="auto"/>
                <w:sz w:val="21"/>
                <w:szCs w:val="21"/>
                <w:highlight w:val="none"/>
              </w:rPr>
              <w:t>矿石</w:t>
            </w:r>
          </w:p>
        </w:tc>
        <w:tc>
          <w:tcPr>
            <w:tcW w:w="743" w:type="pct"/>
            <w:vAlign w:val="center"/>
          </w:tcPr>
          <w:p w14:paraId="2EF985F8">
            <w:pPr>
              <w:adjustRightInd w:val="0"/>
              <w:snapToGrid w:val="0"/>
              <w:spacing w:line="360" w:lineRule="exact"/>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 w:val="21"/>
                <w:szCs w:val="21"/>
                <w:highlight w:val="none"/>
                <w:lang w:val="en-US" w:eastAsia="zh-CN"/>
              </w:rPr>
              <w:t>600</w:t>
            </w:r>
            <w:r>
              <w:rPr>
                <w:rFonts w:hint="default" w:ascii="Times New Roman" w:hAnsi="Times New Roman" w:cs="Times New Roman"/>
                <w:color w:val="auto"/>
                <w:sz w:val="21"/>
                <w:szCs w:val="21"/>
                <w:highlight w:val="none"/>
              </w:rPr>
              <w:t>000</w:t>
            </w:r>
          </w:p>
        </w:tc>
        <w:tc>
          <w:tcPr>
            <w:tcW w:w="490" w:type="pct"/>
            <w:vAlign w:val="center"/>
          </w:tcPr>
          <w:p w14:paraId="6AFC78B4">
            <w:pPr>
              <w:adjustRightInd w:val="0"/>
              <w:snapToGrid w:val="0"/>
              <w:spacing w:line="360" w:lineRule="exact"/>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w:t>
            </w:r>
          </w:p>
        </w:tc>
        <w:tc>
          <w:tcPr>
            <w:tcW w:w="1821" w:type="pct"/>
            <w:vAlign w:val="center"/>
          </w:tcPr>
          <w:p w14:paraId="4FB835D2">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萤石</w:t>
            </w:r>
            <w:r>
              <w:rPr>
                <w:rFonts w:hint="default" w:ascii="Times New Roman" w:hAnsi="Times New Roman" w:cs="Times New Roman"/>
                <w:color w:val="auto"/>
                <w:sz w:val="21"/>
                <w:szCs w:val="21"/>
                <w:highlight w:val="none"/>
              </w:rPr>
              <w:t>精矿（含水</w:t>
            </w:r>
            <w:r>
              <w:rPr>
                <w:rFonts w:hint="eastAsia" w:cs="Times New Roman"/>
                <w:color w:val="auto"/>
                <w:sz w:val="21"/>
                <w:szCs w:val="21"/>
                <w:highlight w:val="none"/>
                <w:lang w:val="en-US" w:eastAsia="zh-CN"/>
              </w:rPr>
              <w:t>15</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w:t>
            </w:r>
          </w:p>
        </w:tc>
        <w:tc>
          <w:tcPr>
            <w:tcW w:w="722" w:type="pct"/>
            <w:vAlign w:val="center"/>
          </w:tcPr>
          <w:p w14:paraId="16A1B417">
            <w:pPr>
              <w:adjustRightInd w:val="0"/>
              <w:snapToGrid w:val="0"/>
              <w:spacing w:line="360" w:lineRule="exact"/>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157411.76</w:t>
            </w:r>
          </w:p>
        </w:tc>
      </w:tr>
      <w:tr w14:paraId="2C3E4DC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99" w:type="pct"/>
            <w:vAlign w:val="center"/>
          </w:tcPr>
          <w:p w14:paraId="64BF8ED8">
            <w:pPr>
              <w:adjustRightInd w:val="0"/>
              <w:snapToGri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822" w:type="pct"/>
            <w:vAlign w:val="center"/>
          </w:tcPr>
          <w:p w14:paraId="7D7A22E2">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油酸</w:t>
            </w:r>
          </w:p>
        </w:tc>
        <w:tc>
          <w:tcPr>
            <w:tcW w:w="743" w:type="pct"/>
            <w:vAlign w:val="center"/>
          </w:tcPr>
          <w:p w14:paraId="1A88F7B0">
            <w:pPr>
              <w:pStyle w:val="54"/>
              <w:spacing w:after="0" w:line="360" w:lineRule="exact"/>
              <w:ind w:firstLine="0" w:firstLineChars="0"/>
              <w:rPr>
                <w:rFonts w:hint="default" w:ascii="Times New Roman" w:hAnsi="Times New Roman" w:eastAsia="宋体" w:cs="Times New Roman"/>
                <w:b w:val="0"/>
                <w:bCs/>
                <w:color w:val="auto"/>
                <w:sz w:val="21"/>
                <w:highlight w:val="none"/>
                <w:lang w:val="en-US" w:eastAsia="zh-CN" w:bidi="ar-SA"/>
              </w:rPr>
            </w:pPr>
            <w:r>
              <w:rPr>
                <w:rFonts w:hint="default" w:ascii="Times New Roman" w:hAnsi="Times New Roman" w:eastAsia="宋体" w:cs="Times New Roman"/>
                <w:b w:val="0"/>
                <w:bCs/>
                <w:color w:val="auto"/>
                <w:sz w:val="21"/>
                <w:highlight w:val="none"/>
                <w:lang w:val="en-US" w:eastAsia="zh-CN" w:bidi="ar-SA"/>
              </w:rPr>
              <w:t>806.81</w:t>
            </w:r>
          </w:p>
        </w:tc>
        <w:tc>
          <w:tcPr>
            <w:tcW w:w="490" w:type="pct"/>
            <w:vAlign w:val="center"/>
          </w:tcPr>
          <w:p w14:paraId="1A4E1B85">
            <w:pPr>
              <w:adjustRightInd w:val="0"/>
              <w:snapToGri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821" w:type="pct"/>
            <w:vAlign w:val="center"/>
          </w:tcPr>
          <w:p w14:paraId="10BA189B">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尾矿砂（含</w:t>
            </w:r>
            <w:r>
              <w:rPr>
                <w:rFonts w:hint="eastAsia"/>
                <w:color w:val="auto"/>
                <w:sz w:val="21"/>
                <w:szCs w:val="21"/>
                <w:highlight w:val="none"/>
              </w:rPr>
              <w:t>水</w:t>
            </w:r>
            <w:r>
              <w:rPr>
                <w:rFonts w:hint="eastAsia"/>
                <w:color w:val="auto"/>
                <w:sz w:val="21"/>
                <w:szCs w:val="21"/>
                <w:highlight w:val="none"/>
                <w:lang w:val="en-US" w:eastAsia="zh-CN"/>
              </w:rPr>
              <w:t>50%）</w:t>
            </w:r>
          </w:p>
        </w:tc>
        <w:tc>
          <w:tcPr>
            <w:tcW w:w="722" w:type="pct"/>
            <w:vAlign w:val="center"/>
          </w:tcPr>
          <w:p w14:paraId="12DF3308">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927771.58</w:t>
            </w:r>
          </w:p>
        </w:tc>
      </w:tr>
      <w:tr w14:paraId="75DB793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99" w:type="pct"/>
            <w:vAlign w:val="center"/>
          </w:tcPr>
          <w:p w14:paraId="15CD733E">
            <w:pPr>
              <w:adjustRightInd w:val="0"/>
              <w:snapToGri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822" w:type="pct"/>
            <w:vAlign w:val="center"/>
          </w:tcPr>
          <w:p w14:paraId="47B82D22">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水玻璃</w:t>
            </w:r>
          </w:p>
        </w:tc>
        <w:tc>
          <w:tcPr>
            <w:tcW w:w="743" w:type="pct"/>
            <w:vAlign w:val="center"/>
          </w:tcPr>
          <w:p w14:paraId="45D1E8C9">
            <w:pPr>
              <w:pStyle w:val="54"/>
              <w:spacing w:after="0" w:line="360" w:lineRule="exact"/>
              <w:ind w:firstLine="0" w:firstLineChars="0"/>
              <w:rPr>
                <w:rFonts w:hint="default" w:ascii="Times New Roman" w:hAnsi="Times New Roman" w:eastAsia="宋体" w:cs="Times New Roman"/>
                <w:b w:val="0"/>
                <w:bCs/>
                <w:color w:val="auto"/>
                <w:sz w:val="21"/>
                <w:highlight w:val="none"/>
                <w:lang w:val="en-US" w:eastAsia="zh-CN" w:bidi="ar-SA"/>
              </w:rPr>
            </w:pPr>
            <w:r>
              <w:rPr>
                <w:rFonts w:hint="default" w:ascii="Times New Roman" w:hAnsi="Times New Roman" w:eastAsia="宋体" w:cs="Times New Roman"/>
                <w:b w:val="0"/>
                <w:bCs/>
                <w:color w:val="auto"/>
                <w:sz w:val="21"/>
                <w:highlight w:val="none"/>
                <w:lang w:val="en-US" w:eastAsia="zh-CN" w:bidi="ar-SA"/>
              </w:rPr>
              <w:t>804.14</w:t>
            </w:r>
          </w:p>
        </w:tc>
        <w:tc>
          <w:tcPr>
            <w:tcW w:w="490" w:type="pct"/>
            <w:vAlign w:val="center"/>
          </w:tcPr>
          <w:p w14:paraId="74B9F4D8">
            <w:pPr>
              <w:adjustRightInd w:val="0"/>
              <w:snapToGri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3342" w:type="dxa"/>
            <w:vAlign w:val="center"/>
          </w:tcPr>
          <w:p w14:paraId="00A3FD02">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无组织排放粉尘（逸散）</w:t>
            </w:r>
          </w:p>
        </w:tc>
        <w:tc>
          <w:tcPr>
            <w:tcW w:w="1327" w:type="dxa"/>
            <w:vAlign w:val="center"/>
          </w:tcPr>
          <w:p w14:paraId="13D734A5">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2.58</w:t>
            </w:r>
          </w:p>
        </w:tc>
      </w:tr>
      <w:tr w14:paraId="1746F95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99" w:type="pct"/>
            <w:vAlign w:val="center"/>
          </w:tcPr>
          <w:p w14:paraId="0207BACA">
            <w:pPr>
              <w:adjustRightInd w:val="0"/>
              <w:snapToGri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822" w:type="pct"/>
            <w:vAlign w:val="center"/>
          </w:tcPr>
          <w:p w14:paraId="0DD43B35">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碳酸钙抑制剂</w:t>
            </w:r>
          </w:p>
        </w:tc>
        <w:tc>
          <w:tcPr>
            <w:tcW w:w="743" w:type="pct"/>
            <w:vAlign w:val="center"/>
          </w:tcPr>
          <w:p w14:paraId="2DBC5FF3">
            <w:pPr>
              <w:pStyle w:val="54"/>
              <w:spacing w:after="0" w:line="360" w:lineRule="exact"/>
              <w:ind w:firstLine="0" w:firstLineChars="0"/>
              <w:rPr>
                <w:rFonts w:hint="default" w:ascii="Times New Roman" w:hAnsi="Times New Roman" w:eastAsia="宋体" w:cs="Times New Roman"/>
                <w:b w:val="0"/>
                <w:bCs/>
                <w:color w:val="auto"/>
                <w:sz w:val="21"/>
                <w:highlight w:val="none"/>
                <w:lang w:val="en-US" w:eastAsia="zh-CN" w:bidi="ar-SA"/>
              </w:rPr>
            </w:pPr>
            <w:r>
              <w:rPr>
                <w:rFonts w:hint="default" w:ascii="Times New Roman" w:hAnsi="Times New Roman" w:eastAsia="宋体" w:cs="Times New Roman"/>
                <w:b w:val="0"/>
                <w:bCs/>
                <w:color w:val="auto"/>
                <w:sz w:val="21"/>
                <w:highlight w:val="none"/>
                <w:lang w:val="en-US" w:eastAsia="zh-CN" w:bidi="ar-SA"/>
              </w:rPr>
              <w:t>466.97</w:t>
            </w:r>
          </w:p>
        </w:tc>
        <w:tc>
          <w:tcPr>
            <w:tcW w:w="490" w:type="pct"/>
            <w:vAlign w:val="center"/>
          </w:tcPr>
          <w:p w14:paraId="1D008A19">
            <w:pPr>
              <w:adjustRightInd w:val="0"/>
              <w:snapToGri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3342" w:type="dxa"/>
            <w:vAlign w:val="center"/>
          </w:tcPr>
          <w:p w14:paraId="344B513E">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327" w:type="dxa"/>
            <w:vAlign w:val="center"/>
          </w:tcPr>
          <w:p w14:paraId="1E8B2B5D">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3DDF960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99" w:type="pct"/>
            <w:vAlign w:val="center"/>
          </w:tcPr>
          <w:p w14:paraId="47AC1726">
            <w:pPr>
              <w:adjustRightInd w:val="0"/>
              <w:snapToGri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822" w:type="pct"/>
            <w:vAlign w:val="center"/>
          </w:tcPr>
          <w:p w14:paraId="6EB1A06E">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新鲜</w:t>
            </w:r>
            <w:r>
              <w:rPr>
                <w:rFonts w:hint="default" w:ascii="Times New Roman" w:hAnsi="Times New Roman" w:eastAsia="宋体" w:cs="Times New Roman"/>
                <w:color w:val="auto"/>
                <w:sz w:val="21"/>
                <w:szCs w:val="21"/>
                <w:highlight w:val="none"/>
                <w:lang w:val="en-US" w:eastAsia="zh-CN"/>
              </w:rPr>
              <w:t>水</w:t>
            </w:r>
          </w:p>
        </w:tc>
        <w:tc>
          <w:tcPr>
            <w:tcW w:w="743" w:type="pct"/>
            <w:vAlign w:val="center"/>
          </w:tcPr>
          <w:p w14:paraId="73E020BB">
            <w:pPr>
              <w:pStyle w:val="54"/>
              <w:spacing w:after="0" w:line="360" w:lineRule="exact"/>
              <w:ind w:firstLine="0" w:firstLineChars="0"/>
              <w:rPr>
                <w:rFonts w:hint="default" w:ascii="Times New Roman" w:hAnsi="Times New Roman" w:cs="Times New Roman"/>
                <w:color w:val="auto"/>
                <w:sz w:val="21"/>
                <w:szCs w:val="21"/>
                <w:highlight w:val="none"/>
                <w:lang w:val="en-US"/>
              </w:rPr>
            </w:pPr>
            <w:r>
              <w:rPr>
                <w:rFonts w:hint="eastAsia" w:ascii="Times New Roman" w:hAnsi="Times New Roman" w:eastAsia="宋体" w:cs="Times New Roman"/>
                <w:b w:val="0"/>
                <w:bCs/>
                <w:color w:val="auto"/>
                <w:sz w:val="21"/>
                <w:highlight w:val="none"/>
                <w:lang w:val="en-US" w:eastAsia="zh-CN" w:bidi="ar-SA"/>
              </w:rPr>
              <w:t>483108</w:t>
            </w:r>
          </w:p>
        </w:tc>
        <w:tc>
          <w:tcPr>
            <w:tcW w:w="490" w:type="pct"/>
            <w:vAlign w:val="center"/>
          </w:tcPr>
          <w:p w14:paraId="006C70B7">
            <w:pPr>
              <w:adjustRightInd w:val="0"/>
              <w:snapToGri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1821" w:type="pct"/>
            <w:vAlign w:val="center"/>
          </w:tcPr>
          <w:p w14:paraId="3AA2F1F2">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722" w:type="pct"/>
            <w:vAlign w:val="center"/>
          </w:tcPr>
          <w:p w14:paraId="12960E00">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36813B4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399" w:type="pct"/>
            <w:vAlign w:val="center"/>
          </w:tcPr>
          <w:p w14:paraId="5EAA129A">
            <w:pPr>
              <w:adjustRightInd w:val="0"/>
              <w:snapToGri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合计</w:t>
            </w:r>
          </w:p>
        </w:tc>
        <w:tc>
          <w:tcPr>
            <w:tcW w:w="822" w:type="pct"/>
            <w:vAlign w:val="center"/>
          </w:tcPr>
          <w:p w14:paraId="0C93D1EB">
            <w:pPr>
              <w:adjustRightInd w:val="0"/>
              <w:snapToGri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743" w:type="pct"/>
            <w:vAlign w:val="center"/>
          </w:tcPr>
          <w:p w14:paraId="660764B9">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1085185.92</w:t>
            </w:r>
          </w:p>
        </w:tc>
        <w:tc>
          <w:tcPr>
            <w:tcW w:w="490" w:type="pct"/>
            <w:vAlign w:val="center"/>
          </w:tcPr>
          <w:p w14:paraId="17D57823">
            <w:pPr>
              <w:adjustRightInd w:val="0"/>
              <w:snapToGri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合计</w:t>
            </w:r>
          </w:p>
        </w:tc>
        <w:tc>
          <w:tcPr>
            <w:tcW w:w="1821" w:type="pct"/>
            <w:vAlign w:val="center"/>
          </w:tcPr>
          <w:p w14:paraId="1BB8F4A8">
            <w:pPr>
              <w:adjustRightInd w:val="0"/>
              <w:snapToGri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722" w:type="pct"/>
            <w:vAlign w:val="center"/>
          </w:tcPr>
          <w:p w14:paraId="6816DCD7">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1085185.92</w:t>
            </w:r>
          </w:p>
        </w:tc>
      </w:tr>
    </w:tbl>
    <w:p w14:paraId="5A7205B4">
      <w:pPr>
        <w:pStyle w:val="5"/>
        <w:shd w:val="clear"/>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r>
        <w:rPr>
          <w:rFonts w:hint="eastAsia" w:cs="Times New Roman"/>
          <w:color w:val="auto"/>
          <w:highlight w:val="none"/>
          <w:lang w:val="en-US" w:eastAsia="zh-CN"/>
        </w:rPr>
        <w:t>3</w:t>
      </w:r>
      <w:r>
        <w:rPr>
          <w:rFonts w:hint="default" w:ascii="Times New Roman" w:hAnsi="Times New Roman" w:cs="Times New Roman"/>
          <w:color w:val="auto"/>
          <w:highlight w:val="none"/>
        </w:rPr>
        <w:t>.2水平衡</w:t>
      </w:r>
    </w:p>
    <w:p w14:paraId="3CD6D4D3">
      <w:pPr>
        <w:shd w:val="clear"/>
        <w:overflowPunct w:val="0"/>
        <w:topLinePunct/>
        <w:ind w:firstLine="480"/>
        <w:rPr>
          <w:rFonts w:hint="default" w:ascii="Times New Roman" w:hAnsi="Times New Roman" w:cs="Times New Roman"/>
          <w:color w:val="auto"/>
          <w:spacing w:val="0"/>
          <w:sz w:val="24"/>
          <w:highlight w:val="none"/>
        </w:rPr>
      </w:pPr>
      <w:r>
        <w:rPr>
          <w:rFonts w:hint="default" w:ascii="Times New Roman" w:hAnsi="Times New Roman" w:cs="Times New Roman"/>
          <w:color w:val="auto"/>
          <w:spacing w:val="0"/>
          <w:sz w:val="24"/>
          <w:szCs w:val="28"/>
          <w:highlight w:val="none"/>
        </w:rPr>
        <w:t>本项目用水</w:t>
      </w:r>
      <w:r>
        <w:rPr>
          <w:rFonts w:hint="default" w:ascii="Times New Roman" w:hAnsi="Times New Roman" w:cs="Times New Roman"/>
          <w:color w:val="auto"/>
          <w:spacing w:val="0"/>
          <w:sz w:val="24"/>
          <w:highlight w:val="none"/>
        </w:rPr>
        <w:t>主要包括生活用水、生产用水</w:t>
      </w:r>
      <w:r>
        <w:rPr>
          <w:rFonts w:hint="eastAsia" w:cs="Times New Roman"/>
          <w:color w:val="auto"/>
          <w:spacing w:val="0"/>
          <w:sz w:val="24"/>
          <w:highlight w:val="none"/>
          <w:lang w:eastAsia="zh-CN"/>
        </w:rPr>
        <w:t>、</w:t>
      </w:r>
      <w:r>
        <w:rPr>
          <w:rFonts w:hint="eastAsia" w:cs="Times New Roman"/>
          <w:color w:val="auto"/>
          <w:spacing w:val="0"/>
          <w:sz w:val="24"/>
          <w:highlight w:val="none"/>
          <w:lang w:val="en-US" w:eastAsia="zh-CN"/>
        </w:rPr>
        <w:t>供热</w:t>
      </w:r>
      <w:r>
        <w:rPr>
          <w:rFonts w:hint="default" w:ascii="Times New Roman" w:hAnsi="Times New Roman" w:cs="Times New Roman"/>
          <w:color w:val="auto"/>
          <w:spacing w:val="0"/>
          <w:sz w:val="24"/>
          <w:highlight w:val="none"/>
          <w:lang w:val="en-US" w:eastAsia="zh-CN"/>
        </w:rPr>
        <w:t>锅炉用水</w:t>
      </w:r>
      <w:r>
        <w:rPr>
          <w:rFonts w:hint="default" w:ascii="Times New Roman" w:hAnsi="Times New Roman" w:cs="Times New Roman"/>
          <w:color w:val="auto"/>
          <w:spacing w:val="0"/>
          <w:sz w:val="24"/>
          <w:highlight w:val="none"/>
        </w:rPr>
        <w:t>以及</w:t>
      </w:r>
      <w:r>
        <w:rPr>
          <w:rFonts w:hint="eastAsia" w:cs="Times New Roman"/>
          <w:color w:val="auto"/>
          <w:spacing w:val="0"/>
          <w:sz w:val="24"/>
          <w:highlight w:val="none"/>
          <w:lang w:val="en-US" w:eastAsia="zh-CN"/>
        </w:rPr>
        <w:t>厂区道路降尘绿化用水</w:t>
      </w:r>
      <w:r>
        <w:rPr>
          <w:rFonts w:hint="default" w:ascii="Times New Roman" w:hAnsi="Times New Roman" w:cs="Times New Roman"/>
          <w:color w:val="auto"/>
          <w:spacing w:val="0"/>
          <w:sz w:val="24"/>
          <w:highlight w:val="none"/>
        </w:rPr>
        <w:t>，其中生产用水</w:t>
      </w:r>
      <w:r>
        <w:rPr>
          <w:rFonts w:hint="eastAsia" w:cs="Times New Roman"/>
          <w:color w:val="auto"/>
          <w:spacing w:val="0"/>
          <w:sz w:val="24"/>
          <w:highlight w:val="none"/>
          <w:lang w:val="en-US" w:eastAsia="zh-CN"/>
        </w:rPr>
        <w:t>主要为</w:t>
      </w:r>
      <w:r>
        <w:rPr>
          <w:rFonts w:hint="default" w:ascii="Times New Roman" w:hAnsi="Times New Roman" w:cs="Times New Roman"/>
          <w:color w:val="auto"/>
          <w:spacing w:val="0"/>
          <w:sz w:val="24"/>
          <w:highlight w:val="none"/>
        </w:rPr>
        <w:t>选矿生产用水。本项目</w:t>
      </w:r>
      <w:r>
        <w:rPr>
          <w:rFonts w:hint="default" w:ascii="Times New Roman" w:hAnsi="Times New Roman" w:cs="Times New Roman"/>
          <w:color w:val="auto"/>
          <w:spacing w:val="0"/>
          <w:sz w:val="24"/>
          <w:highlight w:val="none"/>
          <w:lang w:val="en-US" w:eastAsia="zh-CN"/>
        </w:rPr>
        <w:t>非灌溉期</w:t>
      </w:r>
      <w:r>
        <w:rPr>
          <w:rFonts w:hint="eastAsia" w:cs="Times New Roman"/>
          <w:color w:val="auto"/>
          <w:spacing w:val="0"/>
          <w:sz w:val="24"/>
          <w:highlight w:val="none"/>
          <w:lang w:val="en-US" w:eastAsia="zh-CN"/>
        </w:rPr>
        <w:t>新鲜水</w:t>
      </w:r>
      <w:r>
        <w:rPr>
          <w:rFonts w:hint="default" w:ascii="Times New Roman" w:hAnsi="Times New Roman" w:cs="Times New Roman"/>
          <w:color w:val="auto"/>
          <w:spacing w:val="0"/>
          <w:sz w:val="24"/>
          <w:highlight w:val="none"/>
        </w:rPr>
        <w:t>总用水量为</w:t>
      </w:r>
      <w:r>
        <w:rPr>
          <w:rFonts w:hint="eastAsia" w:cs="Times New Roman"/>
          <w:color w:val="auto"/>
          <w:spacing w:val="0"/>
          <w:sz w:val="24"/>
          <w:highlight w:val="none"/>
          <w:lang w:val="en-US" w:eastAsia="zh-CN"/>
        </w:rPr>
        <w:t>1756.4</w:t>
      </w:r>
      <w:r>
        <w:rPr>
          <w:rFonts w:hint="default" w:ascii="Times New Roman" w:hAnsi="Times New Roman" w:cs="Times New Roman"/>
          <w:color w:val="auto"/>
          <w:spacing w:val="0"/>
          <w:sz w:val="24"/>
          <w:highlight w:val="none"/>
        </w:rPr>
        <w:t>m</w:t>
      </w:r>
      <w:r>
        <w:rPr>
          <w:rFonts w:hint="default" w:ascii="Times New Roman" w:hAnsi="Times New Roman" w:cs="Times New Roman"/>
          <w:color w:val="auto"/>
          <w:spacing w:val="0"/>
          <w:sz w:val="24"/>
          <w:highlight w:val="none"/>
          <w:vertAlign w:val="superscript"/>
        </w:rPr>
        <w:t>3</w:t>
      </w:r>
      <w:r>
        <w:rPr>
          <w:rFonts w:hint="default" w:ascii="Times New Roman" w:hAnsi="Times New Roman" w:cs="Times New Roman"/>
          <w:color w:val="auto"/>
          <w:spacing w:val="0"/>
          <w:sz w:val="24"/>
          <w:highlight w:val="none"/>
        </w:rPr>
        <w:t>/d，</w:t>
      </w:r>
      <w:r>
        <w:rPr>
          <w:rFonts w:hint="default" w:ascii="Times New Roman" w:hAnsi="Times New Roman" w:cs="Times New Roman"/>
          <w:color w:val="auto"/>
          <w:spacing w:val="0"/>
          <w:sz w:val="24"/>
          <w:highlight w:val="none"/>
          <w:lang w:val="en-US" w:eastAsia="zh-CN"/>
        </w:rPr>
        <w:t>灌溉期</w:t>
      </w:r>
      <w:r>
        <w:rPr>
          <w:rFonts w:hint="eastAsia" w:cs="Times New Roman"/>
          <w:color w:val="auto"/>
          <w:spacing w:val="0"/>
          <w:sz w:val="24"/>
          <w:highlight w:val="none"/>
          <w:lang w:val="en-US" w:eastAsia="zh-CN"/>
        </w:rPr>
        <w:t>新鲜水</w:t>
      </w:r>
      <w:r>
        <w:rPr>
          <w:rFonts w:hint="default" w:ascii="Times New Roman" w:hAnsi="Times New Roman" w:cs="Times New Roman"/>
          <w:color w:val="auto"/>
          <w:spacing w:val="0"/>
          <w:sz w:val="24"/>
          <w:highlight w:val="none"/>
        </w:rPr>
        <w:t>总用水量为</w:t>
      </w:r>
      <w:r>
        <w:rPr>
          <w:rFonts w:hint="eastAsia" w:cs="Times New Roman"/>
          <w:color w:val="auto"/>
          <w:spacing w:val="0"/>
          <w:sz w:val="24"/>
          <w:highlight w:val="none"/>
          <w:lang w:val="en-US" w:eastAsia="zh-CN"/>
        </w:rPr>
        <w:t>1676.16</w:t>
      </w:r>
      <w:r>
        <w:rPr>
          <w:rFonts w:hint="default" w:ascii="Times New Roman" w:hAnsi="Times New Roman" w:cs="Times New Roman"/>
          <w:color w:val="auto"/>
          <w:spacing w:val="0"/>
          <w:sz w:val="24"/>
          <w:highlight w:val="none"/>
        </w:rPr>
        <w:t>m</w:t>
      </w:r>
      <w:r>
        <w:rPr>
          <w:rFonts w:hint="default" w:ascii="Times New Roman" w:hAnsi="Times New Roman" w:cs="Times New Roman"/>
          <w:color w:val="auto"/>
          <w:spacing w:val="0"/>
          <w:sz w:val="24"/>
          <w:highlight w:val="none"/>
          <w:vertAlign w:val="superscript"/>
        </w:rPr>
        <w:t>3</w:t>
      </w:r>
      <w:r>
        <w:rPr>
          <w:rFonts w:hint="default" w:ascii="Times New Roman" w:hAnsi="Times New Roman" w:cs="Times New Roman"/>
          <w:color w:val="auto"/>
          <w:spacing w:val="0"/>
          <w:sz w:val="24"/>
          <w:highlight w:val="none"/>
        </w:rPr>
        <w:t>/d，</w:t>
      </w:r>
      <w:r>
        <w:rPr>
          <w:rFonts w:hint="eastAsia" w:cs="Times New Roman"/>
          <w:color w:val="auto"/>
          <w:spacing w:val="0"/>
          <w:sz w:val="24"/>
          <w:highlight w:val="none"/>
          <w:lang w:val="en-US" w:eastAsia="zh-CN"/>
        </w:rPr>
        <w:t>新鲜水年合计</w:t>
      </w:r>
      <w:r>
        <w:rPr>
          <w:rFonts w:hint="default" w:ascii="Times New Roman" w:hAnsi="Times New Roman" w:cs="Times New Roman"/>
          <w:color w:val="auto"/>
          <w:spacing w:val="0"/>
          <w:sz w:val="24"/>
          <w:highlight w:val="none"/>
        </w:rPr>
        <w:t>用水量</w:t>
      </w:r>
      <w:r>
        <w:rPr>
          <w:rFonts w:hint="default" w:ascii="Times New Roman" w:hAnsi="Times New Roman" w:cs="Times New Roman"/>
          <w:color w:val="auto"/>
          <w:spacing w:val="0"/>
          <w:sz w:val="24"/>
          <w:highlight w:val="none"/>
          <w:lang w:val="en-US" w:eastAsia="zh-CN"/>
        </w:rPr>
        <w:t>为</w:t>
      </w:r>
      <w:r>
        <w:rPr>
          <w:rFonts w:hint="eastAsia" w:cs="Times New Roman"/>
          <w:color w:val="auto"/>
          <w:spacing w:val="0"/>
          <w:sz w:val="24"/>
          <w:highlight w:val="none"/>
          <w:lang w:val="en-US" w:eastAsia="zh-CN"/>
        </w:rPr>
        <w:t>51.4884</w:t>
      </w:r>
      <w:r>
        <w:rPr>
          <w:rFonts w:hint="default" w:ascii="Times New Roman" w:hAnsi="Times New Roman" w:cs="Times New Roman"/>
          <w:color w:val="auto"/>
          <w:spacing w:val="0"/>
          <w:sz w:val="24"/>
          <w:highlight w:val="none"/>
        </w:rPr>
        <w:t>万m</w:t>
      </w:r>
      <w:r>
        <w:rPr>
          <w:rFonts w:hint="default" w:ascii="Times New Roman" w:hAnsi="Times New Roman" w:cs="Times New Roman"/>
          <w:color w:val="auto"/>
          <w:spacing w:val="0"/>
          <w:sz w:val="24"/>
          <w:highlight w:val="none"/>
          <w:vertAlign w:val="superscript"/>
        </w:rPr>
        <w:t>3</w:t>
      </w:r>
      <w:r>
        <w:rPr>
          <w:rFonts w:hint="default" w:ascii="Times New Roman" w:hAnsi="Times New Roman" w:cs="Times New Roman"/>
          <w:color w:val="auto"/>
          <w:spacing w:val="0"/>
          <w:sz w:val="24"/>
          <w:highlight w:val="none"/>
        </w:rPr>
        <w:t>/a。本项目</w:t>
      </w:r>
      <w:r>
        <w:rPr>
          <w:rFonts w:hint="default" w:ascii="Times New Roman" w:hAnsi="Times New Roman" w:cs="Times New Roman"/>
          <w:color w:val="auto"/>
          <w:spacing w:val="0"/>
          <w:sz w:val="24"/>
          <w:highlight w:val="none"/>
          <w:lang w:val="en-US" w:eastAsia="zh-CN"/>
        </w:rPr>
        <w:t>非灌溉</w:t>
      </w:r>
      <w:r>
        <w:rPr>
          <w:rFonts w:hint="eastAsia" w:cs="Times New Roman"/>
          <w:color w:val="auto"/>
          <w:spacing w:val="0"/>
          <w:sz w:val="24"/>
          <w:highlight w:val="none"/>
          <w:lang w:val="en-US" w:eastAsia="zh-CN"/>
        </w:rPr>
        <w:t>季</w:t>
      </w:r>
      <w:r>
        <w:rPr>
          <w:rFonts w:hint="default" w:ascii="Times New Roman" w:hAnsi="Times New Roman" w:cs="Times New Roman"/>
          <w:color w:val="auto"/>
          <w:spacing w:val="0"/>
          <w:sz w:val="24"/>
          <w:highlight w:val="none"/>
        </w:rPr>
        <w:t>总用水量为</w:t>
      </w:r>
      <w:r>
        <w:rPr>
          <w:rFonts w:hint="eastAsia" w:cs="Times New Roman"/>
          <w:color w:val="auto"/>
          <w:spacing w:val="0"/>
          <w:sz w:val="24"/>
          <w:highlight w:val="none"/>
          <w:lang w:val="en-US" w:eastAsia="zh-CN"/>
        </w:rPr>
        <w:t>9167.79</w:t>
      </w:r>
      <w:r>
        <w:rPr>
          <w:rFonts w:hint="default" w:ascii="Times New Roman" w:hAnsi="Times New Roman" w:cs="Times New Roman"/>
          <w:color w:val="auto"/>
          <w:spacing w:val="0"/>
          <w:sz w:val="24"/>
          <w:highlight w:val="none"/>
        </w:rPr>
        <w:t>m</w:t>
      </w:r>
      <w:r>
        <w:rPr>
          <w:rFonts w:hint="default" w:ascii="Times New Roman" w:hAnsi="Times New Roman" w:cs="Times New Roman"/>
          <w:color w:val="auto"/>
          <w:spacing w:val="0"/>
          <w:sz w:val="24"/>
          <w:highlight w:val="none"/>
          <w:vertAlign w:val="superscript"/>
        </w:rPr>
        <w:t>3</w:t>
      </w:r>
      <w:r>
        <w:rPr>
          <w:rFonts w:hint="default" w:ascii="Times New Roman" w:hAnsi="Times New Roman" w:cs="Times New Roman"/>
          <w:color w:val="auto"/>
          <w:spacing w:val="0"/>
          <w:sz w:val="24"/>
          <w:highlight w:val="none"/>
        </w:rPr>
        <w:t>/d，</w:t>
      </w:r>
      <w:r>
        <w:rPr>
          <w:rFonts w:hint="default" w:ascii="Times New Roman" w:hAnsi="Times New Roman" w:cs="Times New Roman"/>
          <w:color w:val="auto"/>
          <w:spacing w:val="0"/>
          <w:sz w:val="24"/>
          <w:highlight w:val="none"/>
          <w:lang w:val="en-US" w:eastAsia="zh-CN"/>
        </w:rPr>
        <w:t>灌溉</w:t>
      </w:r>
      <w:r>
        <w:rPr>
          <w:rFonts w:hint="eastAsia" w:cs="Times New Roman"/>
          <w:color w:val="auto"/>
          <w:spacing w:val="0"/>
          <w:sz w:val="24"/>
          <w:highlight w:val="none"/>
          <w:lang w:val="en-US" w:eastAsia="zh-CN"/>
        </w:rPr>
        <w:t>季</w:t>
      </w:r>
      <w:r>
        <w:rPr>
          <w:rFonts w:hint="default" w:ascii="Times New Roman" w:hAnsi="Times New Roman" w:cs="Times New Roman"/>
          <w:color w:val="auto"/>
          <w:spacing w:val="0"/>
          <w:sz w:val="24"/>
          <w:highlight w:val="none"/>
        </w:rPr>
        <w:t>总用水量为</w:t>
      </w:r>
      <w:r>
        <w:rPr>
          <w:rFonts w:hint="default" w:ascii="Times New Roman" w:hAnsi="Times New Roman" w:cs="Times New Roman"/>
          <w:color w:val="auto"/>
          <w:spacing w:val="0"/>
          <w:sz w:val="24"/>
          <w:highlight w:val="none"/>
          <w:lang w:val="en-US" w:eastAsia="zh-CN"/>
        </w:rPr>
        <w:t>9038.35</w:t>
      </w:r>
      <w:r>
        <w:rPr>
          <w:rFonts w:hint="default" w:ascii="Times New Roman" w:hAnsi="Times New Roman" w:cs="Times New Roman"/>
          <w:color w:val="auto"/>
          <w:spacing w:val="0"/>
          <w:sz w:val="24"/>
          <w:highlight w:val="none"/>
        </w:rPr>
        <w:t>m</w:t>
      </w:r>
      <w:r>
        <w:rPr>
          <w:rFonts w:hint="default" w:ascii="Times New Roman" w:hAnsi="Times New Roman" w:cs="Times New Roman"/>
          <w:color w:val="auto"/>
          <w:spacing w:val="0"/>
          <w:sz w:val="24"/>
          <w:highlight w:val="none"/>
          <w:vertAlign w:val="superscript"/>
        </w:rPr>
        <w:t>3</w:t>
      </w:r>
      <w:r>
        <w:rPr>
          <w:rFonts w:hint="default" w:ascii="Times New Roman" w:hAnsi="Times New Roman" w:cs="Times New Roman"/>
          <w:color w:val="auto"/>
          <w:spacing w:val="0"/>
          <w:sz w:val="24"/>
          <w:highlight w:val="none"/>
        </w:rPr>
        <w:t>/d，合计总用水量</w:t>
      </w:r>
      <w:r>
        <w:rPr>
          <w:rFonts w:hint="eastAsia" w:cs="Times New Roman"/>
          <w:color w:val="auto"/>
          <w:spacing w:val="0"/>
          <w:sz w:val="24"/>
          <w:highlight w:val="none"/>
          <w:lang w:val="en-US" w:eastAsia="zh-CN"/>
        </w:rPr>
        <w:t>273.0921万</w:t>
      </w:r>
      <w:r>
        <w:rPr>
          <w:rFonts w:hint="default" w:ascii="Times New Roman" w:hAnsi="Times New Roman" w:cs="Times New Roman"/>
          <w:color w:val="auto"/>
          <w:spacing w:val="0"/>
          <w:sz w:val="24"/>
          <w:highlight w:val="none"/>
        </w:rPr>
        <w:t>m</w:t>
      </w:r>
      <w:r>
        <w:rPr>
          <w:rFonts w:hint="default" w:ascii="Times New Roman" w:hAnsi="Times New Roman" w:cs="Times New Roman"/>
          <w:color w:val="auto"/>
          <w:spacing w:val="0"/>
          <w:sz w:val="24"/>
          <w:highlight w:val="none"/>
          <w:vertAlign w:val="superscript"/>
        </w:rPr>
        <w:t>3</w:t>
      </w:r>
      <w:r>
        <w:rPr>
          <w:rFonts w:hint="default" w:ascii="Times New Roman" w:hAnsi="Times New Roman" w:cs="Times New Roman"/>
          <w:color w:val="auto"/>
          <w:spacing w:val="0"/>
          <w:sz w:val="24"/>
          <w:highlight w:val="none"/>
        </w:rPr>
        <w:t>/a。</w:t>
      </w:r>
    </w:p>
    <w:p w14:paraId="5060DA36">
      <w:pPr>
        <w:overflowPunct w:val="0"/>
        <w:topLinePunct/>
        <w:ind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spacing w:val="0"/>
          <w:sz w:val="24"/>
          <w:highlight w:val="none"/>
        </w:rPr>
        <w:t>本项目生活用水量约</w:t>
      </w:r>
      <w:r>
        <w:rPr>
          <w:rFonts w:hint="default" w:ascii="Times New Roman" w:hAnsi="Times New Roman" w:cs="Times New Roman"/>
          <w:color w:val="auto"/>
          <w:spacing w:val="0"/>
          <w:sz w:val="24"/>
          <w:highlight w:val="none"/>
          <w:lang w:val="en-US" w:eastAsia="zh-CN"/>
        </w:rPr>
        <w:t>7.2</w:t>
      </w:r>
      <w:r>
        <w:rPr>
          <w:rFonts w:hint="default" w:ascii="Times New Roman" w:hAnsi="Times New Roman" w:cs="Times New Roman"/>
          <w:color w:val="auto"/>
          <w:spacing w:val="0"/>
          <w:sz w:val="24"/>
          <w:highlight w:val="none"/>
        </w:rPr>
        <w:t>m</w:t>
      </w:r>
      <w:r>
        <w:rPr>
          <w:rFonts w:hint="default" w:ascii="Times New Roman" w:hAnsi="Times New Roman" w:cs="Times New Roman"/>
          <w:color w:val="auto"/>
          <w:spacing w:val="0"/>
          <w:sz w:val="24"/>
          <w:highlight w:val="none"/>
          <w:vertAlign w:val="superscript"/>
        </w:rPr>
        <w:t>3</w:t>
      </w:r>
      <w:r>
        <w:rPr>
          <w:rFonts w:hint="default" w:ascii="Times New Roman" w:hAnsi="Times New Roman" w:cs="Times New Roman"/>
          <w:color w:val="auto"/>
          <w:spacing w:val="0"/>
          <w:sz w:val="24"/>
          <w:highlight w:val="none"/>
        </w:rPr>
        <w:t>/d</w:t>
      </w:r>
      <w:r>
        <w:rPr>
          <w:rFonts w:hint="eastAsia" w:cs="Times New Roman"/>
          <w:color w:val="auto"/>
          <w:spacing w:val="0"/>
          <w:sz w:val="24"/>
          <w:highlight w:val="none"/>
          <w:lang w:eastAsia="zh-CN"/>
        </w:rPr>
        <w:t>、</w:t>
      </w:r>
      <w:r>
        <w:rPr>
          <w:rFonts w:hint="default" w:ascii="Times New Roman" w:hAnsi="Times New Roman" w:cs="Times New Roman"/>
          <w:color w:val="auto"/>
          <w:spacing w:val="0"/>
          <w:sz w:val="24"/>
          <w:highlight w:val="none"/>
        </w:rPr>
        <w:t>锅炉生产用水量为</w:t>
      </w:r>
      <w:r>
        <w:rPr>
          <w:rFonts w:hint="eastAsia" w:cs="Times New Roman"/>
          <w:color w:val="auto"/>
          <w:spacing w:val="0"/>
          <w:sz w:val="24"/>
          <w:highlight w:val="none"/>
          <w:lang w:val="en-US" w:eastAsia="zh-CN"/>
        </w:rPr>
        <w:t>131.04</w:t>
      </w:r>
      <w:r>
        <w:rPr>
          <w:rFonts w:hint="default" w:ascii="Times New Roman" w:hAnsi="Times New Roman" w:cs="Times New Roman"/>
          <w:color w:val="auto"/>
          <w:spacing w:val="0"/>
          <w:sz w:val="24"/>
          <w:highlight w:val="none"/>
        </w:rPr>
        <w:t>m</w:t>
      </w:r>
      <w:r>
        <w:rPr>
          <w:rFonts w:hint="default" w:ascii="Times New Roman" w:hAnsi="Times New Roman" w:cs="Times New Roman"/>
          <w:color w:val="auto"/>
          <w:spacing w:val="0"/>
          <w:sz w:val="24"/>
          <w:highlight w:val="none"/>
          <w:vertAlign w:val="superscript"/>
        </w:rPr>
        <w:t>3</w:t>
      </w:r>
      <w:r>
        <w:rPr>
          <w:rFonts w:hint="default" w:ascii="Times New Roman" w:hAnsi="Times New Roman" w:cs="Times New Roman"/>
          <w:color w:val="auto"/>
          <w:spacing w:val="0"/>
          <w:sz w:val="24"/>
          <w:highlight w:val="none"/>
        </w:rPr>
        <w:t>/d</w:t>
      </w:r>
      <w:r>
        <w:rPr>
          <w:rFonts w:hint="eastAsia" w:cs="Times New Roman"/>
          <w:color w:val="auto"/>
          <w:spacing w:val="0"/>
          <w:sz w:val="24"/>
          <w:highlight w:val="none"/>
          <w:lang w:eastAsia="zh-CN"/>
        </w:rPr>
        <w:t>、</w:t>
      </w:r>
      <w:r>
        <w:rPr>
          <w:rFonts w:hint="eastAsia" w:cs="Times New Roman"/>
          <w:color w:val="auto"/>
          <w:spacing w:val="0"/>
          <w:sz w:val="24"/>
          <w:highlight w:val="none"/>
          <w:lang w:val="en-US" w:eastAsia="zh-CN"/>
        </w:rPr>
        <w:t>绿化</w:t>
      </w:r>
      <w:r>
        <w:rPr>
          <w:rFonts w:hint="default" w:ascii="Times New Roman" w:hAnsi="Times New Roman" w:cs="Times New Roman"/>
          <w:color w:val="auto"/>
          <w:spacing w:val="0"/>
          <w:sz w:val="24"/>
          <w:highlight w:val="none"/>
        </w:rPr>
        <w:t>用水量为</w:t>
      </w:r>
      <w:r>
        <w:rPr>
          <w:rFonts w:hint="eastAsia" w:cs="Times New Roman"/>
          <w:color w:val="auto"/>
          <w:spacing w:val="0"/>
          <w:sz w:val="24"/>
          <w:highlight w:val="none"/>
          <w:lang w:val="en-US" w:eastAsia="zh-CN"/>
        </w:rPr>
        <w:t>6</w:t>
      </w:r>
      <w:r>
        <w:rPr>
          <w:rFonts w:hint="default" w:ascii="Times New Roman" w:hAnsi="Times New Roman" w:cs="Times New Roman"/>
          <w:color w:val="auto"/>
          <w:spacing w:val="0"/>
          <w:sz w:val="24"/>
          <w:highlight w:val="none"/>
        </w:rPr>
        <w:t>m</w:t>
      </w:r>
      <w:r>
        <w:rPr>
          <w:rFonts w:hint="default" w:ascii="Times New Roman" w:hAnsi="Times New Roman" w:cs="Times New Roman"/>
          <w:color w:val="auto"/>
          <w:spacing w:val="0"/>
          <w:sz w:val="24"/>
          <w:highlight w:val="none"/>
          <w:vertAlign w:val="superscript"/>
        </w:rPr>
        <w:t>3</w:t>
      </w:r>
      <w:r>
        <w:rPr>
          <w:rFonts w:hint="default" w:ascii="Times New Roman" w:hAnsi="Times New Roman" w:cs="Times New Roman"/>
          <w:color w:val="auto"/>
          <w:spacing w:val="0"/>
          <w:sz w:val="24"/>
          <w:highlight w:val="none"/>
        </w:rPr>
        <w:t>/d</w:t>
      </w:r>
      <w:r>
        <w:rPr>
          <w:rFonts w:hint="eastAsia" w:cs="Times New Roman"/>
          <w:color w:val="auto"/>
          <w:spacing w:val="0"/>
          <w:sz w:val="24"/>
          <w:highlight w:val="none"/>
          <w:lang w:eastAsia="zh-CN"/>
        </w:rPr>
        <w:t>、</w:t>
      </w:r>
      <w:r>
        <w:rPr>
          <w:rFonts w:hint="default" w:ascii="Times New Roman" w:hAnsi="Times New Roman" w:cs="Times New Roman"/>
          <w:color w:val="auto"/>
          <w:highlight w:val="none"/>
          <w:lang w:val="en-US" w:eastAsia="zh-CN"/>
        </w:rPr>
        <w:t>道路抑尘用水量为28m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/d</w:t>
      </w:r>
      <w:r>
        <w:rPr>
          <w:rFonts w:hint="eastAsia" w:cs="Times New Roman"/>
          <w:color w:val="auto"/>
          <w:highlight w:val="none"/>
          <w:lang w:val="en-US" w:eastAsia="zh-CN"/>
        </w:rPr>
        <w:t>，</w:t>
      </w:r>
      <w:r>
        <w:rPr>
          <w:rFonts w:hint="default" w:ascii="Times New Roman" w:hAnsi="Times New Roman" w:cs="Times New Roman"/>
          <w:color w:val="auto"/>
          <w:spacing w:val="0"/>
          <w:sz w:val="24"/>
          <w:highlight w:val="none"/>
        </w:rPr>
        <w:t>均取自新鲜水</w:t>
      </w:r>
      <w:r>
        <w:rPr>
          <w:rFonts w:hint="eastAsia" w:cs="Times New Roman"/>
          <w:color w:val="auto"/>
          <w:spacing w:val="0"/>
          <w:sz w:val="24"/>
          <w:highlight w:val="none"/>
          <w:lang w:eastAsia="zh-CN"/>
        </w:rPr>
        <w:t>。</w:t>
      </w:r>
    </w:p>
    <w:p w14:paraId="5732920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本项目运营期废水总量为</w:t>
      </w:r>
      <w:r>
        <w:rPr>
          <w:rFonts w:hint="eastAsia" w:cs="Times New Roman"/>
          <w:color w:val="auto"/>
          <w:highlight w:val="none"/>
          <w:lang w:val="en-US" w:eastAsia="zh-CN"/>
        </w:rPr>
        <w:t>47.5416</w:t>
      </w:r>
      <w:r>
        <w:rPr>
          <w:rFonts w:hint="default" w:ascii="Times New Roman" w:hAnsi="Times New Roman" w:cs="Times New Roman"/>
          <w:color w:val="auto"/>
          <w:spacing w:val="-10"/>
          <w:highlight w:val="none"/>
        </w:rPr>
        <w:t>万</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/a。生活污水量约</w:t>
      </w:r>
      <w:r>
        <w:rPr>
          <w:rFonts w:hint="default" w:ascii="Times New Roman" w:hAnsi="Times New Roman" w:cs="Times New Roman"/>
          <w:color w:val="auto"/>
          <w:highlight w:val="none"/>
          <w:lang w:val="en-US" w:eastAsia="zh-CN"/>
        </w:rPr>
        <w:t>6</w:t>
      </w:r>
      <w:r>
        <w:rPr>
          <w:rFonts w:hint="eastAsia" w:cs="Times New Roman"/>
          <w:color w:val="auto"/>
          <w:highlight w:val="none"/>
          <w:lang w:val="en-US" w:eastAsia="zh-CN"/>
        </w:rPr>
        <w:t>.12</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经</w:t>
      </w:r>
      <w:r>
        <w:rPr>
          <w:rFonts w:hint="eastAsia" w:cs="Times New Roman"/>
          <w:color w:val="auto"/>
          <w:highlight w:val="none"/>
          <w:lang w:val="en-US" w:eastAsia="zh-CN"/>
        </w:rPr>
        <w:t>化粪池</w:t>
      </w:r>
      <w:r>
        <w:rPr>
          <w:rFonts w:hint="default" w:ascii="Times New Roman" w:hAnsi="Times New Roman" w:cs="Times New Roman"/>
          <w:color w:val="auto"/>
          <w:highlight w:val="none"/>
          <w:lang w:val="en-US" w:eastAsia="zh-CN"/>
        </w:rPr>
        <w:t>处理</w:t>
      </w:r>
      <w:r>
        <w:rPr>
          <w:rFonts w:hint="eastAsia" w:cs="Times New Roman"/>
          <w:color w:val="auto"/>
          <w:highlight w:val="none"/>
          <w:lang w:val="en-US" w:eastAsia="zh-CN"/>
        </w:rPr>
        <w:t>后</w:t>
      </w:r>
      <w:r>
        <w:rPr>
          <w:rFonts w:hint="default" w:ascii="Times New Roman" w:hAnsi="Times New Roman" w:cs="Times New Roman"/>
          <w:color w:val="auto"/>
          <w:highlight w:val="none"/>
        </w:rPr>
        <w:t>定期清运至哈密市污水处理厂。锅炉房废水包括锅炉排污水、软水废水</w:t>
      </w:r>
      <w:r>
        <w:rPr>
          <w:rFonts w:hint="eastAsia" w:cs="Times New Roman"/>
          <w:color w:val="auto"/>
          <w:highlight w:val="none"/>
          <w:lang w:eastAsia="zh-CN"/>
        </w:rPr>
        <w:t>、</w:t>
      </w:r>
      <w:r>
        <w:rPr>
          <w:rFonts w:hint="eastAsia" w:ascii="Times New Roman" w:hAnsi="Times New Roman" w:cs="Times New Roman"/>
          <w:color w:val="auto"/>
          <w:highlight w:val="none"/>
          <w:lang w:val="en-US" w:eastAsia="zh-CN"/>
        </w:rPr>
        <w:t>水膜脱硫除尘</w:t>
      </w:r>
      <w:r>
        <w:rPr>
          <w:rFonts w:hint="eastAsia" w:cs="Times New Roman"/>
          <w:color w:val="auto"/>
          <w:highlight w:val="none"/>
          <w:lang w:val="en-US" w:eastAsia="zh-CN"/>
        </w:rPr>
        <w:t>废水</w:t>
      </w:r>
      <w:r>
        <w:rPr>
          <w:rFonts w:hint="default" w:ascii="Times New Roman" w:hAnsi="Times New Roman" w:cs="Times New Roman"/>
          <w:color w:val="auto"/>
          <w:highlight w:val="none"/>
        </w:rPr>
        <w:t>，废水量约</w:t>
      </w:r>
      <w:r>
        <w:rPr>
          <w:rFonts w:hint="eastAsia" w:cs="Times New Roman"/>
          <w:color w:val="auto"/>
          <w:highlight w:val="none"/>
          <w:lang w:val="en-US" w:eastAsia="zh-CN"/>
        </w:rPr>
        <w:t>49.2</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eastAsia" w:cs="Times New Roman"/>
          <w:color w:val="auto"/>
          <w:highlight w:val="none"/>
          <w:lang w:eastAsia="zh-CN"/>
        </w:rPr>
        <w:t>，</w:t>
      </w:r>
      <w:r>
        <w:rPr>
          <w:rFonts w:hint="default" w:ascii="Times New Roman" w:hAnsi="Times New Roman" w:cs="Times New Roman"/>
          <w:color w:val="auto"/>
          <w:highlight w:val="none"/>
        </w:rPr>
        <w:t>经沉淀池沉淀、中和处理后</w:t>
      </w:r>
      <w:r>
        <w:rPr>
          <w:rFonts w:hint="eastAsia" w:cs="Times New Roman"/>
          <w:color w:val="auto"/>
          <w:highlight w:val="none"/>
          <w:lang w:val="en-US" w:eastAsia="zh-CN"/>
        </w:rPr>
        <w:t>上清液</w:t>
      </w:r>
      <w:r>
        <w:rPr>
          <w:rFonts w:hint="default" w:ascii="Times New Roman" w:hAnsi="Times New Roman" w:cs="Times New Roman"/>
          <w:color w:val="auto"/>
          <w:highlight w:val="none"/>
        </w:rPr>
        <w:t>回用选矿生产工序循环使用</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锅炉房废水不外排。本项目运营期选矿废水产生于选矿过程中，选矿废水量约为</w:t>
      </w:r>
      <w:r>
        <w:rPr>
          <w:rFonts w:hint="eastAsia" w:cs="Times New Roman"/>
          <w:color w:val="auto"/>
          <w:highlight w:val="none"/>
          <w:lang w:val="en-US" w:eastAsia="zh-CN"/>
        </w:rPr>
        <w:t>1554</w:t>
      </w:r>
      <w:r>
        <w:rPr>
          <w:rFonts w:hint="default" w:ascii="Times New Roman" w:hAnsi="Times New Roman" w:cs="Times New Roman"/>
          <w:color w:val="auto"/>
          <w:spacing w:val="0"/>
          <w:sz w:val="24"/>
          <w:highlight w:val="none"/>
        </w:rPr>
        <w:t>m</w:t>
      </w:r>
      <w:r>
        <w:rPr>
          <w:rFonts w:hint="default" w:ascii="Times New Roman" w:hAnsi="Times New Roman" w:cs="Times New Roman"/>
          <w:color w:val="auto"/>
          <w:spacing w:val="0"/>
          <w:sz w:val="24"/>
          <w:highlight w:val="none"/>
          <w:vertAlign w:val="superscript"/>
        </w:rPr>
        <w:t>3</w:t>
      </w:r>
      <w:r>
        <w:rPr>
          <w:rFonts w:hint="default" w:ascii="Times New Roman" w:hAnsi="Times New Roman" w:cs="Times New Roman"/>
          <w:color w:val="auto"/>
          <w:spacing w:val="0"/>
          <w:sz w:val="24"/>
          <w:highlight w:val="none"/>
        </w:rPr>
        <w:t>/d</w:t>
      </w:r>
      <w:r>
        <w:rPr>
          <w:rFonts w:hint="default" w:ascii="Times New Roman" w:hAnsi="Times New Roman" w:cs="Times New Roman"/>
          <w:color w:val="auto"/>
          <w:highlight w:val="none"/>
        </w:rPr>
        <w:t>。选矿废水部分被</w:t>
      </w:r>
      <w:r>
        <w:rPr>
          <w:rFonts w:hint="default" w:ascii="Times New Roman" w:hAnsi="Times New Roman" w:cs="Times New Roman"/>
          <w:color w:val="auto"/>
          <w:highlight w:val="none"/>
          <w:lang w:eastAsia="zh-CN"/>
        </w:rPr>
        <w:t>萤石</w:t>
      </w:r>
      <w:r>
        <w:rPr>
          <w:rFonts w:hint="default" w:ascii="Times New Roman" w:hAnsi="Times New Roman" w:cs="Times New Roman"/>
          <w:color w:val="auto"/>
          <w:highlight w:val="none"/>
        </w:rPr>
        <w:t>精带走，</w:t>
      </w:r>
      <w:r>
        <w:rPr>
          <w:rFonts w:hint="default" w:ascii="Times New Roman" w:hAnsi="Times New Roman" w:cs="Times New Roman"/>
          <w:color w:val="auto"/>
          <w:highlight w:val="none"/>
          <w:lang w:eastAsia="zh-CN"/>
        </w:rPr>
        <w:t>精矿压滤</w:t>
      </w:r>
      <w:r>
        <w:rPr>
          <w:rFonts w:hint="default" w:ascii="Times New Roman" w:hAnsi="Times New Roman" w:cs="Times New Roman"/>
          <w:color w:val="auto"/>
          <w:highlight w:val="none"/>
        </w:rPr>
        <w:t>水、尾矿浓缩溢流水返回生产工序循环利用，尾矿矿浆通过管道输送至尾矿库，尾矿库设有回水系统，使用水泵将库内澄清水通过管道泵送至选矿厂生产回水池，供选矿循环使用，实现生产废水</w:t>
      </w:r>
      <w:r>
        <w:rPr>
          <w:rFonts w:hint="eastAsia" w:cs="Times New Roman"/>
          <w:color w:val="auto"/>
          <w:highlight w:val="none"/>
          <w:lang w:eastAsia="zh-CN"/>
        </w:rPr>
        <w:t>“</w:t>
      </w:r>
      <w:r>
        <w:rPr>
          <w:rFonts w:hint="default" w:ascii="Times New Roman" w:hAnsi="Times New Roman" w:cs="Times New Roman"/>
          <w:color w:val="auto"/>
          <w:highlight w:val="none"/>
        </w:rPr>
        <w:t>闭路循环</w:t>
      </w:r>
      <w:r>
        <w:rPr>
          <w:rFonts w:hint="eastAsia" w:cs="Times New Roman"/>
          <w:color w:val="auto"/>
          <w:highlight w:val="none"/>
          <w:lang w:eastAsia="zh-CN"/>
        </w:rPr>
        <w:t>”</w:t>
      </w:r>
      <w:r>
        <w:rPr>
          <w:rFonts w:hint="default" w:ascii="Times New Roman" w:hAnsi="Times New Roman" w:cs="Times New Roman"/>
          <w:color w:val="auto"/>
          <w:highlight w:val="none"/>
        </w:rPr>
        <w:t>，不外排。</w:t>
      </w:r>
    </w:p>
    <w:p w14:paraId="2F8176FA">
      <w:pPr>
        <w:keepNext w:val="0"/>
        <w:keepLines w:val="0"/>
        <w:pageBreakBefore w:val="0"/>
        <w:kinsoku/>
        <w:wordWrap/>
        <w:overflowPunct w:val="0"/>
        <w:topLinePunct/>
        <w:autoSpaceDE/>
        <w:autoSpaceDN/>
        <w:bidi w:val="0"/>
        <w:adjustRightInd/>
        <w:snapToGrid/>
        <w:spacing w:line="480" w:lineRule="exact"/>
        <w:ind w:firstLine="48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本项目水平衡情况见图3.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r>
        <w:rPr>
          <w:rFonts w:hint="eastAsia"/>
          <w:color w:val="auto"/>
          <w:highlight w:val="none"/>
          <w:lang w:eastAsia="zh-CN"/>
        </w:rPr>
        <w:t>，</w:t>
      </w:r>
      <w:r>
        <w:rPr>
          <w:rFonts w:hint="eastAsia"/>
          <w:color w:val="auto"/>
          <w:highlight w:val="none"/>
          <w:lang w:val="en-US" w:eastAsia="zh-CN"/>
        </w:rPr>
        <w:t>项目水平衡表见表3.2-3、3.2-4。</w:t>
      </w:r>
    </w:p>
    <w:p w14:paraId="47060F8D">
      <w:pPr>
        <w:rPr>
          <w:rFonts w:hint="eastAsia" w:ascii="Times New Roman" w:hAnsi="Times New Roman" w:cs="Times New Roman"/>
          <w:b/>
          <w:color w:val="auto"/>
          <w:kern w:val="0"/>
          <w:highlight w:val="none"/>
          <w:lang w:val="en-US" w:eastAsia="zh-CN"/>
        </w:rPr>
      </w:pPr>
      <w:r>
        <w:rPr>
          <w:rFonts w:hint="eastAsia" w:ascii="Times New Roman" w:hAnsi="Times New Roman" w:cs="Times New Roman"/>
          <w:b/>
          <w:color w:val="auto"/>
          <w:kern w:val="0"/>
          <w:highlight w:val="none"/>
          <w:lang w:val="en-US" w:eastAsia="zh-CN"/>
        </w:rPr>
        <w:br w:type="page"/>
      </w:r>
    </w:p>
    <w:p w14:paraId="0E9FBBE9">
      <w:pPr>
        <w:pStyle w:val="10"/>
        <w:keepNext w:val="0"/>
        <w:keepLines w:val="0"/>
        <w:pageBreakBefore w:val="0"/>
        <w:widowControl/>
        <w:kinsoku/>
        <w:wordWrap/>
        <w:overflowPunct/>
        <w:topLinePunct w:val="0"/>
        <w:autoSpaceDE/>
        <w:autoSpaceDN/>
        <w:bidi w:val="0"/>
        <w:adjustRightInd/>
        <w:snapToGrid/>
        <w:spacing w:line="480" w:lineRule="exact"/>
        <w:ind w:left="0" w:leftChars="0" w:firstLine="0" w:firstLineChars="0"/>
        <w:jc w:val="center"/>
        <w:textAlignment w:val="auto"/>
        <w:rPr>
          <w:color w:val="auto"/>
          <w:highlight w:val="none"/>
        </w:rPr>
      </w:pPr>
      <w:r>
        <w:rPr>
          <w:rFonts w:hint="eastAsia" w:ascii="Times New Roman" w:hAnsi="Times New Roman" w:cs="Times New Roman"/>
          <w:b/>
          <w:color w:val="auto"/>
          <w:kern w:val="0"/>
          <w:highlight w:val="none"/>
          <w:lang w:val="en-US" w:eastAsia="zh-CN"/>
        </w:rPr>
        <w:t>表</w:t>
      </w:r>
      <w:r>
        <w:rPr>
          <w:rFonts w:hint="default" w:ascii="Times New Roman" w:hAnsi="Times New Roman" w:cs="Times New Roman"/>
          <w:b/>
          <w:color w:val="auto"/>
          <w:kern w:val="0"/>
          <w:highlight w:val="none"/>
        </w:rPr>
        <w:t>3.</w:t>
      </w:r>
      <w:r>
        <w:rPr>
          <w:rFonts w:hint="default" w:ascii="Times New Roman" w:hAnsi="Times New Roman" w:cs="Times New Roman"/>
          <w:b/>
          <w:color w:val="auto"/>
          <w:kern w:val="0"/>
          <w:highlight w:val="none"/>
          <w:lang w:val="en-US" w:eastAsia="zh-CN"/>
        </w:rPr>
        <w:t>2</w:t>
      </w:r>
      <w:r>
        <w:rPr>
          <w:rFonts w:hint="default" w:ascii="Times New Roman" w:hAnsi="Times New Roman" w:cs="Times New Roman"/>
          <w:b/>
          <w:color w:val="auto"/>
          <w:kern w:val="0"/>
          <w:highlight w:val="none"/>
        </w:rPr>
        <w:t>-</w:t>
      </w:r>
      <w:r>
        <w:rPr>
          <w:rFonts w:hint="eastAsia" w:ascii="Times New Roman" w:hAnsi="Times New Roman" w:cs="Times New Roman"/>
          <w:b/>
          <w:color w:val="auto"/>
          <w:kern w:val="0"/>
          <w:highlight w:val="none"/>
          <w:lang w:val="en-US" w:eastAsia="zh-CN"/>
        </w:rPr>
        <w:t>3</w:t>
      </w:r>
      <w:r>
        <w:rPr>
          <w:rFonts w:hint="default" w:ascii="Times New Roman" w:hAnsi="Times New Roman" w:cs="Times New Roman"/>
          <w:b/>
          <w:color w:val="auto"/>
          <w:kern w:val="0"/>
          <w:highlight w:val="none"/>
        </w:rPr>
        <w:t xml:space="preserve">    本项目</w:t>
      </w:r>
      <w:r>
        <w:rPr>
          <w:rFonts w:hint="eastAsia" w:ascii="Times New Roman" w:hAnsi="Times New Roman" w:cs="Times New Roman"/>
          <w:b/>
          <w:color w:val="auto"/>
          <w:kern w:val="0"/>
          <w:highlight w:val="none"/>
          <w:lang w:val="en-US" w:eastAsia="zh-CN"/>
        </w:rPr>
        <w:t>灌溉季</w:t>
      </w:r>
      <w:r>
        <w:rPr>
          <w:rFonts w:hint="default" w:ascii="Times New Roman" w:hAnsi="Times New Roman" w:cs="Times New Roman"/>
          <w:b/>
          <w:color w:val="auto"/>
          <w:kern w:val="0"/>
          <w:highlight w:val="none"/>
        </w:rPr>
        <w:t>水平衡</w:t>
      </w:r>
      <w:r>
        <w:rPr>
          <w:rFonts w:hint="eastAsia" w:ascii="Times New Roman" w:hAnsi="Times New Roman" w:cs="Times New Roman"/>
          <w:b/>
          <w:color w:val="auto"/>
          <w:kern w:val="0"/>
          <w:highlight w:val="none"/>
          <w:lang w:val="en-US" w:eastAsia="zh-CN"/>
        </w:rPr>
        <w:t>表</w:t>
      </w:r>
      <w:r>
        <w:rPr>
          <w:rFonts w:hint="default" w:ascii="Times New Roman" w:hAnsi="Times New Roman" w:cs="Times New Roman"/>
          <w:b/>
          <w:color w:val="auto"/>
          <w:kern w:val="0"/>
          <w:highlight w:val="none"/>
        </w:rPr>
        <w:t>（单位：m</w:t>
      </w:r>
      <w:r>
        <w:rPr>
          <w:rFonts w:hint="default" w:ascii="Times New Roman" w:hAnsi="Times New Roman" w:cs="Times New Roman"/>
          <w:b/>
          <w:color w:val="auto"/>
          <w:kern w:val="0"/>
          <w:highlight w:val="none"/>
          <w:vertAlign w:val="superscript"/>
        </w:rPr>
        <w:t>3</w:t>
      </w:r>
      <w:r>
        <w:rPr>
          <w:rFonts w:hint="default" w:ascii="Times New Roman" w:hAnsi="Times New Roman" w:cs="Times New Roman"/>
          <w:b/>
          <w:color w:val="auto"/>
          <w:kern w:val="0"/>
          <w:highlight w:val="none"/>
        </w:rPr>
        <w:t>/</w:t>
      </w:r>
      <w:r>
        <w:rPr>
          <w:rFonts w:hint="default" w:ascii="Times New Roman" w:hAnsi="Times New Roman" w:cs="Times New Roman"/>
          <w:b/>
          <w:color w:val="auto"/>
          <w:kern w:val="0"/>
          <w:highlight w:val="none"/>
          <w:lang w:val="en-US" w:eastAsia="zh-CN"/>
        </w:rPr>
        <w:t>d</w:t>
      </w:r>
      <w:r>
        <w:rPr>
          <w:rFonts w:hint="eastAsia" w:ascii="Times New Roman" w:hAnsi="Times New Roman" w:cs="Times New Roman"/>
          <w:b/>
          <w:color w:val="auto"/>
          <w:kern w:val="0"/>
          <w:highlight w:val="none"/>
          <w:lang w:val="en-US" w:eastAsia="zh-CN"/>
        </w:rPr>
        <w:t>）</w:t>
      </w:r>
    </w:p>
    <w:tbl>
      <w:tblPr>
        <w:tblStyle w:val="33"/>
        <w:tblW w:w="5032"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4625"/>
        <w:gridCol w:w="4421"/>
      </w:tblGrid>
      <w:tr w14:paraId="387A7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556" w:type="pct"/>
            <w:tcBorders>
              <w:top w:val="single" w:color="auto" w:sz="12" w:space="0"/>
              <w:left w:val="single" w:color="auto" w:sz="12" w:space="0"/>
              <w:bottom w:val="single" w:color="auto" w:sz="4" w:space="0"/>
              <w:right w:val="single" w:color="auto" w:sz="4" w:space="0"/>
            </w:tcBorders>
            <w:shd w:val="clear" w:color="auto" w:fill="auto"/>
            <w:tcMar>
              <w:top w:w="0" w:type="dxa"/>
              <w:left w:w="0" w:type="dxa"/>
              <w:bottom w:w="0" w:type="dxa"/>
              <w:right w:w="0" w:type="dxa"/>
            </w:tcMar>
            <w:vAlign w:val="center"/>
          </w:tcPr>
          <w:p w14:paraId="619AB6EF">
            <w:pPr>
              <w:adjustRightInd w:val="0"/>
              <w:snapToGrid w:val="0"/>
              <w:spacing w:line="36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项目</w:t>
            </w:r>
          </w:p>
        </w:tc>
        <w:tc>
          <w:tcPr>
            <w:tcW w:w="2443" w:type="pct"/>
            <w:tcBorders>
              <w:top w:val="single" w:color="auto" w:sz="12" w:space="0"/>
              <w:left w:val="single" w:color="auto" w:sz="4" w:space="0"/>
              <w:bottom w:val="single" w:color="auto" w:sz="4" w:space="0"/>
              <w:right w:val="single" w:color="auto" w:sz="12" w:space="0"/>
            </w:tcBorders>
            <w:shd w:val="clear" w:color="auto" w:fill="auto"/>
            <w:tcMar>
              <w:top w:w="0" w:type="dxa"/>
              <w:left w:w="0" w:type="dxa"/>
              <w:bottom w:w="0" w:type="dxa"/>
              <w:right w:w="0" w:type="dxa"/>
            </w:tcMar>
            <w:vAlign w:val="center"/>
          </w:tcPr>
          <w:p w14:paraId="2CA89CF2">
            <w:pPr>
              <w:adjustRightInd w:val="0"/>
              <w:snapToGrid w:val="0"/>
              <w:spacing w:line="36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数值</w:t>
            </w:r>
          </w:p>
        </w:tc>
      </w:tr>
      <w:tr w14:paraId="15FFC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556" w:type="pct"/>
            <w:tcBorders>
              <w:top w:val="single" w:color="auto" w:sz="4" w:space="0"/>
              <w:left w:val="single" w:color="auto" w:sz="12" w:space="0"/>
              <w:bottom w:val="single" w:color="auto" w:sz="4" w:space="0"/>
              <w:right w:val="single" w:color="auto" w:sz="4" w:space="0"/>
            </w:tcBorders>
            <w:shd w:val="clear" w:color="auto" w:fill="auto"/>
            <w:tcMar>
              <w:top w:w="0" w:type="dxa"/>
              <w:left w:w="0" w:type="dxa"/>
              <w:bottom w:w="0" w:type="dxa"/>
              <w:right w:w="0" w:type="dxa"/>
            </w:tcMar>
            <w:vAlign w:val="center"/>
          </w:tcPr>
          <w:p w14:paraId="1D1D5D23">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新鲜水总输入</w:t>
            </w:r>
          </w:p>
        </w:tc>
        <w:tc>
          <w:tcPr>
            <w:tcW w:w="2443" w:type="pct"/>
            <w:tcBorders>
              <w:top w:val="single" w:color="auto" w:sz="4" w:space="0"/>
              <w:left w:val="single" w:color="auto" w:sz="4" w:space="0"/>
              <w:bottom w:val="single" w:color="auto" w:sz="4" w:space="0"/>
              <w:right w:val="single" w:color="auto" w:sz="12" w:space="0"/>
            </w:tcBorders>
            <w:shd w:val="clear" w:color="auto" w:fill="auto"/>
            <w:tcMar>
              <w:top w:w="0" w:type="dxa"/>
              <w:left w:w="0" w:type="dxa"/>
              <w:bottom w:w="0" w:type="dxa"/>
              <w:right w:w="0" w:type="dxa"/>
            </w:tcMar>
            <w:vAlign w:val="center"/>
          </w:tcPr>
          <w:p w14:paraId="760FB181">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1676.16</w:t>
            </w:r>
          </w:p>
        </w:tc>
      </w:tr>
      <w:tr w14:paraId="703B1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556" w:type="pct"/>
            <w:tcBorders>
              <w:top w:val="single" w:color="auto" w:sz="4" w:space="0"/>
              <w:left w:val="single" w:color="auto" w:sz="12" w:space="0"/>
              <w:bottom w:val="single" w:color="auto" w:sz="4" w:space="0"/>
              <w:right w:val="single" w:color="auto" w:sz="4" w:space="0"/>
            </w:tcBorders>
            <w:shd w:val="clear" w:color="auto" w:fill="auto"/>
            <w:tcMar>
              <w:top w:w="0" w:type="dxa"/>
              <w:left w:w="0" w:type="dxa"/>
              <w:bottom w:w="0" w:type="dxa"/>
              <w:right w:w="0" w:type="dxa"/>
            </w:tcMar>
            <w:vAlign w:val="center"/>
          </w:tcPr>
          <w:p w14:paraId="3AACF1E0">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回用水循环使用量</w:t>
            </w:r>
          </w:p>
        </w:tc>
        <w:tc>
          <w:tcPr>
            <w:tcW w:w="2443" w:type="pct"/>
            <w:tcBorders>
              <w:top w:val="single" w:color="auto" w:sz="4" w:space="0"/>
              <w:left w:val="single" w:color="auto" w:sz="4" w:space="0"/>
              <w:bottom w:val="single" w:color="auto" w:sz="4" w:space="0"/>
              <w:right w:val="single" w:color="auto" w:sz="12" w:space="0"/>
            </w:tcBorders>
            <w:shd w:val="clear" w:color="auto" w:fill="auto"/>
            <w:tcMar>
              <w:top w:w="0" w:type="dxa"/>
              <w:left w:w="0" w:type="dxa"/>
              <w:bottom w:w="0" w:type="dxa"/>
              <w:right w:w="0" w:type="dxa"/>
            </w:tcMar>
            <w:vAlign w:val="center"/>
          </w:tcPr>
          <w:p w14:paraId="739C56F9">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7362.19</w:t>
            </w:r>
          </w:p>
        </w:tc>
      </w:tr>
      <w:tr w14:paraId="5C095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556" w:type="pct"/>
            <w:tcBorders>
              <w:top w:val="single" w:color="auto" w:sz="4" w:space="0"/>
              <w:left w:val="single" w:color="auto" w:sz="12" w:space="0"/>
              <w:bottom w:val="single" w:color="auto" w:sz="4" w:space="0"/>
              <w:right w:val="single" w:color="auto" w:sz="4" w:space="0"/>
            </w:tcBorders>
            <w:shd w:val="clear" w:color="auto" w:fill="auto"/>
            <w:tcMar>
              <w:top w:w="0" w:type="dxa"/>
              <w:left w:w="0" w:type="dxa"/>
              <w:bottom w:w="0" w:type="dxa"/>
              <w:right w:w="0" w:type="dxa"/>
            </w:tcMar>
            <w:vAlign w:val="center"/>
          </w:tcPr>
          <w:p w14:paraId="79820043">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用水总量（新鲜水+回用水）</w:t>
            </w:r>
          </w:p>
        </w:tc>
        <w:tc>
          <w:tcPr>
            <w:tcW w:w="2443" w:type="pct"/>
            <w:tcBorders>
              <w:top w:val="single" w:color="auto" w:sz="4" w:space="0"/>
              <w:left w:val="single" w:color="auto" w:sz="4" w:space="0"/>
              <w:bottom w:val="single" w:color="auto" w:sz="4" w:space="0"/>
              <w:right w:val="single" w:color="auto" w:sz="12" w:space="0"/>
            </w:tcBorders>
            <w:shd w:val="clear" w:color="auto" w:fill="auto"/>
            <w:tcMar>
              <w:top w:w="0" w:type="dxa"/>
              <w:left w:w="0" w:type="dxa"/>
              <w:bottom w:w="0" w:type="dxa"/>
              <w:right w:w="0" w:type="dxa"/>
            </w:tcMar>
            <w:vAlign w:val="center"/>
          </w:tcPr>
          <w:p w14:paraId="577571CD">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9038.35</w:t>
            </w:r>
          </w:p>
        </w:tc>
      </w:tr>
      <w:tr w14:paraId="6025E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2556" w:type="pct"/>
            <w:tcBorders>
              <w:top w:val="single" w:color="auto" w:sz="4" w:space="0"/>
              <w:left w:val="single" w:color="auto" w:sz="12" w:space="0"/>
              <w:bottom w:val="single" w:color="auto" w:sz="12" w:space="0"/>
              <w:right w:val="single" w:color="auto" w:sz="4" w:space="0"/>
            </w:tcBorders>
            <w:shd w:val="clear" w:color="auto" w:fill="auto"/>
            <w:tcMar>
              <w:top w:w="0" w:type="dxa"/>
              <w:left w:w="0" w:type="dxa"/>
              <w:bottom w:w="0" w:type="dxa"/>
              <w:right w:w="0" w:type="dxa"/>
            </w:tcMar>
            <w:vAlign w:val="center"/>
          </w:tcPr>
          <w:p w14:paraId="5E863644">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新鲜水</w:t>
            </w:r>
            <w:r>
              <w:rPr>
                <w:rFonts w:hint="default" w:ascii="Times New Roman" w:hAnsi="Times New Roman" w:eastAsia="宋体" w:cs="Times New Roman"/>
                <w:color w:val="auto"/>
                <w:sz w:val="21"/>
                <w:szCs w:val="21"/>
                <w:highlight w:val="none"/>
                <w:lang w:val="en-US" w:eastAsia="zh-CN"/>
              </w:rPr>
              <w:t>总消耗</w:t>
            </w:r>
          </w:p>
        </w:tc>
        <w:tc>
          <w:tcPr>
            <w:tcW w:w="2443" w:type="pct"/>
            <w:tcBorders>
              <w:top w:val="single" w:color="auto" w:sz="4" w:space="0"/>
              <w:left w:val="single" w:color="auto" w:sz="4" w:space="0"/>
              <w:bottom w:val="single" w:color="auto" w:sz="12" w:space="0"/>
              <w:right w:val="single" w:color="auto" w:sz="12" w:space="0"/>
            </w:tcBorders>
            <w:shd w:val="clear" w:color="auto" w:fill="auto"/>
            <w:tcMar>
              <w:top w:w="0" w:type="dxa"/>
              <w:left w:w="0" w:type="dxa"/>
              <w:bottom w:w="0" w:type="dxa"/>
              <w:right w:w="0" w:type="dxa"/>
            </w:tcMar>
            <w:vAlign w:val="center"/>
          </w:tcPr>
          <w:p w14:paraId="0A6B4086">
            <w:pPr>
              <w:adjustRightInd w:val="0"/>
              <w:snapToGrid w:val="0"/>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1676.16</w:t>
            </w:r>
          </w:p>
        </w:tc>
      </w:tr>
    </w:tbl>
    <w:p w14:paraId="11BEA5FB">
      <w:pPr>
        <w:pStyle w:val="10"/>
        <w:keepNext w:val="0"/>
        <w:keepLines w:val="0"/>
        <w:pageBreakBefore w:val="0"/>
        <w:widowControl/>
        <w:kinsoku/>
        <w:wordWrap/>
        <w:overflowPunct/>
        <w:topLinePunct w:val="0"/>
        <w:autoSpaceDE/>
        <w:autoSpaceDN/>
        <w:bidi w:val="0"/>
        <w:adjustRightInd/>
        <w:snapToGrid/>
        <w:spacing w:line="240" w:lineRule="atLeast"/>
        <w:ind w:left="0" w:leftChars="0" w:firstLine="0" w:firstLineChars="0"/>
        <w:textAlignment w:val="auto"/>
        <w:rPr>
          <w:rFonts w:hint="default" w:ascii="Times New Roman" w:hAnsi="Times New Roman" w:cs="Times New Roman"/>
          <w:color w:val="auto"/>
          <w:highlight w:val="none"/>
        </w:rPr>
      </w:pPr>
      <w:r>
        <w:rPr>
          <w:color w:val="auto"/>
          <w:highlight w:val="none"/>
        </w:rPr>
        <w:drawing>
          <wp:inline distT="0" distB="0" distL="114300" distR="114300">
            <wp:extent cx="5677535" cy="3382010"/>
            <wp:effectExtent l="0" t="0" r="0" b="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24"/>
                    <a:srcRect b="59973"/>
                    <a:stretch>
                      <a:fillRect/>
                    </a:stretch>
                  </pic:blipFill>
                  <pic:spPr>
                    <a:xfrm>
                      <a:off x="0" y="0"/>
                      <a:ext cx="5677535" cy="3382010"/>
                    </a:xfrm>
                    <a:prstGeom prst="rect">
                      <a:avLst/>
                    </a:prstGeom>
                    <a:noFill/>
                    <a:ln>
                      <a:noFill/>
                    </a:ln>
                  </pic:spPr>
                </pic:pic>
              </a:graphicData>
            </a:graphic>
          </wp:inline>
        </w:drawing>
      </w:r>
    </w:p>
    <w:p w14:paraId="2E78E81B">
      <w:pPr>
        <w:ind w:firstLine="0" w:firstLineChars="0"/>
        <w:jc w:val="center"/>
        <w:rPr>
          <w:color w:val="auto"/>
          <w:highlight w:val="none"/>
        </w:rPr>
      </w:pPr>
      <w:r>
        <w:rPr>
          <w:rFonts w:hint="default" w:ascii="Times New Roman" w:hAnsi="Times New Roman" w:cs="Times New Roman"/>
          <w:b/>
          <w:color w:val="auto"/>
          <w:kern w:val="0"/>
          <w:highlight w:val="none"/>
        </w:rPr>
        <w:t>图3.</w:t>
      </w:r>
      <w:r>
        <w:rPr>
          <w:rFonts w:hint="default" w:ascii="Times New Roman" w:hAnsi="Times New Roman" w:cs="Times New Roman"/>
          <w:b/>
          <w:color w:val="auto"/>
          <w:kern w:val="0"/>
          <w:highlight w:val="none"/>
          <w:lang w:val="en-US" w:eastAsia="zh-CN"/>
        </w:rPr>
        <w:t>2</w:t>
      </w:r>
      <w:r>
        <w:rPr>
          <w:rFonts w:hint="default" w:ascii="Times New Roman" w:hAnsi="Times New Roman" w:cs="Times New Roman"/>
          <w:b/>
          <w:color w:val="auto"/>
          <w:kern w:val="0"/>
          <w:highlight w:val="none"/>
        </w:rPr>
        <w:t>-</w:t>
      </w:r>
      <w:r>
        <w:rPr>
          <w:rFonts w:hint="default" w:ascii="Times New Roman" w:hAnsi="Times New Roman" w:cs="Times New Roman"/>
          <w:b/>
          <w:color w:val="auto"/>
          <w:kern w:val="0"/>
          <w:highlight w:val="none"/>
          <w:lang w:val="en-US" w:eastAsia="zh-CN"/>
        </w:rPr>
        <w:t>3</w:t>
      </w:r>
      <w:r>
        <w:rPr>
          <w:rFonts w:hint="default" w:ascii="Times New Roman" w:hAnsi="Times New Roman" w:cs="Times New Roman"/>
          <w:b/>
          <w:color w:val="auto"/>
          <w:kern w:val="0"/>
          <w:highlight w:val="none"/>
        </w:rPr>
        <w:t xml:space="preserve">    本项目</w:t>
      </w:r>
      <w:r>
        <w:rPr>
          <w:rFonts w:hint="eastAsia" w:cs="Times New Roman"/>
          <w:b/>
          <w:color w:val="auto"/>
          <w:kern w:val="0"/>
          <w:highlight w:val="none"/>
          <w:lang w:val="en-US" w:eastAsia="zh-CN"/>
        </w:rPr>
        <w:t>灌溉季</w:t>
      </w:r>
      <w:r>
        <w:rPr>
          <w:rFonts w:hint="default" w:ascii="Times New Roman" w:hAnsi="Times New Roman" w:cs="Times New Roman"/>
          <w:b/>
          <w:color w:val="auto"/>
          <w:kern w:val="0"/>
          <w:highlight w:val="none"/>
        </w:rPr>
        <w:t>水平衡图（单位：m</w:t>
      </w:r>
      <w:r>
        <w:rPr>
          <w:rFonts w:hint="default" w:ascii="Times New Roman" w:hAnsi="Times New Roman" w:cs="Times New Roman"/>
          <w:b/>
          <w:color w:val="auto"/>
          <w:kern w:val="0"/>
          <w:highlight w:val="none"/>
          <w:vertAlign w:val="superscript"/>
        </w:rPr>
        <w:t>3</w:t>
      </w:r>
      <w:r>
        <w:rPr>
          <w:rFonts w:hint="default" w:ascii="Times New Roman" w:hAnsi="Times New Roman" w:cs="Times New Roman"/>
          <w:b/>
          <w:color w:val="auto"/>
          <w:kern w:val="0"/>
          <w:highlight w:val="none"/>
        </w:rPr>
        <w:t>/</w:t>
      </w:r>
      <w:r>
        <w:rPr>
          <w:rFonts w:hint="default" w:ascii="Times New Roman" w:hAnsi="Times New Roman" w:cs="Times New Roman"/>
          <w:b/>
          <w:color w:val="auto"/>
          <w:kern w:val="0"/>
          <w:highlight w:val="none"/>
          <w:lang w:val="en-US" w:eastAsia="zh-CN"/>
        </w:rPr>
        <w:t>d</w:t>
      </w:r>
      <w:r>
        <w:rPr>
          <w:rFonts w:hint="default" w:ascii="Times New Roman" w:hAnsi="Times New Roman" w:cs="Times New Roman"/>
          <w:b/>
          <w:color w:val="auto"/>
          <w:kern w:val="0"/>
          <w:highlight w:val="none"/>
        </w:rPr>
        <w:t>）</w:t>
      </w:r>
    </w:p>
    <w:p w14:paraId="0F46F39D">
      <w:pPr>
        <w:rPr>
          <w:color w:val="auto"/>
          <w:highlight w:val="none"/>
        </w:rPr>
      </w:pPr>
      <w:r>
        <w:rPr>
          <w:color w:val="auto"/>
          <w:highlight w:val="none"/>
        </w:rPr>
        <w:br w:type="page"/>
      </w:r>
    </w:p>
    <w:p w14:paraId="2F81D5BE">
      <w:pPr>
        <w:pStyle w:val="10"/>
        <w:keepNext w:val="0"/>
        <w:keepLines w:val="0"/>
        <w:pageBreakBefore w:val="0"/>
        <w:widowControl/>
        <w:kinsoku/>
        <w:wordWrap/>
        <w:overflowPunct/>
        <w:topLinePunct w:val="0"/>
        <w:autoSpaceDE/>
        <w:autoSpaceDN/>
        <w:bidi w:val="0"/>
        <w:adjustRightInd/>
        <w:snapToGrid/>
        <w:spacing w:line="480" w:lineRule="exact"/>
        <w:ind w:left="0" w:leftChars="0" w:firstLine="0" w:firstLineChars="0"/>
        <w:jc w:val="center"/>
        <w:textAlignment w:val="auto"/>
        <w:rPr>
          <w:color w:val="auto"/>
          <w:highlight w:val="none"/>
        </w:rPr>
      </w:pPr>
      <w:r>
        <w:rPr>
          <w:rFonts w:hint="eastAsia" w:ascii="Times New Roman" w:hAnsi="Times New Roman" w:cs="Times New Roman"/>
          <w:b/>
          <w:color w:val="auto"/>
          <w:kern w:val="0"/>
          <w:highlight w:val="none"/>
          <w:lang w:val="en-US" w:eastAsia="zh-CN"/>
        </w:rPr>
        <w:t>表</w:t>
      </w:r>
      <w:r>
        <w:rPr>
          <w:rFonts w:hint="default" w:ascii="Times New Roman" w:hAnsi="Times New Roman" w:cs="Times New Roman"/>
          <w:b/>
          <w:color w:val="auto"/>
          <w:kern w:val="0"/>
          <w:highlight w:val="none"/>
        </w:rPr>
        <w:t>3.</w:t>
      </w:r>
      <w:r>
        <w:rPr>
          <w:rFonts w:hint="default" w:ascii="Times New Roman" w:hAnsi="Times New Roman" w:cs="Times New Roman"/>
          <w:b/>
          <w:color w:val="auto"/>
          <w:kern w:val="0"/>
          <w:highlight w:val="none"/>
          <w:lang w:val="en-US" w:eastAsia="zh-CN"/>
        </w:rPr>
        <w:t>2</w:t>
      </w:r>
      <w:r>
        <w:rPr>
          <w:rFonts w:hint="default" w:ascii="Times New Roman" w:hAnsi="Times New Roman" w:cs="Times New Roman"/>
          <w:b/>
          <w:color w:val="auto"/>
          <w:kern w:val="0"/>
          <w:highlight w:val="none"/>
        </w:rPr>
        <w:t>-</w:t>
      </w:r>
      <w:r>
        <w:rPr>
          <w:rFonts w:hint="eastAsia" w:ascii="Times New Roman" w:hAnsi="Times New Roman" w:cs="Times New Roman"/>
          <w:b/>
          <w:color w:val="auto"/>
          <w:kern w:val="0"/>
          <w:highlight w:val="none"/>
          <w:lang w:val="en-US" w:eastAsia="zh-CN"/>
        </w:rPr>
        <w:t>4</w:t>
      </w:r>
      <w:r>
        <w:rPr>
          <w:rFonts w:hint="default" w:ascii="Times New Roman" w:hAnsi="Times New Roman" w:cs="Times New Roman"/>
          <w:b/>
          <w:color w:val="auto"/>
          <w:kern w:val="0"/>
          <w:highlight w:val="none"/>
        </w:rPr>
        <w:t xml:space="preserve">    本项目</w:t>
      </w:r>
      <w:r>
        <w:rPr>
          <w:rFonts w:hint="eastAsia" w:ascii="Times New Roman" w:hAnsi="Times New Roman" w:cs="Times New Roman"/>
          <w:b/>
          <w:color w:val="auto"/>
          <w:kern w:val="0"/>
          <w:highlight w:val="none"/>
          <w:lang w:val="en-US" w:eastAsia="zh-CN"/>
        </w:rPr>
        <w:t>非灌溉季</w:t>
      </w:r>
      <w:r>
        <w:rPr>
          <w:rFonts w:hint="default" w:ascii="Times New Roman" w:hAnsi="Times New Roman" w:cs="Times New Roman"/>
          <w:b/>
          <w:color w:val="auto"/>
          <w:kern w:val="0"/>
          <w:highlight w:val="none"/>
        </w:rPr>
        <w:t>水平衡</w:t>
      </w:r>
      <w:r>
        <w:rPr>
          <w:rFonts w:hint="eastAsia" w:ascii="Times New Roman" w:hAnsi="Times New Roman" w:cs="Times New Roman"/>
          <w:b/>
          <w:color w:val="auto"/>
          <w:kern w:val="0"/>
          <w:highlight w:val="none"/>
          <w:lang w:val="en-US" w:eastAsia="zh-CN"/>
        </w:rPr>
        <w:t>表</w:t>
      </w:r>
      <w:r>
        <w:rPr>
          <w:rFonts w:hint="default" w:ascii="Times New Roman" w:hAnsi="Times New Roman" w:cs="Times New Roman"/>
          <w:b/>
          <w:color w:val="auto"/>
          <w:kern w:val="0"/>
          <w:highlight w:val="none"/>
        </w:rPr>
        <w:t>（单位：m</w:t>
      </w:r>
      <w:r>
        <w:rPr>
          <w:rFonts w:hint="default" w:ascii="Times New Roman" w:hAnsi="Times New Roman" w:cs="Times New Roman"/>
          <w:b/>
          <w:color w:val="auto"/>
          <w:kern w:val="0"/>
          <w:highlight w:val="none"/>
          <w:vertAlign w:val="superscript"/>
        </w:rPr>
        <w:t>3</w:t>
      </w:r>
      <w:r>
        <w:rPr>
          <w:rFonts w:hint="default" w:ascii="Times New Roman" w:hAnsi="Times New Roman" w:cs="Times New Roman"/>
          <w:b/>
          <w:color w:val="auto"/>
          <w:kern w:val="0"/>
          <w:highlight w:val="none"/>
        </w:rPr>
        <w:t>/</w:t>
      </w:r>
      <w:r>
        <w:rPr>
          <w:rFonts w:hint="default" w:ascii="Times New Roman" w:hAnsi="Times New Roman" w:cs="Times New Roman"/>
          <w:b/>
          <w:color w:val="auto"/>
          <w:kern w:val="0"/>
          <w:highlight w:val="none"/>
          <w:lang w:val="en-US" w:eastAsia="zh-CN"/>
        </w:rPr>
        <w:t>d</w:t>
      </w:r>
      <w:r>
        <w:rPr>
          <w:rFonts w:hint="eastAsia" w:ascii="Times New Roman" w:hAnsi="Times New Roman" w:cs="Times New Roman"/>
          <w:b/>
          <w:color w:val="auto"/>
          <w:kern w:val="0"/>
          <w:highlight w:val="none"/>
          <w:lang w:val="en-US" w:eastAsia="zh-CN"/>
        </w:rPr>
        <w:t>）</w:t>
      </w:r>
    </w:p>
    <w:tbl>
      <w:tblPr>
        <w:tblStyle w:val="33"/>
        <w:tblW w:w="5016" w:type="pct"/>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4390"/>
        <w:gridCol w:w="4627"/>
      </w:tblGrid>
      <w:tr w14:paraId="187C1F05">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2434" w:type="pct"/>
            <w:tcBorders>
              <w:bottom w:val="single" w:color="auto" w:sz="4" w:space="0"/>
              <w:right w:val="single" w:color="auto" w:sz="4" w:space="0"/>
            </w:tcBorders>
            <w:shd w:val="clear" w:color="auto" w:fill="auto"/>
            <w:tcMar>
              <w:top w:w="0" w:type="dxa"/>
              <w:left w:w="0" w:type="dxa"/>
              <w:bottom w:w="0" w:type="dxa"/>
              <w:right w:w="0" w:type="dxa"/>
            </w:tcMar>
            <w:vAlign w:val="center"/>
          </w:tcPr>
          <w:p w14:paraId="3E42EB4B">
            <w:pPr>
              <w:adjustRightInd w:val="0"/>
              <w:snapToGrid w:val="0"/>
              <w:spacing w:line="36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项目</w:t>
            </w:r>
          </w:p>
        </w:tc>
        <w:tc>
          <w:tcPr>
            <w:tcW w:w="2565" w:type="pct"/>
            <w:tcBorders>
              <w:left w:val="single" w:color="auto" w:sz="4" w:space="0"/>
              <w:bottom w:val="single" w:color="auto" w:sz="4" w:space="0"/>
            </w:tcBorders>
            <w:shd w:val="clear" w:color="auto" w:fill="auto"/>
            <w:tcMar>
              <w:top w:w="0" w:type="dxa"/>
              <w:left w:w="0" w:type="dxa"/>
              <w:bottom w:w="0" w:type="dxa"/>
              <w:right w:w="0" w:type="dxa"/>
            </w:tcMar>
            <w:vAlign w:val="center"/>
          </w:tcPr>
          <w:p w14:paraId="33DE684D">
            <w:pPr>
              <w:adjustRightInd w:val="0"/>
              <w:snapToGrid w:val="0"/>
              <w:spacing w:line="36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数值</w:t>
            </w:r>
          </w:p>
        </w:tc>
      </w:tr>
      <w:tr w14:paraId="57AF3C87">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shd w:val="clear" w:color="auto" w:fill="auto"/>
          <w:tblCellMar>
            <w:top w:w="15" w:type="dxa"/>
            <w:left w:w="15" w:type="dxa"/>
            <w:bottom w:w="15" w:type="dxa"/>
            <w:right w:w="15" w:type="dxa"/>
          </w:tblCellMar>
        </w:tblPrEx>
        <w:tc>
          <w:tcPr>
            <w:tcW w:w="2434" w:type="pct"/>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8C1EC5B">
            <w:pPr>
              <w:adjustRightInd w:val="0"/>
              <w:snapToGrid w:val="0"/>
              <w:spacing w:line="360" w:lineRule="exact"/>
              <w:ind w:firstLine="0" w:firstLineChars="0"/>
              <w:jc w:val="center"/>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新鲜水总输入</w:t>
            </w:r>
          </w:p>
        </w:tc>
        <w:tc>
          <w:tcPr>
            <w:tcW w:w="2565" w:type="pct"/>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6FA328AE">
            <w:pPr>
              <w:adjustRightInd w:val="0"/>
              <w:snapToGrid w:val="0"/>
              <w:spacing w:line="360" w:lineRule="exact"/>
              <w:ind w:firstLine="0" w:firstLineChars="0"/>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1756.4</w:t>
            </w:r>
          </w:p>
        </w:tc>
      </w:tr>
      <w:tr w14:paraId="061982C5">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shd w:val="clear" w:color="auto" w:fill="auto"/>
          <w:tblCellMar>
            <w:top w:w="15" w:type="dxa"/>
            <w:left w:w="15" w:type="dxa"/>
            <w:bottom w:w="15" w:type="dxa"/>
            <w:right w:w="15" w:type="dxa"/>
          </w:tblCellMar>
        </w:tblPrEx>
        <w:tc>
          <w:tcPr>
            <w:tcW w:w="2434" w:type="pct"/>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B6E7AF6">
            <w:pPr>
              <w:adjustRightInd w:val="0"/>
              <w:snapToGrid w:val="0"/>
              <w:spacing w:line="360" w:lineRule="exact"/>
              <w:ind w:firstLine="0" w:firstLineChars="0"/>
              <w:jc w:val="center"/>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回用水循环使用量</w:t>
            </w:r>
          </w:p>
        </w:tc>
        <w:tc>
          <w:tcPr>
            <w:tcW w:w="2565" w:type="pct"/>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48068C83">
            <w:pPr>
              <w:adjustRightInd w:val="0"/>
              <w:snapToGrid w:val="0"/>
              <w:spacing w:line="360" w:lineRule="exact"/>
              <w:ind w:firstLine="0" w:firstLineChars="0"/>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7411.39</w:t>
            </w:r>
          </w:p>
        </w:tc>
      </w:tr>
      <w:tr w14:paraId="72C5206D">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shd w:val="clear" w:color="auto" w:fill="auto"/>
          <w:tblCellMar>
            <w:top w:w="15" w:type="dxa"/>
            <w:left w:w="15" w:type="dxa"/>
            <w:bottom w:w="15" w:type="dxa"/>
            <w:right w:w="15" w:type="dxa"/>
          </w:tblCellMar>
        </w:tblPrEx>
        <w:tc>
          <w:tcPr>
            <w:tcW w:w="2434" w:type="pct"/>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657710F">
            <w:pPr>
              <w:adjustRightInd w:val="0"/>
              <w:snapToGrid w:val="0"/>
              <w:spacing w:line="360" w:lineRule="exact"/>
              <w:ind w:firstLine="0" w:firstLineChars="0"/>
              <w:jc w:val="center"/>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用水总量（新鲜水+回用水）</w:t>
            </w:r>
          </w:p>
        </w:tc>
        <w:tc>
          <w:tcPr>
            <w:tcW w:w="2565" w:type="pct"/>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0F60DE9C">
            <w:pPr>
              <w:adjustRightInd w:val="0"/>
              <w:snapToGrid w:val="0"/>
              <w:spacing w:line="360" w:lineRule="exact"/>
              <w:ind w:firstLine="0" w:firstLineChars="0"/>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9167.79</w:t>
            </w:r>
          </w:p>
        </w:tc>
      </w:tr>
      <w:tr w14:paraId="4CDBC3BC">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shd w:val="clear" w:color="auto" w:fill="auto"/>
          <w:tblCellMar>
            <w:top w:w="15" w:type="dxa"/>
            <w:left w:w="15" w:type="dxa"/>
            <w:bottom w:w="15" w:type="dxa"/>
            <w:right w:w="15" w:type="dxa"/>
          </w:tblCellMar>
        </w:tblPrEx>
        <w:tc>
          <w:tcPr>
            <w:tcW w:w="2434" w:type="pct"/>
            <w:tcBorders>
              <w:top w:val="single" w:color="auto" w:sz="4" w:space="0"/>
              <w:right w:val="single" w:color="auto" w:sz="4" w:space="0"/>
            </w:tcBorders>
            <w:shd w:val="clear" w:color="auto" w:fill="auto"/>
            <w:tcMar>
              <w:top w:w="0" w:type="dxa"/>
              <w:left w:w="0" w:type="dxa"/>
              <w:bottom w:w="0" w:type="dxa"/>
              <w:right w:w="0" w:type="dxa"/>
            </w:tcMar>
            <w:vAlign w:val="center"/>
          </w:tcPr>
          <w:p w14:paraId="13662840">
            <w:pPr>
              <w:adjustRightInd w:val="0"/>
              <w:snapToGrid w:val="0"/>
              <w:spacing w:line="360" w:lineRule="exact"/>
              <w:ind w:firstLine="0" w:firstLineChars="0"/>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新鲜水</w:t>
            </w:r>
            <w:r>
              <w:rPr>
                <w:rFonts w:hint="default" w:eastAsia="宋体" w:cs="Times New Roman"/>
                <w:color w:val="auto"/>
                <w:sz w:val="21"/>
                <w:szCs w:val="21"/>
                <w:highlight w:val="none"/>
                <w:lang w:val="en-US" w:eastAsia="zh-CN"/>
              </w:rPr>
              <w:t>总消耗</w:t>
            </w:r>
          </w:p>
        </w:tc>
        <w:tc>
          <w:tcPr>
            <w:tcW w:w="2565" w:type="pct"/>
            <w:tcBorders>
              <w:top w:val="single" w:color="auto" w:sz="4" w:space="0"/>
              <w:left w:val="single" w:color="auto" w:sz="4" w:space="0"/>
            </w:tcBorders>
            <w:shd w:val="clear" w:color="auto" w:fill="auto"/>
            <w:tcMar>
              <w:top w:w="0" w:type="dxa"/>
              <w:left w:w="0" w:type="dxa"/>
              <w:bottom w:w="0" w:type="dxa"/>
              <w:right w:w="0" w:type="dxa"/>
            </w:tcMar>
            <w:vAlign w:val="center"/>
          </w:tcPr>
          <w:p w14:paraId="3D46A064">
            <w:pPr>
              <w:adjustRightInd w:val="0"/>
              <w:snapToGrid w:val="0"/>
              <w:spacing w:line="360" w:lineRule="exact"/>
              <w:ind w:firstLine="0" w:firstLineChars="0"/>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1756.4</w:t>
            </w:r>
          </w:p>
        </w:tc>
      </w:tr>
    </w:tbl>
    <w:p w14:paraId="69692BF3">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color w:val="auto"/>
          <w:highlight w:val="none"/>
        </w:rPr>
      </w:pPr>
      <w:r>
        <w:rPr>
          <w:color w:val="auto"/>
          <w:highlight w:val="none"/>
        </w:rPr>
        <w:drawing>
          <wp:inline distT="0" distB="0" distL="114300" distR="114300">
            <wp:extent cx="5677535" cy="4001135"/>
            <wp:effectExtent l="0" t="0" r="0" b="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24"/>
                    <a:srcRect t="45032" b="7613"/>
                    <a:stretch>
                      <a:fillRect/>
                    </a:stretch>
                  </pic:blipFill>
                  <pic:spPr>
                    <a:xfrm>
                      <a:off x="0" y="0"/>
                      <a:ext cx="5677535" cy="4001135"/>
                    </a:xfrm>
                    <a:prstGeom prst="rect">
                      <a:avLst/>
                    </a:prstGeom>
                    <a:noFill/>
                    <a:ln>
                      <a:noFill/>
                    </a:ln>
                  </pic:spPr>
                </pic:pic>
              </a:graphicData>
            </a:graphic>
          </wp:inline>
        </w:drawing>
      </w:r>
    </w:p>
    <w:p w14:paraId="2AE95E34">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textAlignment w:val="auto"/>
        <w:rPr>
          <w:rFonts w:hint="default" w:ascii="Times New Roman" w:hAnsi="Times New Roman" w:cs="Times New Roman"/>
          <w:b/>
          <w:color w:val="auto"/>
          <w:kern w:val="0"/>
          <w:highlight w:val="none"/>
        </w:rPr>
      </w:pPr>
    </w:p>
    <w:p w14:paraId="7DDB8CA4">
      <w:pPr>
        <w:spacing w:line="240" w:lineRule="auto"/>
        <w:ind w:firstLine="0" w:firstLineChars="0"/>
        <w:jc w:val="center"/>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图3.</w:t>
      </w:r>
      <w:r>
        <w:rPr>
          <w:rFonts w:hint="default" w:ascii="Times New Roman" w:hAnsi="Times New Roman" w:cs="Times New Roman"/>
          <w:b/>
          <w:color w:val="auto"/>
          <w:kern w:val="0"/>
          <w:highlight w:val="none"/>
          <w:lang w:val="en-US" w:eastAsia="zh-CN"/>
        </w:rPr>
        <w:t>2</w:t>
      </w:r>
      <w:r>
        <w:rPr>
          <w:rFonts w:hint="default" w:ascii="Times New Roman" w:hAnsi="Times New Roman" w:cs="Times New Roman"/>
          <w:b/>
          <w:color w:val="auto"/>
          <w:kern w:val="0"/>
          <w:highlight w:val="none"/>
        </w:rPr>
        <w:t>-</w:t>
      </w:r>
      <w:r>
        <w:rPr>
          <w:rFonts w:hint="default" w:ascii="Times New Roman" w:hAnsi="Times New Roman" w:cs="Times New Roman"/>
          <w:b/>
          <w:color w:val="auto"/>
          <w:kern w:val="0"/>
          <w:highlight w:val="none"/>
          <w:lang w:val="en-US" w:eastAsia="zh-CN"/>
        </w:rPr>
        <w:t>4</w:t>
      </w:r>
      <w:r>
        <w:rPr>
          <w:rFonts w:hint="default" w:ascii="Times New Roman" w:hAnsi="Times New Roman" w:cs="Times New Roman"/>
          <w:b/>
          <w:color w:val="auto"/>
          <w:kern w:val="0"/>
          <w:highlight w:val="none"/>
        </w:rPr>
        <w:t xml:space="preserve">    本项目</w:t>
      </w:r>
      <w:r>
        <w:rPr>
          <w:rFonts w:hint="eastAsia" w:cs="Times New Roman"/>
          <w:b/>
          <w:color w:val="auto"/>
          <w:kern w:val="0"/>
          <w:highlight w:val="none"/>
          <w:lang w:val="en-US" w:eastAsia="zh-CN"/>
        </w:rPr>
        <w:t>非灌溉</w:t>
      </w:r>
      <w:r>
        <w:rPr>
          <w:rFonts w:hint="default" w:ascii="Times New Roman" w:hAnsi="Times New Roman" w:cs="Times New Roman"/>
          <w:b/>
          <w:color w:val="auto"/>
          <w:kern w:val="0"/>
          <w:highlight w:val="none"/>
          <w:lang w:val="en-US" w:eastAsia="zh-CN"/>
        </w:rPr>
        <w:t>季</w:t>
      </w:r>
      <w:r>
        <w:rPr>
          <w:rFonts w:hint="default" w:ascii="Times New Roman" w:hAnsi="Times New Roman" w:cs="Times New Roman"/>
          <w:b/>
          <w:color w:val="auto"/>
          <w:kern w:val="0"/>
          <w:highlight w:val="none"/>
        </w:rPr>
        <w:t>水平衡图（单位：m</w:t>
      </w:r>
      <w:r>
        <w:rPr>
          <w:rFonts w:hint="default" w:ascii="Times New Roman" w:hAnsi="Times New Roman" w:cs="Times New Roman"/>
          <w:b/>
          <w:color w:val="auto"/>
          <w:kern w:val="0"/>
          <w:highlight w:val="none"/>
          <w:vertAlign w:val="superscript"/>
        </w:rPr>
        <w:t>3</w:t>
      </w:r>
      <w:r>
        <w:rPr>
          <w:rFonts w:hint="default" w:ascii="Times New Roman" w:hAnsi="Times New Roman" w:cs="Times New Roman"/>
          <w:b/>
          <w:color w:val="auto"/>
          <w:kern w:val="0"/>
          <w:highlight w:val="none"/>
        </w:rPr>
        <w:t>/</w:t>
      </w:r>
      <w:r>
        <w:rPr>
          <w:rFonts w:hint="default" w:ascii="Times New Roman" w:hAnsi="Times New Roman" w:cs="Times New Roman"/>
          <w:b/>
          <w:color w:val="auto"/>
          <w:kern w:val="0"/>
          <w:highlight w:val="none"/>
          <w:lang w:val="en-US" w:eastAsia="zh-CN"/>
        </w:rPr>
        <w:t>d</w:t>
      </w:r>
      <w:r>
        <w:rPr>
          <w:rFonts w:hint="default" w:ascii="Times New Roman" w:hAnsi="Times New Roman" w:cs="Times New Roman"/>
          <w:b/>
          <w:color w:val="auto"/>
          <w:kern w:val="0"/>
          <w:highlight w:val="none"/>
        </w:rPr>
        <w:t>）</w:t>
      </w:r>
    </w:p>
    <w:p w14:paraId="55146FE7">
      <w:pPr>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br w:type="page"/>
      </w:r>
    </w:p>
    <w:p w14:paraId="41E04511">
      <w:pPr>
        <w:pStyle w:val="5"/>
        <w:shd w:val="clear"/>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r>
        <w:rPr>
          <w:rFonts w:hint="eastAsia" w:cs="Times New Roman"/>
          <w:color w:val="auto"/>
          <w:highlight w:val="none"/>
          <w:lang w:val="en-US" w:eastAsia="zh-CN"/>
        </w:rPr>
        <w:t>3</w:t>
      </w:r>
      <w:r>
        <w:rPr>
          <w:rFonts w:hint="default" w:ascii="Times New Roman" w:hAnsi="Times New Roman" w:cs="Times New Roman"/>
          <w:color w:val="auto"/>
          <w:highlight w:val="none"/>
        </w:rPr>
        <w:t>.</w:t>
      </w:r>
      <w:r>
        <w:rPr>
          <w:rFonts w:hint="eastAsia" w:cs="Times New Roman"/>
          <w:color w:val="auto"/>
          <w:highlight w:val="none"/>
          <w:lang w:val="en-US" w:eastAsia="zh-CN"/>
        </w:rPr>
        <w:t>3</w:t>
      </w:r>
      <w:r>
        <w:rPr>
          <w:rFonts w:hint="default" w:ascii="Times New Roman" w:hAnsi="Times New Roman" w:cs="Times New Roman"/>
          <w:color w:val="auto"/>
          <w:highlight w:val="none"/>
        </w:rPr>
        <w:t>氟平衡</w:t>
      </w:r>
    </w:p>
    <w:p w14:paraId="4238AA34">
      <w:pPr>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本项目萤石原矿CaF</w:t>
      </w:r>
      <w:r>
        <w:rPr>
          <w:rFonts w:hint="eastAsia"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rPr>
        <w:t>平均品位25.16%，年处理原矿60万t/a；氟元素以氟化钙形式存在，仅随萤石精矿、尾矿、粉尘进行迁移，生产废水闭路循环、不外排，氟元素不随废水排放。</w:t>
      </w:r>
    </w:p>
    <w:p w14:paraId="764723DB">
      <w:pPr>
        <w:pStyle w:val="10"/>
        <w:keepNext w:val="0"/>
        <w:keepLines w:val="0"/>
        <w:pageBreakBefore w:val="0"/>
        <w:widowControl/>
        <w:kinsoku/>
        <w:wordWrap/>
        <w:overflowPunct/>
        <w:topLinePunct w:val="0"/>
        <w:autoSpaceDE/>
        <w:autoSpaceDN/>
        <w:bidi w:val="0"/>
        <w:adjustRightInd/>
        <w:snapToGrid/>
        <w:spacing w:line="480" w:lineRule="exact"/>
        <w:ind w:left="0" w:leftChars="0" w:firstLine="0" w:firstLineChars="0"/>
        <w:jc w:val="center"/>
        <w:textAlignment w:val="auto"/>
        <w:rPr>
          <w:color w:val="auto"/>
          <w:highlight w:val="none"/>
        </w:rPr>
      </w:pPr>
      <w:r>
        <w:rPr>
          <w:rFonts w:hint="eastAsia" w:ascii="Times New Roman" w:hAnsi="Times New Roman" w:cs="Times New Roman"/>
          <w:b/>
          <w:color w:val="auto"/>
          <w:kern w:val="0"/>
          <w:highlight w:val="none"/>
          <w:lang w:val="en-US" w:eastAsia="zh-CN"/>
        </w:rPr>
        <w:t>表</w:t>
      </w:r>
      <w:r>
        <w:rPr>
          <w:rFonts w:hint="default" w:ascii="Times New Roman" w:hAnsi="Times New Roman" w:cs="Times New Roman"/>
          <w:b/>
          <w:color w:val="auto"/>
          <w:kern w:val="0"/>
          <w:highlight w:val="none"/>
        </w:rPr>
        <w:t>3.</w:t>
      </w:r>
      <w:r>
        <w:rPr>
          <w:rFonts w:hint="default" w:ascii="Times New Roman" w:hAnsi="Times New Roman" w:cs="Times New Roman"/>
          <w:b/>
          <w:color w:val="auto"/>
          <w:kern w:val="0"/>
          <w:highlight w:val="none"/>
          <w:lang w:val="en-US" w:eastAsia="zh-CN"/>
        </w:rPr>
        <w:t>2</w:t>
      </w:r>
      <w:r>
        <w:rPr>
          <w:rFonts w:hint="default" w:ascii="Times New Roman" w:hAnsi="Times New Roman" w:cs="Times New Roman"/>
          <w:b/>
          <w:color w:val="auto"/>
          <w:kern w:val="0"/>
          <w:highlight w:val="none"/>
        </w:rPr>
        <w:t>-</w:t>
      </w:r>
      <w:r>
        <w:rPr>
          <w:rFonts w:hint="eastAsia" w:ascii="Times New Roman" w:hAnsi="Times New Roman" w:cs="Times New Roman"/>
          <w:b/>
          <w:color w:val="auto"/>
          <w:kern w:val="0"/>
          <w:highlight w:val="none"/>
          <w:lang w:val="en-US" w:eastAsia="zh-CN"/>
        </w:rPr>
        <w:t>5</w:t>
      </w:r>
      <w:r>
        <w:rPr>
          <w:rFonts w:hint="default" w:ascii="Times New Roman" w:hAnsi="Times New Roman" w:cs="Times New Roman"/>
          <w:b/>
          <w:color w:val="auto"/>
          <w:kern w:val="0"/>
          <w:highlight w:val="none"/>
        </w:rPr>
        <w:t xml:space="preserve">    本项目</w:t>
      </w:r>
      <w:r>
        <w:rPr>
          <w:rFonts w:hint="eastAsia" w:ascii="Times New Roman" w:hAnsi="Times New Roman" w:cs="Times New Roman"/>
          <w:b/>
          <w:color w:val="auto"/>
          <w:kern w:val="0"/>
          <w:highlight w:val="none"/>
          <w:lang w:val="en-US" w:eastAsia="zh-CN"/>
        </w:rPr>
        <w:t>氟</w:t>
      </w:r>
      <w:r>
        <w:rPr>
          <w:rFonts w:hint="default" w:ascii="Times New Roman" w:hAnsi="Times New Roman" w:cs="Times New Roman"/>
          <w:b/>
          <w:color w:val="auto"/>
          <w:kern w:val="0"/>
          <w:highlight w:val="none"/>
        </w:rPr>
        <w:t>平衡</w:t>
      </w:r>
      <w:r>
        <w:rPr>
          <w:rFonts w:hint="eastAsia" w:ascii="Times New Roman" w:hAnsi="Times New Roman" w:cs="Times New Roman"/>
          <w:b/>
          <w:color w:val="auto"/>
          <w:kern w:val="0"/>
          <w:highlight w:val="none"/>
          <w:lang w:val="en-US" w:eastAsia="zh-CN"/>
        </w:rPr>
        <w:t>表</w:t>
      </w:r>
      <w:r>
        <w:rPr>
          <w:rFonts w:hint="default" w:ascii="Times New Roman" w:hAnsi="Times New Roman" w:cs="Times New Roman"/>
          <w:b/>
          <w:color w:val="auto"/>
          <w:kern w:val="0"/>
          <w:highlight w:val="none"/>
        </w:rPr>
        <w:t>（单位：m</w:t>
      </w:r>
      <w:r>
        <w:rPr>
          <w:rFonts w:hint="default" w:ascii="Times New Roman" w:hAnsi="Times New Roman" w:cs="Times New Roman"/>
          <w:b/>
          <w:color w:val="auto"/>
          <w:kern w:val="0"/>
          <w:highlight w:val="none"/>
          <w:vertAlign w:val="superscript"/>
        </w:rPr>
        <w:t>3</w:t>
      </w:r>
      <w:r>
        <w:rPr>
          <w:rFonts w:hint="default" w:ascii="Times New Roman" w:hAnsi="Times New Roman" w:cs="Times New Roman"/>
          <w:b/>
          <w:color w:val="auto"/>
          <w:kern w:val="0"/>
          <w:highlight w:val="none"/>
        </w:rPr>
        <w:t>/</w:t>
      </w:r>
      <w:r>
        <w:rPr>
          <w:rFonts w:hint="default" w:ascii="Times New Roman" w:hAnsi="Times New Roman" w:cs="Times New Roman"/>
          <w:b/>
          <w:color w:val="auto"/>
          <w:kern w:val="0"/>
          <w:highlight w:val="none"/>
          <w:lang w:val="en-US" w:eastAsia="zh-CN"/>
        </w:rPr>
        <w:t>d</w:t>
      </w:r>
      <w:r>
        <w:rPr>
          <w:rFonts w:hint="eastAsia" w:ascii="Times New Roman" w:hAnsi="Times New Roman" w:cs="Times New Roman"/>
          <w:b/>
          <w:color w:val="auto"/>
          <w:kern w:val="0"/>
          <w:highlight w:val="none"/>
          <w:lang w:val="en-US" w:eastAsia="zh-CN"/>
        </w:rPr>
        <w:t>）</w:t>
      </w:r>
    </w:p>
    <w:tbl>
      <w:tblPr>
        <w:tblStyle w:val="33"/>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946"/>
        <w:gridCol w:w="2967"/>
        <w:gridCol w:w="2777"/>
        <w:gridCol w:w="2298"/>
      </w:tblGrid>
      <w:tr w14:paraId="121911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15" w:type="dxa"/>
            <w:left w:w="15" w:type="dxa"/>
            <w:bottom w:w="15" w:type="dxa"/>
            <w:right w:w="15" w:type="dxa"/>
          </w:tblCellMar>
        </w:tblPrEx>
        <w:trPr>
          <w:tblHeader/>
        </w:trPr>
        <w:tc>
          <w:tcPr>
            <w:tcW w:w="0" w:type="auto"/>
            <w:shd w:val="clear" w:color="auto" w:fill="auto"/>
            <w:tcMar>
              <w:top w:w="0" w:type="dxa"/>
              <w:left w:w="0" w:type="dxa"/>
              <w:bottom w:w="0" w:type="dxa"/>
              <w:right w:w="0" w:type="dxa"/>
            </w:tcMar>
            <w:vAlign w:val="center"/>
          </w:tcPr>
          <w:p w14:paraId="26F04805">
            <w:pPr>
              <w:adjustRightInd w:val="0"/>
              <w:snapToGrid w:val="0"/>
              <w:spacing w:line="360" w:lineRule="exact"/>
              <w:ind w:firstLine="0" w:firstLineChars="0"/>
              <w:jc w:val="center"/>
              <w:rPr>
                <w:rFonts w:hint="default" w:eastAsia="宋体" w:cs="Times New Roman"/>
                <w:b/>
                <w:bCs/>
                <w:color w:val="auto"/>
                <w:sz w:val="21"/>
                <w:szCs w:val="21"/>
                <w:highlight w:val="none"/>
                <w:lang w:val="en-US" w:eastAsia="zh-CN"/>
              </w:rPr>
            </w:pPr>
            <w:r>
              <w:rPr>
                <w:rFonts w:hint="default" w:eastAsia="宋体" w:cs="Times New Roman"/>
                <w:b/>
                <w:bCs/>
                <w:color w:val="auto"/>
                <w:sz w:val="21"/>
                <w:szCs w:val="21"/>
                <w:highlight w:val="none"/>
                <w:lang w:val="en-US" w:eastAsia="zh-CN"/>
              </w:rPr>
              <w:t>类别</w:t>
            </w:r>
          </w:p>
        </w:tc>
        <w:tc>
          <w:tcPr>
            <w:tcW w:w="0" w:type="auto"/>
            <w:shd w:val="clear" w:color="auto" w:fill="auto"/>
            <w:tcMar>
              <w:top w:w="0" w:type="dxa"/>
              <w:left w:w="0" w:type="dxa"/>
              <w:bottom w:w="0" w:type="dxa"/>
              <w:right w:w="0" w:type="dxa"/>
            </w:tcMar>
            <w:vAlign w:val="center"/>
          </w:tcPr>
          <w:p w14:paraId="51BAA0CB">
            <w:pPr>
              <w:adjustRightInd w:val="0"/>
              <w:snapToGrid w:val="0"/>
              <w:spacing w:line="360" w:lineRule="exact"/>
              <w:ind w:firstLine="0" w:firstLineChars="0"/>
              <w:jc w:val="center"/>
              <w:rPr>
                <w:rFonts w:hint="default" w:eastAsia="宋体" w:cs="Times New Roman"/>
                <w:b/>
                <w:bCs/>
                <w:color w:val="auto"/>
                <w:sz w:val="21"/>
                <w:szCs w:val="21"/>
                <w:highlight w:val="none"/>
                <w:lang w:val="en-US" w:eastAsia="zh-CN"/>
              </w:rPr>
            </w:pPr>
            <w:r>
              <w:rPr>
                <w:rFonts w:hint="default" w:eastAsia="宋体" w:cs="Times New Roman"/>
                <w:b/>
                <w:bCs/>
                <w:color w:val="auto"/>
                <w:sz w:val="21"/>
                <w:szCs w:val="21"/>
                <w:highlight w:val="none"/>
                <w:lang w:val="en-US" w:eastAsia="zh-CN"/>
              </w:rPr>
              <w:t>物料名称</w:t>
            </w:r>
          </w:p>
        </w:tc>
        <w:tc>
          <w:tcPr>
            <w:tcW w:w="0" w:type="auto"/>
            <w:shd w:val="clear" w:color="auto" w:fill="auto"/>
            <w:tcMar>
              <w:top w:w="0" w:type="dxa"/>
              <w:left w:w="0" w:type="dxa"/>
              <w:bottom w:w="0" w:type="dxa"/>
              <w:right w:w="0" w:type="dxa"/>
            </w:tcMar>
            <w:vAlign w:val="center"/>
          </w:tcPr>
          <w:p w14:paraId="00A4EC8D">
            <w:pPr>
              <w:adjustRightInd w:val="0"/>
              <w:snapToGrid w:val="0"/>
              <w:spacing w:line="360" w:lineRule="exact"/>
              <w:ind w:firstLine="0" w:firstLineChars="0"/>
              <w:jc w:val="center"/>
              <w:rPr>
                <w:rFonts w:hint="default" w:eastAsia="宋体" w:cs="Times New Roman"/>
                <w:b/>
                <w:bCs/>
                <w:color w:val="auto"/>
                <w:sz w:val="21"/>
                <w:szCs w:val="21"/>
                <w:highlight w:val="none"/>
                <w:lang w:val="en-US" w:eastAsia="zh-CN"/>
              </w:rPr>
            </w:pPr>
            <w:r>
              <w:rPr>
                <w:rFonts w:hint="default" w:eastAsia="宋体" w:cs="Times New Roman"/>
                <w:b/>
                <w:bCs/>
                <w:color w:val="auto"/>
                <w:sz w:val="21"/>
                <w:szCs w:val="21"/>
                <w:highlight w:val="none"/>
                <w:lang w:val="en-US" w:eastAsia="zh-CN"/>
              </w:rPr>
              <w:t>氟数量</w:t>
            </w:r>
            <w:r>
              <w:rPr>
                <w:rFonts w:hint="eastAsia" w:eastAsia="宋体" w:cs="Times New Roman"/>
                <w:b/>
                <w:bCs/>
                <w:color w:val="auto"/>
                <w:sz w:val="21"/>
                <w:szCs w:val="21"/>
                <w:highlight w:val="none"/>
                <w:lang w:val="en-US" w:eastAsia="zh-CN"/>
              </w:rPr>
              <w:t>（t/a）</w:t>
            </w:r>
          </w:p>
        </w:tc>
        <w:tc>
          <w:tcPr>
            <w:tcW w:w="0" w:type="auto"/>
            <w:shd w:val="clear" w:color="auto" w:fill="auto"/>
            <w:tcMar>
              <w:top w:w="0" w:type="dxa"/>
              <w:left w:w="0" w:type="dxa"/>
              <w:bottom w:w="0" w:type="dxa"/>
              <w:right w:w="0" w:type="dxa"/>
            </w:tcMar>
            <w:vAlign w:val="center"/>
          </w:tcPr>
          <w:p w14:paraId="7A2BEC5C">
            <w:pPr>
              <w:adjustRightInd w:val="0"/>
              <w:snapToGrid w:val="0"/>
              <w:spacing w:line="360" w:lineRule="exact"/>
              <w:ind w:firstLine="0" w:firstLineChars="0"/>
              <w:jc w:val="center"/>
              <w:rPr>
                <w:rFonts w:hint="default" w:eastAsia="宋体" w:cs="Times New Roman"/>
                <w:b/>
                <w:bCs/>
                <w:color w:val="auto"/>
                <w:sz w:val="21"/>
                <w:szCs w:val="21"/>
                <w:highlight w:val="none"/>
                <w:lang w:val="en-US" w:eastAsia="zh-CN"/>
              </w:rPr>
            </w:pPr>
            <w:r>
              <w:rPr>
                <w:rFonts w:hint="default" w:eastAsia="宋体" w:cs="Times New Roman"/>
                <w:b/>
                <w:bCs/>
                <w:color w:val="auto"/>
                <w:sz w:val="21"/>
                <w:szCs w:val="21"/>
                <w:highlight w:val="none"/>
                <w:lang w:val="en-US" w:eastAsia="zh-CN"/>
              </w:rPr>
              <w:t>占比（%）</w:t>
            </w:r>
          </w:p>
        </w:tc>
      </w:tr>
      <w:tr w14:paraId="0E2BE6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c>
          <w:tcPr>
            <w:tcW w:w="0" w:type="auto"/>
            <w:shd w:val="clear" w:color="auto" w:fill="auto"/>
            <w:tcMar>
              <w:top w:w="0" w:type="dxa"/>
              <w:left w:w="0" w:type="dxa"/>
              <w:bottom w:w="0" w:type="dxa"/>
              <w:right w:w="0" w:type="dxa"/>
            </w:tcMar>
            <w:vAlign w:val="center"/>
          </w:tcPr>
          <w:p w14:paraId="6AED5B74">
            <w:pPr>
              <w:adjustRightInd w:val="0"/>
              <w:snapToGrid w:val="0"/>
              <w:spacing w:line="360" w:lineRule="exact"/>
              <w:ind w:firstLine="0" w:firstLineChars="0"/>
              <w:jc w:val="center"/>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投入</w:t>
            </w:r>
          </w:p>
        </w:tc>
        <w:tc>
          <w:tcPr>
            <w:tcW w:w="0" w:type="auto"/>
            <w:shd w:val="clear" w:color="auto" w:fill="auto"/>
            <w:tcMar>
              <w:top w:w="0" w:type="dxa"/>
              <w:left w:w="0" w:type="dxa"/>
              <w:bottom w:w="0" w:type="dxa"/>
              <w:right w:w="0" w:type="dxa"/>
            </w:tcMar>
            <w:vAlign w:val="center"/>
          </w:tcPr>
          <w:p w14:paraId="55B68671">
            <w:pPr>
              <w:adjustRightInd w:val="0"/>
              <w:snapToGrid w:val="0"/>
              <w:spacing w:line="360" w:lineRule="exact"/>
              <w:ind w:firstLine="0" w:firstLineChars="0"/>
              <w:jc w:val="center"/>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萤石原矿（F）</w:t>
            </w:r>
          </w:p>
        </w:tc>
        <w:tc>
          <w:tcPr>
            <w:tcW w:w="0" w:type="auto"/>
            <w:shd w:val="clear" w:color="auto" w:fill="auto"/>
            <w:tcMar>
              <w:top w:w="0" w:type="dxa"/>
              <w:left w:w="0" w:type="dxa"/>
              <w:bottom w:w="0" w:type="dxa"/>
              <w:right w:w="0" w:type="dxa"/>
            </w:tcMar>
            <w:vAlign w:val="center"/>
          </w:tcPr>
          <w:p w14:paraId="5A2EF4D3">
            <w:pPr>
              <w:adjustRightInd w:val="0"/>
              <w:snapToGrid w:val="0"/>
              <w:spacing w:line="360" w:lineRule="exact"/>
              <w:ind w:firstLine="0" w:firstLineChars="0"/>
              <w:jc w:val="center"/>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36702.33</w:t>
            </w:r>
          </w:p>
        </w:tc>
        <w:tc>
          <w:tcPr>
            <w:tcW w:w="0" w:type="auto"/>
            <w:shd w:val="clear" w:color="auto" w:fill="auto"/>
            <w:tcMar>
              <w:top w:w="0" w:type="dxa"/>
              <w:left w:w="0" w:type="dxa"/>
              <w:bottom w:w="0" w:type="dxa"/>
              <w:right w:w="0" w:type="dxa"/>
            </w:tcMar>
            <w:vAlign w:val="center"/>
          </w:tcPr>
          <w:p w14:paraId="629213E3">
            <w:pPr>
              <w:adjustRightInd w:val="0"/>
              <w:snapToGrid w:val="0"/>
              <w:spacing w:line="360" w:lineRule="exact"/>
              <w:ind w:firstLine="0" w:firstLineChars="0"/>
              <w:jc w:val="center"/>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100.00</w:t>
            </w:r>
          </w:p>
        </w:tc>
      </w:tr>
      <w:tr w14:paraId="5C6691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c>
          <w:tcPr>
            <w:tcW w:w="0" w:type="auto"/>
            <w:vMerge w:val="restart"/>
            <w:shd w:val="clear" w:color="auto" w:fill="auto"/>
            <w:tcMar>
              <w:top w:w="0" w:type="dxa"/>
              <w:left w:w="0" w:type="dxa"/>
              <w:bottom w:w="0" w:type="dxa"/>
              <w:right w:w="0" w:type="dxa"/>
            </w:tcMar>
            <w:vAlign w:val="center"/>
          </w:tcPr>
          <w:p w14:paraId="0F682372">
            <w:pPr>
              <w:adjustRightInd w:val="0"/>
              <w:snapToGrid w:val="0"/>
              <w:spacing w:line="360" w:lineRule="exact"/>
              <w:ind w:firstLine="0" w:firstLineChars="0"/>
              <w:jc w:val="center"/>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产出</w:t>
            </w:r>
          </w:p>
        </w:tc>
        <w:tc>
          <w:tcPr>
            <w:tcW w:w="0" w:type="auto"/>
            <w:shd w:val="clear" w:color="auto" w:fill="auto"/>
            <w:tcMar>
              <w:top w:w="0" w:type="dxa"/>
              <w:left w:w="0" w:type="dxa"/>
              <w:bottom w:w="0" w:type="dxa"/>
              <w:right w:w="0" w:type="dxa"/>
            </w:tcMar>
            <w:vAlign w:val="center"/>
          </w:tcPr>
          <w:p w14:paraId="330C11F9">
            <w:pPr>
              <w:adjustRightInd w:val="0"/>
              <w:snapToGrid w:val="0"/>
              <w:spacing w:line="360" w:lineRule="exact"/>
              <w:ind w:firstLine="0" w:firstLineChars="0"/>
              <w:jc w:val="center"/>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萤石精矿（F）</w:t>
            </w:r>
          </w:p>
        </w:tc>
        <w:tc>
          <w:tcPr>
            <w:tcW w:w="0" w:type="auto"/>
            <w:shd w:val="clear" w:color="auto" w:fill="auto"/>
            <w:tcMar>
              <w:top w:w="0" w:type="dxa"/>
              <w:left w:w="0" w:type="dxa"/>
              <w:bottom w:w="0" w:type="dxa"/>
              <w:right w:w="0" w:type="dxa"/>
            </w:tcMar>
            <w:vAlign w:val="center"/>
          </w:tcPr>
          <w:p w14:paraId="27EC738F">
            <w:pPr>
              <w:adjustRightInd w:val="0"/>
              <w:snapToGrid w:val="0"/>
              <w:spacing w:line="360" w:lineRule="exact"/>
              <w:ind w:firstLine="0" w:firstLineChars="0"/>
              <w:jc w:val="center"/>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30669.55</w:t>
            </w:r>
          </w:p>
        </w:tc>
        <w:tc>
          <w:tcPr>
            <w:tcW w:w="0" w:type="auto"/>
            <w:shd w:val="clear" w:color="auto" w:fill="auto"/>
            <w:tcMar>
              <w:top w:w="0" w:type="dxa"/>
              <w:left w:w="0" w:type="dxa"/>
              <w:bottom w:w="0" w:type="dxa"/>
              <w:right w:w="0" w:type="dxa"/>
            </w:tcMar>
            <w:vAlign w:val="center"/>
          </w:tcPr>
          <w:p w14:paraId="71C5E32B">
            <w:pPr>
              <w:adjustRightInd w:val="0"/>
              <w:snapToGrid w:val="0"/>
              <w:spacing w:line="360" w:lineRule="exact"/>
              <w:ind w:firstLine="0" w:firstLineChars="0"/>
              <w:jc w:val="center"/>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83.56</w:t>
            </w:r>
          </w:p>
        </w:tc>
      </w:tr>
      <w:tr w14:paraId="62CAAB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c>
          <w:tcPr>
            <w:tcW w:w="0" w:type="auto"/>
            <w:vMerge w:val="continue"/>
            <w:shd w:val="clear" w:color="auto" w:fill="auto"/>
            <w:tcMar>
              <w:top w:w="0" w:type="dxa"/>
              <w:left w:w="0" w:type="dxa"/>
              <w:bottom w:w="0" w:type="dxa"/>
              <w:right w:w="0" w:type="dxa"/>
            </w:tcMar>
            <w:vAlign w:val="center"/>
          </w:tcPr>
          <w:p w14:paraId="621B1FAB">
            <w:pPr>
              <w:adjustRightInd w:val="0"/>
              <w:snapToGrid w:val="0"/>
              <w:spacing w:line="360" w:lineRule="exact"/>
              <w:ind w:firstLine="0" w:firstLineChars="0"/>
              <w:jc w:val="center"/>
              <w:rPr>
                <w:rFonts w:hint="eastAsia" w:eastAsia="宋体" w:cs="Times New Roman"/>
                <w:color w:val="auto"/>
                <w:sz w:val="21"/>
                <w:szCs w:val="21"/>
                <w:highlight w:val="none"/>
                <w:lang w:val="en-US" w:eastAsia="zh-CN"/>
              </w:rPr>
            </w:pPr>
          </w:p>
        </w:tc>
        <w:tc>
          <w:tcPr>
            <w:tcW w:w="0" w:type="auto"/>
            <w:shd w:val="clear" w:color="auto" w:fill="auto"/>
            <w:tcMar>
              <w:top w:w="0" w:type="dxa"/>
              <w:left w:w="0" w:type="dxa"/>
              <w:bottom w:w="0" w:type="dxa"/>
              <w:right w:w="0" w:type="dxa"/>
            </w:tcMar>
            <w:vAlign w:val="center"/>
          </w:tcPr>
          <w:p w14:paraId="444AD654">
            <w:pPr>
              <w:adjustRightInd w:val="0"/>
              <w:snapToGrid w:val="0"/>
              <w:spacing w:line="360" w:lineRule="exact"/>
              <w:ind w:firstLine="0" w:firstLineChars="0"/>
              <w:jc w:val="center"/>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尾矿（F）</w:t>
            </w:r>
          </w:p>
        </w:tc>
        <w:tc>
          <w:tcPr>
            <w:tcW w:w="0" w:type="auto"/>
            <w:shd w:val="clear" w:color="auto" w:fill="auto"/>
            <w:tcMar>
              <w:top w:w="0" w:type="dxa"/>
              <w:left w:w="0" w:type="dxa"/>
              <w:bottom w:w="0" w:type="dxa"/>
              <w:right w:w="0" w:type="dxa"/>
            </w:tcMar>
            <w:vAlign w:val="center"/>
          </w:tcPr>
          <w:p w14:paraId="0A8EA5DA">
            <w:pPr>
              <w:adjustRightInd w:val="0"/>
              <w:snapToGrid w:val="0"/>
              <w:spacing w:line="360" w:lineRule="exact"/>
              <w:ind w:firstLine="0" w:firstLineChars="0"/>
              <w:jc w:val="center"/>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6026.37</w:t>
            </w:r>
          </w:p>
        </w:tc>
        <w:tc>
          <w:tcPr>
            <w:tcW w:w="0" w:type="auto"/>
            <w:shd w:val="clear" w:color="auto" w:fill="auto"/>
            <w:tcMar>
              <w:top w:w="0" w:type="dxa"/>
              <w:left w:w="0" w:type="dxa"/>
              <w:bottom w:w="0" w:type="dxa"/>
              <w:right w:w="0" w:type="dxa"/>
            </w:tcMar>
            <w:vAlign w:val="center"/>
          </w:tcPr>
          <w:p w14:paraId="3BA55086">
            <w:pPr>
              <w:adjustRightInd w:val="0"/>
              <w:snapToGrid w:val="0"/>
              <w:spacing w:line="360" w:lineRule="exact"/>
              <w:ind w:firstLine="0" w:firstLineChars="0"/>
              <w:jc w:val="center"/>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16.42</w:t>
            </w:r>
          </w:p>
        </w:tc>
      </w:tr>
      <w:tr w14:paraId="1BA782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15" w:type="dxa"/>
            <w:left w:w="15" w:type="dxa"/>
            <w:bottom w:w="15" w:type="dxa"/>
            <w:right w:w="15" w:type="dxa"/>
          </w:tblCellMar>
        </w:tblPrEx>
        <w:tc>
          <w:tcPr>
            <w:tcW w:w="0" w:type="auto"/>
            <w:vMerge w:val="continue"/>
            <w:shd w:val="clear" w:color="auto" w:fill="auto"/>
            <w:tcMar>
              <w:top w:w="0" w:type="dxa"/>
              <w:left w:w="0" w:type="dxa"/>
              <w:bottom w:w="0" w:type="dxa"/>
              <w:right w:w="0" w:type="dxa"/>
            </w:tcMar>
            <w:vAlign w:val="center"/>
          </w:tcPr>
          <w:p w14:paraId="56E7FEF2">
            <w:pPr>
              <w:adjustRightInd w:val="0"/>
              <w:snapToGrid w:val="0"/>
              <w:spacing w:line="360" w:lineRule="exact"/>
              <w:ind w:firstLine="0" w:firstLineChars="0"/>
              <w:jc w:val="center"/>
              <w:rPr>
                <w:rFonts w:hint="eastAsia" w:eastAsia="宋体" w:cs="Times New Roman"/>
                <w:color w:val="auto"/>
                <w:sz w:val="21"/>
                <w:szCs w:val="21"/>
                <w:highlight w:val="none"/>
                <w:lang w:val="en-US" w:eastAsia="zh-CN"/>
              </w:rPr>
            </w:pPr>
          </w:p>
        </w:tc>
        <w:tc>
          <w:tcPr>
            <w:tcW w:w="0" w:type="auto"/>
            <w:shd w:val="clear" w:color="auto" w:fill="auto"/>
            <w:tcMar>
              <w:top w:w="0" w:type="dxa"/>
              <w:left w:w="0" w:type="dxa"/>
              <w:bottom w:w="0" w:type="dxa"/>
              <w:right w:w="0" w:type="dxa"/>
            </w:tcMar>
            <w:vAlign w:val="center"/>
          </w:tcPr>
          <w:p w14:paraId="5809F0E8">
            <w:pPr>
              <w:adjustRightInd w:val="0"/>
              <w:snapToGrid w:val="0"/>
              <w:spacing w:line="360" w:lineRule="exact"/>
              <w:ind w:firstLine="0" w:firstLineChars="0"/>
              <w:jc w:val="center"/>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含氟粉尘（F）</w:t>
            </w:r>
          </w:p>
        </w:tc>
        <w:tc>
          <w:tcPr>
            <w:tcW w:w="0" w:type="auto"/>
            <w:shd w:val="clear" w:color="auto" w:fill="auto"/>
            <w:tcMar>
              <w:top w:w="0" w:type="dxa"/>
              <w:left w:w="0" w:type="dxa"/>
              <w:bottom w:w="0" w:type="dxa"/>
              <w:right w:w="0" w:type="dxa"/>
            </w:tcMar>
            <w:vAlign w:val="center"/>
          </w:tcPr>
          <w:p w14:paraId="7A078869">
            <w:pPr>
              <w:adjustRightInd w:val="0"/>
              <w:snapToGrid w:val="0"/>
              <w:spacing w:line="360" w:lineRule="exact"/>
              <w:ind w:firstLine="0" w:firstLineChars="0"/>
              <w:jc w:val="center"/>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6.41</w:t>
            </w:r>
          </w:p>
        </w:tc>
        <w:tc>
          <w:tcPr>
            <w:tcW w:w="0" w:type="auto"/>
            <w:shd w:val="clear" w:color="auto" w:fill="auto"/>
            <w:tcMar>
              <w:top w:w="0" w:type="dxa"/>
              <w:left w:w="0" w:type="dxa"/>
              <w:bottom w:w="0" w:type="dxa"/>
              <w:right w:w="0" w:type="dxa"/>
            </w:tcMar>
            <w:vAlign w:val="center"/>
          </w:tcPr>
          <w:p w14:paraId="5E55A244">
            <w:pPr>
              <w:adjustRightInd w:val="0"/>
              <w:snapToGrid w:val="0"/>
              <w:spacing w:line="360" w:lineRule="exact"/>
              <w:ind w:firstLine="0" w:firstLineChars="0"/>
              <w:jc w:val="center"/>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0.02</w:t>
            </w:r>
          </w:p>
        </w:tc>
      </w:tr>
      <w:tr w14:paraId="11450A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15" w:type="dxa"/>
            <w:left w:w="15" w:type="dxa"/>
            <w:bottom w:w="15" w:type="dxa"/>
            <w:right w:w="15" w:type="dxa"/>
          </w:tblCellMar>
        </w:tblPrEx>
        <w:tc>
          <w:tcPr>
            <w:tcW w:w="0" w:type="auto"/>
            <w:gridSpan w:val="2"/>
            <w:shd w:val="clear" w:color="auto" w:fill="auto"/>
            <w:tcMar>
              <w:top w:w="0" w:type="dxa"/>
              <w:left w:w="0" w:type="dxa"/>
              <w:bottom w:w="0" w:type="dxa"/>
              <w:right w:w="0" w:type="dxa"/>
            </w:tcMar>
            <w:vAlign w:val="center"/>
          </w:tcPr>
          <w:p w14:paraId="3B594FEF">
            <w:pPr>
              <w:adjustRightInd w:val="0"/>
              <w:snapToGrid w:val="0"/>
              <w:spacing w:line="360" w:lineRule="exact"/>
              <w:ind w:firstLine="0" w:firstLineChars="0"/>
              <w:jc w:val="center"/>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合计</w:t>
            </w:r>
          </w:p>
        </w:tc>
        <w:tc>
          <w:tcPr>
            <w:tcW w:w="0" w:type="auto"/>
            <w:shd w:val="clear" w:color="auto" w:fill="auto"/>
            <w:tcMar>
              <w:top w:w="0" w:type="dxa"/>
              <w:left w:w="0" w:type="dxa"/>
              <w:bottom w:w="0" w:type="dxa"/>
              <w:right w:w="0" w:type="dxa"/>
            </w:tcMar>
            <w:vAlign w:val="center"/>
          </w:tcPr>
          <w:p w14:paraId="202A5ECC">
            <w:pPr>
              <w:adjustRightInd w:val="0"/>
              <w:snapToGrid w:val="0"/>
              <w:spacing w:line="360" w:lineRule="exact"/>
              <w:ind w:firstLine="0" w:firstLineChars="0"/>
              <w:jc w:val="center"/>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36702.33</w:t>
            </w:r>
          </w:p>
        </w:tc>
        <w:tc>
          <w:tcPr>
            <w:tcW w:w="0" w:type="auto"/>
            <w:shd w:val="clear" w:color="auto" w:fill="auto"/>
            <w:tcMar>
              <w:top w:w="0" w:type="dxa"/>
              <w:left w:w="0" w:type="dxa"/>
              <w:bottom w:w="0" w:type="dxa"/>
              <w:right w:w="0" w:type="dxa"/>
            </w:tcMar>
            <w:vAlign w:val="center"/>
          </w:tcPr>
          <w:p w14:paraId="2FA8FA91">
            <w:pPr>
              <w:adjustRightInd w:val="0"/>
              <w:snapToGrid w:val="0"/>
              <w:spacing w:line="360" w:lineRule="exact"/>
              <w:ind w:firstLine="0" w:firstLineChars="0"/>
              <w:jc w:val="center"/>
              <w:rPr>
                <w:rFonts w:hint="default" w:eastAsia="宋体" w:cs="Times New Roman"/>
                <w:color w:val="auto"/>
                <w:sz w:val="21"/>
                <w:szCs w:val="21"/>
                <w:highlight w:val="none"/>
                <w:lang w:val="en-US" w:eastAsia="zh-CN"/>
              </w:rPr>
            </w:pPr>
            <w:r>
              <w:rPr>
                <w:rFonts w:hint="default" w:eastAsia="宋体" w:cs="Times New Roman"/>
                <w:color w:val="auto"/>
                <w:sz w:val="21"/>
                <w:szCs w:val="21"/>
                <w:highlight w:val="none"/>
                <w:lang w:val="en-US" w:eastAsia="zh-CN"/>
              </w:rPr>
              <w:t>100.00</w:t>
            </w:r>
          </w:p>
        </w:tc>
      </w:tr>
    </w:tbl>
    <w:p w14:paraId="13165CE9">
      <w:pPr>
        <w:pStyle w:val="3"/>
        <w:rPr>
          <w:rFonts w:hint="default" w:ascii="Times New Roman" w:hAnsi="Times New Roman" w:cs="Times New Roman"/>
          <w:color w:val="auto"/>
          <w:highlight w:val="none"/>
        </w:rPr>
      </w:pPr>
      <w:bookmarkStart w:id="417" w:name="_Toc20666"/>
      <w:bookmarkStart w:id="418" w:name="_Toc15308"/>
      <w:bookmarkStart w:id="419" w:name="_Toc23292"/>
      <w:bookmarkStart w:id="420" w:name="_Toc9230"/>
      <w:bookmarkStart w:id="421" w:name="_Toc17376"/>
      <w:bookmarkStart w:id="422" w:name="_Toc9473"/>
      <w:bookmarkStart w:id="423" w:name="_Toc8473"/>
      <w:bookmarkStart w:id="424" w:name="_Toc107413889"/>
      <w:bookmarkStart w:id="425" w:name="_Toc28292"/>
      <w:bookmarkStart w:id="426" w:name="_Toc9745"/>
      <w:bookmarkStart w:id="427" w:name="_Toc107414656"/>
      <w:bookmarkStart w:id="428" w:name="_Toc2953"/>
      <w:r>
        <w:rPr>
          <w:rFonts w:hint="default" w:ascii="Times New Roman" w:hAnsi="Times New Roman" w:cs="Times New Roman"/>
          <w:color w:val="auto"/>
          <w:highlight w:val="none"/>
        </w:rPr>
        <w:t>3.</w:t>
      </w:r>
      <w:bookmarkEnd w:id="417"/>
      <w:bookmarkEnd w:id="418"/>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污染源及污染物分析</w:t>
      </w:r>
      <w:bookmarkEnd w:id="419"/>
      <w:bookmarkEnd w:id="420"/>
      <w:bookmarkEnd w:id="421"/>
      <w:bookmarkEnd w:id="422"/>
      <w:bookmarkEnd w:id="423"/>
      <w:bookmarkEnd w:id="424"/>
      <w:bookmarkEnd w:id="425"/>
      <w:bookmarkEnd w:id="426"/>
      <w:bookmarkEnd w:id="427"/>
      <w:bookmarkEnd w:id="428"/>
    </w:p>
    <w:p w14:paraId="40108059">
      <w:pPr>
        <w:pStyle w:val="4"/>
        <w:rPr>
          <w:rFonts w:hint="default" w:ascii="Times New Roman" w:hAnsi="Times New Roman" w:cs="Times New Roman"/>
          <w:color w:val="auto"/>
          <w:highlight w:val="none"/>
        </w:rPr>
      </w:pPr>
      <w:bookmarkStart w:id="429" w:name="_Toc24289"/>
      <w:bookmarkStart w:id="430" w:name="_Toc18983"/>
      <w:bookmarkStart w:id="431" w:name="_Toc5743"/>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.1施工期污染源及污染物分析</w:t>
      </w:r>
      <w:bookmarkEnd w:id="429"/>
      <w:bookmarkEnd w:id="430"/>
      <w:bookmarkEnd w:id="431"/>
    </w:p>
    <w:p w14:paraId="00EDAFEC">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建设项目施工期间，产生的生活污水、生活垃圾、建筑垃圾、扬尘、建材运输车辆的尾气和噪声等，均会对环境造成一定的影响。但施工期的环境影响为阶段性影响，工程建设完成后，除部分永久性占地为持续性影响外，其余环境影响会随施工期的结束而消失。</w:t>
      </w:r>
    </w:p>
    <w:p w14:paraId="2A2812AF">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.1.1大气污染源</w:t>
      </w:r>
    </w:p>
    <w:p w14:paraId="64AB735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施工阶段，需频繁使用机动车辆运输建筑原材料、施工设备、器材及建筑垃圾，排出的机动车尾气主要污染物是C</w:t>
      </w:r>
      <w:r>
        <w:rPr>
          <w:rFonts w:hint="default" w:ascii="Times New Roman" w:hAnsi="Times New Roman" w:cs="Times New Roman"/>
          <w:color w:val="auto"/>
          <w:highlight w:val="none"/>
          <w:vertAlign w:val="subscript"/>
        </w:rPr>
        <w:t>n</w:t>
      </w: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m</w:t>
      </w:r>
      <w:r>
        <w:rPr>
          <w:rFonts w:hint="default" w:ascii="Times New Roman" w:hAnsi="Times New Roman" w:cs="Times New Roman"/>
          <w:color w:val="auto"/>
          <w:highlight w:val="none"/>
        </w:rPr>
        <w:t>、CO、NO</w:t>
      </w:r>
      <w:r>
        <w:rPr>
          <w:rFonts w:hint="default" w:ascii="Times New Roman" w:hAnsi="Times New Roman" w:cs="Times New Roman"/>
          <w:color w:val="auto"/>
          <w:highlight w:val="none"/>
          <w:vertAlign w:val="subscript"/>
        </w:rPr>
        <w:t>x</w:t>
      </w:r>
      <w:r>
        <w:rPr>
          <w:rFonts w:hint="default" w:ascii="Times New Roman" w:hAnsi="Times New Roman" w:cs="Times New Roman"/>
          <w:color w:val="auto"/>
          <w:highlight w:val="none"/>
        </w:rPr>
        <w:t>等，同时车辆运行、装卸建筑材料时将产生扬尘。</w:t>
      </w:r>
    </w:p>
    <w:p w14:paraId="5D7B899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施工扬尘污染主要造成大气中TSP值增高，根据类比资料，施工扬尘的起尘量与许多因素有关。影响起尘量的因素包括：基础开挖起尘量、施工渣土堆场起尘量、进出车辆带泥砂量</w:t>
      </w:r>
      <w:r>
        <w:rPr>
          <w:rFonts w:hint="eastAsia" w:cs="Times New Roman"/>
          <w:color w:val="auto"/>
          <w:highlight w:val="none"/>
          <w:lang w:eastAsia="zh-CN"/>
        </w:rPr>
        <w:t>以及</w:t>
      </w:r>
      <w:r>
        <w:rPr>
          <w:rFonts w:hint="default" w:ascii="Times New Roman" w:hAnsi="Times New Roman" w:cs="Times New Roman"/>
          <w:color w:val="auto"/>
          <w:highlight w:val="none"/>
        </w:rPr>
        <w:t>起尘高度、采取的防护措施、空气湿度、风速等。废气污染物排放量较</w:t>
      </w:r>
      <w:r>
        <w:rPr>
          <w:rFonts w:hint="eastAsia" w:cs="Times New Roman"/>
          <w:color w:val="auto"/>
          <w:highlight w:val="none"/>
          <w:lang w:eastAsia="zh-CN"/>
        </w:rPr>
        <w:t>少</w:t>
      </w:r>
      <w:r>
        <w:rPr>
          <w:rFonts w:hint="default" w:ascii="Times New Roman" w:hAnsi="Times New Roman" w:cs="Times New Roman"/>
          <w:color w:val="auto"/>
          <w:highlight w:val="none"/>
        </w:rPr>
        <w:t>，随着施工期结束而停止。</w:t>
      </w:r>
    </w:p>
    <w:p w14:paraId="3D35CEC2">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.1.2废水</w:t>
      </w:r>
    </w:p>
    <w:p w14:paraId="6797881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施工期废水主要为工地建筑工人产生的生活污水和工程废水。</w:t>
      </w:r>
    </w:p>
    <w:p w14:paraId="69140D3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（1）施工期生活污水</w:t>
      </w:r>
    </w:p>
    <w:p w14:paraId="43B72CD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生活污水主要污染物为SS、COD、氨氮等。施工期间进场施工人数约为70人左右，施工人员生活用水按30L/人·d计，用水量为2.1m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/d，排放系数以0.8计，排放量约为1.68m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kern w:val="0"/>
          <w:highlight w:val="none"/>
          <w:lang w:val="zh-CN"/>
        </w:rPr>
        <w:t>施工期生活污水依托采矿项目生活区优先建设的</w:t>
      </w:r>
      <w:r>
        <w:rPr>
          <w:rFonts w:hint="default" w:ascii="Times New Roman" w:hAnsi="Times New Roman" w:cs="Times New Roman"/>
          <w:color w:val="auto"/>
          <w:szCs w:val="28"/>
          <w:highlight w:val="none"/>
        </w:rPr>
        <w:t>污水处理设施处理，</w:t>
      </w:r>
      <w:r>
        <w:rPr>
          <w:rFonts w:hint="default" w:ascii="Times New Roman" w:hAnsi="Times New Roman" w:cs="Times New Roman"/>
          <w:color w:val="auto"/>
          <w:kern w:val="0"/>
          <w:highlight w:val="none"/>
          <w:lang w:val="zh-CN"/>
        </w:rPr>
        <w:t>处理满足</w:t>
      </w:r>
      <w:r>
        <w:rPr>
          <w:rFonts w:hint="default" w:ascii="Times New Roman" w:hAnsi="Times New Roman" w:cs="Times New Roman"/>
          <w:color w:val="auto"/>
          <w:highlight w:val="none"/>
        </w:rPr>
        <w:t>《农村生活污水处理排放标准》（DB65 4275-2019）表</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规定的</w:t>
      </w:r>
      <w:r>
        <w:rPr>
          <w:rFonts w:hint="default" w:ascii="Times New Roman" w:hAnsi="Times New Roman" w:cs="Times New Roman"/>
          <w:color w:val="auto"/>
          <w:highlight w:val="none"/>
          <w:lang w:val="en-US" w:eastAsia="zh-CN"/>
        </w:rPr>
        <w:t>一</w:t>
      </w:r>
      <w:r>
        <w:rPr>
          <w:rFonts w:hint="default" w:ascii="Times New Roman" w:hAnsi="Times New Roman" w:cs="Times New Roman"/>
          <w:color w:val="auto"/>
          <w:highlight w:val="none"/>
        </w:rPr>
        <w:t>级排放限值以及《城市污水再生利用 城市杂用水水质》（GB/T18920-2020）中的城市绿化、道路清扫、消防、建筑施工限值后</w:t>
      </w:r>
      <w:r>
        <w:rPr>
          <w:rFonts w:hint="default" w:ascii="Times New Roman" w:hAnsi="Times New Roman" w:cs="Times New Roman"/>
          <w:color w:val="auto"/>
          <w:spacing w:val="-1"/>
          <w:highlight w:val="none"/>
        </w:rPr>
        <w:t>用于</w:t>
      </w:r>
      <w:r>
        <w:rPr>
          <w:rFonts w:hint="default" w:ascii="Times New Roman" w:hAnsi="Times New Roman" w:cs="Times New Roman"/>
          <w:color w:val="auto"/>
          <w:spacing w:val="-1"/>
          <w:highlight w:val="none"/>
          <w:lang w:eastAsia="zh-CN"/>
        </w:rPr>
        <w:t>降尘</w:t>
      </w:r>
      <w:r>
        <w:rPr>
          <w:rFonts w:hint="default" w:ascii="Times New Roman" w:hAnsi="Times New Roman" w:cs="Times New Roman"/>
          <w:color w:val="auto"/>
          <w:spacing w:val="-1"/>
          <w:highlight w:val="none"/>
        </w:rPr>
        <w:t>及绿化</w:t>
      </w:r>
      <w:r>
        <w:rPr>
          <w:rFonts w:hint="default" w:ascii="Times New Roman" w:hAnsi="Times New Roman" w:cs="Times New Roman"/>
          <w:color w:val="auto"/>
          <w:kern w:val="0"/>
          <w:highlight w:val="none"/>
          <w:lang w:val="zh-CN"/>
        </w:rPr>
        <w:t>，不外排。</w:t>
      </w:r>
      <w:r>
        <w:rPr>
          <w:rFonts w:hint="default" w:ascii="Times New Roman" w:hAnsi="Times New Roman" w:cs="Times New Roman"/>
          <w:color w:val="auto"/>
          <w:highlight w:val="none"/>
          <w:lang w:bidi="ar"/>
        </w:rPr>
        <w:t>对项目区周围水环境影响较小。</w:t>
      </w:r>
    </w:p>
    <w:p w14:paraId="21D10014">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（2）</w:t>
      </w:r>
      <w:r>
        <w:rPr>
          <w:rFonts w:hint="default" w:ascii="Times New Roman" w:hAnsi="Times New Roman" w:cs="Times New Roman"/>
          <w:color w:val="auto"/>
          <w:highlight w:val="none"/>
        </w:rPr>
        <w:t>工程废水</w:t>
      </w:r>
    </w:p>
    <w:p w14:paraId="44507A92">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工程废水包括进出施工场地的车辆清洗产生的泥浆水等工程废水，主要污染物是SS、石油类，水量较少，集中收集沉淀后用于建设场地洒水降尘。混凝土为商品混凝土，无需现场搅拌，无搅拌废水产生。</w:t>
      </w:r>
    </w:p>
    <w:p w14:paraId="7246E987">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.1.3噪声</w:t>
      </w:r>
    </w:p>
    <w:p w14:paraId="027B74C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噪声主要来自施工机械噪声、施工作业噪声和运输车辆噪声。施工机械噪声由施工机械产生，如挖土机械、升降机等，多为点声源；施工作业噪声主要指一些零星的敲打声、装卸建材的撞击声、施工人员的吆喝声、拆装模板的撞击声等，多为瞬间噪声；运输车辆的噪声属于交通噪声。在这些施工噪声中对声环境影响最大的是施工机械噪声。建设期主要施工机械设备的噪声源强见表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-1，物料运输车辆类型及其声级值见表3.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-2。</w:t>
      </w:r>
    </w:p>
    <w:p w14:paraId="4F80DFCD">
      <w:pPr>
        <w:ind w:firstLine="0" w:firstLineChars="0"/>
        <w:jc w:val="center"/>
        <w:rPr>
          <w:rFonts w:hint="default" w:ascii="Times New Roman" w:hAnsi="Times New Roman" w:cs="Times New Roman"/>
          <w:color w:val="auto"/>
          <w:highlight w:val="none"/>
        </w:rPr>
      </w:pPr>
      <w:bookmarkStart w:id="432" w:name="_Toc8298_WPSOffice_Level2"/>
      <w:r>
        <w:rPr>
          <w:rFonts w:hint="default" w:ascii="Times New Roman" w:hAnsi="Times New Roman" w:cs="Times New Roman"/>
          <w:b/>
          <w:color w:val="auto"/>
          <w:highlight w:val="none"/>
        </w:rPr>
        <w:t>表3.</w:t>
      </w:r>
      <w:r>
        <w:rPr>
          <w:rFonts w:hint="default" w:ascii="Times New Roman" w:hAnsi="Times New Roman" w:cs="Times New Roman"/>
          <w:b/>
          <w:color w:val="auto"/>
          <w:highlight w:val="none"/>
          <w:lang w:val="en-US" w:eastAsia="zh-CN"/>
        </w:rPr>
        <w:t>3</w:t>
      </w:r>
      <w:r>
        <w:rPr>
          <w:rFonts w:hint="default" w:ascii="Times New Roman" w:hAnsi="Times New Roman" w:cs="Times New Roman"/>
          <w:b/>
          <w:color w:val="auto"/>
          <w:highlight w:val="none"/>
        </w:rPr>
        <w:t>-1    施工期噪声声源强度表</w:t>
      </w:r>
      <w:bookmarkEnd w:id="432"/>
    </w:p>
    <w:tbl>
      <w:tblPr>
        <w:tblStyle w:val="33"/>
        <w:tblW w:w="917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996"/>
        <w:gridCol w:w="3480"/>
        <w:gridCol w:w="3694"/>
      </w:tblGrid>
      <w:tr w14:paraId="1BF4D4F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1996" w:type="dxa"/>
            <w:vAlign w:val="center"/>
          </w:tcPr>
          <w:p w14:paraId="142400DF">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施工阶段</w:t>
            </w:r>
          </w:p>
        </w:tc>
        <w:tc>
          <w:tcPr>
            <w:tcW w:w="3480" w:type="dxa"/>
            <w:vAlign w:val="center"/>
          </w:tcPr>
          <w:p w14:paraId="2B7564A4">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声源</w:t>
            </w:r>
          </w:p>
        </w:tc>
        <w:tc>
          <w:tcPr>
            <w:tcW w:w="3694" w:type="dxa"/>
            <w:vAlign w:val="center"/>
          </w:tcPr>
          <w:p w14:paraId="01D9BCF6">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声源强度[dB（A）]</w:t>
            </w:r>
          </w:p>
        </w:tc>
      </w:tr>
      <w:tr w14:paraId="0FB9580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996" w:type="dxa"/>
            <w:vMerge w:val="restart"/>
            <w:vAlign w:val="center"/>
          </w:tcPr>
          <w:p w14:paraId="385F04E1">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土石方阶段</w:t>
            </w:r>
          </w:p>
        </w:tc>
        <w:tc>
          <w:tcPr>
            <w:tcW w:w="3480" w:type="dxa"/>
            <w:vAlign w:val="center"/>
          </w:tcPr>
          <w:p w14:paraId="1AEA5C88">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挖土机</w:t>
            </w:r>
          </w:p>
        </w:tc>
        <w:tc>
          <w:tcPr>
            <w:tcW w:w="3694" w:type="dxa"/>
            <w:vAlign w:val="center"/>
          </w:tcPr>
          <w:p w14:paraId="17FA6C96">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78</w:t>
            </w:r>
            <w:r>
              <w:rPr>
                <w:rFonts w:hint="eastAsia" w:cs="Times New Roman"/>
                <w:color w:val="auto"/>
                <w:sz w:val="21"/>
                <w:highlight w:val="none"/>
                <w:lang w:eastAsia="zh-CN"/>
              </w:rPr>
              <w:t>~</w:t>
            </w:r>
            <w:r>
              <w:rPr>
                <w:rFonts w:hint="default" w:ascii="Times New Roman" w:hAnsi="Times New Roman" w:cs="Times New Roman"/>
                <w:color w:val="auto"/>
                <w:sz w:val="21"/>
                <w:highlight w:val="none"/>
              </w:rPr>
              <w:t>96</w:t>
            </w:r>
          </w:p>
        </w:tc>
      </w:tr>
      <w:tr w14:paraId="4391D66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996" w:type="dxa"/>
            <w:vMerge w:val="continue"/>
            <w:vAlign w:val="center"/>
          </w:tcPr>
          <w:p w14:paraId="5581DC72">
            <w:pPr>
              <w:spacing w:line="360" w:lineRule="exact"/>
              <w:ind w:firstLine="0" w:firstLineChars="0"/>
              <w:jc w:val="center"/>
              <w:rPr>
                <w:rFonts w:hint="default" w:ascii="Times New Roman" w:hAnsi="Times New Roman" w:cs="Times New Roman"/>
                <w:color w:val="auto"/>
                <w:sz w:val="21"/>
                <w:highlight w:val="none"/>
              </w:rPr>
            </w:pPr>
          </w:p>
        </w:tc>
        <w:tc>
          <w:tcPr>
            <w:tcW w:w="3480" w:type="dxa"/>
            <w:vAlign w:val="center"/>
          </w:tcPr>
          <w:p w14:paraId="2588F6BA">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冲击机</w:t>
            </w:r>
          </w:p>
        </w:tc>
        <w:tc>
          <w:tcPr>
            <w:tcW w:w="3694" w:type="dxa"/>
            <w:vAlign w:val="center"/>
          </w:tcPr>
          <w:p w14:paraId="3FC58948">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95</w:t>
            </w:r>
          </w:p>
        </w:tc>
      </w:tr>
      <w:tr w14:paraId="20D3336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996" w:type="dxa"/>
            <w:vMerge w:val="continue"/>
            <w:vAlign w:val="center"/>
          </w:tcPr>
          <w:p w14:paraId="7B6B2EC1">
            <w:pPr>
              <w:spacing w:line="360" w:lineRule="exact"/>
              <w:ind w:firstLine="0" w:firstLineChars="0"/>
              <w:jc w:val="center"/>
              <w:rPr>
                <w:rFonts w:hint="default" w:ascii="Times New Roman" w:hAnsi="Times New Roman" w:cs="Times New Roman"/>
                <w:color w:val="auto"/>
                <w:sz w:val="21"/>
                <w:highlight w:val="none"/>
              </w:rPr>
            </w:pPr>
          </w:p>
        </w:tc>
        <w:tc>
          <w:tcPr>
            <w:tcW w:w="3480" w:type="dxa"/>
            <w:vAlign w:val="center"/>
          </w:tcPr>
          <w:p w14:paraId="0521B95C">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空压机</w:t>
            </w:r>
          </w:p>
        </w:tc>
        <w:tc>
          <w:tcPr>
            <w:tcW w:w="3694" w:type="dxa"/>
            <w:vAlign w:val="center"/>
          </w:tcPr>
          <w:p w14:paraId="119025A5">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75</w:t>
            </w:r>
            <w:r>
              <w:rPr>
                <w:rFonts w:hint="eastAsia" w:cs="Times New Roman"/>
                <w:color w:val="auto"/>
                <w:sz w:val="21"/>
                <w:highlight w:val="none"/>
                <w:lang w:eastAsia="zh-CN"/>
              </w:rPr>
              <w:t>~</w:t>
            </w:r>
            <w:r>
              <w:rPr>
                <w:rFonts w:hint="default" w:ascii="Times New Roman" w:hAnsi="Times New Roman" w:cs="Times New Roman"/>
                <w:color w:val="auto"/>
                <w:sz w:val="21"/>
                <w:highlight w:val="none"/>
              </w:rPr>
              <w:t>85</w:t>
            </w:r>
          </w:p>
        </w:tc>
      </w:tr>
      <w:tr w14:paraId="4330F28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996" w:type="dxa"/>
            <w:vMerge w:val="continue"/>
            <w:vAlign w:val="center"/>
          </w:tcPr>
          <w:p w14:paraId="146E1200">
            <w:pPr>
              <w:spacing w:line="360" w:lineRule="exact"/>
              <w:ind w:firstLine="0" w:firstLineChars="0"/>
              <w:jc w:val="center"/>
              <w:rPr>
                <w:rFonts w:hint="default" w:ascii="Times New Roman" w:hAnsi="Times New Roman" w:cs="Times New Roman"/>
                <w:color w:val="auto"/>
                <w:sz w:val="21"/>
                <w:highlight w:val="none"/>
              </w:rPr>
            </w:pPr>
          </w:p>
        </w:tc>
        <w:tc>
          <w:tcPr>
            <w:tcW w:w="3480" w:type="dxa"/>
            <w:vAlign w:val="center"/>
          </w:tcPr>
          <w:p w14:paraId="4EEF7303">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压缩机</w:t>
            </w:r>
          </w:p>
        </w:tc>
        <w:tc>
          <w:tcPr>
            <w:tcW w:w="3694" w:type="dxa"/>
            <w:vAlign w:val="center"/>
          </w:tcPr>
          <w:p w14:paraId="28D48031">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75</w:t>
            </w:r>
            <w:r>
              <w:rPr>
                <w:rFonts w:hint="eastAsia" w:cs="Times New Roman"/>
                <w:color w:val="auto"/>
                <w:sz w:val="21"/>
                <w:highlight w:val="none"/>
                <w:lang w:eastAsia="zh-CN"/>
              </w:rPr>
              <w:t>~</w:t>
            </w:r>
            <w:r>
              <w:rPr>
                <w:rFonts w:hint="default" w:ascii="Times New Roman" w:hAnsi="Times New Roman" w:cs="Times New Roman"/>
                <w:color w:val="auto"/>
                <w:sz w:val="21"/>
                <w:highlight w:val="none"/>
              </w:rPr>
              <w:t>88</w:t>
            </w:r>
          </w:p>
        </w:tc>
      </w:tr>
      <w:tr w14:paraId="75A1C8A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996" w:type="dxa"/>
            <w:vMerge w:val="restart"/>
            <w:vAlign w:val="center"/>
          </w:tcPr>
          <w:p w14:paraId="34DA4339">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结构施工阶段</w:t>
            </w:r>
          </w:p>
        </w:tc>
        <w:tc>
          <w:tcPr>
            <w:tcW w:w="3480" w:type="dxa"/>
            <w:vAlign w:val="center"/>
          </w:tcPr>
          <w:p w14:paraId="5E724657">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振捣器</w:t>
            </w:r>
          </w:p>
        </w:tc>
        <w:tc>
          <w:tcPr>
            <w:tcW w:w="3694" w:type="dxa"/>
            <w:vAlign w:val="center"/>
          </w:tcPr>
          <w:p w14:paraId="781E0A35">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100</w:t>
            </w:r>
            <w:r>
              <w:rPr>
                <w:rFonts w:hint="eastAsia" w:cs="Times New Roman"/>
                <w:color w:val="auto"/>
                <w:sz w:val="21"/>
                <w:highlight w:val="none"/>
                <w:lang w:eastAsia="zh-CN"/>
              </w:rPr>
              <w:t>~</w:t>
            </w:r>
            <w:r>
              <w:rPr>
                <w:rFonts w:hint="default" w:ascii="Times New Roman" w:hAnsi="Times New Roman" w:cs="Times New Roman"/>
                <w:color w:val="auto"/>
                <w:sz w:val="21"/>
                <w:highlight w:val="none"/>
              </w:rPr>
              <w:t>105</w:t>
            </w:r>
          </w:p>
        </w:tc>
      </w:tr>
      <w:tr w14:paraId="7B8E17A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996" w:type="dxa"/>
            <w:vMerge w:val="continue"/>
            <w:vAlign w:val="center"/>
          </w:tcPr>
          <w:p w14:paraId="65A8B0F8">
            <w:pPr>
              <w:spacing w:line="360" w:lineRule="exact"/>
              <w:ind w:firstLine="0" w:firstLineChars="0"/>
              <w:jc w:val="center"/>
              <w:rPr>
                <w:rFonts w:hint="default" w:ascii="Times New Roman" w:hAnsi="Times New Roman" w:cs="Times New Roman"/>
                <w:color w:val="auto"/>
                <w:sz w:val="21"/>
                <w:highlight w:val="none"/>
              </w:rPr>
            </w:pPr>
          </w:p>
        </w:tc>
        <w:tc>
          <w:tcPr>
            <w:tcW w:w="3480" w:type="dxa"/>
            <w:vAlign w:val="center"/>
          </w:tcPr>
          <w:p w14:paraId="20FA1753">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电锯</w:t>
            </w:r>
          </w:p>
        </w:tc>
        <w:tc>
          <w:tcPr>
            <w:tcW w:w="3694" w:type="dxa"/>
            <w:vAlign w:val="center"/>
          </w:tcPr>
          <w:p w14:paraId="43F4D2A5">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100</w:t>
            </w:r>
            <w:r>
              <w:rPr>
                <w:rFonts w:hint="eastAsia" w:cs="Times New Roman"/>
                <w:color w:val="auto"/>
                <w:sz w:val="21"/>
                <w:highlight w:val="none"/>
                <w:lang w:eastAsia="zh-CN"/>
              </w:rPr>
              <w:t>~</w:t>
            </w:r>
            <w:r>
              <w:rPr>
                <w:rFonts w:hint="default" w:ascii="Times New Roman" w:hAnsi="Times New Roman" w:cs="Times New Roman"/>
                <w:color w:val="auto"/>
                <w:sz w:val="21"/>
                <w:highlight w:val="none"/>
              </w:rPr>
              <w:t>105</w:t>
            </w:r>
          </w:p>
        </w:tc>
      </w:tr>
      <w:tr w14:paraId="60B4712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996" w:type="dxa"/>
            <w:vMerge w:val="continue"/>
            <w:vAlign w:val="center"/>
          </w:tcPr>
          <w:p w14:paraId="3A006599">
            <w:pPr>
              <w:spacing w:line="360" w:lineRule="exact"/>
              <w:ind w:firstLine="0" w:firstLineChars="0"/>
              <w:jc w:val="center"/>
              <w:rPr>
                <w:rFonts w:hint="default" w:ascii="Times New Roman" w:hAnsi="Times New Roman" w:cs="Times New Roman"/>
                <w:color w:val="auto"/>
                <w:sz w:val="21"/>
                <w:highlight w:val="none"/>
              </w:rPr>
            </w:pPr>
          </w:p>
        </w:tc>
        <w:tc>
          <w:tcPr>
            <w:tcW w:w="3480" w:type="dxa"/>
            <w:vAlign w:val="center"/>
          </w:tcPr>
          <w:p w14:paraId="67818B89">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电焊机</w:t>
            </w:r>
          </w:p>
        </w:tc>
        <w:tc>
          <w:tcPr>
            <w:tcW w:w="3694" w:type="dxa"/>
            <w:vAlign w:val="center"/>
          </w:tcPr>
          <w:p w14:paraId="2C5A5B2C">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90</w:t>
            </w:r>
            <w:r>
              <w:rPr>
                <w:rFonts w:hint="eastAsia" w:cs="Times New Roman"/>
                <w:color w:val="auto"/>
                <w:sz w:val="21"/>
                <w:highlight w:val="none"/>
                <w:lang w:eastAsia="zh-CN"/>
              </w:rPr>
              <w:t>~</w:t>
            </w:r>
            <w:r>
              <w:rPr>
                <w:rFonts w:hint="default" w:ascii="Times New Roman" w:hAnsi="Times New Roman" w:cs="Times New Roman"/>
                <w:color w:val="auto"/>
                <w:sz w:val="21"/>
                <w:highlight w:val="none"/>
              </w:rPr>
              <w:t>95</w:t>
            </w:r>
          </w:p>
        </w:tc>
      </w:tr>
      <w:tr w14:paraId="7E2D212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996" w:type="dxa"/>
            <w:vMerge w:val="continue"/>
            <w:vAlign w:val="center"/>
          </w:tcPr>
          <w:p w14:paraId="6C0774E1">
            <w:pPr>
              <w:spacing w:line="360" w:lineRule="exact"/>
              <w:ind w:firstLine="0" w:firstLineChars="0"/>
              <w:jc w:val="center"/>
              <w:rPr>
                <w:rFonts w:hint="default" w:ascii="Times New Roman" w:hAnsi="Times New Roman" w:cs="Times New Roman"/>
                <w:color w:val="auto"/>
                <w:sz w:val="21"/>
                <w:highlight w:val="none"/>
              </w:rPr>
            </w:pPr>
          </w:p>
        </w:tc>
        <w:tc>
          <w:tcPr>
            <w:tcW w:w="3480" w:type="dxa"/>
            <w:vAlign w:val="center"/>
          </w:tcPr>
          <w:p w14:paraId="569BEF1D">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空压机</w:t>
            </w:r>
          </w:p>
        </w:tc>
        <w:tc>
          <w:tcPr>
            <w:tcW w:w="3694" w:type="dxa"/>
            <w:vAlign w:val="center"/>
          </w:tcPr>
          <w:p w14:paraId="5BA3B645">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75</w:t>
            </w:r>
            <w:r>
              <w:rPr>
                <w:rFonts w:hint="eastAsia" w:cs="Times New Roman"/>
                <w:color w:val="auto"/>
                <w:sz w:val="21"/>
                <w:highlight w:val="none"/>
                <w:lang w:eastAsia="zh-CN"/>
              </w:rPr>
              <w:t>~</w:t>
            </w:r>
            <w:r>
              <w:rPr>
                <w:rFonts w:hint="default" w:ascii="Times New Roman" w:hAnsi="Times New Roman" w:cs="Times New Roman"/>
                <w:color w:val="auto"/>
                <w:sz w:val="21"/>
                <w:highlight w:val="none"/>
              </w:rPr>
              <w:t>85</w:t>
            </w:r>
          </w:p>
        </w:tc>
      </w:tr>
      <w:tr w14:paraId="3B87434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996" w:type="dxa"/>
            <w:vMerge w:val="restart"/>
            <w:vAlign w:val="center"/>
          </w:tcPr>
          <w:p w14:paraId="2988374C">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设备安装阶段</w:t>
            </w:r>
          </w:p>
        </w:tc>
        <w:tc>
          <w:tcPr>
            <w:tcW w:w="3480" w:type="dxa"/>
            <w:vAlign w:val="center"/>
          </w:tcPr>
          <w:p w14:paraId="5B462F7A">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电钻</w:t>
            </w:r>
          </w:p>
        </w:tc>
        <w:tc>
          <w:tcPr>
            <w:tcW w:w="3694" w:type="dxa"/>
            <w:vAlign w:val="center"/>
          </w:tcPr>
          <w:p w14:paraId="1C83468C">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100</w:t>
            </w:r>
            <w:r>
              <w:rPr>
                <w:rFonts w:hint="eastAsia" w:cs="Times New Roman"/>
                <w:color w:val="auto"/>
                <w:sz w:val="21"/>
                <w:highlight w:val="none"/>
                <w:lang w:eastAsia="zh-CN"/>
              </w:rPr>
              <w:t>~</w:t>
            </w:r>
            <w:r>
              <w:rPr>
                <w:rFonts w:hint="default" w:ascii="Times New Roman" w:hAnsi="Times New Roman" w:cs="Times New Roman"/>
                <w:color w:val="auto"/>
                <w:sz w:val="21"/>
                <w:highlight w:val="none"/>
              </w:rPr>
              <w:t>105</w:t>
            </w:r>
          </w:p>
        </w:tc>
      </w:tr>
      <w:tr w14:paraId="417FF1E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996" w:type="dxa"/>
            <w:vMerge w:val="continue"/>
            <w:vAlign w:val="center"/>
          </w:tcPr>
          <w:p w14:paraId="58690FD0">
            <w:pPr>
              <w:spacing w:line="360" w:lineRule="exact"/>
              <w:ind w:firstLine="0" w:firstLineChars="0"/>
              <w:jc w:val="center"/>
              <w:rPr>
                <w:rFonts w:hint="default" w:ascii="Times New Roman" w:hAnsi="Times New Roman" w:cs="Times New Roman"/>
                <w:color w:val="auto"/>
                <w:sz w:val="21"/>
                <w:highlight w:val="none"/>
              </w:rPr>
            </w:pPr>
          </w:p>
        </w:tc>
        <w:tc>
          <w:tcPr>
            <w:tcW w:w="3480" w:type="dxa"/>
            <w:vAlign w:val="center"/>
          </w:tcPr>
          <w:p w14:paraId="2C2E505D">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电锤</w:t>
            </w:r>
          </w:p>
        </w:tc>
        <w:tc>
          <w:tcPr>
            <w:tcW w:w="3694" w:type="dxa"/>
            <w:vAlign w:val="center"/>
          </w:tcPr>
          <w:p w14:paraId="23602333">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100</w:t>
            </w:r>
            <w:r>
              <w:rPr>
                <w:rFonts w:hint="eastAsia" w:cs="Times New Roman"/>
                <w:color w:val="auto"/>
                <w:sz w:val="21"/>
                <w:highlight w:val="none"/>
                <w:lang w:eastAsia="zh-CN"/>
              </w:rPr>
              <w:t>~</w:t>
            </w:r>
            <w:r>
              <w:rPr>
                <w:rFonts w:hint="default" w:ascii="Times New Roman" w:hAnsi="Times New Roman" w:cs="Times New Roman"/>
                <w:color w:val="auto"/>
                <w:sz w:val="21"/>
                <w:highlight w:val="none"/>
              </w:rPr>
              <w:t>105</w:t>
            </w:r>
          </w:p>
        </w:tc>
      </w:tr>
      <w:tr w14:paraId="735F25A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996" w:type="dxa"/>
            <w:vMerge w:val="continue"/>
            <w:vAlign w:val="center"/>
          </w:tcPr>
          <w:p w14:paraId="4194313E">
            <w:pPr>
              <w:spacing w:line="360" w:lineRule="exact"/>
              <w:ind w:firstLine="0" w:firstLineChars="0"/>
              <w:jc w:val="center"/>
              <w:rPr>
                <w:rFonts w:hint="default" w:ascii="Times New Roman" w:hAnsi="Times New Roman" w:cs="Times New Roman"/>
                <w:color w:val="auto"/>
                <w:sz w:val="21"/>
                <w:highlight w:val="none"/>
              </w:rPr>
            </w:pPr>
          </w:p>
        </w:tc>
        <w:tc>
          <w:tcPr>
            <w:tcW w:w="3480" w:type="dxa"/>
            <w:vAlign w:val="center"/>
          </w:tcPr>
          <w:p w14:paraId="26CA9347">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手工钻</w:t>
            </w:r>
          </w:p>
        </w:tc>
        <w:tc>
          <w:tcPr>
            <w:tcW w:w="3694" w:type="dxa"/>
            <w:vAlign w:val="center"/>
          </w:tcPr>
          <w:p w14:paraId="1C2D3FF7">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100</w:t>
            </w:r>
            <w:r>
              <w:rPr>
                <w:rFonts w:hint="eastAsia" w:cs="Times New Roman"/>
                <w:color w:val="auto"/>
                <w:sz w:val="21"/>
                <w:highlight w:val="none"/>
                <w:lang w:eastAsia="zh-CN"/>
              </w:rPr>
              <w:t>~</w:t>
            </w:r>
            <w:r>
              <w:rPr>
                <w:rFonts w:hint="default" w:ascii="Times New Roman" w:hAnsi="Times New Roman" w:cs="Times New Roman"/>
                <w:color w:val="auto"/>
                <w:sz w:val="21"/>
                <w:highlight w:val="none"/>
              </w:rPr>
              <w:t>105</w:t>
            </w:r>
          </w:p>
        </w:tc>
      </w:tr>
      <w:tr w14:paraId="233C0A9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996" w:type="dxa"/>
            <w:vMerge w:val="continue"/>
            <w:vAlign w:val="center"/>
          </w:tcPr>
          <w:p w14:paraId="30E908BE">
            <w:pPr>
              <w:spacing w:line="360" w:lineRule="exact"/>
              <w:ind w:firstLine="0" w:firstLineChars="0"/>
              <w:jc w:val="center"/>
              <w:rPr>
                <w:rFonts w:hint="default" w:ascii="Times New Roman" w:hAnsi="Times New Roman" w:cs="Times New Roman"/>
                <w:color w:val="auto"/>
                <w:sz w:val="21"/>
                <w:highlight w:val="none"/>
              </w:rPr>
            </w:pPr>
          </w:p>
        </w:tc>
        <w:tc>
          <w:tcPr>
            <w:tcW w:w="3480" w:type="dxa"/>
            <w:vAlign w:val="center"/>
          </w:tcPr>
          <w:p w14:paraId="7099B3B8">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无齿锯</w:t>
            </w:r>
          </w:p>
        </w:tc>
        <w:tc>
          <w:tcPr>
            <w:tcW w:w="3694" w:type="dxa"/>
            <w:vAlign w:val="center"/>
          </w:tcPr>
          <w:p w14:paraId="66C15A72">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105</w:t>
            </w:r>
          </w:p>
        </w:tc>
      </w:tr>
      <w:tr w14:paraId="350359F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996" w:type="dxa"/>
            <w:vMerge w:val="continue"/>
            <w:vAlign w:val="center"/>
          </w:tcPr>
          <w:p w14:paraId="4331C9D3">
            <w:pPr>
              <w:spacing w:line="360" w:lineRule="exact"/>
              <w:ind w:firstLine="0" w:firstLineChars="0"/>
              <w:jc w:val="center"/>
              <w:rPr>
                <w:rFonts w:hint="default" w:ascii="Times New Roman" w:hAnsi="Times New Roman" w:cs="Times New Roman"/>
                <w:color w:val="auto"/>
                <w:sz w:val="21"/>
                <w:highlight w:val="none"/>
              </w:rPr>
            </w:pPr>
          </w:p>
        </w:tc>
        <w:tc>
          <w:tcPr>
            <w:tcW w:w="3480" w:type="dxa"/>
            <w:vAlign w:val="center"/>
          </w:tcPr>
          <w:p w14:paraId="3B16CB20">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多功能木工刨</w:t>
            </w:r>
          </w:p>
        </w:tc>
        <w:tc>
          <w:tcPr>
            <w:tcW w:w="3694" w:type="dxa"/>
            <w:vAlign w:val="center"/>
          </w:tcPr>
          <w:p w14:paraId="420E4A04">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90</w:t>
            </w:r>
            <w:r>
              <w:rPr>
                <w:rFonts w:hint="eastAsia" w:cs="Times New Roman"/>
                <w:color w:val="auto"/>
                <w:sz w:val="21"/>
                <w:highlight w:val="none"/>
                <w:lang w:eastAsia="zh-CN"/>
              </w:rPr>
              <w:t>~</w:t>
            </w:r>
            <w:r>
              <w:rPr>
                <w:rFonts w:hint="default" w:ascii="Times New Roman" w:hAnsi="Times New Roman" w:cs="Times New Roman"/>
                <w:color w:val="auto"/>
                <w:sz w:val="21"/>
                <w:highlight w:val="none"/>
              </w:rPr>
              <w:t>100</w:t>
            </w:r>
          </w:p>
        </w:tc>
      </w:tr>
      <w:tr w14:paraId="496A281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40" w:hRule="atLeast"/>
          <w:jc w:val="center"/>
        </w:trPr>
        <w:tc>
          <w:tcPr>
            <w:tcW w:w="1996" w:type="dxa"/>
            <w:vMerge w:val="continue"/>
            <w:vAlign w:val="center"/>
          </w:tcPr>
          <w:p w14:paraId="572259DF">
            <w:pPr>
              <w:spacing w:line="360" w:lineRule="exact"/>
              <w:ind w:firstLine="0" w:firstLineChars="0"/>
              <w:jc w:val="center"/>
              <w:rPr>
                <w:rFonts w:hint="default" w:ascii="Times New Roman" w:hAnsi="Times New Roman" w:cs="Times New Roman"/>
                <w:color w:val="auto"/>
                <w:sz w:val="21"/>
                <w:highlight w:val="none"/>
              </w:rPr>
            </w:pPr>
          </w:p>
        </w:tc>
        <w:tc>
          <w:tcPr>
            <w:tcW w:w="3480" w:type="dxa"/>
            <w:vAlign w:val="center"/>
          </w:tcPr>
          <w:p w14:paraId="7E648367">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角向磨光机</w:t>
            </w:r>
          </w:p>
        </w:tc>
        <w:tc>
          <w:tcPr>
            <w:tcW w:w="3694" w:type="dxa"/>
            <w:vAlign w:val="center"/>
          </w:tcPr>
          <w:p w14:paraId="082FCC62">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100</w:t>
            </w:r>
            <w:r>
              <w:rPr>
                <w:rFonts w:hint="eastAsia" w:cs="Times New Roman"/>
                <w:color w:val="auto"/>
                <w:sz w:val="21"/>
                <w:highlight w:val="none"/>
                <w:lang w:eastAsia="zh-CN"/>
              </w:rPr>
              <w:t>~</w:t>
            </w:r>
            <w:r>
              <w:rPr>
                <w:rFonts w:hint="default" w:ascii="Times New Roman" w:hAnsi="Times New Roman" w:cs="Times New Roman"/>
                <w:color w:val="auto"/>
                <w:sz w:val="21"/>
                <w:highlight w:val="none"/>
              </w:rPr>
              <w:t>115</w:t>
            </w:r>
          </w:p>
        </w:tc>
      </w:tr>
    </w:tbl>
    <w:p w14:paraId="340A8B0C">
      <w:pPr>
        <w:ind w:firstLine="0" w:firstLineChars="0"/>
        <w:jc w:val="center"/>
        <w:rPr>
          <w:rFonts w:hint="default" w:ascii="Times New Roman" w:hAnsi="Times New Roman" w:cs="Times New Roman"/>
          <w:b/>
          <w:color w:val="auto"/>
          <w:highlight w:val="none"/>
        </w:rPr>
      </w:pPr>
      <w:bookmarkStart w:id="433" w:name="_Toc18318_WPSOffice_Level2"/>
      <w:r>
        <w:rPr>
          <w:rFonts w:hint="default" w:ascii="Times New Roman" w:hAnsi="Times New Roman" w:cs="Times New Roman"/>
          <w:b/>
          <w:color w:val="auto"/>
          <w:highlight w:val="none"/>
        </w:rPr>
        <w:t>表3.</w:t>
      </w:r>
      <w:r>
        <w:rPr>
          <w:rFonts w:hint="default" w:ascii="Times New Roman" w:hAnsi="Times New Roman" w:cs="Times New Roman"/>
          <w:b/>
          <w:color w:val="auto"/>
          <w:highlight w:val="none"/>
          <w:lang w:val="en-US" w:eastAsia="zh-CN"/>
        </w:rPr>
        <w:t>3</w:t>
      </w:r>
      <w:r>
        <w:rPr>
          <w:rFonts w:hint="default" w:ascii="Times New Roman" w:hAnsi="Times New Roman" w:cs="Times New Roman"/>
          <w:b/>
          <w:color w:val="auto"/>
          <w:highlight w:val="none"/>
        </w:rPr>
        <w:t>-2    交通运输车辆噪声</w:t>
      </w:r>
      <w:bookmarkEnd w:id="433"/>
    </w:p>
    <w:tbl>
      <w:tblPr>
        <w:tblStyle w:val="33"/>
        <w:tblW w:w="91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92"/>
        <w:gridCol w:w="2891"/>
        <w:gridCol w:w="2228"/>
        <w:gridCol w:w="2061"/>
      </w:tblGrid>
      <w:tr w14:paraId="0A0166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1992" w:type="dxa"/>
            <w:vAlign w:val="center"/>
          </w:tcPr>
          <w:p w14:paraId="10D62F0B">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施工阶段</w:t>
            </w:r>
          </w:p>
        </w:tc>
        <w:tc>
          <w:tcPr>
            <w:tcW w:w="2891" w:type="dxa"/>
            <w:vAlign w:val="center"/>
          </w:tcPr>
          <w:p w14:paraId="1C9F2815">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运输内容</w:t>
            </w:r>
          </w:p>
        </w:tc>
        <w:tc>
          <w:tcPr>
            <w:tcW w:w="2228" w:type="dxa"/>
            <w:vAlign w:val="center"/>
          </w:tcPr>
          <w:p w14:paraId="386A3F9F">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车辆类型</w:t>
            </w:r>
          </w:p>
        </w:tc>
        <w:tc>
          <w:tcPr>
            <w:tcW w:w="2061" w:type="dxa"/>
            <w:vAlign w:val="center"/>
          </w:tcPr>
          <w:p w14:paraId="129868AE">
            <w:pPr>
              <w:spacing w:line="360" w:lineRule="exact"/>
              <w:ind w:firstLine="0" w:firstLineChars="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声源强度[dB（A）]</w:t>
            </w:r>
          </w:p>
        </w:tc>
      </w:tr>
      <w:tr w14:paraId="72C52C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92" w:type="dxa"/>
            <w:vAlign w:val="center"/>
          </w:tcPr>
          <w:p w14:paraId="4B3B37CA">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土石方阶段</w:t>
            </w:r>
          </w:p>
        </w:tc>
        <w:tc>
          <w:tcPr>
            <w:tcW w:w="2891" w:type="dxa"/>
            <w:vAlign w:val="center"/>
          </w:tcPr>
          <w:p w14:paraId="41078FBD">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场内运输</w:t>
            </w:r>
          </w:p>
        </w:tc>
        <w:tc>
          <w:tcPr>
            <w:tcW w:w="2228" w:type="dxa"/>
            <w:vAlign w:val="center"/>
          </w:tcPr>
          <w:p w14:paraId="33878DA3">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大型载重车</w:t>
            </w:r>
          </w:p>
        </w:tc>
        <w:tc>
          <w:tcPr>
            <w:tcW w:w="2061" w:type="dxa"/>
            <w:vAlign w:val="center"/>
          </w:tcPr>
          <w:p w14:paraId="0CEC76A0">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84</w:t>
            </w:r>
            <w:r>
              <w:rPr>
                <w:rFonts w:hint="eastAsia" w:cs="Times New Roman"/>
                <w:color w:val="auto"/>
                <w:sz w:val="21"/>
                <w:highlight w:val="none"/>
                <w:lang w:eastAsia="zh-CN"/>
              </w:rPr>
              <w:t>~</w:t>
            </w:r>
            <w:r>
              <w:rPr>
                <w:rFonts w:hint="default" w:ascii="Times New Roman" w:hAnsi="Times New Roman" w:cs="Times New Roman"/>
                <w:color w:val="auto"/>
                <w:sz w:val="21"/>
                <w:highlight w:val="none"/>
              </w:rPr>
              <w:t>89</w:t>
            </w:r>
          </w:p>
        </w:tc>
      </w:tr>
      <w:tr w14:paraId="6AABF9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92" w:type="dxa"/>
            <w:vAlign w:val="center"/>
          </w:tcPr>
          <w:p w14:paraId="64458F49">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结构施工阶段</w:t>
            </w:r>
          </w:p>
        </w:tc>
        <w:tc>
          <w:tcPr>
            <w:tcW w:w="2891" w:type="dxa"/>
            <w:vAlign w:val="center"/>
          </w:tcPr>
          <w:p w14:paraId="5EEFA835">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钢筋、商品混凝土</w:t>
            </w:r>
          </w:p>
        </w:tc>
        <w:tc>
          <w:tcPr>
            <w:tcW w:w="2228" w:type="dxa"/>
            <w:vAlign w:val="center"/>
          </w:tcPr>
          <w:p w14:paraId="384656E2">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混凝土罐车、载重车</w:t>
            </w:r>
          </w:p>
        </w:tc>
        <w:tc>
          <w:tcPr>
            <w:tcW w:w="2061" w:type="dxa"/>
            <w:vAlign w:val="center"/>
          </w:tcPr>
          <w:p w14:paraId="23056D8A">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80</w:t>
            </w:r>
            <w:r>
              <w:rPr>
                <w:rFonts w:hint="eastAsia" w:cs="Times New Roman"/>
                <w:color w:val="auto"/>
                <w:sz w:val="21"/>
                <w:highlight w:val="none"/>
                <w:lang w:eastAsia="zh-CN"/>
              </w:rPr>
              <w:t>~</w:t>
            </w:r>
            <w:r>
              <w:rPr>
                <w:rFonts w:hint="default" w:ascii="Times New Roman" w:hAnsi="Times New Roman" w:cs="Times New Roman"/>
                <w:color w:val="auto"/>
                <w:sz w:val="21"/>
                <w:highlight w:val="none"/>
              </w:rPr>
              <w:t>85</w:t>
            </w:r>
          </w:p>
        </w:tc>
      </w:tr>
      <w:tr w14:paraId="280A25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92" w:type="dxa"/>
            <w:vAlign w:val="center"/>
          </w:tcPr>
          <w:p w14:paraId="1F7E9AB9">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设备安装阶段</w:t>
            </w:r>
          </w:p>
        </w:tc>
        <w:tc>
          <w:tcPr>
            <w:tcW w:w="2891" w:type="dxa"/>
            <w:vAlign w:val="center"/>
          </w:tcPr>
          <w:p w14:paraId="483D050E">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各种装修材料及必备设备</w:t>
            </w:r>
          </w:p>
        </w:tc>
        <w:tc>
          <w:tcPr>
            <w:tcW w:w="2228" w:type="dxa"/>
            <w:vAlign w:val="center"/>
          </w:tcPr>
          <w:p w14:paraId="10D72F3B">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轻型载重卡车</w:t>
            </w:r>
          </w:p>
        </w:tc>
        <w:tc>
          <w:tcPr>
            <w:tcW w:w="2061" w:type="dxa"/>
            <w:vAlign w:val="center"/>
          </w:tcPr>
          <w:p w14:paraId="6C95B9B2">
            <w:pPr>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75</w:t>
            </w:r>
            <w:r>
              <w:rPr>
                <w:rFonts w:hint="eastAsia" w:cs="Times New Roman"/>
                <w:color w:val="auto"/>
                <w:sz w:val="21"/>
                <w:highlight w:val="none"/>
                <w:lang w:eastAsia="zh-CN"/>
              </w:rPr>
              <w:t>~</w:t>
            </w:r>
            <w:r>
              <w:rPr>
                <w:rFonts w:hint="default" w:ascii="Times New Roman" w:hAnsi="Times New Roman" w:cs="Times New Roman"/>
                <w:color w:val="auto"/>
                <w:sz w:val="21"/>
                <w:highlight w:val="none"/>
              </w:rPr>
              <w:t>80</w:t>
            </w:r>
          </w:p>
        </w:tc>
      </w:tr>
    </w:tbl>
    <w:p w14:paraId="31449720">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.1.4固体废物</w:t>
      </w:r>
    </w:p>
    <w:p w14:paraId="7E9BD71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施工期会产生建筑垃圾及生活垃圾等固体废物。</w:t>
      </w:r>
    </w:p>
    <w:p w14:paraId="29818B7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（1）建筑垃圾</w:t>
      </w:r>
    </w:p>
    <w:p w14:paraId="4B3B2482">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施工期产生的建筑垃圾包括碎石、砂土等废弃土石方、废钢筋、废钢材等废弃建筑材料。废弃土石方用于场地平整及地面硬化，废钢筋、废钢材等废弃建筑材料由施工单位及时收集后综合利用</w:t>
      </w:r>
      <w:r>
        <w:rPr>
          <w:rFonts w:hint="eastAsia" w:cs="Times New Roman"/>
          <w:color w:val="auto"/>
          <w:kern w:val="0"/>
          <w:highlight w:val="none"/>
          <w:lang w:eastAsia="zh-CN"/>
        </w:rPr>
        <w:t>，</w:t>
      </w:r>
      <w:r>
        <w:rPr>
          <w:rFonts w:hint="eastAsia" w:cs="Times New Roman"/>
          <w:color w:val="auto"/>
          <w:kern w:val="0"/>
          <w:highlight w:val="none"/>
          <w:lang w:val="en-US" w:eastAsia="zh-CN"/>
        </w:rPr>
        <w:t>无法利用的废弃建筑材料清运至伊吾县建筑垃圾填埋场</w:t>
      </w:r>
      <w:r>
        <w:rPr>
          <w:rFonts w:hint="default" w:ascii="Times New Roman" w:hAnsi="Times New Roman" w:cs="Times New Roman"/>
          <w:color w:val="auto"/>
          <w:kern w:val="0"/>
          <w:highlight w:val="none"/>
        </w:rPr>
        <w:t>。</w:t>
      </w:r>
    </w:p>
    <w:p w14:paraId="0B4E582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（2）</w:t>
      </w:r>
      <w:r>
        <w:rPr>
          <w:rFonts w:hint="default" w:ascii="Times New Roman" w:hAnsi="Times New Roman" w:cs="Times New Roman"/>
          <w:color w:val="auto"/>
          <w:highlight w:val="none"/>
        </w:rPr>
        <w:t>生活垃圾</w:t>
      </w:r>
    </w:p>
    <w:p w14:paraId="782BF0FF">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施工高峰期施工人员及工地管理人员约70人，工地生活垃圾按0.5kg/人·d计，则产生量约为35kg/d。生活垃圾集中收集后，由</w:t>
      </w:r>
      <w:r>
        <w:rPr>
          <w:rFonts w:hint="default" w:ascii="Times New Roman" w:hAnsi="Times New Roman" w:cs="Times New Roman"/>
          <w:color w:val="auto"/>
          <w:highlight w:val="none"/>
          <w:lang w:val="en-US" w:eastAsia="zh-CN"/>
        </w:rPr>
        <w:t>雅满苏镇</w:t>
      </w:r>
      <w:r>
        <w:rPr>
          <w:rFonts w:hint="default" w:ascii="Times New Roman" w:hAnsi="Times New Roman" w:cs="Times New Roman"/>
          <w:color w:val="auto"/>
          <w:highlight w:val="none"/>
          <w:lang w:eastAsia="zh-CN"/>
        </w:rPr>
        <w:t>环卫部门</w:t>
      </w:r>
      <w:r>
        <w:rPr>
          <w:rFonts w:hint="default" w:ascii="Times New Roman" w:hAnsi="Times New Roman" w:cs="Times New Roman"/>
          <w:color w:val="auto"/>
          <w:highlight w:val="none"/>
        </w:rPr>
        <w:t>定期清运。</w:t>
      </w:r>
    </w:p>
    <w:p w14:paraId="16191ED8">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.1.5生态影响</w:t>
      </w:r>
    </w:p>
    <w:p w14:paraId="50C219B2">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本项目土地利用现状为</w:t>
      </w:r>
      <w:r>
        <w:rPr>
          <w:rFonts w:hint="default" w:ascii="Times New Roman" w:hAnsi="Times New Roman" w:cs="Times New Roman"/>
          <w:color w:val="auto"/>
          <w:kern w:val="0"/>
          <w:highlight w:val="none"/>
          <w:lang w:val="en-US" w:eastAsia="zh-CN"/>
        </w:rPr>
        <w:t>裸岩石砾地</w:t>
      </w:r>
      <w:r>
        <w:rPr>
          <w:rFonts w:hint="default" w:ascii="Times New Roman" w:hAnsi="Times New Roman" w:cs="Times New Roman"/>
          <w:color w:val="auto"/>
          <w:kern w:val="0"/>
          <w:highlight w:val="none"/>
        </w:rPr>
        <w:t>，本项目建设将会占用土地，使土地失去原有生态功能。除永久占地外，施工区等临时占用土地将对局部生态产生暂时性影响。施工期由于基础开挖、场地平整、道路施工等工程永久占用土地，地表扰动将使植被生境破坏，生物个体失去生长环境，原有植被遭到永久性破坏，造成生物量损失。</w:t>
      </w:r>
    </w:p>
    <w:p w14:paraId="7982881A">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施工结束后，通过种植</w:t>
      </w:r>
      <w:r>
        <w:rPr>
          <w:rFonts w:hint="eastAsia" w:cs="Times New Roman"/>
          <w:color w:val="auto"/>
          <w:highlight w:val="none"/>
          <w:lang w:val="en-US" w:eastAsia="zh-CN"/>
        </w:rPr>
        <w:t>当地常见植被</w:t>
      </w:r>
      <w:r>
        <w:rPr>
          <w:rFonts w:hint="default" w:ascii="Times New Roman" w:hAnsi="Times New Roman" w:cs="Times New Roman"/>
          <w:color w:val="auto"/>
          <w:highlight w:val="none"/>
        </w:rPr>
        <w:t>等绿化措施可有效改善区域生态环境，</w:t>
      </w:r>
      <w:r>
        <w:rPr>
          <w:rFonts w:hint="default" w:ascii="Times New Roman" w:hAnsi="Times New Roman" w:cs="Times New Roman"/>
          <w:color w:val="auto"/>
          <w:kern w:val="0"/>
          <w:highlight w:val="none"/>
        </w:rPr>
        <w:t>一般1-2年内基本可恢复原有土地利用功能。</w:t>
      </w:r>
      <w:r>
        <w:rPr>
          <w:rFonts w:hint="default" w:ascii="Times New Roman" w:hAnsi="Times New Roman" w:cs="Times New Roman"/>
          <w:color w:val="auto"/>
          <w:highlight w:val="none"/>
        </w:rPr>
        <w:t>因此，项目建设对生态环境产生影响较小。</w:t>
      </w:r>
    </w:p>
    <w:p w14:paraId="398AD584">
      <w:pPr>
        <w:pStyle w:val="4"/>
        <w:rPr>
          <w:rFonts w:hint="default" w:ascii="Times New Roman" w:hAnsi="Times New Roman" w:cs="Times New Roman"/>
          <w:color w:val="auto"/>
          <w:highlight w:val="none"/>
        </w:rPr>
      </w:pPr>
      <w:bookmarkStart w:id="434" w:name="_Toc27392"/>
      <w:bookmarkStart w:id="435" w:name="_Toc18332"/>
      <w:bookmarkStart w:id="436" w:name="_Toc14786"/>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.2运营期污染源及污染物分析</w:t>
      </w:r>
      <w:bookmarkEnd w:id="434"/>
      <w:bookmarkEnd w:id="435"/>
      <w:bookmarkEnd w:id="436"/>
    </w:p>
    <w:p w14:paraId="322732F5">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.1大气污染源</w:t>
      </w:r>
    </w:p>
    <w:p w14:paraId="4C3D2379">
      <w:pPr>
        <w:overflowPunct w:val="0"/>
        <w:topLinePunct/>
        <w:ind w:firstLine="480"/>
        <w:rPr>
          <w:rFonts w:hint="default" w:ascii="Times New Roman" w:hAnsi="Times New Roman" w:eastAsia="宋体" w:cs="Times New Roman"/>
          <w:color w:val="auto"/>
          <w:kern w:val="0"/>
          <w:highlight w:val="none"/>
          <w:lang w:eastAsia="zh-CN"/>
        </w:rPr>
      </w:pPr>
      <w:r>
        <w:rPr>
          <w:rFonts w:hint="default" w:ascii="Times New Roman" w:hAnsi="Times New Roman" w:cs="Times New Roman"/>
          <w:color w:val="auto"/>
          <w:kern w:val="0"/>
          <w:highlight w:val="none"/>
        </w:rPr>
        <w:t>本项目大气污染主要来源于</w:t>
      </w:r>
      <w:r>
        <w:rPr>
          <w:rFonts w:hint="default" w:ascii="Times New Roman" w:hAnsi="Times New Roman" w:cs="Times New Roman"/>
          <w:color w:val="auto"/>
          <w:kern w:val="0"/>
          <w:highlight w:val="none"/>
          <w:lang w:val="en-US" w:eastAsia="zh-CN"/>
        </w:rPr>
        <w:t>粗碎、中碎</w:t>
      </w:r>
      <w:r>
        <w:rPr>
          <w:rFonts w:hint="default" w:ascii="Times New Roman" w:hAnsi="Times New Roman" w:cs="Times New Roman"/>
          <w:color w:val="auto"/>
          <w:kern w:val="0"/>
          <w:highlight w:val="none"/>
          <w:lang w:eastAsia="zh-CN"/>
        </w:rPr>
        <w:t>过程</w:t>
      </w:r>
      <w:r>
        <w:rPr>
          <w:rFonts w:hint="default" w:ascii="Times New Roman" w:hAnsi="Times New Roman" w:cs="Times New Roman"/>
          <w:color w:val="auto"/>
          <w:kern w:val="0"/>
          <w:highlight w:val="none"/>
        </w:rPr>
        <w:t>的有组织粉尘；</w:t>
      </w:r>
      <w:r>
        <w:rPr>
          <w:rFonts w:hint="default" w:ascii="Times New Roman" w:hAnsi="Times New Roman" w:cs="Times New Roman"/>
          <w:color w:val="auto"/>
          <w:kern w:val="0"/>
          <w:highlight w:val="none"/>
          <w:lang w:val="en-US" w:eastAsia="zh-CN"/>
        </w:rPr>
        <w:t>煤棚、</w:t>
      </w:r>
      <w:r>
        <w:rPr>
          <w:rFonts w:hint="default" w:ascii="Times New Roman" w:hAnsi="Times New Roman" w:cs="Times New Roman"/>
          <w:color w:val="auto"/>
          <w:kern w:val="0"/>
          <w:highlight w:val="none"/>
        </w:rPr>
        <w:t>磨矿</w:t>
      </w:r>
      <w:r>
        <w:rPr>
          <w:rFonts w:hint="default" w:ascii="Times New Roman" w:hAnsi="Times New Roman" w:cs="Times New Roman"/>
          <w:color w:val="auto"/>
          <w:kern w:val="0"/>
          <w:highlight w:val="none"/>
          <w:lang w:eastAsia="zh-CN"/>
        </w:rPr>
        <w:t>分级</w:t>
      </w:r>
      <w:r>
        <w:rPr>
          <w:rFonts w:hint="default" w:ascii="Times New Roman" w:hAnsi="Times New Roman" w:cs="Times New Roman"/>
          <w:color w:val="auto"/>
          <w:kern w:val="0"/>
          <w:highlight w:val="none"/>
        </w:rPr>
        <w:t>过程中</w:t>
      </w:r>
      <w:r>
        <w:rPr>
          <w:rFonts w:hint="default" w:ascii="Times New Roman" w:hAnsi="Times New Roman" w:cs="Times New Roman"/>
          <w:color w:val="auto"/>
          <w:kern w:val="0"/>
          <w:highlight w:val="none"/>
          <w:lang w:val="en-US" w:eastAsia="zh-CN"/>
        </w:rPr>
        <w:t>无组织扬尘</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尾矿库扬尘、原矿装卸粉尘、运输扬尘以及汽车尾气等。</w:t>
      </w:r>
      <w:r>
        <w:rPr>
          <w:rFonts w:hint="default" w:ascii="Times New Roman" w:hAnsi="Times New Roman" w:cs="Times New Roman"/>
          <w:color w:val="auto"/>
          <w:kern w:val="0"/>
          <w:highlight w:val="none"/>
          <w:lang w:eastAsia="zh-CN"/>
        </w:rPr>
        <w:t>精矿仓采取密闭仓储，并且设置喷雾装置，粉尘排放忽略不计。</w:t>
      </w:r>
    </w:p>
    <w:p w14:paraId="6E1B613C">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（1）有组织废气</w:t>
      </w:r>
    </w:p>
    <w:p w14:paraId="2FE5D087">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本项目有组织废气产生源为</w:t>
      </w:r>
      <w:r>
        <w:rPr>
          <w:rFonts w:hint="default" w:ascii="Times New Roman" w:hAnsi="Times New Roman" w:cs="Times New Roman"/>
          <w:color w:val="auto"/>
          <w:highlight w:val="none"/>
          <w:lang w:eastAsia="zh-CN"/>
        </w:rPr>
        <w:t>萤石矿石</w:t>
      </w:r>
      <w:r>
        <w:rPr>
          <w:rFonts w:hint="default" w:ascii="Times New Roman" w:hAnsi="Times New Roman" w:cs="Times New Roman"/>
          <w:color w:val="auto"/>
          <w:highlight w:val="none"/>
          <w:lang w:val="en-US" w:eastAsia="zh-CN"/>
        </w:rPr>
        <w:t>粗碎车间、中碎车间及锅炉燃烧废气</w:t>
      </w:r>
      <w:r>
        <w:rPr>
          <w:rFonts w:hint="default" w:ascii="Times New Roman" w:hAnsi="Times New Roman" w:cs="Times New Roman"/>
          <w:color w:val="auto"/>
          <w:kern w:val="0"/>
          <w:highlight w:val="none"/>
        </w:rPr>
        <w:t>。</w:t>
      </w:r>
    </w:p>
    <w:p w14:paraId="65621927">
      <w:pPr>
        <w:keepNext w:val="0"/>
        <w:keepLines w:val="0"/>
        <w:pageBreakBefore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①</w:t>
      </w:r>
      <w:r>
        <w:rPr>
          <w:rFonts w:hint="eastAsia" w:cs="Times New Roman"/>
          <w:color w:val="auto"/>
          <w:highlight w:val="none"/>
          <w:lang w:val="en-US" w:eastAsia="zh-CN"/>
        </w:rPr>
        <w:t>破碎、筛分</w:t>
      </w:r>
      <w:r>
        <w:rPr>
          <w:rFonts w:hint="default" w:ascii="Times New Roman" w:hAnsi="Times New Roman" w:cs="Times New Roman"/>
          <w:color w:val="auto"/>
          <w:highlight w:val="none"/>
          <w:lang w:val="en-US" w:eastAsia="zh-CN"/>
        </w:rPr>
        <w:t>废气</w:t>
      </w:r>
    </w:p>
    <w:p w14:paraId="7CFBC72B">
      <w:pPr>
        <w:keepNext w:val="0"/>
        <w:keepLines w:val="0"/>
        <w:pageBreakBefore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rPr>
        <w:t>选矿厂有组织粉尘污染主要集中在</w:t>
      </w:r>
      <w:r>
        <w:rPr>
          <w:rFonts w:hint="default" w:ascii="Times New Roman" w:hAnsi="Times New Roman" w:cs="Times New Roman"/>
          <w:color w:val="auto"/>
          <w:sz w:val="24"/>
          <w:highlight w:val="none"/>
          <w:lang w:val="en-US" w:eastAsia="zh-CN"/>
        </w:rPr>
        <w:t>萤石矿石</w:t>
      </w:r>
      <w:r>
        <w:rPr>
          <w:rFonts w:hint="default" w:ascii="Times New Roman" w:hAnsi="Times New Roman" w:eastAsia="宋体" w:cs="Times New Roman"/>
          <w:color w:val="auto"/>
          <w:sz w:val="24"/>
          <w:highlight w:val="none"/>
          <w:lang w:val="en-US" w:eastAsia="zh-CN"/>
        </w:rPr>
        <w:t>破碎筛分过程中</w:t>
      </w:r>
      <w:r>
        <w:rPr>
          <w:rFonts w:hint="default" w:ascii="Times New Roman" w:hAnsi="Times New Roman" w:eastAsia="宋体" w:cs="Times New Roman"/>
          <w:color w:val="auto"/>
          <w:kern w:val="0"/>
          <w:sz w:val="24"/>
          <w:highlight w:val="none"/>
        </w:rPr>
        <w:t>上料工序的落料点</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在给料机、</w:t>
      </w:r>
      <w:r>
        <w:rPr>
          <w:rFonts w:hint="default" w:ascii="Times New Roman" w:hAnsi="Times New Roman" w:eastAsia="宋体" w:cs="Times New Roman"/>
          <w:color w:val="auto"/>
          <w:kern w:val="0"/>
          <w:sz w:val="24"/>
          <w:highlight w:val="none"/>
          <w:lang w:eastAsia="zh-CN"/>
        </w:rPr>
        <w:t>颚式破碎机、</w:t>
      </w:r>
      <w:r>
        <w:rPr>
          <w:rFonts w:hint="default" w:ascii="Times New Roman" w:hAnsi="Times New Roman" w:eastAsia="宋体" w:cs="Times New Roman"/>
          <w:color w:val="auto"/>
          <w:kern w:val="0"/>
          <w:sz w:val="24"/>
          <w:highlight w:val="none"/>
        </w:rPr>
        <w:t>圆锥破碎机、振动筛、排料口等</w:t>
      </w:r>
      <w:r>
        <w:rPr>
          <w:rFonts w:hint="default" w:ascii="Times New Roman" w:hAnsi="Times New Roman" w:eastAsia="宋体" w:cs="Times New Roman"/>
          <w:color w:val="auto"/>
          <w:kern w:val="0"/>
          <w:sz w:val="24"/>
          <w:highlight w:val="none"/>
          <w:lang w:eastAsia="zh-CN"/>
        </w:rPr>
        <w:t>易产生粉尘的节点</w:t>
      </w:r>
      <w:r>
        <w:rPr>
          <w:rFonts w:hint="default" w:ascii="Times New Roman" w:hAnsi="Times New Roman" w:eastAsia="宋体" w:cs="Times New Roman"/>
          <w:color w:val="auto"/>
          <w:kern w:val="0"/>
          <w:sz w:val="24"/>
          <w:highlight w:val="none"/>
        </w:rPr>
        <w:t>设置密闭罩</w:t>
      </w:r>
      <w:r>
        <w:rPr>
          <w:rFonts w:hint="default" w:ascii="Times New Roman" w:hAnsi="Times New Roman" w:eastAsia="宋体" w:cs="Times New Roman"/>
          <w:color w:val="auto"/>
          <w:kern w:val="0"/>
          <w:sz w:val="24"/>
          <w:highlight w:val="none"/>
          <w:lang w:eastAsia="zh-CN"/>
        </w:rPr>
        <w:t>，并配备</w:t>
      </w:r>
      <w:r>
        <w:rPr>
          <w:rFonts w:hint="default" w:ascii="Times New Roman" w:hAnsi="Times New Roman" w:cs="Times New Roman"/>
          <w:color w:val="auto"/>
          <w:kern w:val="0"/>
          <w:sz w:val="24"/>
          <w:highlight w:val="none"/>
          <w:lang w:val="en-US" w:eastAsia="zh-CN"/>
        </w:rPr>
        <w:t>1</w:t>
      </w:r>
      <w:r>
        <w:rPr>
          <w:rFonts w:hint="default" w:ascii="Times New Roman" w:hAnsi="Times New Roman" w:eastAsia="宋体" w:cs="Times New Roman"/>
          <w:color w:val="auto"/>
          <w:kern w:val="0"/>
          <w:sz w:val="24"/>
          <w:highlight w:val="none"/>
          <w:lang w:val="en-US" w:eastAsia="zh-CN"/>
        </w:rPr>
        <w:t>套</w:t>
      </w:r>
      <w:r>
        <w:rPr>
          <w:rFonts w:hint="default" w:ascii="Times New Roman" w:hAnsi="Times New Roman" w:eastAsia="宋体" w:cs="Times New Roman"/>
          <w:color w:val="auto"/>
          <w:kern w:val="0"/>
          <w:sz w:val="24"/>
          <w:highlight w:val="none"/>
          <w:lang w:eastAsia="zh-CN"/>
        </w:rPr>
        <w:t>脉冲布袋除尘器</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highlight w:val="none"/>
          <w:lang w:eastAsia="zh-CN"/>
        </w:rPr>
        <w:t>各车间粉尘</w:t>
      </w:r>
      <w:r>
        <w:rPr>
          <w:rFonts w:hint="default" w:ascii="Times New Roman" w:hAnsi="Times New Roman" w:eastAsia="宋体" w:cs="Times New Roman"/>
          <w:color w:val="auto"/>
          <w:kern w:val="0"/>
          <w:sz w:val="24"/>
          <w:highlight w:val="none"/>
        </w:rPr>
        <w:t>收集后经</w:t>
      </w:r>
      <w:r>
        <w:rPr>
          <w:rFonts w:hint="default" w:ascii="Times New Roman" w:hAnsi="Times New Roman" w:eastAsia="宋体" w:cs="Times New Roman"/>
          <w:color w:val="auto"/>
          <w:kern w:val="0"/>
          <w:sz w:val="24"/>
          <w:highlight w:val="none"/>
          <w:lang w:eastAsia="zh-CN"/>
        </w:rPr>
        <w:t>各自</w:t>
      </w:r>
      <w:r>
        <w:rPr>
          <w:rFonts w:hint="default" w:ascii="Times New Roman" w:hAnsi="Times New Roman" w:eastAsia="宋体" w:cs="Times New Roman"/>
          <w:color w:val="auto"/>
          <w:kern w:val="0"/>
          <w:sz w:val="24"/>
          <w:highlight w:val="none"/>
        </w:rPr>
        <w:t>除尘效率≥99%的高效脉冲布袋除尘器净化达标后经排气筒排放。</w:t>
      </w:r>
    </w:p>
    <w:p w14:paraId="269F0045">
      <w:pPr>
        <w:keepNext w:val="0"/>
        <w:keepLines w:val="0"/>
        <w:pageBreakBefore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项目年处理</w:t>
      </w:r>
      <w:r>
        <w:rPr>
          <w:rFonts w:hint="default" w:ascii="Times New Roman" w:hAnsi="Times New Roman" w:cs="Times New Roman"/>
          <w:color w:val="auto"/>
          <w:sz w:val="24"/>
          <w:highlight w:val="none"/>
          <w:lang w:eastAsia="zh-CN"/>
        </w:rPr>
        <w:t>萤石</w:t>
      </w:r>
      <w:r>
        <w:rPr>
          <w:rFonts w:hint="default" w:ascii="Times New Roman" w:hAnsi="Times New Roman" w:eastAsia="宋体" w:cs="Times New Roman"/>
          <w:color w:val="auto"/>
          <w:sz w:val="24"/>
          <w:highlight w:val="none"/>
          <w:lang w:eastAsia="zh-CN"/>
        </w:rPr>
        <w:t>矿</w:t>
      </w:r>
      <w:r>
        <w:rPr>
          <w:rFonts w:hint="default" w:ascii="Times New Roman" w:hAnsi="Times New Roman" w:eastAsia="宋体" w:cs="Times New Roman"/>
          <w:color w:val="auto"/>
          <w:sz w:val="24"/>
          <w:highlight w:val="none"/>
        </w:rPr>
        <w:t>石</w:t>
      </w:r>
      <w:r>
        <w:rPr>
          <w:rFonts w:hint="default" w:ascii="Times New Roman" w:hAnsi="Times New Roman" w:cs="Times New Roman"/>
          <w:color w:val="auto"/>
          <w:sz w:val="24"/>
          <w:highlight w:val="none"/>
          <w:lang w:val="en-US" w:eastAsia="zh-CN"/>
        </w:rPr>
        <w:t>60</w:t>
      </w:r>
      <w:r>
        <w:rPr>
          <w:rFonts w:hint="default" w:ascii="Times New Roman" w:hAnsi="Times New Roman" w:eastAsia="宋体" w:cs="Times New Roman"/>
          <w:color w:val="auto"/>
          <w:sz w:val="24"/>
          <w:highlight w:val="none"/>
        </w:rPr>
        <w:t>万</w:t>
      </w:r>
      <w:r>
        <w:rPr>
          <w:rFonts w:hint="default" w:ascii="Times New Roman" w:hAnsi="Times New Roman" w:eastAsia="宋体" w:cs="Times New Roman"/>
          <w:color w:val="auto"/>
          <w:sz w:val="24"/>
          <w:highlight w:val="none"/>
          <w:lang w:val="en-US" w:eastAsia="zh-CN"/>
        </w:rPr>
        <w:t>t</w:t>
      </w:r>
      <w:r>
        <w:rPr>
          <w:rFonts w:hint="default"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eastAsia="zh-CN"/>
        </w:rPr>
        <w:t>其中原料矿石需进行</w:t>
      </w:r>
      <w:r>
        <w:rPr>
          <w:rFonts w:hint="eastAsia" w:cs="Times New Roman"/>
          <w:color w:val="auto"/>
          <w:sz w:val="24"/>
          <w:highlight w:val="none"/>
          <w:lang w:val="en-US" w:eastAsia="zh-CN"/>
        </w:rPr>
        <w:t>破碎、筛分</w:t>
      </w:r>
      <w:r>
        <w:rPr>
          <w:rFonts w:hint="default" w:ascii="Times New Roman" w:hAnsi="Times New Roman" w:eastAsia="宋体" w:cs="Times New Roman"/>
          <w:color w:val="auto"/>
          <w:sz w:val="24"/>
          <w:highlight w:val="none"/>
          <w:lang w:eastAsia="zh-CN"/>
        </w:rPr>
        <w:t>。本项目破碎筛分车间位于萤石选矿厂</w:t>
      </w:r>
      <w:r>
        <w:rPr>
          <w:rFonts w:hint="eastAsia" w:cs="Times New Roman"/>
          <w:color w:val="auto"/>
          <w:sz w:val="24"/>
          <w:highlight w:val="none"/>
          <w:lang w:val="en-US" w:eastAsia="zh-CN"/>
        </w:rPr>
        <w:t>西</w:t>
      </w:r>
      <w:r>
        <w:rPr>
          <w:rFonts w:hint="default" w:ascii="Times New Roman" w:hAnsi="Times New Roman" w:eastAsia="宋体" w:cs="Times New Roman"/>
          <w:color w:val="auto"/>
          <w:sz w:val="24"/>
          <w:highlight w:val="none"/>
          <w:lang w:eastAsia="zh-CN"/>
        </w:rPr>
        <w:t>部，采用三段一闭路破碎工艺（粗碎、中碎、细碎），配置颚式破碎机（PE750×1060、PEF350×1500各一台）及圆锥破碎机（PYY500C一台）。由于萤石矿无单独的系数手册，参照《排放源统计调查产排污核算方法和系数手册 石灰石石膏开采行业系数手册》，破碎粉尘产生量按0.0307kg/t计算。本项目破碎车间每天工作12h，每年工作300天，原矿处理规模为2000t/d（约166.67t/h），则粉尘产生量约为5.12kg/h。破碎工段</w:t>
      </w:r>
      <w:r>
        <w:rPr>
          <w:rFonts w:hint="eastAsia" w:cs="Times New Roman"/>
          <w:color w:val="auto"/>
          <w:sz w:val="24"/>
          <w:highlight w:val="none"/>
          <w:lang w:val="en-US" w:eastAsia="zh-CN"/>
        </w:rPr>
        <w:t>废气经</w:t>
      </w:r>
      <w:r>
        <w:rPr>
          <w:rFonts w:hint="default" w:ascii="Times New Roman" w:hAnsi="Times New Roman" w:eastAsia="宋体" w:cs="Times New Roman"/>
          <w:color w:val="auto"/>
          <w:kern w:val="0"/>
          <w:sz w:val="24"/>
          <w:szCs w:val="24"/>
          <w:highlight w:val="none"/>
          <w:lang w:val="en-US" w:eastAsia="zh-CN" w:bidi="ar"/>
        </w:rPr>
        <w:t>集气罩收集后，通过管道进入</w:t>
      </w:r>
      <w:r>
        <w:rPr>
          <w:rFonts w:hint="default" w:ascii="Times New Roman" w:hAnsi="Times New Roman" w:eastAsia="宋体" w:cs="Times New Roman"/>
          <w:color w:val="auto"/>
          <w:kern w:val="0"/>
          <w:sz w:val="24"/>
          <w:highlight w:val="none"/>
          <w:lang w:eastAsia="zh-CN"/>
        </w:rPr>
        <w:t>脉冲布袋除尘器</w:t>
      </w:r>
      <w:r>
        <w:rPr>
          <w:rFonts w:hint="default" w:ascii="Times New Roman" w:hAnsi="Times New Roman" w:eastAsia="宋体" w:cs="Times New Roman"/>
          <w:color w:val="auto"/>
          <w:sz w:val="24"/>
          <w:highlight w:val="none"/>
          <w:lang w:eastAsia="zh-CN"/>
        </w:rPr>
        <w:t>，通过风机引至</w:t>
      </w:r>
      <w:r>
        <w:rPr>
          <w:rFonts w:hint="eastAsia" w:cs="Times New Roman"/>
          <w:color w:val="auto"/>
          <w:sz w:val="24"/>
          <w:highlight w:val="none"/>
          <w:lang w:val="en-US" w:eastAsia="zh-CN"/>
        </w:rPr>
        <w:t>DA001的</w:t>
      </w:r>
      <w:r>
        <w:rPr>
          <w:rFonts w:hint="default" w:ascii="Times New Roman" w:hAnsi="Times New Roman" w:eastAsia="宋体" w:cs="Times New Roman"/>
          <w:color w:val="auto"/>
          <w:sz w:val="24"/>
          <w:highlight w:val="none"/>
          <w:lang w:eastAsia="zh-CN"/>
        </w:rPr>
        <w:t>15m高排气筒排放，收尘效率为90%，除尘效率达99%，风机风量为20300m³/h。处理后粉尘排放浓度及速率分别为</w:t>
      </w:r>
      <w:r>
        <w:rPr>
          <w:rFonts w:hint="eastAsia" w:cs="Times New Roman"/>
          <w:color w:val="auto"/>
          <w:sz w:val="24"/>
          <w:highlight w:val="none"/>
          <w:lang w:val="en-US" w:eastAsia="zh-CN"/>
        </w:rPr>
        <w:t>2.27</w:t>
      </w:r>
      <w:r>
        <w:rPr>
          <w:rFonts w:hint="default" w:ascii="Times New Roman" w:hAnsi="Times New Roman" w:eastAsia="宋体" w:cs="Times New Roman"/>
          <w:color w:val="auto"/>
          <w:sz w:val="24"/>
          <w:highlight w:val="none"/>
          <w:lang w:eastAsia="zh-CN"/>
        </w:rPr>
        <w:t>mg/m³、</w:t>
      </w:r>
      <w:r>
        <w:rPr>
          <w:rFonts w:hint="eastAsia" w:cs="Times New Roman"/>
          <w:color w:val="auto"/>
          <w:sz w:val="24"/>
          <w:highlight w:val="none"/>
          <w:lang w:val="en-US" w:eastAsia="zh-CN"/>
        </w:rPr>
        <w:t>0.046</w:t>
      </w:r>
      <w:r>
        <w:rPr>
          <w:rFonts w:hint="default" w:ascii="Times New Roman" w:hAnsi="Times New Roman" w:eastAsia="宋体" w:cs="Times New Roman"/>
          <w:color w:val="auto"/>
          <w:sz w:val="24"/>
          <w:highlight w:val="none"/>
          <w:lang w:eastAsia="zh-CN"/>
        </w:rPr>
        <w:t>1kg/h，满足GB16297-1996《大气污染物综合排放标准》表2限值要求（3.5kg/h，120mg/m³）。</w:t>
      </w:r>
    </w:p>
    <w:p w14:paraId="5DA801C7">
      <w:pPr>
        <w:keepNext w:val="0"/>
        <w:keepLines w:val="0"/>
        <w:pageBreakBefore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本项目筛分车间位于萤石选矿厂</w:t>
      </w:r>
      <w:r>
        <w:rPr>
          <w:rFonts w:hint="eastAsia" w:cs="Times New Roman"/>
          <w:color w:val="auto"/>
          <w:sz w:val="24"/>
          <w:highlight w:val="none"/>
          <w:lang w:val="en-US" w:eastAsia="zh-CN"/>
        </w:rPr>
        <w:t>西</w:t>
      </w:r>
      <w:r>
        <w:rPr>
          <w:rFonts w:hint="default" w:ascii="Times New Roman" w:hAnsi="Times New Roman" w:eastAsia="宋体" w:cs="Times New Roman"/>
          <w:color w:val="auto"/>
          <w:sz w:val="24"/>
          <w:highlight w:val="none"/>
          <w:lang w:eastAsia="zh-CN"/>
        </w:rPr>
        <w:t>部，采用一台圆振动筛进行筛分作业。参照《排放源统计调查产排污核算方法和系数手册 石灰石石膏开采行业系数手册》，筛分粉尘产生系数取0.4kg/t。筛分车间每天工作12h，年工作300天，原矿处理规模为2000t/d（约166.67t/h），则粉尘产生量为66.67kg/h。筛分工段</w:t>
      </w:r>
      <w:r>
        <w:rPr>
          <w:rFonts w:hint="eastAsia" w:cs="Times New Roman"/>
          <w:color w:val="auto"/>
          <w:sz w:val="24"/>
          <w:highlight w:val="none"/>
          <w:lang w:val="en-US" w:eastAsia="zh-CN"/>
        </w:rPr>
        <w:t>废气经</w:t>
      </w:r>
      <w:r>
        <w:rPr>
          <w:rFonts w:hint="default" w:ascii="Times New Roman" w:hAnsi="Times New Roman" w:eastAsia="宋体" w:cs="Times New Roman"/>
          <w:color w:val="auto"/>
          <w:kern w:val="0"/>
          <w:sz w:val="24"/>
          <w:szCs w:val="24"/>
          <w:highlight w:val="none"/>
          <w:lang w:val="en-US" w:eastAsia="zh-CN" w:bidi="ar"/>
        </w:rPr>
        <w:t>集气罩收集后，通过管道进入</w:t>
      </w:r>
      <w:r>
        <w:rPr>
          <w:rFonts w:hint="default" w:ascii="Times New Roman" w:hAnsi="Times New Roman" w:eastAsia="宋体" w:cs="Times New Roman"/>
          <w:color w:val="auto"/>
          <w:kern w:val="0"/>
          <w:sz w:val="24"/>
          <w:highlight w:val="none"/>
          <w:lang w:eastAsia="zh-CN"/>
        </w:rPr>
        <w:t>脉冲布袋除尘器</w:t>
      </w:r>
      <w:r>
        <w:rPr>
          <w:rFonts w:hint="default" w:ascii="Times New Roman" w:hAnsi="Times New Roman" w:eastAsia="宋体" w:cs="Times New Roman"/>
          <w:color w:val="auto"/>
          <w:sz w:val="24"/>
          <w:highlight w:val="none"/>
          <w:lang w:eastAsia="zh-CN"/>
        </w:rPr>
        <w:t>，收尘效率90%，除尘效率99%，经除尘后粉尘有组织排放速率为0.60kg/h，风机风量设计为20300m³/h，对应排放浓度约为29.6mg/m³。通过风机引至</w:t>
      </w:r>
      <w:r>
        <w:rPr>
          <w:rFonts w:hint="eastAsia" w:cs="Times New Roman"/>
          <w:color w:val="auto"/>
          <w:sz w:val="24"/>
          <w:highlight w:val="none"/>
          <w:lang w:val="en-US" w:eastAsia="zh-CN"/>
        </w:rPr>
        <w:t>DA002的</w:t>
      </w:r>
      <w:r>
        <w:rPr>
          <w:rFonts w:hint="default" w:ascii="Times New Roman" w:hAnsi="Times New Roman" w:eastAsia="宋体" w:cs="Times New Roman"/>
          <w:color w:val="auto"/>
          <w:sz w:val="24"/>
          <w:highlight w:val="none"/>
          <w:lang w:eastAsia="zh-CN"/>
        </w:rPr>
        <w:t>15m高排气筒排放，处理后粉尘排放浓度及速率均满足GB16297-1996《大气污染物综合排放标准》表2限值要求（速率≤3.5kg/h，浓度≤120mg/m³）。</w:t>
      </w:r>
    </w:p>
    <w:p w14:paraId="48B6BCF1">
      <w:pPr>
        <w:keepNext w:val="0"/>
        <w:keepLines w:val="0"/>
        <w:pageBreakBefore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表3.</w:t>
      </w:r>
      <w:r>
        <w:rPr>
          <w:rFonts w:hint="default" w:ascii="Times New Roman" w:hAnsi="Times New Roman" w:cs="Times New Roman"/>
          <w:b/>
          <w:color w:val="auto"/>
          <w:sz w:val="24"/>
          <w:szCs w:val="24"/>
          <w:highlight w:val="none"/>
          <w:lang w:val="en-US" w:eastAsia="zh-CN"/>
        </w:rPr>
        <w:t>3</w:t>
      </w:r>
      <w:r>
        <w:rPr>
          <w:rFonts w:hint="default" w:ascii="Times New Roman" w:hAnsi="Times New Roman" w:eastAsia="宋体" w:cs="Times New Roman"/>
          <w:b/>
          <w:color w:val="auto"/>
          <w:sz w:val="24"/>
          <w:szCs w:val="24"/>
          <w:highlight w:val="none"/>
        </w:rPr>
        <w:t>-</w:t>
      </w:r>
      <w:r>
        <w:rPr>
          <w:rFonts w:hint="default" w:ascii="Times New Roman" w:hAnsi="Times New Roman" w:cs="Times New Roman"/>
          <w:b/>
          <w:color w:val="auto"/>
          <w:sz w:val="24"/>
          <w:szCs w:val="24"/>
          <w:highlight w:val="none"/>
          <w:lang w:val="en-US" w:eastAsia="zh-CN"/>
        </w:rPr>
        <w:t>3</w:t>
      </w:r>
      <w:r>
        <w:rPr>
          <w:rFonts w:hint="default" w:ascii="Times New Roman" w:hAnsi="Times New Roman" w:eastAsia="宋体" w:cs="Times New Roman"/>
          <w:b/>
          <w:color w:val="auto"/>
          <w:sz w:val="24"/>
          <w:szCs w:val="24"/>
          <w:highlight w:val="none"/>
        </w:rPr>
        <w:t xml:space="preserve"> </w:t>
      </w:r>
      <w:r>
        <w:rPr>
          <w:rFonts w:hint="default" w:ascii="Times New Roman" w:hAnsi="Times New Roman" w:eastAsia="宋体" w:cs="Times New Roman"/>
          <w:b/>
          <w:color w:val="auto"/>
          <w:sz w:val="24"/>
          <w:szCs w:val="24"/>
          <w:highlight w:val="none"/>
          <w:lang w:val="en-US" w:eastAsia="zh-CN"/>
        </w:rPr>
        <w:t xml:space="preserve">  </w:t>
      </w:r>
      <w:r>
        <w:rPr>
          <w:rFonts w:hint="default" w:ascii="Times New Roman" w:hAnsi="Times New Roman" w:eastAsia="宋体" w:cs="Times New Roman"/>
          <w:b/>
          <w:color w:val="auto"/>
          <w:sz w:val="24"/>
          <w:szCs w:val="24"/>
          <w:highlight w:val="none"/>
        </w:rPr>
        <w:t xml:space="preserve"> </w:t>
      </w:r>
      <w:r>
        <w:rPr>
          <w:rFonts w:hint="default" w:ascii="Times New Roman" w:hAnsi="Times New Roman" w:eastAsia="宋体" w:cs="Times New Roman"/>
          <w:b/>
          <w:color w:val="auto"/>
          <w:sz w:val="24"/>
          <w:szCs w:val="24"/>
          <w:highlight w:val="none"/>
          <w:lang w:eastAsia="zh-CN"/>
        </w:rPr>
        <w:t>生产破碎及筛分粉尘排放情况</w:t>
      </w:r>
    </w:p>
    <w:tbl>
      <w:tblPr>
        <w:tblStyle w:val="33"/>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928"/>
        <w:gridCol w:w="2616"/>
        <w:gridCol w:w="2623"/>
      </w:tblGrid>
      <w:tr w14:paraId="5E2B15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42" w:type="pct"/>
            <w:vAlign w:val="center"/>
          </w:tcPr>
          <w:p w14:paraId="3E6E3088">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选矿工序</w:t>
            </w:r>
          </w:p>
        </w:tc>
        <w:tc>
          <w:tcPr>
            <w:tcW w:w="1426" w:type="pct"/>
            <w:vAlign w:val="center"/>
          </w:tcPr>
          <w:p w14:paraId="3D4C92B5">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破碎</w:t>
            </w:r>
          </w:p>
        </w:tc>
        <w:tc>
          <w:tcPr>
            <w:tcW w:w="1430" w:type="pct"/>
            <w:vAlign w:val="center"/>
          </w:tcPr>
          <w:p w14:paraId="7311E0C7">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筛分</w:t>
            </w:r>
          </w:p>
        </w:tc>
      </w:tr>
      <w:tr w14:paraId="61E862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42" w:type="pct"/>
            <w:vAlign w:val="center"/>
          </w:tcPr>
          <w:p w14:paraId="5EC20499">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排气筒</w:t>
            </w:r>
          </w:p>
        </w:tc>
        <w:tc>
          <w:tcPr>
            <w:tcW w:w="1426" w:type="pct"/>
            <w:vAlign w:val="center"/>
          </w:tcPr>
          <w:p w14:paraId="1218C22E">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DA001</w:t>
            </w:r>
          </w:p>
        </w:tc>
        <w:tc>
          <w:tcPr>
            <w:tcW w:w="1430" w:type="pct"/>
            <w:vAlign w:val="center"/>
          </w:tcPr>
          <w:p w14:paraId="5EE302E4">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DA002</w:t>
            </w:r>
          </w:p>
        </w:tc>
      </w:tr>
      <w:tr w14:paraId="7B4266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42" w:type="pct"/>
            <w:vAlign w:val="center"/>
          </w:tcPr>
          <w:p w14:paraId="4F6920A7">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粉尘产生量（kg/h）</w:t>
            </w:r>
          </w:p>
        </w:tc>
        <w:tc>
          <w:tcPr>
            <w:tcW w:w="1426" w:type="pct"/>
            <w:vAlign w:val="center"/>
          </w:tcPr>
          <w:p w14:paraId="7A0269FC">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5.12</w:t>
            </w:r>
          </w:p>
        </w:tc>
        <w:tc>
          <w:tcPr>
            <w:tcW w:w="1430" w:type="pct"/>
            <w:vAlign w:val="center"/>
          </w:tcPr>
          <w:p w14:paraId="55FC3B69">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66.67</w:t>
            </w:r>
          </w:p>
        </w:tc>
      </w:tr>
      <w:tr w14:paraId="5797A1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42" w:type="pct"/>
            <w:vAlign w:val="center"/>
          </w:tcPr>
          <w:p w14:paraId="2D239BB1">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产生浓度（mg/m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w:t>
            </w:r>
          </w:p>
        </w:tc>
        <w:tc>
          <w:tcPr>
            <w:tcW w:w="1426" w:type="pct"/>
            <w:vAlign w:val="center"/>
          </w:tcPr>
          <w:p w14:paraId="7B40D961">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252.22</w:t>
            </w:r>
          </w:p>
        </w:tc>
        <w:tc>
          <w:tcPr>
            <w:tcW w:w="1430" w:type="pct"/>
            <w:vAlign w:val="center"/>
          </w:tcPr>
          <w:p w14:paraId="133CD700">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3284.24</w:t>
            </w:r>
          </w:p>
        </w:tc>
      </w:tr>
      <w:tr w14:paraId="7E2299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42" w:type="pct"/>
            <w:vAlign w:val="center"/>
          </w:tcPr>
          <w:p w14:paraId="6662D331">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排放速率（kg/h）</w:t>
            </w:r>
          </w:p>
        </w:tc>
        <w:tc>
          <w:tcPr>
            <w:tcW w:w="1426" w:type="pct"/>
            <w:vAlign w:val="center"/>
          </w:tcPr>
          <w:p w14:paraId="5988CEBD">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0.046</w:t>
            </w:r>
            <w:r>
              <w:rPr>
                <w:rFonts w:hint="default" w:cs="Times New Roman"/>
                <w:color w:val="auto"/>
                <w:sz w:val="21"/>
                <w:szCs w:val="21"/>
                <w:highlight w:val="none"/>
                <w:lang w:val="en-US" w:eastAsia="zh-CN"/>
              </w:rPr>
              <w:t>1</w:t>
            </w:r>
          </w:p>
        </w:tc>
        <w:tc>
          <w:tcPr>
            <w:tcW w:w="1430" w:type="pct"/>
            <w:vAlign w:val="center"/>
          </w:tcPr>
          <w:p w14:paraId="504A781D">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0.60</w:t>
            </w:r>
          </w:p>
        </w:tc>
      </w:tr>
      <w:tr w14:paraId="0AEC99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42" w:type="pct"/>
            <w:vAlign w:val="center"/>
          </w:tcPr>
          <w:p w14:paraId="444F9930">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排放浓度（mg/m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w:t>
            </w:r>
          </w:p>
        </w:tc>
        <w:tc>
          <w:tcPr>
            <w:tcW w:w="1426" w:type="pct"/>
            <w:vAlign w:val="center"/>
          </w:tcPr>
          <w:p w14:paraId="272F68D5">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2.27</w:t>
            </w:r>
          </w:p>
        </w:tc>
        <w:tc>
          <w:tcPr>
            <w:tcW w:w="1430" w:type="pct"/>
            <w:vAlign w:val="center"/>
          </w:tcPr>
          <w:p w14:paraId="39E1B32B">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29.6</w:t>
            </w:r>
          </w:p>
        </w:tc>
      </w:tr>
    </w:tbl>
    <w:p w14:paraId="39B0429A">
      <w:pPr>
        <w:keepNext w:val="0"/>
        <w:keepLines w:val="0"/>
        <w:pageBreakBefore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本次破碎、筛分车间尘态氟（氟化钙）按原矿品位25.78%计算尘态氟产生量，并根据破碎、筛分车间产生的粉尘量计算其尘态氟产生及排放情况。经计算，萤石选矿厂破碎、筛分工序产生及排放的尘态氟如下表所示。</w:t>
      </w:r>
    </w:p>
    <w:p w14:paraId="5EE414D6">
      <w:pPr>
        <w:keepNext w:val="0"/>
        <w:keepLines w:val="0"/>
        <w:pageBreakBefore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表3.</w:t>
      </w:r>
      <w:r>
        <w:rPr>
          <w:rFonts w:hint="default" w:ascii="Times New Roman" w:hAnsi="Times New Roman" w:cs="Times New Roman"/>
          <w:b/>
          <w:color w:val="auto"/>
          <w:sz w:val="24"/>
          <w:szCs w:val="24"/>
          <w:highlight w:val="none"/>
          <w:lang w:val="en-US" w:eastAsia="zh-CN"/>
        </w:rPr>
        <w:t>3</w:t>
      </w:r>
      <w:r>
        <w:rPr>
          <w:rFonts w:hint="default" w:ascii="Times New Roman" w:hAnsi="Times New Roman" w:eastAsia="宋体" w:cs="Times New Roman"/>
          <w:b/>
          <w:color w:val="auto"/>
          <w:sz w:val="24"/>
          <w:szCs w:val="24"/>
          <w:highlight w:val="none"/>
        </w:rPr>
        <w:t>-</w:t>
      </w:r>
      <w:r>
        <w:rPr>
          <w:rFonts w:hint="eastAsia" w:cs="Times New Roman"/>
          <w:b/>
          <w:color w:val="auto"/>
          <w:sz w:val="24"/>
          <w:szCs w:val="24"/>
          <w:highlight w:val="none"/>
          <w:lang w:val="en-US" w:eastAsia="zh-CN"/>
        </w:rPr>
        <w:t>4</w:t>
      </w:r>
      <w:r>
        <w:rPr>
          <w:rFonts w:hint="default" w:ascii="Times New Roman" w:hAnsi="Times New Roman" w:eastAsia="宋体" w:cs="Times New Roman"/>
          <w:b/>
          <w:color w:val="auto"/>
          <w:sz w:val="24"/>
          <w:szCs w:val="24"/>
          <w:highlight w:val="none"/>
        </w:rPr>
        <w:t xml:space="preserve"> </w:t>
      </w:r>
      <w:r>
        <w:rPr>
          <w:rFonts w:hint="default" w:ascii="Times New Roman" w:hAnsi="Times New Roman" w:eastAsia="宋体" w:cs="Times New Roman"/>
          <w:b/>
          <w:color w:val="auto"/>
          <w:sz w:val="24"/>
          <w:szCs w:val="24"/>
          <w:highlight w:val="none"/>
          <w:lang w:val="en-US" w:eastAsia="zh-CN"/>
        </w:rPr>
        <w:t xml:space="preserve">  </w:t>
      </w:r>
      <w:r>
        <w:rPr>
          <w:rFonts w:hint="default" w:ascii="Times New Roman" w:hAnsi="Times New Roman" w:eastAsia="宋体" w:cs="Times New Roman"/>
          <w:b/>
          <w:color w:val="auto"/>
          <w:sz w:val="24"/>
          <w:szCs w:val="24"/>
          <w:highlight w:val="none"/>
        </w:rPr>
        <w:t xml:space="preserve"> </w:t>
      </w:r>
      <w:r>
        <w:rPr>
          <w:rFonts w:hint="default" w:ascii="Times New Roman" w:hAnsi="Times New Roman" w:eastAsia="宋体" w:cs="Times New Roman"/>
          <w:b/>
          <w:color w:val="auto"/>
          <w:sz w:val="24"/>
          <w:szCs w:val="24"/>
          <w:highlight w:val="none"/>
          <w:lang w:eastAsia="zh-CN"/>
        </w:rPr>
        <w:t>破碎、筛分工序尘态氟产生及排放情况</w:t>
      </w:r>
    </w:p>
    <w:tbl>
      <w:tblPr>
        <w:tblStyle w:val="33"/>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928"/>
        <w:gridCol w:w="2616"/>
        <w:gridCol w:w="2623"/>
      </w:tblGrid>
      <w:tr w14:paraId="2890CC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42" w:type="pct"/>
            <w:vAlign w:val="center"/>
          </w:tcPr>
          <w:p w14:paraId="2CE7D1E7">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选矿工序</w:t>
            </w:r>
          </w:p>
        </w:tc>
        <w:tc>
          <w:tcPr>
            <w:tcW w:w="1426" w:type="pct"/>
            <w:vAlign w:val="center"/>
          </w:tcPr>
          <w:p w14:paraId="08C507BF">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破碎</w:t>
            </w:r>
          </w:p>
        </w:tc>
        <w:tc>
          <w:tcPr>
            <w:tcW w:w="1430" w:type="pct"/>
            <w:vAlign w:val="center"/>
          </w:tcPr>
          <w:p w14:paraId="2D59E900">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筛分</w:t>
            </w:r>
          </w:p>
        </w:tc>
      </w:tr>
      <w:tr w14:paraId="2A3C02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42" w:type="pct"/>
            <w:vAlign w:val="center"/>
          </w:tcPr>
          <w:p w14:paraId="1FC1F50E">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排气筒</w:t>
            </w:r>
          </w:p>
        </w:tc>
        <w:tc>
          <w:tcPr>
            <w:tcW w:w="1426" w:type="pct"/>
            <w:vAlign w:val="center"/>
          </w:tcPr>
          <w:p w14:paraId="03A71767">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DA001</w:t>
            </w:r>
          </w:p>
        </w:tc>
        <w:tc>
          <w:tcPr>
            <w:tcW w:w="1430" w:type="pct"/>
            <w:vAlign w:val="center"/>
          </w:tcPr>
          <w:p w14:paraId="3EA4F07F">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DA002</w:t>
            </w:r>
          </w:p>
        </w:tc>
      </w:tr>
      <w:tr w14:paraId="01DA4B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42" w:type="pct"/>
            <w:vAlign w:val="center"/>
          </w:tcPr>
          <w:p w14:paraId="35252487">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产生速率（kg/h）</w:t>
            </w:r>
          </w:p>
        </w:tc>
        <w:tc>
          <w:tcPr>
            <w:tcW w:w="1426" w:type="pct"/>
            <w:vAlign w:val="center"/>
          </w:tcPr>
          <w:p w14:paraId="130EF686">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0.6426</w:t>
            </w:r>
          </w:p>
        </w:tc>
        <w:tc>
          <w:tcPr>
            <w:tcW w:w="1430" w:type="pct"/>
            <w:vAlign w:val="center"/>
          </w:tcPr>
          <w:p w14:paraId="39B5EDB0">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8.367</w:t>
            </w:r>
          </w:p>
        </w:tc>
      </w:tr>
      <w:tr w14:paraId="2C361F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42" w:type="pct"/>
            <w:vAlign w:val="center"/>
          </w:tcPr>
          <w:p w14:paraId="774466FB">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产生浓度（mg/m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w:t>
            </w:r>
          </w:p>
        </w:tc>
        <w:tc>
          <w:tcPr>
            <w:tcW w:w="1426" w:type="pct"/>
            <w:vAlign w:val="center"/>
          </w:tcPr>
          <w:p w14:paraId="7C48282B">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31.65</w:t>
            </w:r>
          </w:p>
        </w:tc>
        <w:tc>
          <w:tcPr>
            <w:tcW w:w="1430" w:type="pct"/>
            <w:vAlign w:val="center"/>
          </w:tcPr>
          <w:p w14:paraId="6978BB8B">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412.17</w:t>
            </w:r>
          </w:p>
        </w:tc>
      </w:tr>
      <w:tr w14:paraId="47BDA8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2142" w:type="pct"/>
            <w:vAlign w:val="center"/>
          </w:tcPr>
          <w:p w14:paraId="115B69F4">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排放速率（kg/h）</w:t>
            </w:r>
          </w:p>
        </w:tc>
        <w:tc>
          <w:tcPr>
            <w:tcW w:w="1426" w:type="pct"/>
            <w:vAlign w:val="center"/>
          </w:tcPr>
          <w:p w14:paraId="7D6F084B">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0.00578</w:t>
            </w:r>
          </w:p>
        </w:tc>
        <w:tc>
          <w:tcPr>
            <w:tcW w:w="1430" w:type="pct"/>
            <w:vAlign w:val="center"/>
          </w:tcPr>
          <w:p w14:paraId="2E609CFD">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0.0753</w:t>
            </w:r>
          </w:p>
        </w:tc>
      </w:tr>
      <w:tr w14:paraId="23E0E8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42" w:type="pct"/>
            <w:vAlign w:val="center"/>
          </w:tcPr>
          <w:p w14:paraId="56DB7DAE">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排放浓度（mg/m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w:t>
            </w:r>
          </w:p>
        </w:tc>
        <w:tc>
          <w:tcPr>
            <w:tcW w:w="1426" w:type="pct"/>
            <w:vAlign w:val="center"/>
          </w:tcPr>
          <w:p w14:paraId="18FAA2DA">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0.285</w:t>
            </w:r>
          </w:p>
        </w:tc>
        <w:tc>
          <w:tcPr>
            <w:tcW w:w="1430" w:type="pct"/>
            <w:vAlign w:val="center"/>
          </w:tcPr>
          <w:p w14:paraId="54FA1C36">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3.715</w:t>
            </w:r>
          </w:p>
        </w:tc>
      </w:tr>
    </w:tbl>
    <w:p w14:paraId="416CEF91">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eastAsia="宋体" w:cs="Times New Roman"/>
          <w:color w:val="auto"/>
          <w:kern w:val="0"/>
          <w:sz w:val="24"/>
          <w:highlight w:val="none"/>
        </w:rPr>
        <w:t>上述</w:t>
      </w:r>
      <w:r>
        <w:rPr>
          <w:rFonts w:hint="default" w:ascii="Times New Roman" w:hAnsi="Times New Roman" w:eastAsia="宋体" w:cs="Times New Roman"/>
          <w:color w:val="auto"/>
          <w:kern w:val="0"/>
          <w:sz w:val="24"/>
          <w:highlight w:val="none"/>
          <w:lang w:eastAsia="zh-CN"/>
        </w:rPr>
        <w:t>各</w:t>
      </w:r>
      <w:r>
        <w:rPr>
          <w:rFonts w:hint="default" w:ascii="Times New Roman" w:hAnsi="Times New Roman" w:eastAsia="宋体" w:cs="Times New Roman"/>
          <w:color w:val="auto"/>
          <w:kern w:val="0"/>
          <w:sz w:val="24"/>
          <w:highlight w:val="none"/>
        </w:rPr>
        <w:t>工段采用高效脉冲布袋除尘器，经收尘处理后各工段产生的粉尘</w:t>
      </w:r>
      <w:r>
        <w:rPr>
          <w:rFonts w:hint="default" w:ascii="Times New Roman" w:hAnsi="Times New Roman" w:cs="Times New Roman"/>
          <w:color w:val="auto"/>
          <w:kern w:val="0"/>
          <w:sz w:val="24"/>
          <w:highlight w:val="none"/>
          <w:lang w:eastAsia="zh-CN"/>
        </w:rPr>
        <w:t>和氟化物</w:t>
      </w:r>
      <w:r>
        <w:rPr>
          <w:rFonts w:hint="default" w:ascii="Times New Roman" w:hAnsi="Times New Roman" w:eastAsia="宋体" w:cs="Times New Roman"/>
          <w:color w:val="auto"/>
          <w:kern w:val="0"/>
          <w:sz w:val="24"/>
          <w:highlight w:val="none"/>
        </w:rPr>
        <w:t>经排气筒排放，排气筒</w:t>
      </w:r>
      <w:r>
        <w:rPr>
          <w:rFonts w:hint="eastAsia" w:cs="Times New Roman"/>
          <w:color w:val="auto"/>
          <w:kern w:val="0"/>
          <w:sz w:val="24"/>
          <w:highlight w:val="none"/>
          <w:lang w:val="en-US" w:eastAsia="zh-CN"/>
        </w:rPr>
        <w:t>DA001</w:t>
      </w:r>
      <w:r>
        <w:rPr>
          <w:rFonts w:hint="default" w:ascii="Times New Roman" w:hAnsi="Times New Roman" w:cs="Times New Roman"/>
          <w:color w:val="auto"/>
          <w:kern w:val="0"/>
          <w:sz w:val="24"/>
          <w:highlight w:val="none"/>
          <w:lang w:val="en-US" w:eastAsia="zh-CN"/>
        </w:rPr>
        <w:t>和</w:t>
      </w:r>
      <w:r>
        <w:rPr>
          <w:rFonts w:hint="eastAsia" w:cs="Times New Roman"/>
          <w:color w:val="auto"/>
          <w:kern w:val="0"/>
          <w:sz w:val="24"/>
          <w:highlight w:val="none"/>
          <w:lang w:val="en-US" w:eastAsia="zh-CN"/>
        </w:rPr>
        <w:t>DA002</w:t>
      </w:r>
      <w:r>
        <w:rPr>
          <w:rFonts w:hint="default" w:ascii="Times New Roman" w:hAnsi="Times New Roman" w:eastAsia="宋体" w:cs="Times New Roman"/>
          <w:color w:val="auto"/>
          <w:kern w:val="0"/>
          <w:sz w:val="24"/>
          <w:highlight w:val="none"/>
        </w:rPr>
        <w:t>粉尘</w:t>
      </w:r>
      <w:r>
        <w:rPr>
          <w:rFonts w:hint="default" w:ascii="Times New Roman" w:hAnsi="Times New Roman" w:cs="Times New Roman"/>
          <w:color w:val="auto"/>
          <w:kern w:val="0"/>
          <w:sz w:val="24"/>
          <w:highlight w:val="none"/>
          <w:lang w:eastAsia="zh-CN"/>
        </w:rPr>
        <w:t>及氟化物</w:t>
      </w:r>
      <w:r>
        <w:rPr>
          <w:rFonts w:hint="default" w:ascii="Times New Roman" w:hAnsi="Times New Roman" w:eastAsia="宋体" w:cs="Times New Roman"/>
          <w:color w:val="auto"/>
          <w:kern w:val="0"/>
          <w:sz w:val="24"/>
          <w:highlight w:val="none"/>
        </w:rPr>
        <w:t>排放浓度</w:t>
      </w:r>
      <w:r>
        <w:rPr>
          <w:rFonts w:hint="default" w:ascii="Times New Roman" w:hAnsi="Times New Roman" w:cs="Times New Roman"/>
          <w:color w:val="auto"/>
          <w:kern w:val="0"/>
          <w:sz w:val="24"/>
          <w:highlight w:val="none"/>
          <w:lang w:eastAsia="zh-CN"/>
        </w:rPr>
        <w:t>及速率</w:t>
      </w:r>
      <w:r>
        <w:rPr>
          <w:rFonts w:hint="default" w:ascii="Times New Roman" w:hAnsi="Times New Roman" w:eastAsia="宋体" w:cs="Times New Roman"/>
          <w:color w:val="auto"/>
          <w:kern w:val="0"/>
          <w:sz w:val="24"/>
          <w:highlight w:val="none"/>
        </w:rPr>
        <w:t>符合《大气污染物综合排放标准》（GB16297-1996）中的要求。</w:t>
      </w:r>
    </w:p>
    <w:p w14:paraId="7B489A91">
      <w:pPr>
        <w:keepNext w:val="0"/>
        <w:keepLines w:val="0"/>
        <w:pageBreakBefore w:val="0"/>
        <w:kinsoku/>
        <w:wordWrap/>
        <w:overflowPunct w:val="0"/>
        <w:topLinePunct/>
        <w:autoSpaceDE/>
        <w:autoSpaceDN/>
        <w:bidi w:val="0"/>
        <w:adjustRightInd/>
        <w:snapToGrid/>
        <w:spacing w:line="480" w:lineRule="exact"/>
        <w:ind w:firstLine="480"/>
        <w:textAlignment w:val="auto"/>
        <w:rPr>
          <w:rFonts w:hint="default" w:ascii="Times New Roman" w:hAnsi="Times New Roman" w:eastAsia="宋体" w:cs="Times New Roman"/>
          <w:color w:val="auto"/>
          <w:kern w:val="0"/>
          <w:highlight w:val="none"/>
          <w:lang w:val="en-US" w:eastAsia="zh-CN"/>
        </w:rPr>
      </w:pPr>
      <w:r>
        <w:rPr>
          <w:rFonts w:hint="default" w:ascii="Times New Roman" w:hAnsi="Times New Roman" w:cs="Times New Roman"/>
          <w:color w:val="auto"/>
          <w:kern w:val="0"/>
          <w:highlight w:val="none"/>
          <w:lang w:val="en-US" w:eastAsia="zh-CN"/>
        </w:rPr>
        <w:t>②燃煤锅炉废气</w:t>
      </w:r>
    </w:p>
    <w:p w14:paraId="6EB44FBA">
      <w:pPr>
        <w:keepNext w:val="0"/>
        <w:keepLines w:val="0"/>
        <w:pageBreakBefore w:val="0"/>
        <w:widowControl w:val="0"/>
        <w:suppressLineNumbers w:val="0"/>
        <w:kinsoku/>
        <w:wordWrap/>
        <w:overflowPunct/>
        <w:topLinePunct w:val="0"/>
        <w:autoSpaceDE/>
        <w:autoSpaceDN/>
        <w:bidi w:val="0"/>
        <w:adjustRightInd/>
        <w:snapToGrid/>
        <w:spacing w:line="480" w:lineRule="exact"/>
        <w:ind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bidi="ar"/>
        </w:rPr>
        <w:t>为满足厂区冬季供暖及职工淋浴等需求，项目运营期拟建设1台15t/h</w:t>
      </w:r>
      <w:r>
        <w:rPr>
          <w:rFonts w:hint="default" w:ascii="Times New Roman" w:hAnsi="Times New Roman" w:eastAsia="宋体" w:cs="Times New Roman"/>
          <w:color w:val="auto"/>
          <w:spacing w:val="6"/>
          <w:sz w:val="24"/>
          <w:szCs w:val="24"/>
          <w:highlight w:val="none"/>
          <w:lang w:val="en-US" w:eastAsia="zh-CN"/>
        </w:rPr>
        <w:t>链条式燃煤</w:t>
      </w:r>
      <w:r>
        <w:rPr>
          <w:rFonts w:hint="default" w:ascii="Times New Roman" w:hAnsi="Times New Roman" w:eastAsia="宋体" w:cs="Times New Roman"/>
          <w:b w:val="0"/>
          <w:bCs w:val="0"/>
          <w:color w:val="auto"/>
          <w:kern w:val="0"/>
          <w:sz w:val="24"/>
          <w:szCs w:val="24"/>
          <w:highlight w:val="none"/>
          <w:lang w:val="en-US" w:eastAsia="zh-CN" w:bidi="ar"/>
        </w:rPr>
        <w:t>锅炉，</w:t>
      </w:r>
      <w:r>
        <w:rPr>
          <w:rFonts w:hint="default" w:ascii="Times New Roman" w:hAnsi="Times New Roman" w:eastAsia="宋体" w:cs="Times New Roman"/>
          <w:color w:val="auto"/>
          <w:sz w:val="24"/>
          <w:szCs w:val="24"/>
          <w:highlight w:val="none"/>
          <w:lang w:val="en-US" w:eastAsia="zh-CN"/>
        </w:rPr>
        <w:t>根据项目锅炉厂家提供的</w:t>
      </w:r>
      <w:r>
        <w:rPr>
          <w:rFonts w:hint="default" w:ascii="Times New Roman" w:hAnsi="Times New Roman" w:eastAsia="宋体" w:cs="Times New Roman"/>
          <w:color w:val="auto"/>
          <w:spacing w:val="6"/>
          <w:sz w:val="24"/>
          <w:szCs w:val="24"/>
          <w:highlight w:val="none"/>
          <w:lang w:val="en-US" w:eastAsia="zh-CN"/>
        </w:rPr>
        <w:t>链条式燃煤</w:t>
      </w:r>
      <w:r>
        <w:rPr>
          <w:rFonts w:hint="default" w:ascii="Times New Roman" w:hAnsi="Times New Roman" w:eastAsia="宋体" w:cs="Times New Roman"/>
          <w:b w:val="0"/>
          <w:bCs w:val="0"/>
          <w:color w:val="auto"/>
          <w:kern w:val="0"/>
          <w:sz w:val="24"/>
          <w:szCs w:val="24"/>
          <w:highlight w:val="none"/>
          <w:lang w:val="en-US" w:eastAsia="zh-CN" w:bidi="ar"/>
        </w:rPr>
        <w:t>锅炉技术参数表，</w:t>
      </w:r>
      <w:r>
        <w:rPr>
          <w:rFonts w:hint="default" w:ascii="Times New Roman" w:hAnsi="Times New Roman" w:eastAsia="宋体" w:cs="Times New Roman"/>
          <w:color w:val="auto"/>
          <w:sz w:val="24"/>
          <w:szCs w:val="24"/>
          <w:highlight w:val="none"/>
        </w:rPr>
        <w:t>理论燃料</w:t>
      </w:r>
      <w:r>
        <w:rPr>
          <w:rFonts w:hint="default" w:ascii="Times New Roman" w:hAnsi="Times New Roman" w:eastAsia="宋体" w:cs="Times New Roman"/>
          <w:color w:val="auto"/>
          <w:sz w:val="24"/>
          <w:szCs w:val="24"/>
          <w:highlight w:val="none"/>
          <w:lang w:val="en-US" w:eastAsia="zh-CN"/>
        </w:rPr>
        <w:t>消</w:t>
      </w:r>
      <w:r>
        <w:rPr>
          <w:rFonts w:hint="default" w:ascii="Times New Roman" w:hAnsi="Times New Roman" w:eastAsia="宋体" w:cs="Times New Roman"/>
          <w:color w:val="auto"/>
          <w:sz w:val="24"/>
          <w:szCs w:val="24"/>
          <w:highlight w:val="none"/>
        </w:rPr>
        <w:t>耗量</w:t>
      </w:r>
      <w:r>
        <w:rPr>
          <w:rFonts w:hint="default" w:ascii="Times New Roman" w:hAnsi="Times New Roman" w:eastAsia="宋体" w:cs="Times New Roman"/>
          <w:color w:val="auto"/>
          <w:sz w:val="24"/>
          <w:szCs w:val="24"/>
          <w:highlight w:val="none"/>
          <w:lang w:val="en-US" w:eastAsia="zh-CN"/>
        </w:rPr>
        <w:t>为</w:t>
      </w: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lang w:val="en-US" w:eastAsia="zh-CN"/>
        </w:rPr>
        <w:t>500k</w:t>
      </w:r>
      <w:r>
        <w:rPr>
          <w:rFonts w:hint="default" w:ascii="Times New Roman" w:hAnsi="Times New Roman" w:eastAsia="宋体" w:cs="Times New Roman"/>
          <w:color w:val="auto"/>
          <w:sz w:val="24"/>
          <w:szCs w:val="24"/>
          <w:highlight w:val="none"/>
        </w:rPr>
        <w:t>g/h</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则锅炉满负荷运行时燃煤用量为</w:t>
      </w:r>
      <w:bookmarkStart w:id="437" w:name="OLE_LINK687"/>
      <w:r>
        <w:rPr>
          <w:rFonts w:hint="default" w:ascii="Times New Roman" w:hAnsi="Times New Roman" w:eastAsia="宋体" w:cs="Times New Roman"/>
          <w:color w:val="auto"/>
          <w:sz w:val="24"/>
          <w:szCs w:val="24"/>
          <w:highlight w:val="none"/>
          <w:lang w:val="en-US" w:eastAsia="zh-CN"/>
        </w:rPr>
        <w:t>5400t/a</w:t>
      </w:r>
      <w:bookmarkEnd w:id="437"/>
      <w:r>
        <w:rPr>
          <w:rFonts w:hint="default" w:ascii="Times New Roman" w:hAnsi="Times New Roman" w:eastAsia="宋体" w:cs="Times New Roman"/>
          <w:color w:val="auto"/>
          <w:sz w:val="24"/>
          <w:szCs w:val="24"/>
          <w:highlight w:val="none"/>
          <w:lang w:val="en-US" w:eastAsia="zh-CN"/>
        </w:rPr>
        <w:t>，锅炉年</w:t>
      </w:r>
      <w:bookmarkStart w:id="438" w:name="OLE_LINK675"/>
      <w:r>
        <w:rPr>
          <w:rFonts w:hint="default" w:ascii="Times New Roman" w:hAnsi="Times New Roman" w:eastAsia="宋体" w:cs="Times New Roman"/>
          <w:color w:val="auto"/>
          <w:sz w:val="24"/>
          <w:szCs w:val="24"/>
          <w:highlight w:val="none"/>
          <w:lang w:val="en-US" w:eastAsia="zh-CN"/>
        </w:rPr>
        <w:t>运行</w:t>
      </w:r>
      <w:bookmarkEnd w:id="438"/>
      <w:r>
        <w:rPr>
          <w:rFonts w:hint="default" w:ascii="Times New Roman" w:hAnsi="Times New Roman" w:eastAsia="宋体" w:cs="Times New Roman"/>
          <w:color w:val="auto"/>
          <w:sz w:val="24"/>
          <w:szCs w:val="24"/>
          <w:highlight w:val="none"/>
          <w:lang w:val="en-US" w:eastAsia="zh-CN"/>
        </w:rPr>
        <w:t>150d，每天运行24h，全年运行3600h。</w:t>
      </w:r>
    </w:p>
    <w:p w14:paraId="08FB8894">
      <w:pPr>
        <w:keepNext w:val="0"/>
        <w:keepLines w:val="0"/>
        <w:pageBreakBefore w:val="0"/>
        <w:widowControl w:val="0"/>
        <w:suppressLineNumbers w:val="0"/>
        <w:kinsoku/>
        <w:wordWrap/>
        <w:overflowPunct/>
        <w:topLinePunct w:val="0"/>
        <w:autoSpaceDE/>
        <w:autoSpaceDN/>
        <w:bidi w:val="0"/>
        <w:adjustRightInd/>
        <w:snapToGrid/>
        <w:spacing w:line="480" w:lineRule="exact"/>
        <w:ind w:firstLine="480" w:firstLineChars="200"/>
        <w:jc w:val="both"/>
        <w:textAlignment w:val="auto"/>
        <w:outlineLvl w:val="9"/>
        <w:rPr>
          <w:rFonts w:hint="eastAsia" w:cs="Times New Roman"/>
          <w:color w:val="auto"/>
          <w:spacing w:val="0"/>
          <w:kern w:val="0"/>
          <w:sz w:val="24"/>
          <w:szCs w:val="24"/>
          <w:highlight w:val="none"/>
          <w:lang w:val="en-US" w:eastAsia="zh-CN" w:bidi="ar"/>
        </w:rPr>
      </w:pPr>
      <w:r>
        <w:rPr>
          <w:rFonts w:hint="default" w:ascii="Times New Roman" w:hAnsi="Times New Roman" w:eastAsia="宋体" w:cs="Times New Roman"/>
          <w:color w:val="auto"/>
          <w:spacing w:val="0"/>
          <w:kern w:val="0"/>
          <w:sz w:val="24"/>
          <w:szCs w:val="24"/>
          <w:highlight w:val="none"/>
          <w:lang w:val="en-US" w:eastAsia="zh-CN" w:bidi="ar"/>
        </w:rPr>
        <w:t>根据《污染源源强核算指南 锅炉》</w:t>
      </w:r>
      <w:bookmarkStart w:id="439" w:name="OLE_LINK677"/>
      <w:r>
        <w:rPr>
          <w:rFonts w:hint="default" w:ascii="Times New Roman" w:hAnsi="Times New Roman" w:eastAsia="宋体" w:cs="Times New Roman"/>
          <w:color w:val="auto"/>
          <w:spacing w:val="0"/>
          <w:kern w:val="0"/>
          <w:sz w:val="24"/>
          <w:szCs w:val="24"/>
          <w:highlight w:val="none"/>
          <w:lang w:val="en-US" w:eastAsia="zh-CN" w:bidi="ar"/>
        </w:rPr>
        <w:t>（HJ991-2018）</w:t>
      </w:r>
      <w:bookmarkEnd w:id="439"/>
      <w:r>
        <w:rPr>
          <w:rFonts w:hint="default" w:ascii="Times New Roman" w:hAnsi="Times New Roman" w:eastAsia="宋体" w:cs="Times New Roman"/>
          <w:color w:val="auto"/>
          <w:spacing w:val="0"/>
          <w:kern w:val="0"/>
          <w:sz w:val="24"/>
          <w:szCs w:val="24"/>
          <w:highlight w:val="none"/>
          <w:lang w:val="en-US" w:eastAsia="zh-CN" w:bidi="ar"/>
        </w:rPr>
        <w:t>，锅炉烟囱污染源污染因子核算方法顺序为：物料衡算法＞类比法＞产污系数法；本项目根据建设单位提供的煤炭检验报告单</w:t>
      </w:r>
      <w:r>
        <w:rPr>
          <w:rFonts w:hint="eastAsia" w:cs="Times New Roman"/>
          <w:color w:val="auto"/>
          <w:spacing w:val="0"/>
          <w:kern w:val="0"/>
          <w:sz w:val="24"/>
          <w:szCs w:val="24"/>
          <w:highlight w:val="none"/>
          <w:lang w:val="en-US" w:eastAsia="zh-CN" w:bidi="ar"/>
        </w:rPr>
        <w:t>。</w:t>
      </w:r>
    </w:p>
    <w:p w14:paraId="49DE76F6">
      <w:pPr>
        <w:keepNext w:val="0"/>
        <w:keepLines w:val="0"/>
        <w:pageBreakBefore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表3.</w:t>
      </w:r>
      <w:r>
        <w:rPr>
          <w:rFonts w:hint="default" w:ascii="Times New Roman" w:hAnsi="Times New Roman" w:cs="Times New Roman"/>
          <w:b/>
          <w:color w:val="auto"/>
          <w:sz w:val="24"/>
          <w:szCs w:val="24"/>
          <w:highlight w:val="none"/>
          <w:lang w:val="en-US" w:eastAsia="zh-CN"/>
        </w:rPr>
        <w:t>3</w:t>
      </w:r>
      <w:r>
        <w:rPr>
          <w:rFonts w:hint="default" w:ascii="Times New Roman" w:hAnsi="Times New Roman" w:eastAsia="宋体" w:cs="Times New Roman"/>
          <w:b/>
          <w:color w:val="auto"/>
          <w:sz w:val="24"/>
          <w:szCs w:val="24"/>
          <w:highlight w:val="none"/>
        </w:rPr>
        <w:t>-</w:t>
      </w:r>
      <w:r>
        <w:rPr>
          <w:rFonts w:hint="eastAsia" w:cs="Times New Roman"/>
          <w:b/>
          <w:color w:val="auto"/>
          <w:sz w:val="24"/>
          <w:szCs w:val="24"/>
          <w:highlight w:val="none"/>
          <w:lang w:val="en-US" w:eastAsia="zh-CN"/>
        </w:rPr>
        <w:t>5</w:t>
      </w:r>
      <w:r>
        <w:rPr>
          <w:rFonts w:hint="default" w:ascii="Times New Roman" w:hAnsi="Times New Roman" w:eastAsia="宋体" w:cs="Times New Roman"/>
          <w:b/>
          <w:color w:val="auto"/>
          <w:sz w:val="24"/>
          <w:szCs w:val="24"/>
          <w:highlight w:val="none"/>
        </w:rPr>
        <w:t xml:space="preserve"> </w:t>
      </w:r>
      <w:r>
        <w:rPr>
          <w:rFonts w:hint="default" w:ascii="Times New Roman" w:hAnsi="Times New Roman" w:eastAsia="宋体" w:cs="Times New Roman"/>
          <w:b/>
          <w:color w:val="auto"/>
          <w:sz w:val="24"/>
          <w:szCs w:val="24"/>
          <w:highlight w:val="none"/>
          <w:lang w:val="en-US" w:eastAsia="zh-CN"/>
        </w:rPr>
        <w:t xml:space="preserve">  </w:t>
      </w:r>
      <w:r>
        <w:rPr>
          <w:rFonts w:hint="default" w:ascii="Times New Roman" w:hAnsi="Times New Roman" w:eastAsia="宋体" w:cs="Times New Roman"/>
          <w:b/>
          <w:color w:val="auto"/>
          <w:sz w:val="24"/>
          <w:szCs w:val="24"/>
          <w:highlight w:val="none"/>
        </w:rPr>
        <w:t xml:space="preserve"> </w:t>
      </w:r>
      <w:r>
        <w:rPr>
          <w:rFonts w:hint="default" w:ascii="Times New Roman" w:hAnsi="Times New Roman" w:eastAsia="宋体" w:cs="Times New Roman"/>
          <w:b/>
          <w:color w:val="auto"/>
          <w:sz w:val="24"/>
          <w:szCs w:val="24"/>
          <w:highlight w:val="none"/>
          <w:lang w:eastAsia="zh-CN"/>
        </w:rPr>
        <w:t>煤炭检验报告单</w:t>
      </w:r>
      <w:r>
        <w:rPr>
          <w:rFonts w:hint="eastAsia" w:cs="Times New Roman"/>
          <w:b/>
          <w:color w:val="auto"/>
          <w:sz w:val="24"/>
          <w:szCs w:val="24"/>
          <w:highlight w:val="none"/>
          <w:lang w:eastAsia="zh-CN"/>
        </w:rPr>
        <w:t>（</w:t>
      </w:r>
      <w:r>
        <w:rPr>
          <w:rFonts w:hint="eastAsia" w:cs="Times New Roman"/>
          <w:b/>
          <w:color w:val="auto"/>
          <w:sz w:val="24"/>
          <w:szCs w:val="24"/>
          <w:highlight w:val="none"/>
          <w:lang w:val="en-US" w:eastAsia="zh-CN"/>
        </w:rPr>
        <w:t>部分</w:t>
      </w:r>
      <w:r>
        <w:rPr>
          <w:rFonts w:hint="eastAsia" w:cs="Times New Roman"/>
          <w:b/>
          <w:color w:val="auto"/>
          <w:sz w:val="24"/>
          <w:szCs w:val="24"/>
          <w:highlight w:val="none"/>
          <w:lang w:eastAsia="zh-CN"/>
        </w:rPr>
        <w:t>）</w:t>
      </w:r>
    </w:p>
    <w:tbl>
      <w:tblPr>
        <w:tblStyle w:val="99"/>
        <w:tblW w:w="500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2231"/>
        <w:gridCol w:w="1019"/>
        <w:gridCol w:w="1615"/>
        <w:gridCol w:w="1634"/>
        <w:gridCol w:w="1538"/>
      </w:tblGrid>
      <w:tr w14:paraId="14AE5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 w:hRule="atLeast"/>
          <w:tblHeader/>
          <w:jc w:val="center"/>
        </w:trPr>
        <w:tc>
          <w:tcPr>
            <w:tcW w:w="940" w:type="dxa"/>
            <w:vAlign w:val="center"/>
          </w:tcPr>
          <w:p w14:paraId="5CDA6110">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序号</w:t>
            </w:r>
          </w:p>
        </w:tc>
        <w:tc>
          <w:tcPr>
            <w:tcW w:w="2229" w:type="dxa"/>
            <w:vAlign w:val="center"/>
          </w:tcPr>
          <w:p w14:paraId="05F1740E">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分析项目</w:t>
            </w:r>
          </w:p>
        </w:tc>
        <w:tc>
          <w:tcPr>
            <w:tcW w:w="1018" w:type="dxa"/>
            <w:vAlign w:val="center"/>
          </w:tcPr>
          <w:p w14:paraId="619B9724">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单位</w:t>
            </w:r>
          </w:p>
        </w:tc>
        <w:tc>
          <w:tcPr>
            <w:tcW w:w="1613" w:type="dxa"/>
            <w:vAlign w:val="center"/>
          </w:tcPr>
          <w:p w14:paraId="01BA14E8">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兰炭A（1-20）</w:t>
            </w:r>
          </w:p>
        </w:tc>
        <w:tc>
          <w:tcPr>
            <w:tcW w:w="1632" w:type="dxa"/>
            <w:vAlign w:val="center"/>
          </w:tcPr>
          <w:p w14:paraId="11A258C4">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兰炭B（1-20）</w:t>
            </w:r>
          </w:p>
        </w:tc>
        <w:tc>
          <w:tcPr>
            <w:tcW w:w="1536" w:type="dxa"/>
            <w:vAlign w:val="center"/>
          </w:tcPr>
          <w:p w14:paraId="34315B99">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沫煤</w:t>
            </w:r>
          </w:p>
        </w:tc>
      </w:tr>
      <w:tr w14:paraId="2303C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 w:hRule="atLeast"/>
          <w:jc w:val="center"/>
        </w:trPr>
        <w:tc>
          <w:tcPr>
            <w:tcW w:w="940" w:type="dxa"/>
            <w:vAlign w:val="center"/>
          </w:tcPr>
          <w:p w14:paraId="35228915">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2229" w:type="dxa"/>
            <w:vAlign w:val="center"/>
          </w:tcPr>
          <w:p w14:paraId="65159BBC">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全水（M）</w:t>
            </w:r>
          </w:p>
        </w:tc>
        <w:tc>
          <w:tcPr>
            <w:tcW w:w="1018" w:type="dxa"/>
            <w:vAlign w:val="center"/>
          </w:tcPr>
          <w:p w14:paraId="3489DDD9">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613" w:type="dxa"/>
            <w:vAlign w:val="center"/>
          </w:tcPr>
          <w:p w14:paraId="454C7C84">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21.81</w:t>
            </w:r>
          </w:p>
        </w:tc>
        <w:tc>
          <w:tcPr>
            <w:tcW w:w="1632" w:type="dxa"/>
            <w:vAlign w:val="center"/>
          </w:tcPr>
          <w:p w14:paraId="34D7B45A">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20.25</w:t>
            </w:r>
          </w:p>
        </w:tc>
        <w:tc>
          <w:tcPr>
            <w:tcW w:w="1536" w:type="dxa"/>
            <w:vAlign w:val="center"/>
          </w:tcPr>
          <w:p w14:paraId="4DD0FB1A">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20.27</w:t>
            </w:r>
          </w:p>
        </w:tc>
      </w:tr>
      <w:tr w14:paraId="3B4597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 w:hRule="atLeast"/>
          <w:jc w:val="center"/>
        </w:trPr>
        <w:tc>
          <w:tcPr>
            <w:tcW w:w="940" w:type="dxa"/>
            <w:vAlign w:val="center"/>
          </w:tcPr>
          <w:p w14:paraId="7673BDE7">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2229" w:type="dxa"/>
            <w:vAlign w:val="center"/>
          </w:tcPr>
          <w:p w14:paraId="2AC98D60">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内水（Mad）</w:t>
            </w:r>
          </w:p>
        </w:tc>
        <w:tc>
          <w:tcPr>
            <w:tcW w:w="1018" w:type="dxa"/>
            <w:vAlign w:val="center"/>
          </w:tcPr>
          <w:p w14:paraId="6A464BE9">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613" w:type="dxa"/>
            <w:vAlign w:val="center"/>
          </w:tcPr>
          <w:p w14:paraId="55248751">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2.71</w:t>
            </w:r>
          </w:p>
        </w:tc>
        <w:tc>
          <w:tcPr>
            <w:tcW w:w="1632" w:type="dxa"/>
            <w:vAlign w:val="center"/>
          </w:tcPr>
          <w:p w14:paraId="46CCFCE7">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2.72</w:t>
            </w:r>
          </w:p>
        </w:tc>
        <w:tc>
          <w:tcPr>
            <w:tcW w:w="1536" w:type="dxa"/>
            <w:vAlign w:val="center"/>
          </w:tcPr>
          <w:p w14:paraId="6A57B1D8">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686</w:t>
            </w:r>
          </w:p>
        </w:tc>
      </w:tr>
      <w:tr w14:paraId="68E660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 w:hRule="atLeast"/>
          <w:jc w:val="center"/>
        </w:trPr>
        <w:tc>
          <w:tcPr>
            <w:tcW w:w="940" w:type="dxa"/>
            <w:vAlign w:val="center"/>
          </w:tcPr>
          <w:p w14:paraId="4B1D7982">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2229" w:type="dxa"/>
            <w:vAlign w:val="center"/>
          </w:tcPr>
          <w:p w14:paraId="4A849F8B">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灰分（Aad）</w:t>
            </w:r>
          </w:p>
        </w:tc>
        <w:tc>
          <w:tcPr>
            <w:tcW w:w="1018" w:type="dxa"/>
            <w:vAlign w:val="center"/>
          </w:tcPr>
          <w:p w14:paraId="1DAD9D38">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613" w:type="dxa"/>
            <w:vAlign w:val="center"/>
          </w:tcPr>
          <w:p w14:paraId="7A252615">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9.94</w:t>
            </w:r>
          </w:p>
        </w:tc>
        <w:tc>
          <w:tcPr>
            <w:tcW w:w="1632" w:type="dxa"/>
            <w:vAlign w:val="center"/>
          </w:tcPr>
          <w:p w14:paraId="36C9770B">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9.57</w:t>
            </w:r>
          </w:p>
        </w:tc>
        <w:tc>
          <w:tcPr>
            <w:tcW w:w="1536" w:type="dxa"/>
            <w:vAlign w:val="center"/>
          </w:tcPr>
          <w:p w14:paraId="6B96B4AA">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5.38</w:t>
            </w:r>
          </w:p>
        </w:tc>
      </w:tr>
      <w:tr w14:paraId="5F246A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 w:hRule="atLeast"/>
          <w:jc w:val="center"/>
        </w:trPr>
        <w:tc>
          <w:tcPr>
            <w:tcW w:w="940" w:type="dxa"/>
            <w:vAlign w:val="center"/>
          </w:tcPr>
          <w:p w14:paraId="38661D38">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2229" w:type="dxa"/>
            <w:vAlign w:val="center"/>
          </w:tcPr>
          <w:p w14:paraId="57BFF76A">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挥发分（Vad）</w:t>
            </w:r>
          </w:p>
        </w:tc>
        <w:tc>
          <w:tcPr>
            <w:tcW w:w="1018" w:type="dxa"/>
            <w:vAlign w:val="center"/>
          </w:tcPr>
          <w:p w14:paraId="0BAD0C34">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613" w:type="dxa"/>
            <w:vAlign w:val="center"/>
          </w:tcPr>
          <w:p w14:paraId="57A62809">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8.91</w:t>
            </w:r>
          </w:p>
        </w:tc>
        <w:tc>
          <w:tcPr>
            <w:tcW w:w="1632" w:type="dxa"/>
            <w:vAlign w:val="center"/>
          </w:tcPr>
          <w:p w14:paraId="2210F35B">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8.51</w:t>
            </w:r>
          </w:p>
        </w:tc>
        <w:tc>
          <w:tcPr>
            <w:tcW w:w="1536" w:type="dxa"/>
            <w:vAlign w:val="center"/>
          </w:tcPr>
          <w:p w14:paraId="0815BF19">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43.73</w:t>
            </w:r>
          </w:p>
        </w:tc>
      </w:tr>
      <w:tr w14:paraId="18B6D0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 w:hRule="atLeast"/>
          <w:jc w:val="center"/>
        </w:trPr>
        <w:tc>
          <w:tcPr>
            <w:tcW w:w="940" w:type="dxa"/>
            <w:vAlign w:val="center"/>
          </w:tcPr>
          <w:p w14:paraId="58A7383F">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2229" w:type="dxa"/>
            <w:vAlign w:val="center"/>
          </w:tcPr>
          <w:p w14:paraId="21FC8903">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固定碳（Fcad）</w:t>
            </w:r>
          </w:p>
        </w:tc>
        <w:tc>
          <w:tcPr>
            <w:tcW w:w="1018" w:type="dxa"/>
            <w:vAlign w:val="center"/>
          </w:tcPr>
          <w:p w14:paraId="6F21A15F">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613" w:type="dxa"/>
            <w:vAlign w:val="center"/>
          </w:tcPr>
          <w:p w14:paraId="2E333B87">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7844</w:t>
            </w:r>
          </w:p>
        </w:tc>
        <w:tc>
          <w:tcPr>
            <w:tcW w:w="1632" w:type="dxa"/>
            <w:vAlign w:val="center"/>
          </w:tcPr>
          <w:p w14:paraId="4A013AE0">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79.20</w:t>
            </w:r>
          </w:p>
        </w:tc>
        <w:tc>
          <w:tcPr>
            <w:tcW w:w="1536" w:type="dxa"/>
            <w:vAlign w:val="center"/>
          </w:tcPr>
          <w:p w14:paraId="6A854CD5">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44.05</w:t>
            </w:r>
          </w:p>
        </w:tc>
      </w:tr>
      <w:tr w14:paraId="2612F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 w:hRule="atLeast"/>
          <w:jc w:val="center"/>
        </w:trPr>
        <w:tc>
          <w:tcPr>
            <w:tcW w:w="940" w:type="dxa"/>
            <w:vAlign w:val="center"/>
          </w:tcPr>
          <w:p w14:paraId="238D70E1">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2229" w:type="dxa"/>
            <w:vAlign w:val="center"/>
          </w:tcPr>
          <w:p w14:paraId="784A0D88">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总硫含量（stad）</w:t>
            </w:r>
          </w:p>
        </w:tc>
        <w:tc>
          <w:tcPr>
            <w:tcW w:w="1018" w:type="dxa"/>
            <w:vAlign w:val="center"/>
          </w:tcPr>
          <w:p w14:paraId="608FEC38">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613" w:type="dxa"/>
            <w:vAlign w:val="center"/>
          </w:tcPr>
          <w:p w14:paraId="70AFD6D6">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0.24</w:t>
            </w:r>
          </w:p>
        </w:tc>
        <w:tc>
          <w:tcPr>
            <w:tcW w:w="1632" w:type="dxa"/>
            <w:vAlign w:val="center"/>
          </w:tcPr>
          <w:p w14:paraId="7B29CAB1">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0.22</w:t>
            </w:r>
          </w:p>
        </w:tc>
        <w:tc>
          <w:tcPr>
            <w:tcW w:w="1536" w:type="dxa"/>
            <w:vAlign w:val="center"/>
          </w:tcPr>
          <w:p w14:paraId="3FD9B8DD">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021</w:t>
            </w:r>
          </w:p>
        </w:tc>
      </w:tr>
      <w:tr w14:paraId="3EBA7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 w:hRule="atLeast"/>
          <w:jc w:val="center"/>
        </w:trPr>
        <w:tc>
          <w:tcPr>
            <w:tcW w:w="940" w:type="dxa"/>
            <w:vAlign w:val="center"/>
          </w:tcPr>
          <w:p w14:paraId="5EAF23A5">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2229" w:type="dxa"/>
            <w:vAlign w:val="center"/>
          </w:tcPr>
          <w:p w14:paraId="6D00FB2E">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高位发热量（Ogvd）</w:t>
            </w:r>
          </w:p>
        </w:tc>
        <w:tc>
          <w:tcPr>
            <w:tcW w:w="1018" w:type="dxa"/>
            <w:vAlign w:val="center"/>
          </w:tcPr>
          <w:p w14:paraId="2C748DC4">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cal/g</w:t>
            </w:r>
          </w:p>
        </w:tc>
        <w:tc>
          <w:tcPr>
            <w:tcW w:w="1613" w:type="dxa"/>
            <w:vAlign w:val="center"/>
          </w:tcPr>
          <w:p w14:paraId="5862B815">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7172</w:t>
            </w:r>
          </w:p>
        </w:tc>
        <w:tc>
          <w:tcPr>
            <w:tcW w:w="1632" w:type="dxa"/>
            <w:vAlign w:val="center"/>
          </w:tcPr>
          <w:p w14:paraId="74726CCD">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7211</w:t>
            </w:r>
          </w:p>
        </w:tc>
        <w:tc>
          <w:tcPr>
            <w:tcW w:w="1536" w:type="dxa"/>
            <w:vAlign w:val="center"/>
          </w:tcPr>
          <w:p w14:paraId="2D7A8BF8">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6869</w:t>
            </w:r>
          </w:p>
        </w:tc>
      </w:tr>
      <w:tr w14:paraId="7ABAF7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 w:hRule="atLeast"/>
          <w:jc w:val="center"/>
        </w:trPr>
        <w:tc>
          <w:tcPr>
            <w:tcW w:w="940" w:type="dxa"/>
            <w:vAlign w:val="center"/>
          </w:tcPr>
          <w:p w14:paraId="5E367C3B">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2229" w:type="dxa"/>
            <w:vAlign w:val="center"/>
          </w:tcPr>
          <w:p w14:paraId="5AF9E45B">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低位发热量（Qnet,v,ar）</w:t>
            </w:r>
          </w:p>
        </w:tc>
        <w:tc>
          <w:tcPr>
            <w:tcW w:w="1018" w:type="dxa"/>
            <w:vAlign w:val="center"/>
          </w:tcPr>
          <w:p w14:paraId="0735FFB1">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callg</w:t>
            </w:r>
          </w:p>
        </w:tc>
        <w:tc>
          <w:tcPr>
            <w:tcW w:w="1613" w:type="dxa"/>
            <w:vAlign w:val="center"/>
          </w:tcPr>
          <w:p w14:paraId="0D857EE4">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5426</w:t>
            </w:r>
          </w:p>
        </w:tc>
        <w:tc>
          <w:tcPr>
            <w:tcW w:w="1632" w:type="dxa"/>
            <w:vAlign w:val="center"/>
          </w:tcPr>
          <w:p w14:paraId="2CBDEEC3">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5552</w:t>
            </w:r>
          </w:p>
        </w:tc>
        <w:tc>
          <w:tcPr>
            <w:tcW w:w="1536" w:type="dxa"/>
            <w:vAlign w:val="center"/>
          </w:tcPr>
          <w:p w14:paraId="3DEFFEFA">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5181</w:t>
            </w:r>
          </w:p>
        </w:tc>
      </w:tr>
      <w:tr w14:paraId="438574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940" w:type="dxa"/>
            <w:vAlign w:val="center"/>
          </w:tcPr>
          <w:p w14:paraId="506D6E16">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9</w:t>
            </w:r>
          </w:p>
        </w:tc>
        <w:tc>
          <w:tcPr>
            <w:tcW w:w="2229" w:type="dxa"/>
            <w:vAlign w:val="center"/>
          </w:tcPr>
          <w:p w14:paraId="29C7830C">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碳</w:t>
            </w:r>
          </w:p>
        </w:tc>
        <w:tc>
          <w:tcPr>
            <w:tcW w:w="1018" w:type="dxa"/>
            <w:vAlign w:val="center"/>
          </w:tcPr>
          <w:p w14:paraId="727F9CA5">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613" w:type="dxa"/>
            <w:vAlign w:val="center"/>
          </w:tcPr>
          <w:p w14:paraId="4DAD61F6">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30.80</w:t>
            </w:r>
          </w:p>
        </w:tc>
        <w:tc>
          <w:tcPr>
            <w:tcW w:w="1632" w:type="dxa"/>
            <w:vAlign w:val="center"/>
          </w:tcPr>
          <w:p w14:paraId="53052124">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81.47</w:t>
            </w:r>
          </w:p>
        </w:tc>
        <w:tc>
          <w:tcPr>
            <w:tcW w:w="1536" w:type="dxa"/>
            <w:vAlign w:val="center"/>
          </w:tcPr>
          <w:p w14:paraId="2B493081">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6675</w:t>
            </w:r>
          </w:p>
        </w:tc>
      </w:tr>
      <w:tr w14:paraId="6F412F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 w:hRule="atLeast"/>
          <w:jc w:val="center"/>
        </w:trPr>
        <w:tc>
          <w:tcPr>
            <w:tcW w:w="940" w:type="dxa"/>
            <w:vAlign w:val="center"/>
          </w:tcPr>
          <w:p w14:paraId="2484F253">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2229" w:type="dxa"/>
            <w:vAlign w:val="center"/>
          </w:tcPr>
          <w:p w14:paraId="3CD01AA2">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氡</w:t>
            </w:r>
          </w:p>
        </w:tc>
        <w:tc>
          <w:tcPr>
            <w:tcW w:w="1018" w:type="dxa"/>
            <w:vAlign w:val="center"/>
          </w:tcPr>
          <w:p w14:paraId="400923F9">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613" w:type="dxa"/>
            <w:vAlign w:val="center"/>
          </w:tcPr>
          <w:p w14:paraId="7439EE67">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157</w:t>
            </w:r>
          </w:p>
        </w:tc>
        <w:tc>
          <w:tcPr>
            <w:tcW w:w="1632" w:type="dxa"/>
            <w:vAlign w:val="center"/>
          </w:tcPr>
          <w:p w14:paraId="7F47BE54">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1.19</w:t>
            </w:r>
          </w:p>
        </w:tc>
        <w:tc>
          <w:tcPr>
            <w:tcW w:w="1536" w:type="dxa"/>
            <w:vAlign w:val="center"/>
          </w:tcPr>
          <w:p w14:paraId="7DB19D1A">
            <w:pPr>
              <w:keepNext w:val="0"/>
              <w:keepLines w:val="0"/>
              <w:pageBreakBefore w:val="0"/>
              <w:widowControl w:val="0"/>
              <w:kinsoku/>
              <w:wordWrap/>
              <w:overflowPunct/>
              <w:topLinePunct w:val="0"/>
              <w:autoSpaceDE w:val="0"/>
              <w:autoSpaceDN w:val="0"/>
              <w:bidi w:val="0"/>
              <w:adjustRightInd w:val="0"/>
              <w:snapToGrid/>
              <w:spacing w:line="360" w:lineRule="exact"/>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4.89</w:t>
            </w:r>
          </w:p>
        </w:tc>
      </w:tr>
    </w:tbl>
    <w:p w14:paraId="45AC7332">
      <w:pPr>
        <w:keepNext w:val="0"/>
        <w:keepLines w:val="0"/>
        <w:pageBreakBefore w:val="0"/>
        <w:widowControl w:val="0"/>
        <w:suppressLineNumbers w:val="0"/>
        <w:kinsoku/>
        <w:wordWrap/>
        <w:overflowPunct/>
        <w:topLinePunct w:val="0"/>
        <w:autoSpaceDE/>
        <w:autoSpaceDN/>
        <w:bidi w:val="0"/>
        <w:adjustRightInd/>
        <w:snapToGrid/>
        <w:spacing w:line="480" w:lineRule="exact"/>
        <w:ind w:firstLine="480" w:firstLineChars="200"/>
        <w:jc w:val="both"/>
        <w:textAlignment w:val="auto"/>
        <w:outlineLvl w:val="9"/>
        <w:rPr>
          <w:rFonts w:hint="default" w:ascii="Times New Roman" w:hAnsi="Times New Roman" w:eastAsia="宋体" w:cs="Times New Roman"/>
          <w:color w:val="auto"/>
          <w:spacing w:val="0"/>
          <w:kern w:val="0"/>
          <w:sz w:val="24"/>
          <w:szCs w:val="24"/>
          <w:highlight w:val="none"/>
          <w:lang w:val="en-US" w:eastAsia="zh-CN" w:bidi="ar"/>
        </w:rPr>
      </w:pPr>
      <w:r>
        <w:rPr>
          <w:rFonts w:hint="eastAsia" w:cs="Times New Roman"/>
          <w:color w:val="auto"/>
          <w:spacing w:val="0"/>
          <w:kern w:val="0"/>
          <w:sz w:val="24"/>
          <w:szCs w:val="24"/>
          <w:highlight w:val="none"/>
          <w:lang w:val="en-US" w:eastAsia="zh-CN" w:bidi="ar"/>
        </w:rPr>
        <w:t>本项目</w:t>
      </w:r>
      <w:r>
        <w:rPr>
          <w:rFonts w:hint="default" w:ascii="Times New Roman" w:hAnsi="Times New Roman" w:eastAsia="宋体" w:cs="Times New Roman"/>
          <w:color w:val="auto"/>
          <w:spacing w:val="0"/>
          <w:kern w:val="0"/>
          <w:sz w:val="24"/>
          <w:szCs w:val="24"/>
          <w:highlight w:val="none"/>
          <w:lang w:val="en-US" w:eastAsia="zh-CN" w:bidi="ar"/>
        </w:rPr>
        <w:t>采用经验公式法核算污染源源强；根据《排污许可证申请与核发技术规范 锅炉》（HJ953-2018）核算锅炉废气量，计算过程如下：</w:t>
      </w:r>
    </w:p>
    <w:p w14:paraId="4242D16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pacing w:val="6"/>
          <w:sz w:val="24"/>
          <w:szCs w:val="24"/>
          <w:highlight w:val="none"/>
          <w:lang w:val="en-US" w:eastAsia="zh-CN"/>
        </w:rPr>
        <w:t>链条式燃煤</w:t>
      </w:r>
      <w:r>
        <w:rPr>
          <w:rFonts w:hint="default" w:ascii="Times New Roman" w:hAnsi="Times New Roman" w:eastAsia="宋体" w:cs="Times New Roman"/>
          <w:color w:val="auto"/>
          <w:sz w:val="24"/>
          <w:szCs w:val="24"/>
          <w:highlight w:val="none"/>
          <w:lang w:val="en-US" w:eastAsia="zh-CN"/>
        </w:rPr>
        <w:t>废气量计算</w:t>
      </w:r>
    </w:p>
    <w:p w14:paraId="5606A237">
      <w:pPr>
        <w:keepNext w:val="0"/>
        <w:keepLines w:val="0"/>
        <w:pageBreakBefore w:val="0"/>
        <w:widowControl w:val="0"/>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w:t>
      </w:r>
      <w:bookmarkStart w:id="440" w:name="OLE_LINK684"/>
      <w:r>
        <w:rPr>
          <w:rFonts w:hint="default" w:ascii="Times New Roman" w:hAnsi="Times New Roman" w:eastAsia="宋体" w:cs="Times New Roman"/>
          <w:color w:val="auto"/>
          <w:kern w:val="0"/>
          <w:sz w:val="24"/>
          <w:szCs w:val="24"/>
          <w:highlight w:val="none"/>
          <w:lang w:val="en-US" w:eastAsia="zh-CN" w:bidi="ar"/>
        </w:rPr>
        <w:t>《污染源强核算技术指南 锅炉》</w:t>
      </w:r>
      <w:r>
        <w:rPr>
          <w:rFonts w:hint="default" w:ascii="Times New Roman" w:hAnsi="Times New Roman" w:eastAsia="宋体" w:cs="Times New Roman"/>
          <w:color w:val="auto"/>
          <w:spacing w:val="0"/>
          <w:kern w:val="0"/>
          <w:sz w:val="24"/>
          <w:szCs w:val="24"/>
          <w:highlight w:val="none"/>
          <w:lang w:val="en-US" w:eastAsia="zh-CN" w:bidi="ar"/>
        </w:rPr>
        <w:t>（HJ991-2018）</w:t>
      </w:r>
      <w:bookmarkEnd w:id="440"/>
      <w:r>
        <w:rPr>
          <w:rFonts w:hint="default" w:ascii="Times New Roman" w:hAnsi="Times New Roman" w:eastAsia="宋体" w:cs="Times New Roman"/>
          <w:color w:val="auto"/>
          <w:spacing w:val="0"/>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锅炉废气污染源源强核算参数参考值附录C，C.5没有元素分析时，干烟气排放量的经验公式计算参照HJ 953。根据《排污许可证申请与核发技术规范 锅炉》（HJ953-2018），锅炉排污单位若无燃料元素分析数据或气体组成成分分析数据，可根据燃料低位发热量计算基准烟气量，因此本次核算采用规范表5中的经验公式估算法进行计算。</w:t>
      </w:r>
    </w:p>
    <w:p w14:paraId="6CA23BD9">
      <w:pPr>
        <w:keepNext w:val="0"/>
        <w:keepLines w:val="0"/>
        <w:pageBreakBefore w:val="0"/>
        <w:widowControl w:val="0"/>
        <w:suppressLineNumbers w:val="0"/>
        <w:kinsoku/>
        <w:wordWrap/>
        <w:overflowPunct/>
        <w:topLinePunct w:val="0"/>
        <w:autoSpaceDE/>
        <w:autoSpaceDN/>
        <w:bidi w:val="0"/>
        <w:adjustRightInd/>
        <w:snapToGrid/>
        <w:spacing w:line="480" w:lineRule="exact"/>
        <w:ind w:firstLine="0" w:firstLineChars="0"/>
        <w:jc w:val="center"/>
        <w:textAlignment w:val="auto"/>
        <w:outlineLvl w:val="9"/>
        <w:rPr>
          <w:rFonts w:hint="default" w:ascii="Times New Roman" w:hAnsi="Times New Roman" w:eastAsia="宋体" w:cs="Times New Roman"/>
          <w:color w:val="auto"/>
          <w:spacing w:val="0"/>
          <w:sz w:val="24"/>
          <w:szCs w:val="24"/>
          <w:highlight w:val="none"/>
          <w:lang w:val="en-US"/>
        </w:rPr>
      </w:pPr>
      <w:r>
        <w:rPr>
          <w:rFonts w:hint="default" w:ascii="Times New Roman" w:hAnsi="Times New Roman" w:eastAsia="宋体" w:cs="Times New Roman"/>
          <w:color w:val="auto"/>
          <w:spacing w:val="0"/>
          <w:kern w:val="0"/>
          <w:sz w:val="24"/>
          <w:szCs w:val="24"/>
          <w:highlight w:val="none"/>
          <w:lang w:val="en-US" w:eastAsia="zh-CN" w:bidi="ar"/>
        </w:rPr>
        <w:t>V</w:t>
      </w:r>
      <w:r>
        <w:rPr>
          <w:rFonts w:hint="default" w:ascii="Times New Roman" w:hAnsi="Times New Roman" w:eastAsia="宋体" w:cs="Times New Roman"/>
          <w:color w:val="auto"/>
          <w:spacing w:val="0"/>
          <w:kern w:val="0"/>
          <w:sz w:val="24"/>
          <w:szCs w:val="24"/>
          <w:highlight w:val="none"/>
          <w:vertAlign w:val="subscript"/>
          <w:lang w:val="en-US" w:eastAsia="zh-CN" w:bidi="ar"/>
        </w:rPr>
        <w:t>gy</w:t>
      </w:r>
      <w:r>
        <w:rPr>
          <w:rFonts w:hint="default" w:ascii="Times New Roman" w:hAnsi="Times New Roman" w:eastAsia="宋体" w:cs="Times New Roman"/>
          <w:color w:val="auto"/>
          <w:spacing w:val="0"/>
          <w:kern w:val="0"/>
          <w:sz w:val="24"/>
          <w:szCs w:val="24"/>
          <w:highlight w:val="none"/>
          <w:lang w:val="en-US" w:eastAsia="zh-CN" w:bidi="ar"/>
        </w:rPr>
        <w:t>=0.411</w:t>
      </w:r>
      <w:r>
        <w:rPr>
          <w:rFonts w:hint="default" w:ascii="Times New Roman" w:hAnsi="Times New Roman" w:eastAsia="宋体" w:cs="Times New Roman"/>
          <w:i/>
          <w:iCs/>
          <w:color w:val="auto"/>
          <w:spacing w:val="0"/>
          <w:kern w:val="0"/>
          <w:sz w:val="24"/>
          <w:szCs w:val="24"/>
          <w:highlight w:val="none"/>
          <w:lang w:val="en-US" w:eastAsia="zh-CN" w:bidi="ar"/>
        </w:rPr>
        <w:t>Q</w:t>
      </w:r>
      <w:r>
        <w:rPr>
          <w:rFonts w:hint="default" w:ascii="Times New Roman" w:hAnsi="Times New Roman" w:eastAsia="宋体" w:cs="Times New Roman"/>
          <w:color w:val="auto"/>
          <w:spacing w:val="0"/>
          <w:kern w:val="0"/>
          <w:sz w:val="24"/>
          <w:szCs w:val="24"/>
          <w:highlight w:val="none"/>
          <w:vertAlign w:val="subscript"/>
          <w:lang w:val="en-US" w:eastAsia="zh-CN" w:bidi="ar"/>
        </w:rPr>
        <w:t>net,ar</w:t>
      </w:r>
      <w:r>
        <w:rPr>
          <w:rFonts w:hint="default" w:ascii="Times New Roman" w:hAnsi="Times New Roman" w:eastAsia="宋体" w:cs="Times New Roman"/>
          <w:color w:val="auto"/>
          <w:spacing w:val="0"/>
          <w:kern w:val="0"/>
          <w:sz w:val="24"/>
          <w:szCs w:val="24"/>
          <w:highlight w:val="none"/>
          <w:lang w:val="en-US" w:eastAsia="zh-CN" w:bidi="ar"/>
        </w:rPr>
        <w:t>+ 0.918</w:t>
      </w:r>
    </w:p>
    <w:p w14:paraId="06E616B5">
      <w:pPr>
        <w:keepNext w:val="0"/>
        <w:keepLines w:val="0"/>
        <w:pageBreakBefore w:val="0"/>
        <w:widowControl w:val="0"/>
        <w:suppressLineNumbers w:val="0"/>
        <w:kinsoku/>
        <w:wordWrap/>
        <w:overflowPunct/>
        <w:topLinePunct w:val="0"/>
        <w:autoSpaceDE/>
        <w:autoSpaceDN/>
        <w:bidi w:val="0"/>
        <w:adjustRightInd/>
        <w:snapToGrid/>
        <w:spacing w:line="480" w:lineRule="exact"/>
        <w:ind w:firstLine="480" w:firstLineChars="200"/>
        <w:jc w:val="both"/>
        <w:textAlignment w:val="auto"/>
        <w:outlineLvl w:val="9"/>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kern w:val="0"/>
          <w:sz w:val="24"/>
          <w:szCs w:val="24"/>
          <w:highlight w:val="none"/>
          <w:lang w:val="en-US" w:eastAsia="zh-CN" w:bidi="ar"/>
        </w:rPr>
        <w:t>式中：V</w:t>
      </w:r>
      <w:r>
        <w:rPr>
          <w:rFonts w:hint="default" w:ascii="Times New Roman" w:hAnsi="Times New Roman" w:eastAsia="宋体" w:cs="Times New Roman"/>
          <w:color w:val="auto"/>
          <w:spacing w:val="0"/>
          <w:kern w:val="0"/>
          <w:sz w:val="24"/>
          <w:szCs w:val="24"/>
          <w:highlight w:val="none"/>
          <w:vertAlign w:val="subscript"/>
          <w:lang w:val="en-US" w:eastAsia="zh-CN" w:bidi="ar"/>
        </w:rPr>
        <w:t>gy</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spacing w:val="0"/>
          <w:kern w:val="0"/>
          <w:sz w:val="24"/>
          <w:szCs w:val="24"/>
          <w:highlight w:val="none"/>
          <w:lang w:val="en-US" w:eastAsia="zh-CN" w:bidi="ar"/>
        </w:rPr>
        <w:t>基准烟气量（</w:t>
      </w:r>
      <w:bookmarkStart w:id="441" w:name="OLE_LINK686"/>
      <w:r>
        <w:rPr>
          <w:rFonts w:hint="default" w:ascii="Times New Roman" w:hAnsi="Times New Roman" w:eastAsia="宋体" w:cs="Times New Roman"/>
          <w:color w:val="auto"/>
          <w:spacing w:val="0"/>
          <w:kern w:val="0"/>
          <w:sz w:val="24"/>
          <w:szCs w:val="24"/>
          <w:highlight w:val="none"/>
          <w:lang w:val="en-US" w:eastAsia="zh-CN" w:bidi="ar"/>
        </w:rPr>
        <w:t>Nm³/kg</w:t>
      </w:r>
      <w:bookmarkEnd w:id="441"/>
      <w:r>
        <w:rPr>
          <w:rFonts w:hint="default" w:ascii="Times New Roman" w:hAnsi="Times New Roman" w:eastAsia="宋体" w:cs="Times New Roman"/>
          <w:color w:val="auto"/>
          <w:spacing w:val="0"/>
          <w:kern w:val="0"/>
          <w:sz w:val="24"/>
          <w:szCs w:val="24"/>
          <w:highlight w:val="none"/>
          <w:lang w:val="en-US" w:eastAsia="zh-CN" w:bidi="ar"/>
        </w:rPr>
        <w:t xml:space="preserve">）； </w:t>
      </w:r>
    </w:p>
    <w:p w14:paraId="6E15920A">
      <w:pPr>
        <w:keepNext w:val="0"/>
        <w:keepLines w:val="0"/>
        <w:pageBreakBefore w:val="0"/>
        <w:widowControl/>
        <w:suppressLineNumbers w:val="0"/>
        <w:kinsoku/>
        <w:wordWrap/>
        <w:overflowPunct/>
        <w:topLinePunct w:val="0"/>
        <w:autoSpaceDE/>
        <w:autoSpaceDN/>
        <w:bidi w:val="0"/>
        <w:adjustRightInd/>
        <w:snapToGrid/>
        <w:spacing w:line="480" w:lineRule="exact"/>
        <w:ind w:firstLine="1200" w:firstLineChars="5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pacing w:val="0"/>
          <w:kern w:val="0"/>
          <w:sz w:val="24"/>
          <w:szCs w:val="24"/>
          <w:highlight w:val="none"/>
          <w:lang w:val="en-US" w:eastAsia="zh-CN" w:bidi="ar"/>
        </w:rPr>
        <w:t>Q</w:t>
      </w:r>
      <w:r>
        <w:rPr>
          <w:rFonts w:hint="default" w:ascii="Times New Roman" w:hAnsi="Times New Roman" w:eastAsia="宋体" w:cs="Times New Roman"/>
          <w:color w:val="auto"/>
          <w:spacing w:val="0"/>
          <w:kern w:val="0"/>
          <w:sz w:val="24"/>
          <w:szCs w:val="24"/>
          <w:highlight w:val="none"/>
          <w:vertAlign w:val="subscript"/>
          <w:lang w:val="en-US" w:eastAsia="zh-CN" w:bidi="ar"/>
        </w:rPr>
        <w:t>net,ar</w:t>
      </w:r>
      <w:r>
        <w:rPr>
          <w:rFonts w:hint="default" w:ascii="Times New Roman" w:hAnsi="Times New Roman" w:eastAsia="宋体" w:cs="Times New Roman"/>
          <w:color w:val="auto"/>
          <w:kern w:val="0"/>
          <w:sz w:val="24"/>
          <w:szCs w:val="24"/>
          <w:highlight w:val="none"/>
          <w:lang w:val="en-US" w:eastAsia="zh-CN" w:bidi="ar"/>
        </w:rPr>
        <w:t>—固体/液体燃料收到基低位发热量</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MJ/kg</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spacing w:val="0"/>
          <w:kern w:val="0"/>
          <w:sz w:val="24"/>
          <w:szCs w:val="24"/>
          <w:highlight w:val="none"/>
          <w:lang w:val="en-US" w:eastAsia="zh-CN" w:bidi="ar"/>
        </w:rPr>
        <w:t>根据建设单位提供的</w:t>
      </w:r>
      <w:bookmarkStart w:id="442" w:name="OLE_LINK99"/>
      <w:r>
        <w:rPr>
          <w:rFonts w:hint="default" w:ascii="Times New Roman" w:hAnsi="Times New Roman" w:eastAsia="宋体" w:cs="Times New Roman"/>
          <w:color w:val="auto"/>
          <w:spacing w:val="0"/>
          <w:kern w:val="0"/>
          <w:sz w:val="24"/>
          <w:szCs w:val="24"/>
          <w:highlight w:val="none"/>
          <w:lang w:val="en-US" w:eastAsia="zh-CN" w:bidi="ar"/>
        </w:rPr>
        <w:t>煤炭</w:t>
      </w:r>
      <w:bookmarkEnd w:id="442"/>
      <w:r>
        <w:rPr>
          <w:rFonts w:hint="default" w:ascii="Times New Roman" w:hAnsi="Times New Roman" w:eastAsia="宋体" w:cs="Times New Roman"/>
          <w:color w:val="auto"/>
          <w:spacing w:val="0"/>
          <w:kern w:val="0"/>
          <w:sz w:val="24"/>
          <w:szCs w:val="24"/>
          <w:highlight w:val="none"/>
          <w:lang w:val="en-US" w:eastAsia="zh-CN" w:bidi="ar"/>
        </w:rPr>
        <w:t>检验报告单</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spacing w:val="0"/>
          <w:kern w:val="0"/>
          <w:sz w:val="24"/>
          <w:szCs w:val="24"/>
          <w:highlight w:val="none"/>
          <w:lang w:val="en-US" w:eastAsia="zh-CN" w:bidi="ar"/>
        </w:rPr>
        <w:t>煤炭</w:t>
      </w:r>
      <w:r>
        <w:rPr>
          <w:rFonts w:hint="default" w:ascii="Times New Roman" w:hAnsi="Times New Roman" w:eastAsia="宋体" w:cs="Times New Roman"/>
          <w:color w:val="auto"/>
          <w:kern w:val="0"/>
          <w:sz w:val="24"/>
          <w:szCs w:val="24"/>
          <w:highlight w:val="none"/>
          <w:lang w:val="en-US" w:eastAsia="zh-CN" w:bidi="ar"/>
        </w:rPr>
        <w:t>收到基低位发热量为5426Kcal/kg，约为22.72MJ/kg。</w:t>
      </w:r>
    </w:p>
    <w:p w14:paraId="6F60F50C">
      <w:pPr>
        <w:keepNext w:val="0"/>
        <w:keepLines w:val="0"/>
        <w:pageBreakBefore w:val="0"/>
        <w:widowControl w:val="0"/>
        <w:kinsoku/>
        <w:wordWrap/>
        <w:overflowPunct/>
        <w:topLinePunct w:val="0"/>
        <w:autoSpaceDE/>
        <w:autoSpaceDN/>
        <w:bidi w:val="0"/>
        <w:adjustRightInd/>
        <w:snapToGrid/>
        <w:spacing w:after="0" w:afterLines="0" w:afterAutospacing="0" w:line="480" w:lineRule="exact"/>
        <w:ind w:firstLine="480" w:firstLineChars="200"/>
        <w:jc w:val="both"/>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根据上式计算，本项目</w:t>
      </w:r>
      <w:r>
        <w:rPr>
          <w:rFonts w:hint="default" w:ascii="Times New Roman" w:hAnsi="Times New Roman" w:eastAsia="宋体" w:cs="Times New Roman"/>
          <w:color w:val="auto"/>
          <w:spacing w:val="6"/>
          <w:kern w:val="2"/>
          <w:sz w:val="24"/>
          <w:szCs w:val="24"/>
          <w:highlight w:val="none"/>
          <w:lang w:val="en-US" w:eastAsia="zh-CN" w:bidi="ar-SA"/>
        </w:rPr>
        <w:t>链条式燃煤</w:t>
      </w:r>
      <w:r>
        <w:rPr>
          <w:rFonts w:hint="default" w:ascii="Times New Roman" w:hAnsi="Times New Roman" w:eastAsia="宋体" w:cs="Times New Roman"/>
          <w:color w:val="auto"/>
          <w:kern w:val="2"/>
          <w:sz w:val="24"/>
          <w:szCs w:val="24"/>
          <w:highlight w:val="none"/>
          <w:lang w:val="en-US" w:eastAsia="zh-CN" w:bidi="ar-SA"/>
        </w:rPr>
        <w:t>锅炉基准烟气量为：0.411×22.72+0.918=10.256</w:t>
      </w:r>
      <w:r>
        <w:rPr>
          <w:rFonts w:hint="default" w:ascii="Times New Roman" w:hAnsi="Times New Roman" w:eastAsia="宋体" w:cs="Times New Roman"/>
          <w:color w:val="auto"/>
          <w:spacing w:val="0"/>
          <w:kern w:val="0"/>
          <w:sz w:val="24"/>
          <w:szCs w:val="24"/>
          <w:highlight w:val="none"/>
          <w:lang w:val="en-US" w:eastAsia="zh-CN" w:bidi="ar"/>
        </w:rPr>
        <w:t>Nm³/kg，项目煤炭用量为</w:t>
      </w:r>
      <w:r>
        <w:rPr>
          <w:rFonts w:hint="default" w:ascii="Times New Roman" w:hAnsi="Times New Roman" w:eastAsia="宋体" w:cs="Times New Roman"/>
          <w:color w:val="auto"/>
          <w:kern w:val="2"/>
          <w:sz w:val="24"/>
          <w:szCs w:val="24"/>
          <w:highlight w:val="none"/>
          <w:lang w:val="en-US" w:eastAsia="zh-CN" w:bidi="ar-SA"/>
        </w:rPr>
        <w:t>5400t/a，则</w:t>
      </w:r>
      <w:r>
        <w:rPr>
          <w:rFonts w:hint="default" w:ascii="Times New Roman" w:hAnsi="Times New Roman" w:eastAsia="宋体" w:cs="Times New Roman"/>
          <w:color w:val="auto"/>
          <w:spacing w:val="6"/>
          <w:kern w:val="2"/>
          <w:sz w:val="24"/>
          <w:szCs w:val="24"/>
          <w:highlight w:val="none"/>
          <w:lang w:val="en-US" w:eastAsia="zh-CN" w:bidi="ar-SA"/>
        </w:rPr>
        <w:t>链条式燃煤</w:t>
      </w:r>
      <w:r>
        <w:rPr>
          <w:rFonts w:hint="default" w:ascii="Times New Roman" w:hAnsi="Times New Roman" w:eastAsia="宋体" w:cs="Times New Roman"/>
          <w:color w:val="auto"/>
          <w:kern w:val="2"/>
          <w:sz w:val="24"/>
          <w:szCs w:val="24"/>
          <w:highlight w:val="none"/>
          <w:lang w:val="en-US" w:eastAsia="zh-CN" w:bidi="ar-SA"/>
        </w:rPr>
        <w:t>锅炉废气量为</w:t>
      </w:r>
      <w:bookmarkStart w:id="443" w:name="OLE_LINK723"/>
      <w:r>
        <w:rPr>
          <w:rFonts w:hint="default" w:ascii="Times New Roman" w:hAnsi="Times New Roman" w:eastAsia="宋体" w:cs="Times New Roman"/>
          <w:color w:val="auto"/>
          <w:kern w:val="2"/>
          <w:sz w:val="24"/>
          <w:szCs w:val="24"/>
          <w:highlight w:val="none"/>
          <w:lang w:val="en-US" w:eastAsia="zh-CN" w:bidi="ar-SA"/>
        </w:rPr>
        <w:t>5538.24万</w:t>
      </w:r>
      <w:r>
        <w:rPr>
          <w:rFonts w:hint="default" w:ascii="Times New Roman" w:hAnsi="Times New Roman" w:eastAsia="宋体" w:cs="Times New Roman"/>
          <w:color w:val="auto"/>
          <w:spacing w:val="0"/>
          <w:kern w:val="0"/>
          <w:sz w:val="24"/>
          <w:szCs w:val="24"/>
          <w:highlight w:val="none"/>
          <w:lang w:val="en-US" w:eastAsia="zh-CN" w:bidi="ar"/>
        </w:rPr>
        <w:t>Nm³/a</w:t>
      </w:r>
      <w:bookmarkEnd w:id="443"/>
      <w:r>
        <w:rPr>
          <w:rFonts w:hint="default" w:ascii="Times New Roman" w:hAnsi="Times New Roman" w:eastAsia="宋体" w:cs="Times New Roman"/>
          <w:color w:val="auto"/>
          <w:spacing w:val="0"/>
          <w:kern w:val="0"/>
          <w:sz w:val="24"/>
          <w:szCs w:val="24"/>
          <w:highlight w:val="none"/>
          <w:lang w:val="en-US" w:eastAsia="zh-CN" w:bidi="ar"/>
        </w:rPr>
        <w:t>。</w:t>
      </w:r>
    </w:p>
    <w:p w14:paraId="715CA270">
      <w:pPr>
        <w:keepNext w:val="0"/>
        <w:keepLines w:val="0"/>
        <w:pageBreakBefore w:val="0"/>
        <w:widowControl w:val="0"/>
        <w:suppressLineNumbers w:val="0"/>
        <w:kinsoku/>
        <w:wordWrap/>
        <w:overflowPunct/>
        <w:topLinePunct w:val="0"/>
        <w:autoSpaceDE/>
        <w:autoSpaceDN/>
        <w:bidi w:val="0"/>
        <w:adjustRightInd/>
        <w:snapToGrid/>
        <w:spacing w:line="480" w:lineRule="exact"/>
        <w:ind w:firstLine="504" w:firstLineChars="200"/>
        <w:jc w:val="both"/>
        <w:textAlignment w:val="auto"/>
        <w:outlineLvl w:val="9"/>
        <w:rPr>
          <w:rFonts w:hint="default" w:ascii="Times New Roman" w:hAnsi="Times New Roman" w:eastAsia="宋体" w:cs="Times New Roman"/>
          <w:b/>
          <w:bCs/>
          <w:color w:val="auto"/>
          <w:kern w:val="0"/>
          <w:sz w:val="24"/>
          <w:szCs w:val="24"/>
          <w:highlight w:val="none"/>
          <w:lang w:val="en-US" w:eastAsia="zh-CN" w:bidi="ar"/>
        </w:rPr>
      </w:pPr>
      <w:bookmarkStart w:id="444" w:name="OLE_LINK694"/>
      <w:r>
        <w:rPr>
          <w:rFonts w:hint="default" w:ascii="Times New Roman" w:hAnsi="Times New Roman" w:eastAsia="宋体" w:cs="Times New Roman"/>
          <w:color w:val="auto"/>
          <w:spacing w:val="6"/>
          <w:sz w:val="24"/>
          <w:szCs w:val="24"/>
          <w:highlight w:val="none"/>
          <w:lang w:val="en-US" w:eastAsia="zh-CN"/>
        </w:rPr>
        <w:t>2）链条式燃煤</w:t>
      </w:r>
      <w:r>
        <w:rPr>
          <w:rFonts w:hint="default" w:ascii="Times New Roman" w:hAnsi="Times New Roman" w:eastAsia="宋体" w:cs="Times New Roman"/>
          <w:color w:val="auto"/>
          <w:sz w:val="24"/>
          <w:szCs w:val="24"/>
          <w:highlight w:val="none"/>
          <w:lang w:val="en-US" w:eastAsia="zh-CN"/>
        </w:rPr>
        <w:t>锅炉</w:t>
      </w:r>
      <w:bookmarkEnd w:id="444"/>
      <w:r>
        <w:rPr>
          <w:rFonts w:hint="default" w:ascii="Times New Roman" w:hAnsi="Times New Roman" w:eastAsia="宋体" w:cs="Times New Roman"/>
          <w:color w:val="auto"/>
          <w:sz w:val="24"/>
          <w:szCs w:val="24"/>
          <w:highlight w:val="none"/>
          <w:lang w:val="en-US" w:eastAsia="zh-CN"/>
        </w:rPr>
        <w:t>颗粒物计算</w:t>
      </w:r>
    </w:p>
    <w:p w14:paraId="2E359ACF">
      <w:pPr>
        <w:keepNext w:val="0"/>
        <w:keepLines w:val="0"/>
        <w:pageBreakBefore w:val="0"/>
        <w:widowControl w:val="0"/>
        <w:suppressLineNumbers w:val="0"/>
        <w:kinsoku/>
        <w:wordWrap/>
        <w:overflowPunct/>
        <w:topLinePunct w:val="0"/>
        <w:autoSpaceDE/>
        <w:autoSpaceDN/>
        <w:bidi w:val="0"/>
        <w:adjustRightInd/>
        <w:snapToGrid/>
        <w:spacing w:line="480" w:lineRule="exact"/>
        <w:ind w:firstLine="480" w:firstLineChars="200"/>
        <w:jc w:val="left"/>
        <w:textAlignment w:val="auto"/>
        <w:outlineLvl w:val="9"/>
        <w:rPr>
          <w:rFonts w:hint="default" w:ascii="Times New Roman" w:hAnsi="Times New Roman" w:eastAsia="宋体" w:cs="Times New Roman"/>
          <w:color w:val="auto"/>
          <w:highlight w:val="none"/>
        </w:rPr>
      </w:pPr>
      <w:bookmarkStart w:id="445" w:name="OLE_LINK695"/>
      <w:r>
        <w:rPr>
          <w:rFonts w:hint="default" w:ascii="Times New Roman" w:hAnsi="Times New Roman" w:eastAsia="宋体" w:cs="Times New Roman"/>
          <w:color w:val="auto"/>
          <w:kern w:val="0"/>
          <w:sz w:val="24"/>
          <w:szCs w:val="24"/>
          <w:highlight w:val="none"/>
          <w:lang w:val="en-US" w:eastAsia="zh-CN" w:bidi="ar"/>
        </w:rPr>
        <w:t>根据《污染源强核算技术指南 锅炉》</w:t>
      </w:r>
      <w:r>
        <w:rPr>
          <w:rFonts w:hint="default" w:ascii="Times New Roman" w:hAnsi="Times New Roman" w:eastAsia="宋体" w:cs="Times New Roman"/>
          <w:color w:val="auto"/>
          <w:spacing w:val="0"/>
          <w:kern w:val="0"/>
          <w:sz w:val="24"/>
          <w:szCs w:val="24"/>
          <w:highlight w:val="none"/>
          <w:lang w:val="en-US" w:eastAsia="zh-CN" w:bidi="ar"/>
        </w:rPr>
        <w:t>（HJ991-2018），</w:t>
      </w:r>
      <w:r>
        <w:rPr>
          <w:rFonts w:hint="default" w:ascii="Times New Roman" w:hAnsi="Times New Roman" w:eastAsia="宋体" w:cs="Times New Roman"/>
          <w:color w:val="auto"/>
          <w:kern w:val="0"/>
          <w:sz w:val="24"/>
          <w:szCs w:val="24"/>
          <w:highlight w:val="none"/>
          <w:lang w:val="en-US" w:eastAsia="zh-CN" w:bidi="ar"/>
        </w:rPr>
        <w:t>指南中废气污染源源强核算方法5.1.1燃煤、燃生物质锅炉颗粒物（烟尘）排放量按下式计算：</w:t>
      </w:r>
    </w:p>
    <w:bookmarkEnd w:id="445"/>
    <w:p w14:paraId="42EF6CA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114300" distR="114300">
            <wp:extent cx="1885950" cy="819150"/>
            <wp:effectExtent l="0" t="0" r="0" b="0"/>
            <wp:docPr id="7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
                    <pic:cNvPicPr>
                      <a:picLocks noChangeAspect="1"/>
                    </pic:cNvPicPr>
                  </pic:nvPicPr>
                  <pic:blipFill>
                    <a:blip r:embed="rId25"/>
                    <a:stretch>
                      <a:fillRect/>
                    </a:stretch>
                  </pic:blipFill>
                  <pic:spPr>
                    <a:xfrm>
                      <a:off x="0" y="0"/>
                      <a:ext cx="1885950" cy="819150"/>
                    </a:xfrm>
                    <a:prstGeom prst="rect">
                      <a:avLst/>
                    </a:prstGeom>
                    <a:noFill/>
                    <a:ln>
                      <a:noFill/>
                    </a:ln>
                  </pic:spPr>
                </pic:pic>
              </a:graphicData>
            </a:graphic>
          </wp:inline>
        </w:drawing>
      </w:r>
    </w:p>
    <w:p w14:paraId="30897874">
      <w:pPr>
        <w:keepNext w:val="0"/>
        <w:keepLines w:val="0"/>
        <w:pageBreakBefore w:val="0"/>
        <w:widowControl w:val="0"/>
        <w:suppressLineNumbers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式中：E</w:t>
      </w:r>
      <w:r>
        <w:rPr>
          <w:rFonts w:hint="default" w:ascii="Times New Roman" w:hAnsi="Times New Roman" w:eastAsia="宋体" w:cs="Times New Roman"/>
          <w:color w:val="auto"/>
          <w:kern w:val="0"/>
          <w:sz w:val="24"/>
          <w:szCs w:val="24"/>
          <w:highlight w:val="none"/>
          <w:vertAlign w:val="subscript"/>
          <w:lang w:val="en-US" w:eastAsia="zh-CN" w:bidi="ar"/>
        </w:rPr>
        <w:t>A</w:t>
      </w:r>
      <w:r>
        <w:rPr>
          <w:rFonts w:hint="default" w:ascii="Times New Roman" w:hAnsi="Times New Roman" w:eastAsia="宋体" w:cs="Times New Roman"/>
          <w:color w:val="auto"/>
          <w:kern w:val="0"/>
          <w:sz w:val="24"/>
          <w:szCs w:val="24"/>
          <w:highlight w:val="none"/>
          <w:lang w:val="en-US" w:eastAsia="zh-CN" w:bidi="ar"/>
        </w:rPr>
        <w:t xml:space="preserve">—核算时段内颗粒物（烟尘）排放量，t； </w:t>
      </w:r>
    </w:p>
    <w:p w14:paraId="48DA134C">
      <w:pPr>
        <w:keepNext w:val="0"/>
        <w:keepLines w:val="0"/>
        <w:pageBreakBefore w:val="0"/>
        <w:widowControl w:val="0"/>
        <w:suppressLineNumbers w:val="0"/>
        <w:kinsoku/>
        <w:wordWrap/>
        <w:overflowPunct/>
        <w:topLinePunct w:val="0"/>
        <w:autoSpaceDE/>
        <w:autoSpaceDN/>
        <w:bidi w:val="0"/>
        <w:adjustRightInd/>
        <w:snapToGrid/>
        <w:spacing w:line="480" w:lineRule="exact"/>
        <w:ind w:firstLine="1200" w:firstLineChars="5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R—核算时段内锅炉燃料耗量，t；</w:t>
      </w:r>
      <w:bookmarkStart w:id="446" w:name="OLE_LINK696"/>
      <w:bookmarkStart w:id="447" w:name="OLE_LINK697"/>
      <w:r>
        <w:rPr>
          <w:rFonts w:hint="default" w:ascii="Times New Roman" w:hAnsi="Times New Roman" w:eastAsia="宋体" w:cs="Times New Roman"/>
          <w:color w:val="auto"/>
          <w:kern w:val="0"/>
          <w:sz w:val="24"/>
          <w:szCs w:val="24"/>
          <w:highlight w:val="none"/>
          <w:lang w:val="en-US" w:eastAsia="zh-CN" w:bidi="ar"/>
        </w:rPr>
        <w:t>本项目</w:t>
      </w:r>
      <w:bookmarkEnd w:id="446"/>
      <w:r>
        <w:rPr>
          <w:rFonts w:hint="default" w:ascii="Times New Roman" w:hAnsi="Times New Roman" w:eastAsia="宋体" w:cs="Times New Roman"/>
          <w:color w:val="auto"/>
          <w:kern w:val="0"/>
          <w:sz w:val="24"/>
          <w:szCs w:val="24"/>
          <w:highlight w:val="none"/>
          <w:lang w:val="en-US" w:eastAsia="zh-CN" w:bidi="ar"/>
        </w:rPr>
        <w:t>煤炭用量为5400t/a</w:t>
      </w:r>
      <w:bookmarkEnd w:id="447"/>
      <w:r>
        <w:rPr>
          <w:rFonts w:hint="default" w:ascii="Times New Roman" w:hAnsi="Times New Roman" w:eastAsia="宋体" w:cs="Times New Roman"/>
          <w:color w:val="auto"/>
          <w:kern w:val="0"/>
          <w:sz w:val="24"/>
          <w:szCs w:val="24"/>
          <w:highlight w:val="none"/>
          <w:lang w:val="en-US" w:eastAsia="zh-CN" w:bidi="ar"/>
        </w:rPr>
        <w:t xml:space="preserve">； </w:t>
      </w:r>
    </w:p>
    <w:p w14:paraId="0F8E6E04">
      <w:pPr>
        <w:keepNext w:val="0"/>
        <w:keepLines w:val="0"/>
        <w:pageBreakBefore w:val="0"/>
        <w:widowControl w:val="0"/>
        <w:suppressLineNumbers w:val="0"/>
        <w:kinsoku/>
        <w:wordWrap/>
        <w:overflowPunct/>
        <w:topLinePunct w:val="0"/>
        <w:autoSpaceDE/>
        <w:autoSpaceDN/>
        <w:bidi w:val="0"/>
        <w:adjustRightInd/>
        <w:snapToGrid/>
        <w:spacing w:line="480" w:lineRule="exact"/>
        <w:ind w:firstLine="1200" w:firstLineChars="5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A</w:t>
      </w:r>
      <w:r>
        <w:rPr>
          <w:rFonts w:hint="default" w:ascii="Times New Roman" w:hAnsi="Times New Roman" w:eastAsia="宋体" w:cs="Times New Roman"/>
          <w:color w:val="auto"/>
          <w:kern w:val="0"/>
          <w:sz w:val="24"/>
          <w:szCs w:val="24"/>
          <w:highlight w:val="none"/>
          <w:vertAlign w:val="subscript"/>
          <w:lang w:val="en-US" w:eastAsia="zh-CN" w:bidi="ar"/>
        </w:rPr>
        <w:t>ar</w:t>
      </w:r>
      <w:r>
        <w:rPr>
          <w:rFonts w:hint="default" w:ascii="Times New Roman" w:hAnsi="Times New Roman" w:eastAsia="宋体" w:cs="Times New Roman"/>
          <w:color w:val="auto"/>
          <w:kern w:val="0"/>
          <w:sz w:val="24"/>
          <w:szCs w:val="24"/>
          <w:highlight w:val="none"/>
          <w:lang w:val="en-US" w:eastAsia="zh-CN" w:bidi="ar"/>
        </w:rPr>
        <w:t>—</w:t>
      </w:r>
      <w:bookmarkStart w:id="448" w:name="OLE_LINK689"/>
      <w:r>
        <w:rPr>
          <w:rFonts w:hint="default" w:ascii="Times New Roman" w:hAnsi="Times New Roman" w:eastAsia="宋体" w:cs="Times New Roman"/>
          <w:color w:val="auto"/>
          <w:kern w:val="0"/>
          <w:sz w:val="24"/>
          <w:szCs w:val="24"/>
          <w:highlight w:val="none"/>
          <w:lang w:val="en-US" w:eastAsia="zh-CN" w:bidi="ar"/>
        </w:rPr>
        <w:t>收到基灰分的质量分数</w:t>
      </w:r>
      <w:bookmarkEnd w:id="448"/>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spacing w:val="0"/>
          <w:kern w:val="0"/>
          <w:sz w:val="24"/>
          <w:szCs w:val="24"/>
          <w:highlight w:val="none"/>
          <w:lang w:val="en-US" w:eastAsia="zh-CN" w:bidi="ar"/>
        </w:rPr>
        <w:t>根据建设单位提供的煤炭检验报告单（见附件8），本项目</w:t>
      </w:r>
      <w:r>
        <w:rPr>
          <w:rFonts w:hint="default" w:ascii="Times New Roman" w:hAnsi="Times New Roman" w:eastAsia="宋体" w:cs="Times New Roman"/>
          <w:color w:val="auto"/>
          <w:kern w:val="0"/>
          <w:sz w:val="24"/>
          <w:szCs w:val="24"/>
          <w:highlight w:val="none"/>
          <w:lang w:val="en-US" w:eastAsia="zh-CN" w:bidi="ar"/>
        </w:rPr>
        <w:t xml:space="preserve">煤炭收到基灰分的质量分数为9.94%； </w:t>
      </w:r>
    </w:p>
    <w:p w14:paraId="43AA9228">
      <w:pPr>
        <w:keepNext w:val="0"/>
        <w:keepLines w:val="0"/>
        <w:pageBreakBefore w:val="0"/>
        <w:widowControl w:val="0"/>
        <w:suppressLineNumbers w:val="0"/>
        <w:kinsoku/>
        <w:wordWrap/>
        <w:overflowPunct/>
        <w:topLinePunct w:val="0"/>
        <w:autoSpaceDE/>
        <w:autoSpaceDN/>
        <w:bidi w:val="0"/>
        <w:adjustRightInd/>
        <w:snapToGrid/>
        <w:spacing w:line="480" w:lineRule="exact"/>
        <w:ind w:firstLine="1200" w:firstLineChars="5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d</w:t>
      </w:r>
      <w:r>
        <w:rPr>
          <w:rFonts w:hint="default" w:ascii="Times New Roman" w:hAnsi="Times New Roman" w:eastAsia="宋体" w:cs="Times New Roman"/>
          <w:color w:val="auto"/>
          <w:kern w:val="0"/>
          <w:sz w:val="24"/>
          <w:szCs w:val="24"/>
          <w:highlight w:val="none"/>
          <w:vertAlign w:val="subscript"/>
          <w:lang w:val="en-US" w:eastAsia="zh-CN" w:bidi="ar"/>
        </w:rPr>
        <w:t>fh</w:t>
      </w:r>
      <w:r>
        <w:rPr>
          <w:rFonts w:hint="default" w:ascii="Times New Roman" w:hAnsi="Times New Roman" w:eastAsia="宋体" w:cs="Times New Roman"/>
          <w:color w:val="auto"/>
          <w:kern w:val="0"/>
          <w:sz w:val="24"/>
          <w:szCs w:val="24"/>
          <w:highlight w:val="none"/>
          <w:lang w:val="en-US" w:eastAsia="zh-CN" w:bidi="ar"/>
        </w:rPr>
        <w:t>—锅炉烟气带出的飞灰份额，%；项目</w:t>
      </w:r>
      <w:bookmarkStart w:id="449" w:name="OLE_LINK701"/>
      <w:r>
        <w:rPr>
          <w:rFonts w:hint="default" w:ascii="Times New Roman" w:hAnsi="Times New Roman" w:eastAsia="宋体" w:cs="Times New Roman"/>
          <w:color w:val="auto"/>
          <w:spacing w:val="6"/>
          <w:sz w:val="24"/>
          <w:szCs w:val="24"/>
          <w:highlight w:val="none"/>
          <w:lang w:val="en-US" w:eastAsia="zh-CN"/>
        </w:rPr>
        <w:t>链条式</w:t>
      </w:r>
      <w:bookmarkStart w:id="450" w:name="OLE_LINK700"/>
      <w:r>
        <w:rPr>
          <w:rFonts w:hint="default" w:ascii="Times New Roman" w:hAnsi="Times New Roman" w:eastAsia="宋体" w:cs="Times New Roman"/>
          <w:color w:val="auto"/>
          <w:spacing w:val="6"/>
          <w:sz w:val="24"/>
          <w:szCs w:val="24"/>
          <w:highlight w:val="none"/>
          <w:lang w:val="en-US" w:eastAsia="zh-CN"/>
        </w:rPr>
        <w:t>燃煤锅炉</w:t>
      </w:r>
      <w:bookmarkEnd w:id="449"/>
      <w:bookmarkEnd w:id="450"/>
      <w:r>
        <w:rPr>
          <w:rFonts w:hint="default" w:ascii="Times New Roman" w:hAnsi="Times New Roman" w:eastAsia="宋体" w:cs="Times New Roman"/>
          <w:color w:val="auto"/>
          <w:spacing w:val="6"/>
          <w:sz w:val="24"/>
          <w:szCs w:val="24"/>
          <w:highlight w:val="none"/>
          <w:lang w:val="en-US" w:eastAsia="zh-CN"/>
        </w:rPr>
        <w:t>，根据表B.2</w:t>
      </w:r>
      <w:r>
        <w:rPr>
          <w:rFonts w:hint="default" w:ascii="Times New Roman" w:hAnsi="Times New Roman" w:eastAsia="宋体" w:cs="Times New Roman"/>
          <w:color w:val="auto"/>
          <w:kern w:val="0"/>
          <w:sz w:val="24"/>
          <w:szCs w:val="24"/>
          <w:highlight w:val="none"/>
          <w:lang w:val="en-US" w:eastAsia="zh-CN" w:bidi="ar"/>
        </w:rPr>
        <w:t xml:space="preserve">，取20%； </w:t>
      </w:r>
    </w:p>
    <w:p w14:paraId="3741BB31">
      <w:pPr>
        <w:keepNext w:val="0"/>
        <w:keepLines w:val="0"/>
        <w:pageBreakBefore w:val="0"/>
        <w:widowControl w:val="0"/>
        <w:suppressLineNumbers w:val="0"/>
        <w:kinsoku/>
        <w:wordWrap/>
        <w:overflowPunct/>
        <w:topLinePunct w:val="0"/>
        <w:autoSpaceDE/>
        <w:autoSpaceDN/>
        <w:bidi w:val="0"/>
        <w:adjustRightInd/>
        <w:snapToGrid/>
        <w:spacing w:line="480" w:lineRule="exact"/>
        <w:ind w:firstLine="1200" w:firstLineChars="5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ηc—综合</w:t>
      </w:r>
      <w:bookmarkStart w:id="451" w:name="OLE_LINK692"/>
      <w:r>
        <w:rPr>
          <w:rFonts w:hint="default" w:ascii="Times New Roman" w:hAnsi="Times New Roman" w:eastAsia="宋体" w:cs="Times New Roman"/>
          <w:color w:val="auto"/>
          <w:kern w:val="0"/>
          <w:sz w:val="24"/>
          <w:szCs w:val="24"/>
          <w:highlight w:val="none"/>
          <w:lang w:val="en-US" w:eastAsia="zh-CN" w:bidi="ar"/>
        </w:rPr>
        <w:t>除尘效率</w:t>
      </w:r>
      <w:bookmarkEnd w:id="451"/>
      <w:r>
        <w:rPr>
          <w:rFonts w:hint="default" w:ascii="Times New Roman" w:hAnsi="Times New Roman" w:eastAsia="宋体" w:cs="Times New Roman"/>
          <w:color w:val="auto"/>
          <w:kern w:val="0"/>
          <w:sz w:val="24"/>
          <w:szCs w:val="24"/>
          <w:highlight w:val="none"/>
          <w:lang w:val="en-US" w:eastAsia="zh-CN" w:bidi="ar"/>
        </w:rPr>
        <w:t>，%；</w:t>
      </w:r>
      <w:bookmarkStart w:id="452" w:name="OLE_LINK699"/>
      <w:r>
        <w:rPr>
          <w:rFonts w:hint="default" w:ascii="Times New Roman" w:hAnsi="Times New Roman" w:eastAsia="宋体" w:cs="Times New Roman"/>
          <w:color w:val="auto"/>
          <w:kern w:val="0"/>
          <w:sz w:val="24"/>
          <w:szCs w:val="24"/>
          <w:highlight w:val="none"/>
          <w:lang w:val="en-US" w:eastAsia="zh-CN" w:bidi="ar"/>
        </w:rPr>
        <w:t>根据表B.6</w:t>
      </w:r>
      <w:bookmarkEnd w:id="452"/>
      <w:r>
        <w:rPr>
          <w:rFonts w:hint="default" w:ascii="Times New Roman" w:hAnsi="Times New Roman" w:eastAsia="宋体" w:cs="Times New Roman"/>
          <w:color w:val="auto"/>
          <w:kern w:val="0"/>
          <w:sz w:val="24"/>
          <w:szCs w:val="24"/>
          <w:highlight w:val="none"/>
          <w:lang w:val="en-US" w:eastAsia="zh-CN" w:bidi="ar"/>
        </w:rPr>
        <w:t>，项目</w:t>
      </w:r>
      <w:r>
        <w:rPr>
          <w:rFonts w:hint="default" w:ascii="Times New Roman" w:hAnsi="Times New Roman" w:eastAsia="宋体" w:cs="Times New Roman"/>
          <w:color w:val="auto"/>
          <w:spacing w:val="6"/>
          <w:sz w:val="24"/>
          <w:szCs w:val="24"/>
          <w:highlight w:val="none"/>
          <w:lang w:val="en-US" w:eastAsia="zh-CN"/>
        </w:rPr>
        <w:t>链条式燃煤</w:t>
      </w:r>
      <w:r>
        <w:rPr>
          <w:rFonts w:hint="default" w:ascii="Times New Roman" w:hAnsi="Times New Roman" w:eastAsia="宋体" w:cs="Times New Roman"/>
          <w:color w:val="auto"/>
          <w:kern w:val="0"/>
          <w:sz w:val="24"/>
          <w:szCs w:val="24"/>
          <w:highlight w:val="none"/>
          <w:lang w:val="en-US" w:eastAsia="zh-CN" w:bidi="ar"/>
        </w:rPr>
        <w:t xml:space="preserve">锅炉使用布袋除尘器除尘，除尘效率取99%； </w:t>
      </w:r>
    </w:p>
    <w:p w14:paraId="767722AC">
      <w:pPr>
        <w:keepNext w:val="0"/>
        <w:keepLines w:val="0"/>
        <w:pageBreakBefore w:val="0"/>
        <w:widowControl w:val="0"/>
        <w:suppressLineNumbers w:val="0"/>
        <w:kinsoku/>
        <w:wordWrap/>
        <w:overflowPunct/>
        <w:topLinePunct w:val="0"/>
        <w:autoSpaceDE/>
        <w:autoSpaceDN/>
        <w:bidi w:val="0"/>
        <w:adjustRightInd/>
        <w:snapToGrid/>
        <w:spacing w:line="480" w:lineRule="exact"/>
        <w:ind w:firstLine="1200" w:firstLineChars="5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C</w:t>
      </w:r>
      <w:r>
        <w:rPr>
          <w:rFonts w:hint="default" w:ascii="Times New Roman" w:hAnsi="Times New Roman" w:eastAsia="宋体" w:cs="Times New Roman"/>
          <w:color w:val="auto"/>
          <w:kern w:val="0"/>
          <w:sz w:val="24"/>
          <w:szCs w:val="24"/>
          <w:highlight w:val="none"/>
          <w:vertAlign w:val="subscript"/>
          <w:lang w:val="en-US" w:eastAsia="zh-CN" w:bidi="ar"/>
        </w:rPr>
        <w:t>fh</w:t>
      </w:r>
      <w:r>
        <w:rPr>
          <w:rFonts w:hint="default" w:ascii="Times New Roman" w:hAnsi="Times New Roman" w:eastAsia="宋体" w:cs="Times New Roman"/>
          <w:color w:val="auto"/>
          <w:kern w:val="0"/>
          <w:sz w:val="24"/>
          <w:szCs w:val="24"/>
          <w:highlight w:val="none"/>
          <w:lang w:val="en-US" w:eastAsia="zh-CN" w:bidi="ar"/>
        </w:rPr>
        <w:t>—</w:t>
      </w:r>
      <w:bookmarkStart w:id="453" w:name="OLE_LINK693"/>
      <w:r>
        <w:rPr>
          <w:rFonts w:hint="default" w:ascii="Times New Roman" w:hAnsi="Times New Roman" w:eastAsia="宋体" w:cs="Times New Roman"/>
          <w:color w:val="auto"/>
          <w:kern w:val="0"/>
          <w:sz w:val="24"/>
          <w:szCs w:val="24"/>
          <w:highlight w:val="none"/>
          <w:lang w:val="en-US" w:eastAsia="zh-CN" w:bidi="ar"/>
        </w:rPr>
        <w:t>飞灰中的可燃物含量</w:t>
      </w:r>
      <w:bookmarkEnd w:id="453"/>
      <w:r>
        <w:rPr>
          <w:rFonts w:hint="default" w:ascii="Times New Roman" w:hAnsi="Times New Roman" w:eastAsia="宋体" w:cs="Times New Roman"/>
          <w:color w:val="auto"/>
          <w:kern w:val="0"/>
          <w:sz w:val="24"/>
          <w:szCs w:val="24"/>
          <w:highlight w:val="none"/>
          <w:lang w:val="en-US" w:eastAsia="zh-CN" w:bidi="ar"/>
        </w:rPr>
        <w:t>，%；根据《工业锅炉经济运行》表10，项目</w:t>
      </w:r>
      <w:r>
        <w:rPr>
          <w:rFonts w:hint="default" w:ascii="Times New Roman" w:hAnsi="Times New Roman" w:eastAsia="宋体" w:cs="Times New Roman"/>
          <w:color w:val="auto"/>
          <w:spacing w:val="6"/>
          <w:sz w:val="24"/>
          <w:szCs w:val="24"/>
          <w:highlight w:val="none"/>
          <w:lang w:val="en-US" w:eastAsia="zh-CN"/>
        </w:rPr>
        <w:t>链条式燃煤</w:t>
      </w:r>
      <w:r>
        <w:rPr>
          <w:rFonts w:hint="default" w:ascii="Times New Roman" w:hAnsi="Times New Roman" w:eastAsia="宋体" w:cs="Times New Roman"/>
          <w:color w:val="auto"/>
          <w:kern w:val="0"/>
          <w:sz w:val="24"/>
          <w:szCs w:val="24"/>
          <w:highlight w:val="none"/>
          <w:lang w:val="en-US" w:eastAsia="zh-CN" w:bidi="ar"/>
        </w:rPr>
        <w:t>锅炉燃煤种类为无烟煤，飞灰中的可燃物含量取20%。</w:t>
      </w:r>
    </w:p>
    <w:p w14:paraId="6A050581">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bookmarkStart w:id="454" w:name="OLE_LINK710"/>
      <w:r>
        <w:rPr>
          <w:rFonts w:hint="default" w:ascii="Times New Roman" w:hAnsi="Times New Roman" w:eastAsia="宋体" w:cs="Times New Roman"/>
          <w:color w:val="auto"/>
          <w:kern w:val="0"/>
          <w:sz w:val="24"/>
          <w:szCs w:val="24"/>
          <w:highlight w:val="none"/>
          <w:lang w:val="en-US" w:eastAsia="zh-CN" w:bidi="ar"/>
        </w:rPr>
        <w:t>根据上式，本项目</w:t>
      </w:r>
      <w:r>
        <w:rPr>
          <w:rFonts w:hint="default" w:ascii="Times New Roman" w:hAnsi="Times New Roman" w:eastAsia="宋体" w:cs="Times New Roman"/>
          <w:color w:val="auto"/>
          <w:spacing w:val="6"/>
          <w:sz w:val="24"/>
          <w:szCs w:val="24"/>
          <w:highlight w:val="none"/>
          <w:lang w:val="en-US" w:eastAsia="zh-CN"/>
        </w:rPr>
        <w:t>链条式燃煤</w:t>
      </w:r>
      <w:r>
        <w:rPr>
          <w:rFonts w:hint="default" w:ascii="Times New Roman" w:hAnsi="Times New Roman" w:eastAsia="宋体" w:cs="Times New Roman"/>
          <w:color w:val="auto"/>
          <w:kern w:val="0"/>
          <w:sz w:val="24"/>
          <w:szCs w:val="24"/>
          <w:highlight w:val="none"/>
          <w:lang w:val="en-US" w:eastAsia="zh-CN" w:bidi="ar"/>
        </w:rPr>
        <w:t>锅炉运行过程中，颗粒物排放量为：</w:t>
      </w:r>
      <w:bookmarkEnd w:id="454"/>
      <w:r>
        <w:rPr>
          <w:rFonts w:hint="default" w:ascii="Times New Roman" w:hAnsi="Times New Roman" w:eastAsia="宋体" w:cs="Times New Roman"/>
          <w:color w:val="auto"/>
          <w:kern w:val="0"/>
          <w:sz w:val="24"/>
          <w:szCs w:val="24"/>
          <w:highlight w:val="none"/>
          <w:lang w:val="en-US" w:eastAsia="zh-CN" w:bidi="ar"/>
        </w:rPr>
        <w:t>（5400×9.94/100×20/100×（1﹣99/100））/（1﹣20/100）=1.342t/a。</w:t>
      </w:r>
    </w:p>
    <w:p w14:paraId="003A7F7E">
      <w:pPr>
        <w:keepNext w:val="0"/>
        <w:keepLines w:val="0"/>
        <w:pageBreakBefore w:val="0"/>
        <w:widowControl w:val="0"/>
        <w:kinsoku/>
        <w:wordWrap/>
        <w:overflowPunct/>
        <w:topLinePunct w:val="0"/>
        <w:autoSpaceDE/>
        <w:autoSpaceDN/>
        <w:bidi w:val="0"/>
        <w:adjustRightInd/>
        <w:snapToGrid/>
        <w:spacing w:after="0" w:afterLines="0" w:afterAutospacing="0" w:line="480" w:lineRule="exact"/>
        <w:ind w:firstLine="504"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bookmarkStart w:id="455" w:name="OLE_LINK712"/>
      <w:r>
        <w:rPr>
          <w:rFonts w:hint="default" w:ascii="Times New Roman" w:hAnsi="Times New Roman" w:eastAsia="宋体" w:cs="Times New Roman"/>
          <w:color w:val="auto"/>
          <w:spacing w:val="6"/>
          <w:sz w:val="24"/>
          <w:szCs w:val="24"/>
          <w:highlight w:val="none"/>
          <w:lang w:val="en-US" w:eastAsia="zh-CN"/>
        </w:rPr>
        <w:t>3）</w:t>
      </w:r>
      <w:r>
        <w:rPr>
          <w:rFonts w:hint="default" w:ascii="Times New Roman" w:hAnsi="Times New Roman" w:eastAsia="宋体" w:cs="Times New Roman"/>
          <w:color w:val="auto"/>
          <w:spacing w:val="6"/>
          <w:kern w:val="2"/>
          <w:sz w:val="24"/>
          <w:szCs w:val="24"/>
          <w:highlight w:val="none"/>
          <w:lang w:val="en-US" w:eastAsia="zh-CN" w:bidi="ar-SA"/>
        </w:rPr>
        <w:t>链条式燃煤</w:t>
      </w:r>
      <w:r>
        <w:rPr>
          <w:rFonts w:hint="default" w:ascii="Times New Roman" w:hAnsi="Times New Roman" w:eastAsia="宋体" w:cs="Times New Roman"/>
          <w:color w:val="auto"/>
          <w:kern w:val="2"/>
          <w:sz w:val="24"/>
          <w:szCs w:val="24"/>
          <w:highlight w:val="none"/>
          <w:lang w:val="en-US" w:eastAsia="zh-CN" w:bidi="ar-SA"/>
        </w:rPr>
        <w:t>锅炉</w:t>
      </w:r>
      <w:bookmarkEnd w:id="455"/>
      <w:r>
        <w:rPr>
          <w:rFonts w:hint="default" w:ascii="Times New Roman" w:hAnsi="Times New Roman" w:eastAsia="宋体" w:cs="Times New Roman"/>
          <w:color w:val="auto"/>
          <w:kern w:val="2"/>
          <w:sz w:val="24"/>
          <w:szCs w:val="24"/>
          <w:highlight w:val="none"/>
          <w:lang w:val="en-US" w:eastAsia="zh-CN" w:bidi="ar-SA"/>
        </w:rPr>
        <w:t>二氧化硫计算</w:t>
      </w:r>
    </w:p>
    <w:p w14:paraId="2ADB46D7">
      <w:pPr>
        <w:keepNext w:val="0"/>
        <w:keepLines w:val="0"/>
        <w:pageBreakBefore w:val="0"/>
        <w:widowControl w:val="0"/>
        <w:suppressLineNumbers w:val="0"/>
        <w:kinsoku/>
        <w:wordWrap/>
        <w:overflowPunct/>
        <w:topLinePunct w:val="0"/>
        <w:autoSpaceDE/>
        <w:autoSpaceDN/>
        <w:bidi w:val="0"/>
        <w:adjustRightInd/>
        <w:snapToGrid/>
        <w:spacing w:line="480" w:lineRule="exact"/>
        <w:ind w:firstLine="480" w:firstLineChars="200"/>
        <w:jc w:val="left"/>
        <w:textAlignment w:val="auto"/>
        <w:outlineLvl w:val="9"/>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根据《污染源强核算技术指南 锅炉》</w:t>
      </w:r>
      <w:r>
        <w:rPr>
          <w:rFonts w:hint="default" w:ascii="Times New Roman" w:hAnsi="Times New Roman" w:eastAsia="宋体" w:cs="Times New Roman"/>
          <w:color w:val="auto"/>
          <w:spacing w:val="0"/>
          <w:kern w:val="0"/>
          <w:sz w:val="24"/>
          <w:szCs w:val="24"/>
          <w:highlight w:val="none"/>
          <w:lang w:val="en-US" w:eastAsia="zh-CN" w:bidi="ar"/>
        </w:rPr>
        <w:t>（HJ991-2018），</w:t>
      </w:r>
      <w:r>
        <w:rPr>
          <w:rFonts w:hint="default" w:ascii="Times New Roman" w:hAnsi="Times New Roman" w:eastAsia="宋体" w:cs="Times New Roman"/>
          <w:color w:val="auto"/>
          <w:kern w:val="0"/>
          <w:sz w:val="24"/>
          <w:szCs w:val="24"/>
          <w:highlight w:val="none"/>
          <w:lang w:val="en-US" w:eastAsia="zh-CN" w:bidi="ar"/>
        </w:rPr>
        <w:t>指南中废气污染源源强核算方法5.1.1</w:t>
      </w:r>
      <w:bookmarkStart w:id="456" w:name="OLE_LINK713"/>
      <w:r>
        <w:rPr>
          <w:rFonts w:hint="default" w:ascii="Times New Roman" w:hAnsi="Times New Roman" w:eastAsia="宋体" w:cs="Times New Roman"/>
          <w:color w:val="auto"/>
          <w:kern w:val="0"/>
          <w:sz w:val="24"/>
          <w:szCs w:val="24"/>
          <w:highlight w:val="none"/>
          <w:lang w:val="en-US" w:eastAsia="zh-CN" w:bidi="ar"/>
        </w:rPr>
        <w:t>燃煤、燃生物质锅炉</w:t>
      </w:r>
      <w:bookmarkEnd w:id="456"/>
      <w:r>
        <w:rPr>
          <w:rFonts w:hint="default" w:ascii="Times New Roman" w:hAnsi="Times New Roman" w:eastAsia="宋体" w:cs="Times New Roman"/>
          <w:color w:val="auto"/>
          <w:kern w:val="0"/>
          <w:sz w:val="24"/>
          <w:szCs w:val="24"/>
          <w:highlight w:val="none"/>
          <w:lang w:val="en-US" w:eastAsia="zh-CN" w:bidi="ar"/>
        </w:rPr>
        <w:t>二氧化硫排放量按下式计算：</w:t>
      </w:r>
    </w:p>
    <w:p w14:paraId="4224E9FA">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drawing>
          <wp:inline distT="0" distB="0" distL="114300" distR="114300">
            <wp:extent cx="2600325" cy="428625"/>
            <wp:effectExtent l="0" t="0" r="0" b="8890"/>
            <wp:docPr id="7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0"/>
                    <pic:cNvPicPr>
                      <a:picLocks noChangeAspect="1"/>
                    </pic:cNvPicPr>
                  </pic:nvPicPr>
                  <pic:blipFill>
                    <a:blip r:embed="rId26"/>
                    <a:stretch>
                      <a:fillRect/>
                    </a:stretch>
                  </pic:blipFill>
                  <pic:spPr>
                    <a:xfrm>
                      <a:off x="0" y="0"/>
                      <a:ext cx="2600325" cy="428625"/>
                    </a:xfrm>
                    <a:prstGeom prst="rect">
                      <a:avLst/>
                    </a:prstGeom>
                    <a:noFill/>
                    <a:ln>
                      <a:noFill/>
                    </a:ln>
                  </pic:spPr>
                </pic:pic>
              </a:graphicData>
            </a:graphic>
          </wp:inline>
        </w:drawing>
      </w:r>
    </w:p>
    <w:p w14:paraId="57619F35">
      <w:pPr>
        <w:keepNext w:val="0"/>
        <w:keepLines w:val="0"/>
        <w:pageBreakBefore w:val="0"/>
        <w:widowControl w:val="0"/>
        <w:suppressLineNumbers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式中：E</w:t>
      </w:r>
      <w:r>
        <w:rPr>
          <w:rFonts w:hint="default" w:ascii="Times New Roman" w:hAnsi="Times New Roman" w:eastAsia="宋体" w:cs="Times New Roman"/>
          <w:color w:val="auto"/>
          <w:kern w:val="0"/>
          <w:sz w:val="24"/>
          <w:szCs w:val="24"/>
          <w:highlight w:val="none"/>
          <w:vertAlign w:val="subscript"/>
          <w:lang w:val="en-US" w:eastAsia="zh-CN" w:bidi="ar"/>
        </w:rPr>
        <w:t>SO</w:t>
      </w:r>
      <w:r>
        <w:rPr>
          <w:rFonts w:hint="default" w:ascii="Times New Roman" w:hAnsi="Times New Roman" w:eastAsia="Gulim" w:cs="Times New Roman"/>
          <w:color w:val="auto"/>
          <w:kern w:val="0"/>
          <w:sz w:val="24"/>
          <w:szCs w:val="24"/>
          <w:highlight w:val="none"/>
          <w:vertAlign w:val="subscript"/>
          <w:lang w:val="en-US" w:eastAsia="zh-CN" w:bidi="ar"/>
        </w:rPr>
        <w:t>₂</w:t>
      </w:r>
      <w:r>
        <w:rPr>
          <w:rFonts w:hint="default" w:ascii="Times New Roman" w:hAnsi="Times New Roman" w:eastAsia="宋体" w:cs="Times New Roman"/>
          <w:color w:val="auto"/>
          <w:kern w:val="0"/>
          <w:sz w:val="24"/>
          <w:szCs w:val="24"/>
          <w:highlight w:val="none"/>
          <w:lang w:val="en-US" w:eastAsia="zh-CN" w:bidi="ar"/>
        </w:rPr>
        <w:t>—核算时段内二氧化硫排放量，t；</w:t>
      </w:r>
    </w:p>
    <w:p w14:paraId="77736CFA">
      <w:pPr>
        <w:keepNext w:val="0"/>
        <w:keepLines w:val="0"/>
        <w:pageBreakBefore w:val="0"/>
        <w:widowControl w:val="0"/>
        <w:suppressLineNumbers w:val="0"/>
        <w:kinsoku/>
        <w:wordWrap/>
        <w:overflowPunct/>
        <w:topLinePunct w:val="0"/>
        <w:autoSpaceDE/>
        <w:autoSpaceDN/>
        <w:bidi w:val="0"/>
        <w:adjustRightInd/>
        <w:snapToGrid/>
        <w:spacing w:line="480" w:lineRule="exact"/>
        <w:ind w:firstLine="1200" w:firstLineChars="5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R—核算时段内锅炉燃料耗量，t；本项目煤炭用量为5400t/a； </w:t>
      </w:r>
    </w:p>
    <w:p w14:paraId="7583592C">
      <w:pPr>
        <w:keepNext w:val="0"/>
        <w:keepLines w:val="0"/>
        <w:pageBreakBefore w:val="0"/>
        <w:widowControl w:val="0"/>
        <w:suppressLineNumbers w:val="0"/>
        <w:kinsoku/>
        <w:wordWrap/>
        <w:overflowPunct/>
        <w:topLinePunct w:val="0"/>
        <w:autoSpaceDE/>
        <w:autoSpaceDN/>
        <w:bidi w:val="0"/>
        <w:adjustRightInd/>
        <w:snapToGrid/>
        <w:spacing w:line="480" w:lineRule="exact"/>
        <w:ind w:firstLine="1200" w:firstLineChars="5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S</w:t>
      </w:r>
      <w:r>
        <w:rPr>
          <w:rFonts w:hint="default" w:ascii="Times New Roman" w:hAnsi="Times New Roman" w:eastAsia="宋体" w:cs="Times New Roman"/>
          <w:color w:val="auto"/>
          <w:kern w:val="0"/>
          <w:sz w:val="24"/>
          <w:szCs w:val="24"/>
          <w:highlight w:val="none"/>
          <w:vertAlign w:val="subscript"/>
          <w:lang w:val="en-US" w:eastAsia="zh-CN" w:bidi="ar"/>
        </w:rPr>
        <w:t>ar</w:t>
      </w:r>
      <w:r>
        <w:rPr>
          <w:rFonts w:hint="default" w:ascii="Times New Roman" w:hAnsi="Times New Roman" w:eastAsia="宋体" w:cs="Times New Roman"/>
          <w:color w:val="auto"/>
          <w:kern w:val="0"/>
          <w:sz w:val="24"/>
          <w:szCs w:val="24"/>
          <w:highlight w:val="none"/>
          <w:lang w:val="en-US" w:eastAsia="zh-CN" w:bidi="ar"/>
        </w:rPr>
        <w:t>—收到基硫的质量分数，%；</w:t>
      </w:r>
      <w:r>
        <w:rPr>
          <w:rFonts w:hint="default" w:ascii="Times New Roman" w:hAnsi="Times New Roman" w:eastAsia="宋体" w:cs="Times New Roman"/>
          <w:color w:val="auto"/>
          <w:spacing w:val="0"/>
          <w:kern w:val="0"/>
          <w:sz w:val="24"/>
          <w:szCs w:val="24"/>
          <w:highlight w:val="none"/>
          <w:lang w:val="en-US" w:eastAsia="zh-CN" w:bidi="ar"/>
        </w:rPr>
        <w:t>根据建设单位提供的煤炭检验报告单，本项目</w:t>
      </w:r>
      <w:r>
        <w:rPr>
          <w:rFonts w:hint="default" w:ascii="Times New Roman" w:hAnsi="Times New Roman" w:eastAsia="宋体" w:cs="Times New Roman"/>
          <w:color w:val="auto"/>
          <w:kern w:val="0"/>
          <w:sz w:val="24"/>
          <w:szCs w:val="24"/>
          <w:highlight w:val="none"/>
          <w:lang w:val="en-US" w:eastAsia="zh-CN" w:bidi="ar"/>
        </w:rPr>
        <w:t>煤炭收到基硫的质量分数为0.24%；</w:t>
      </w:r>
    </w:p>
    <w:p w14:paraId="24423C34">
      <w:pPr>
        <w:keepNext w:val="0"/>
        <w:keepLines w:val="0"/>
        <w:pageBreakBefore w:val="0"/>
        <w:widowControl w:val="0"/>
        <w:suppressLineNumbers w:val="0"/>
        <w:kinsoku/>
        <w:wordWrap/>
        <w:overflowPunct/>
        <w:topLinePunct w:val="0"/>
        <w:autoSpaceDE/>
        <w:autoSpaceDN/>
        <w:bidi w:val="0"/>
        <w:adjustRightInd/>
        <w:snapToGrid/>
        <w:spacing w:line="480" w:lineRule="exact"/>
        <w:ind w:firstLine="1200" w:firstLineChars="5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vertAlign w:val="baseline"/>
          <w:lang w:val="en-US" w:eastAsia="zh-CN" w:bidi="ar"/>
        </w:rPr>
        <w:t>q</w:t>
      </w:r>
      <w:r>
        <w:rPr>
          <w:rFonts w:hint="default" w:ascii="Times New Roman" w:hAnsi="Times New Roman" w:eastAsia="宋体" w:cs="Times New Roman"/>
          <w:color w:val="auto"/>
          <w:kern w:val="0"/>
          <w:sz w:val="24"/>
          <w:szCs w:val="24"/>
          <w:highlight w:val="none"/>
          <w:vertAlign w:val="subscript"/>
          <w:lang w:val="en-US" w:eastAsia="zh-CN" w:bidi="ar"/>
        </w:rPr>
        <w:t>4</w:t>
      </w:r>
      <w:r>
        <w:rPr>
          <w:rFonts w:hint="default" w:ascii="Times New Roman" w:hAnsi="Times New Roman" w:eastAsia="宋体" w:cs="Times New Roman"/>
          <w:color w:val="auto"/>
          <w:kern w:val="0"/>
          <w:sz w:val="24"/>
          <w:szCs w:val="24"/>
          <w:highlight w:val="none"/>
          <w:lang w:val="en-US" w:eastAsia="zh-CN" w:bidi="ar"/>
        </w:rPr>
        <w:t>—锅炉机械不完全燃烧热损失，%；</w:t>
      </w:r>
      <w:bookmarkStart w:id="457" w:name="OLE_LINK705"/>
      <w:r>
        <w:rPr>
          <w:rFonts w:hint="default" w:ascii="Times New Roman" w:hAnsi="Times New Roman" w:eastAsia="宋体" w:cs="Times New Roman"/>
          <w:color w:val="auto"/>
          <w:kern w:val="0"/>
          <w:sz w:val="24"/>
          <w:szCs w:val="24"/>
          <w:highlight w:val="none"/>
          <w:lang w:val="en-US" w:eastAsia="zh-CN" w:bidi="ar"/>
        </w:rPr>
        <w:t>根据表B.1</w:t>
      </w:r>
      <w:bookmarkEnd w:id="457"/>
      <w:r>
        <w:rPr>
          <w:rFonts w:hint="default" w:ascii="Times New Roman" w:hAnsi="Times New Roman" w:eastAsia="宋体" w:cs="Times New Roman"/>
          <w:color w:val="auto"/>
          <w:kern w:val="0"/>
          <w:sz w:val="24"/>
          <w:szCs w:val="24"/>
          <w:highlight w:val="none"/>
          <w:lang w:val="en-US" w:eastAsia="zh-CN" w:bidi="ar"/>
        </w:rPr>
        <w:t>，燃料挥发分高、灰分低可取低值，因此本项目</w:t>
      </w:r>
      <w:r>
        <w:rPr>
          <w:rFonts w:hint="default" w:ascii="Times New Roman" w:hAnsi="Times New Roman" w:eastAsia="宋体" w:cs="Times New Roman"/>
          <w:color w:val="auto"/>
          <w:spacing w:val="6"/>
          <w:sz w:val="24"/>
          <w:szCs w:val="24"/>
          <w:highlight w:val="none"/>
          <w:lang w:val="en-US" w:eastAsia="zh-CN"/>
        </w:rPr>
        <w:t>链条式燃煤锅炉</w:t>
      </w:r>
      <w:r>
        <w:rPr>
          <w:rFonts w:hint="default" w:ascii="Times New Roman" w:hAnsi="Times New Roman" w:eastAsia="宋体" w:cs="Times New Roman"/>
          <w:color w:val="auto"/>
          <w:kern w:val="0"/>
          <w:sz w:val="24"/>
          <w:szCs w:val="24"/>
          <w:highlight w:val="none"/>
          <w:lang w:val="en-US" w:eastAsia="zh-CN" w:bidi="ar"/>
        </w:rPr>
        <w:t>取5%；</w:t>
      </w:r>
    </w:p>
    <w:p w14:paraId="24FC3A92">
      <w:pPr>
        <w:keepNext w:val="0"/>
        <w:keepLines w:val="0"/>
        <w:pageBreakBefore w:val="0"/>
        <w:widowControl w:val="0"/>
        <w:suppressLineNumbers w:val="0"/>
        <w:kinsoku/>
        <w:wordWrap/>
        <w:overflowPunct/>
        <w:topLinePunct w:val="0"/>
        <w:autoSpaceDE/>
        <w:autoSpaceDN/>
        <w:bidi w:val="0"/>
        <w:adjustRightInd/>
        <w:snapToGrid/>
        <w:spacing w:line="480" w:lineRule="exact"/>
        <w:ind w:firstLine="1200" w:firstLineChars="5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ηs—</w:t>
      </w:r>
      <w:bookmarkStart w:id="458" w:name="OLE_LINK718"/>
      <w:r>
        <w:rPr>
          <w:rFonts w:hint="default" w:ascii="Times New Roman" w:hAnsi="Times New Roman" w:eastAsia="宋体" w:cs="Times New Roman"/>
          <w:color w:val="auto"/>
          <w:kern w:val="0"/>
          <w:sz w:val="24"/>
          <w:szCs w:val="24"/>
          <w:highlight w:val="none"/>
          <w:lang w:val="en-US" w:eastAsia="zh-CN" w:bidi="ar"/>
        </w:rPr>
        <w:t>脱硫效率</w:t>
      </w:r>
      <w:bookmarkEnd w:id="458"/>
      <w:r>
        <w:rPr>
          <w:rFonts w:hint="default" w:ascii="Times New Roman" w:hAnsi="Times New Roman" w:eastAsia="宋体" w:cs="Times New Roman"/>
          <w:color w:val="auto"/>
          <w:kern w:val="0"/>
          <w:sz w:val="24"/>
          <w:szCs w:val="24"/>
          <w:highlight w:val="none"/>
          <w:lang w:val="en-US" w:eastAsia="zh-CN" w:bidi="ar"/>
        </w:rPr>
        <w:t>，%；</w:t>
      </w:r>
      <w:bookmarkStart w:id="459" w:name="OLE_LINK708"/>
      <w:bookmarkStart w:id="460" w:name="OLE_LINK717"/>
      <w:r>
        <w:rPr>
          <w:rFonts w:hint="default" w:ascii="Times New Roman" w:hAnsi="Times New Roman" w:eastAsia="宋体" w:cs="Times New Roman"/>
          <w:color w:val="auto"/>
          <w:kern w:val="0"/>
          <w:sz w:val="24"/>
          <w:szCs w:val="24"/>
          <w:highlight w:val="none"/>
          <w:lang w:val="en-US" w:eastAsia="zh-CN" w:bidi="ar"/>
        </w:rPr>
        <w:t>项目</w:t>
      </w:r>
      <w:r>
        <w:rPr>
          <w:rFonts w:hint="default" w:ascii="Times New Roman" w:hAnsi="Times New Roman" w:eastAsia="宋体" w:cs="Times New Roman"/>
          <w:color w:val="auto"/>
          <w:spacing w:val="6"/>
          <w:sz w:val="24"/>
          <w:szCs w:val="24"/>
          <w:highlight w:val="none"/>
          <w:lang w:val="en-US" w:eastAsia="zh-CN"/>
        </w:rPr>
        <w:t>燃煤锅炉</w:t>
      </w:r>
      <w:bookmarkEnd w:id="459"/>
      <w:bookmarkEnd w:id="460"/>
      <w:r>
        <w:rPr>
          <w:rFonts w:hint="default" w:ascii="Times New Roman" w:hAnsi="Times New Roman" w:eastAsia="宋体" w:cs="Times New Roman"/>
          <w:color w:val="auto"/>
          <w:spacing w:val="6"/>
          <w:sz w:val="24"/>
          <w:szCs w:val="24"/>
          <w:highlight w:val="none"/>
          <w:lang w:val="en-US" w:eastAsia="zh-CN"/>
        </w:rPr>
        <w:t>采用</w:t>
      </w:r>
      <w:r>
        <w:rPr>
          <w:rFonts w:hint="default" w:ascii="Times New Roman" w:hAnsi="Times New Roman" w:eastAsia="宋体" w:cs="Times New Roman"/>
          <w:color w:val="auto"/>
          <w:sz w:val="24"/>
          <w:szCs w:val="24"/>
          <w:highlight w:val="none"/>
          <w:lang w:val="en-US" w:eastAsia="zh-CN"/>
        </w:rPr>
        <w:t>石灰石/石灰-石膏湿法脱硫</w:t>
      </w:r>
      <w:r>
        <w:rPr>
          <w:rFonts w:hint="default" w:ascii="Times New Roman" w:hAnsi="Times New Roman" w:eastAsia="宋体" w:cs="Times New Roman"/>
          <w:color w:val="auto"/>
          <w:kern w:val="0"/>
          <w:sz w:val="24"/>
          <w:szCs w:val="24"/>
          <w:highlight w:val="none"/>
          <w:lang w:val="en-US" w:eastAsia="zh-CN" w:bidi="ar"/>
        </w:rPr>
        <w:t>，脱硫效率取90%；</w:t>
      </w:r>
    </w:p>
    <w:p w14:paraId="08C3ABFC">
      <w:pPr>
        <w:keepNext w:val="0"/>
        <w:keepLines w:val="0"/>
        <w:pageBreakBefore w:val="0"/>
        <w:widowControl w:val="0"/>
        <w:suppressLineNumbers w:val="0"/>
        <w:kinsoku/>
        <w:wordWrap/>
        <w:overflowPunct/>
        <w:topLinePunct w:val="0"/>
        <w:autoSpaceDE/>
        <w:autoSpaceDN/>
        <w:bidi w:val="0"/>
        <w:adjustRightInd/>
        <w:snapToGrid/>
        <w:spacing w:line="480" w:lineRule="exact"/>
        <w:ind w:firstLine="1200" w:firstLineChars="5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K—燃料中的硫燃烧后氧化成二氧化硫的份额，量纲一的量，根据表B.3，项目</w:t>
      </w:r>
      <w:r>
        <w:rPr>
          <w:rFonts w:hint="default" w:ascii="Times New Roman" w:hAnsi="Times New Roman" w:eastAsia="宋体" w:cs="Times New Roman"/>
          <w:color w:val="auto"/>
          <w:spacing w:val="6"/>
          <w:sz w:val="24"/>
          <w:szCs w:val="24"/>
          <w:highlight w:val="none"/>
          <w:lang w:val="en-US" w:eastAsia="zh-CN"/>
        </w:rPr>
        <w:t>链条式燃煤锅炉</w:t>
      </w:r>
      <w:r>
        <w:rPr>
          <w:rFonts w:hint="default" w:ascii="Times New Roman" w:hAnsi="Times New Roman" w:eastAsia="宋体" w:cs="Times New Roman"/>
          <w:color w:val="auto"/>
          <w:kern w:val="0"/>
          <w:sz w:val="24"/>
          <w:szCs w:val="24"/>
          <w:highlight w:val="none"/>
          <w:lang w:val="en-US" w:eastAsia="zh-CN" w:bidi="ar"/>
        </w:rPr>
        <w:t>取中间值0.85。</w:t>
      </w:r>
    </w:p>
    <w:p w14:paraId="65B9F28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highlight w:val="none"/>
          <w:lang w:val="en-US" w:eastAsia="zh-CN"/>
        </w:rPr>
      </w:pPr>
      <w:bookmarkStart w:id="461" w:name="OLE_LINK719"/>
      <w:r>
        <w:rPr>
          <w:rFonts w:hint="default" w:ascii="Times New Roman" w:hAnsi="Times New Roman" w:eastAsia="宋体" w:cs="Times New Roman"/>
          <w:color w:val="auto"/>
          <w:kern w:val="0"/>
          <w:sz w:val="24"/>
          <w:szCs w:val="24"/>
          <w:highlight w:val="none"/>
          <w:lang w:val="en-US" w:eastAsia="zh-CN" w:bidi="ar"/>
        </w:rPr>
        <w:t>根据上式，本项目</w:t>
      </w:r>
      <w:r>
        <w:rPr>
          <w:rFonts w:hint="default" w:ascii="Times New Roman" w:hAnsi="Times New Roman" w:eastAsia="宋体" w:cs="Times New Roman"/>
          <w:color w:val="auto"/>
          <w:spacing w:val="6"/>
          <w:sz w:val="24"/>
          <w:szCs w:val="24"/>
          <w:highlight w:val="none"/>
          <w:lang w:val="en-US" w:eastAsia="zh-CN"/>
        </w:rPr>
        <w:t>链条式燃煤</w:t>
      </w:r>
      <w:r>
        <w:rPr>
          <w:rFonts w:hint="default" w:ascii="Times New Roman" w:hAnsi="Times New Roman" w:eastAsia="宋体" w:cs="Times New Roman"/>
          <w:color w:val="auto"/>
          <w:kern w:val="0"/>
          <w:sz w:val="24"/>
          <w:szCs w:val="24"/>
          <w:highlight w:val="none"/>
          <w:lang w:val="en-US" w:eastAsia="zh-CN" w:bidi="ar"/>
        </w:rPr>
        <w:t>锅炉运行过程中，二氧化硫排放量为：</w:t>
      </w:r>
      <w:bookmarkEnd w:id="461"/>
      <w:r>
        <w:rPr>
          <w:rFonts w:hint="default" w:ascii="Times New Roman" w:hAnsi="Times New Roman" w:eastAsia="宋体" w:cs="Times New Roman"/>
          <w:color w:val="auto"/>
          <w:kern w:val="0"/>
          <w:sz w:val="24"/>
          <w:szCs w:val="24"/>
          <w:highlight w:val="none"/>
          <w:lang w:val="en-US" w:eastAsia="zh-CN" w:bidi="ar"/>
        </w:rPr>
        <w:t>2×5400×0.24/100×（1-5/100）×（1-90/100）×0.85=</w:t>
      </w:r>
      <w:bookmarkStart w:id="462" w:name="OLE_LINK720"/>
      <w:bookmarkStart w:id="463" w:name="OLE_LINK724"/>
      <w:r>
        <w:rPr>
          <w:rFonts w:hint="default" w:ascii="Times New Roman" w:hAnsi="Times New Roman" w:eastAsia="宋体" w:cs="Times New Roman"/>
          <w:color w:val="auto"/>
          <w:kern w:val="0"/>
          <w:sz w:val="24"/>
          <w:szCs w:val="24"/>
          <w:highlight w:val="none"/>
          <w:lang w:val="en-US" w:eastAsia="zh-CN" w:bidi="ar"/>
        </w:rPr>
        <w:t>2.093t/a</w:t>
      </w:r>
      <w:bookmarkEnd w:id="462"/>
      <w:bookmarkEnd w:id="463"/>
      <w:r>
        <w:rPr>
          <w:rFonts w:hint="default" w:ascii="Times New Roman" w:hAnsi="Times New Roman" w:eastAsia="宋体" w:cs="Times New Roman"/>
          <w:color w:val="auto"/>
          <w:kern w:val="0"/>
          <w:sz w:val="24"/>
          <w:szCs w:val="24"/>
          <w:highlight w:val="none"/>
          <w:lang w:val="en-US" w:eastAsia="zh-CN" w:bidi="ar"/>
        </w:rPr>
        <w:t>。</w:t>
      </w:r>
    </w:p>
    <w:p w14:paraId="4EF97B06">
      <w:pPr>
        <w:keepNext w:val="0"/>
        <w:keepLines w:val="0"/>
        <w:pageBreakBefore w:val="0"/>
        <w:widowControl w:val="0"/>
        <w:suppressLineNumbers w:val="0"/>
        <w:kinsoku/>
        <w:wordWrap/>
        <w:overflowPunct/>
        <w:topLinePunct w:val="0"/>
        <w:autoSpaceDE/>
        <w:autoSpaceDN/>
        <w:bidi w:val="0"/>
        <w:adjustRightInd/>
        <w:snapToGrid/>
        <w:spacing w:line="480" w:lineRule="exact"/>
        <w:ind w:firstLine="504" w:firstLineChars="200"/>
        <w:jc w:val="both"/>
        <w:textAlignment w:val="auto"/>
        <w:outlineLvl w:val="9"/>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color w:val="auto"/>
          <w:spacing w:val="6"/>
          <w:sz w:val="24"/>
          <w:szCs w:val="24"/>
          <w:highlight w:val="none"/>
          <w:lang w:val="en-US" w:eastAsia="zh-CN"/>
        </w:rPr>
        <w:t>4）</w:t>
      </w:r>
      <w:r>
        <w:rPr>
          <w:rFonts w:hint="default" w:ascii="Times New Roman" w:hAnsi="Times New Roman" w:eastAsia="宋体" w:cs="Times New Roman"/>
          <w:b w:val="0"/>
          <w:bCs w:val="0"/>
          <w:color w:val="auto"/>
          <w:spacing w:val="6"/>
          <w:sz w:val="24"/>
          <w:szCs w:val="24"/>
          <w:highlight w:val="none"/>
          <w:lang w:val="en-US" w:eastAsia="zh-CN"/>
        </w:rPr>
        <w:t>链条式燃煤</w:t>
      </w:r>
      <w:r>
        <w:rPr>
          <w:rFonts w:hint="default" w:ascii="Times New Roman" w:hAnsi="Times New Roman" w:eastAsia="宋体" w:cs="Times New Roman"/>
          <w:b w:val="0"/>
          <w:bCs w:val="0"/>
          <w:color w:val="auto"/>
          <w:sz w:val="24"/>
          <w:szCs w:val="24"/>
          <w:highlight w:val="none"/>
          <w:lang w:val="en-US" w:eastAsia="zh-CN"/>
        </w:rPr>
        <w:t>锅炉氮氧化物计算</w:t>
      </w:r>
    </w:p>
    <w:p w14:paraId="4F59FE11">
      <w:pPr>
        <w:keepNext w:val="0"/>
        <w:keepLines w:val="0"/>
        <w:pageBreakBefore w:val="0"/>
        <w:widowControl w:val="0"/>
        <w:suppressLineNumbers w:val="0"/>
        <w:kinsoku/>
        <w:wordWrap/>
        <w:overflowPunct/>
        <w:topLinePunct w:val="0"/>
        <w:autoSpaceDE/>
        <w:autoSpaceDN/>
        <w:bidi w:val="0"/>
        <w:adjustRightInd/>
        <w:snapToGrid/>
        <w:spacing w:line="480" w:lineRule="exact"/>
        <w:ind w:firstLine="480" w:firstLineChars="200"/>
        <w:jc w:val="left"/>
        <w:textAlignment w:val="auto"/>
        <w:outlineLvl w:val="9"/>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根据</w:t>
      </w:r>
      <w:r>
        <w:rPr>
          <w:rFonts w:hint="default" w:ascii="Times New Roman" w:hAnsi="Times New Roman" w:eastAsia="宋体" w:cs="Times New Roman"/>
          <w:b w:val="0"/>
          <w:bCs w:val="0"/>
          <w:color w:val="auto"/>
          <w:spacing w:val="0"/>
          <w:sz w:val="24"/>
          <w:szCs w:val="24"/>
          <w:highlight w:val="none"/>
        </w:rPr>
        <w:t>查阅</w:t>
      </w:r>
      <w:r>
        <w:rPr>
          <w:rFonts w:hint="default" w:ascii="Times New Roman" w:hAnsi="Times New Roman" w:eastAsia="宋体" w:cs="Times New Roman"/>
          <w:b w:val="0"/>
          <w:bCs w:val="0"/>
          <w:color w:val="auto"/>
          <w:spacing w:val="0"/>
          <w:sz w:val="24"/>
          <w:szCs w:val="24"/>
          <w:highlight w:val="none"/>
          <w:lang w:eastAsia="zh-CN"/>
        </w:rPr>
        <w:t>生态环境部</w:t>
      </w:r>
      <w:r>
        <w:rPr>
          <w:rFonts w:hint="default" w:ascii="Times New Roman" w:hAnsi="Times New Roman" w:eastAsia="宋体" w:cs="Times New Roman"/>
          <w:b w:val="0"/>
          <w:bCs w:val="0"/>
          <w:color w:val="auto"/>
          <w:spacing w:val="0"/>
          <w:sz w:val="24"/>
          <w:szCs w:val="24"/>
          <w:highlight w:val="none"/>
          <w:lang w:val="en-US" w:eastAsia="zh-CN"/>
        </w:rPr>
        <w:t>2021年6月11日印发的公告2021年 第24号文件</w:t>
      </w:r>
      <w:bookmarkStart w:id="464" w:name="OLE_LINK1345"/>
      <w:r>
        <w:rPr>
          <w:rFonts w:hint="default" w:ascii="Times New Roman" w:hAnsi="Times New Roman" w:eastAsia="宋体" w:cs="Times New Roman"/>
          <w:b w:val="0"/>
          <w:bCs w:val="0"/>
          <w:color w:val="auto"/>
          <w:sz w:val="24"/>
          <w:szCs w:val="24"/>
          <w:highlight w:val="none"/>
          <w:lang w:val="en-US" w:eastAsia="zh-CN"/>
        </w:rPr>
        <w:t>《排放源统计调查产排污核算方法和系数手册》</w:t>
      </w:r>
      <w:bookmarkEnd w:id="464"/>
      <w:r>
        <w:rPr>
          <w:rFonts w:hint="default" w:ascii="Times New Roman" w:hAnsi="Times New Roman" w:eastAsia="宋体" w:cs="Times New Roman"/>
          <w:b w:val="0"/>
          <w:bCs w:val="0"/>
          <w:color w:val="auto"/>
          <w:sz w:val="24"/>
          <w:szCs w:val="24"/>
          <w:highlight w:val="none"/>
          <w:lang w:val="en-US" w:eastAsia="zh-CN"/>
        </w:rPr>
        <w:t>中锅炉产排污量核算系数手册-</w:t>
      </w:r>
      <w:r>
        <w:rPr>
          <w:rFonts w:hint="default" w:ascii="Times New Roman" w:hAnsi="Times New Roman" w:eastAsia="宋体" w:cs="Times New Roman"/>
          <w:b w:val="0"/>
          <w:bCs w:val="0"/>
          <w:color w:val="auto"/>
          <w:kern w:val="0"/>
          <w:sz w:val="24"/>
          <w:szCs w:val="24"/>
          <w:highlight w:val="none"/>
          <w:lang w:val="en-US" w:eastAsia="zh-CN" w:bidi="ar"/>
        </w:rPr>
        <w:t>4430工业锅炉（热力生产和供应行业）产污系数表-燃煤工业锅炉，烟煤层燃炉氮氧化物产污系数为2.94千克/吨—原料，因此，</w:t>
      </w:r>
      <w:bookmarkStart w:id="465" w:name="OLE_LINK103"/>
      <w:r>
        <w:rPr>
          <w:rFonts w:hint="default" w:ascii="Times New Roman" w:hAnsi="Times New Roman" w:eastAsia="宋体" w:cs="Times New Roman"/>
          <w:color w:val="auto"/>
          <w:kern w:val="0"/>
          <w:sz w:val="24"/>
          <w:szCs w:val="24"/>
          <w:highlight w:val="none"/>
          <w:lang w:val="en-US" w:eastAsia="zh-CN" w:bidi="ar"/>
        </w:rPr>
        <w:t>本项目</w:t>
      </w:r>
      <w:r>
        <w:rPr>
          <w:rFonts w:hint="default" w:ascii="Times New Roman" w:hAnsi="Times New Roman" w:eastAsia="宋体" w:cs="Times New Roman"/>
          <w:color w:val="auto"/>
          <w:spacing w:val="6"/>
          <w:sz w:val="24"/>
          <w:szCs w:val="24"/>
          <w:highlight w:val="none"/>
          <w:lang w:val="en-US" w:eastAsia="zh-CN"/>
        </w:rPr>
        <w:t>链条式燃煤</w:t>
      </w:r>
      <w:r>
        <w:rPr>
          <w:rFonts w:hint="default" w:ascii="Times New Roman" w:hAnsi="Times New Roman" w:eastAsia="宋体" w:cs="Times New Roman"/>
          <w:color w:val="auto"/>
          <w:kern w:val="0"/>
          <w:sz w:val="24"/>
          <w:szCs w:val="24"/>
          <w:highlight w:val="none"/>
          <w:lang w:val="en-US" w:eastAsia="zh-CN" w:bidi="ar"/>
        </w:rPr>
        <w:t>锅炉</w:t>
      </w:r>
      <w:bookmarkEnd w:id="465"/>
      <w:r>
        <w:rPr>
          <w:rFonts w:hint="default" w:ascii="Times New Roman" w:hAnsi="Times New Roman" w:eastAsia="宋体" w:cs="Times New Roman"/>
          <w:color w:val="auto"/>
          <w:kern w:val="0"/>
          <w:sz w:val="24"/>
          <w:szCs w:val="24"/>
          <w:highlight w:val="none"/>
          <w:lang w:val="en-US" w:eastAsia="zh-CN" w:bidi="ar"/>
        </w:rPr>
        <w:t>运行过程中，氮氧化物产生量为：</w:t>
      </w:r>
      <w:r>
        <w:rPr>
          <w:rFonts w:hint="default" w:ascii="Times New Roman" w:hAnsi="Times New Roman" w:eastAsia="宋体" w:cs="Times New Roman"/>
          <w:color w:val="auto"/>
          <w:sz w:val="24"/>
          <w:szCs w:val="24"/>
          <w:highlight w:val="none"/>
          <w:lang w:val="en-US" w:eastAsia="zh-CN"/>
        </w:rPr>
        <w:t>5400×2.94/1000</w:t>
      </w:r>
      <w:r>
        <w:rPr>
          <w:rFonts w:hint="default" w:ascii="Times New Roman" w:hAnsi="Times New Roman" w:eastAsia="宋体" w:cs="Times New Roman"/>
          <w:color w:val="auto"/>
          <w:kern w:val="0"/>
          <w:sz w:val="24"/>
          <w:szCs w:val="24"/>
          <w:highlight w:val="none"/>
          <w:lang w:val="en-US" w:eastAsia="zh-CN" w:bidi="ar"/>
        </w:rPr>
        <w:t>=</w:t>
      </w:r>
      <w:bookmarkStart w:id="466" w:name="OLE_LINK104"/>
      <w:r>
        <w:rPr>
          <w:rFonts w:hint="default" w:ascii="Times New Roman" w:hAnsi="Times New Roman" w:eastAsia="宋体" w:cs="Times New Roman"/>
          <w:color w:val="auto"/>
          <w:kern w:val="0"/>
          <w:sz w:val="24"/>
          <w:szCs w:val="24"/>
          <w:highlight w:val="none"/>
          <w:lang w:val="en-US" w:eastAsia="zh-CN" w:bidi="ar"/>
        </w:rPr>
        <w:t>15.876t/a。</w:t>
      </w:r>
      <w:bookmarkEnd w:id="466"/>
      <w:r>
        <w:rPr>
          <w:rFonts w:hint="default" w:ascii="Times New Roman" w:hAnsi="Times New Roman" w:eastAsia="宋体" w:cs="Times New Roman"/>
          <w:color w:val="auto"/>
          <w:kern w:val="0"/>
          <w:sz w:val="24"/>
          <w:szCs w:val="24"/>
          <w:highlight w:val="none"/>
          <w:lang w:val="en-US" w:eastAsia="zh-CN" w:bidi="ar"/>
        </w:rPr>
        <w:t>项目燃煤锅炉采用</w:t>
      </w:r>
      <w:r>
        <w:rPr>
          <w:rFonts w:hint="default" w:ascii="Times New Roman" w:hAnsi="Times New Roman" w:eastAsia="宋体" w:cs="Times New Roman"/>
          <w:color w:val="auto"/>
          <w:spacing w:val="0"/>
          <w:sz w:val="24"/>
          <w:szCs w:val="24"/>
          <w:highlight w:val="none"/>
          <w:lang w:val="en-US" w:eastAsia="zh-CN"/>
        </w:rPr>
        <w:t>1套</w:t>
      </w:r>
      <w:bookmarkStart w:id="467" w:name="OLE_LINK291"/>
      <w:r>
        <w:rPr>
          <w:rFonts w:hint="default" w:ascii="Times New Roman" w:hAnsi="Times New Roman" w:eastAsia="宋体" w:cs="Times New Roman"/>
          <w:color w:val="auto"/>
          <w:spacing w:val="0"/>
          <w:sz w:val="24"/>
          <w:szCs w:val="24"/>
          <w:highlight w:val="none"/>
          <w:lang w:val="en-US" w:eastAsia="zh-CN"/>
        </w:rPr>
        <w:t>S</w:t>
      </w:r>
      <w:r>
        <w:rPr>
          <w:rFonts w:hint="eastAsia" w:cs="Times New Roman"/>
          <w:color w:val="auto"/>
          <w:spacing w:val="0"/>
          <w:sz w:val="24"/>
          <w:szCs w:val="24"/>
          <w:highlight w:val="none"/>
          <w:lang w:val="en-US" w:eastAsia="zh-CN"/>
        </w:rPr>
        <w:t>N</w:t>
      </w:r>
      <w:r>
        <w:rPr>
          <w:rFonts w:hint="default" w:ascii="Times New Roman" w:hAnsi="Times New Roman" w:eastAsia="宋体" w:cs="Times New Roman"/>
          <w:color w:val="auto"/>
          <w:spacing w:val="0"/>
          <w:sz w:val="24"/>
          <w:szCs w:val="24"/>
          <w:highlight w:val="none"/>
          <w:lang w:val="en-US" w:eastAsia="zh-CN"/>
        </w:rPr>
        <w:t>CR</w:t>
      </w:r>
      <w:bookmarkEnd w:id="467"/>
      <w:r>
        <w:rPr>
          <w:rFonts w:hint="default" w:ascii="Times New Roman" w:hAnsi="Times New Roman" w:eastAsia="宋体" w:cs="Times New Roman"/>
          <w:color w:val="auto"/>
          <w:spacing w:val="0"/>
          <w:sz w:val="24"/>
          <w:szCs w:val="24"/>
          <w:highlight w:val="none"/>
          <w:lang w:val="en-US" w:eastAsia="zh-CN"/>
        </w:rPr>
        <w:t>脱硝反应器脱硝，脱硝效率为</w:t>
      </w:r>
      <w:r>
        <w:rPr>
          <w:rFonts w:hint="eastAsia" w:cs="Times New Roman"/>
          <w:color w:val="auto"/>
          <w:spacing w:val="0"/>
          <w:sz w:val="24"/>
          <w:szCs w:val="24"/>
          <w:highlight w:val="none"/>
          <w:lang w:val="en-US" w:eastAsia="zh-CN"/>
        </w:rPr>
        <w:t>3</w:t>
      </w:r>
      <w:r>
        <w:rPr>
          <w:rFonts w:hint="default" w:ascii="Times New Roman" w:hAnsi="Times New Roman" w:eastAsia="宋体" w:cs="Times New Roman"/>
          <w:color w:val="auto"/>
          <w:spacing w:val="0"/>
          <w:sz w:val="24"/>
          <w:szCs w:val="24"/>
          <w:highlight w:val="none"/>
          <w:lang w:val="en-US" w:eastAsia="zh-CN"/>
        </w:rPr>
        <w:t>0%，则</w:t>
      </w:r>
      <w:r>
        <w:rPr>
          <w:rFonts w:hint="default" w:ascii="Times New Roman" w:hAnsi="Times New Roman" w:eastAsia="宋体" w:cs="Times New Roman"/>
          <w:color w:val="auto"/>
          <w:kern w:val="0"/>
          <w:sz w:val="24"/>
          <w:szCs w:val="24"/>
          <w:highlight w:val="none"/>
          <w:lang w:val="en-US" w:eastAsia="zh-CN" w:bidi="ar"/>
        </w:rPr>
        <w:t>本项目</w:t>
      </w:r>
      <w:r>
        <w:rPr>
          <w:rFonts w:hint="default" w:ascii="Times New Roman" w:hAnsi="Times New Roman" w:eastAsia="宋体" w:cs="Times New Roman"/>
          <w:color w:val="auto"/>
          <w:spacing w:val="6"/>
          <w:sz w:val="24"/>
          <w:szCs w:val="24"/>
          <w:highlight w:val="none"/>
          <w:lang w:val="en-US" w:eastAsia="zh-CN"/>
        </w:rPr>
        <w:t>链条式燃煤</w:t>
      </w:r>
      <w:r>
        <w:rPr>
          <w:rFonts w:hint="default" w:ascii="Times New Roman" w:hAnsi="Times New Roman" w:eastAsia="宋体" w:cs="Times New Roman"/>
          <w:color w:val="auto"/>
          <w:kern w:val="0"/>
          <w:sz w:val="24"/>
          <w:szCs w:val="24"/>
          <w:highlight w:val="none"/>
          <w:lang w:val="en-US" w:eastAsia="zh-CN" w:bidi="ar"/>
        </w:rPr>
        <w:t>锅炉氮氧化物排放量为</w:t>
      </w:r>
      <w:bookmarkStart w:id="468" w:name="OLE_LINK100"/>
      <w:r>
        <w:rPr>
          <w:rFonts w:hint="eastAsia" w:cs="Times New Roman"/>
          <w:color w:val="auto"/>
          <w:kern w:val="0"/>
          <w:sz w:val="24"/>
          <w:szCs w:val="24"/>
          <w:highlight w:val="none"/>
          <w:lang w:val="en-US" w:eastAsia="zh-CN" w:bidi="ar"/>
        </w:rPr>
        <w:t>11.113</w:t>
      </w:r>
      <w:r>
        <w:rPr>
          <w:rFonts w:hint="default" w:ascii="Times New Roman" w:hAnsi="Times New Roman" w:eastAsia="宋体" w:cs="Times New Roman"/>
          <w:color w:val="auto"/>
          <w:kern w:val="0"/>
          <w:sz w:val="24"/>
          <w:szCs w:val="24"/>
          <w:highlight w:val="none"/>
          <w:lang w:val="en-US" w:eastAsia="zh-CN" w:bidi="ar"/>
        </w:rPr>
        <w:t>t/a</w:t>
      </w:r>
      <w:bookmarkEnd w:id="468"/>
      <w:r>
        <w:rPr>
          <w:rFonts w:hint="default" w:ascii="Times New Roman" w:hAnsi="Times New Roman" w:eastAsia="宋体" w:cs="Times New Roman"/>
          <w:color w:val="auto"/>
          <w:kern w:val="0"/>
          <w:sz w:val="24"/>
          <w:szCs w:val="24"/>
          <w:highlight w:val="none"/>
          <w:lang w:val="en-US" w:eastAsia="zh-CN" w:bidi="ar"/>
        </w:rPr>
        <w:t>。</w:t>
      </w:r>
    </w:p>
    <w:p w14:paraId="1098DCF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5）</w:t>
      </w:r>
      <w:r>
        <w:rPr>
          <w:rFonts w:hint="default" w:ascii="Times New Roman" w:hAnsi="Times New Roman" w:eastAsia="宋体" w:cs="Times New Roman"/>
          <w:b w:val="0"/>
          <w:bCs w:val="0"/>
          <w:color w:val="auto"/>
          <w:spacing w:val="6"/>
          <w:sz w:val="24"/>
          <w:szCs w:val="24"/>
          <w:highlight w:val="none"/>
          <w:lang w:val="en-US" w:eastAsia="zh-CN"/>
        </w:rPr>
        <w:t>链条式燃煤</w:t>
      </w:r>
      <w:r>
        <w:rPr>
          <w:rFonts w:hint="default" w:ascii="Times New Roman" w:hAnsi="Times New Roman" w:eastAsia="宋体" w:cs="Times New Roman"/>
          <w:b w:val="0"/>
          <w:bCs w:val="0"/>
          <w:color w:val="auto"/>
          <w:sz w:val="24"/>
          <w:szCs w:val="24"/>
          <w:highlight w:val="none"/>
          <w:lang w:val="en-US" w:eastAsia="zh-CN"/>
        </w:rPr>
        <w:t>锅炉</w:t>
      </w:r>
      <w:bookmarkStart w:id="469" w:name="OLE_LINK105"/>
      <w:r>
        <w:rPr>
          <w:rFonts w:hint="default" w:ascii="Times New Roman" w:hAnsi="Times New Roman" w:eastAsia="宋体" w:cs="Times New Roman"/>
          <w:b w:val="0"/>
          <w:bCs w:val="0"/>
          <w:color w:val="auto"/>
          <w:sz w:val="24"/>
          <w:szCs w:val="24"/>
          <w:highlight w:val="none"/>
          <w:lang w:val="en-US" w:eastAsia="zh-CN"/>
        </w:rPr>
        <w:t>汞及其化合物</w:t>
      </w:r>
      <w:bookmarkEnd w:id="469"/>
      <w:r>
        <w:rPr>
          <w:rFonts w:hint="default" w:ascii="Times New Roman" w:hAnsi="Times New Roman" w:eastAsia="宋体" w:cs="Times New Roman"/>
          <w:b w:val="0"/>
          <w:bCs w:val="0"/>
          <w:color w:val="auto"/>
          <w:sz w:val="24"/>
          <w:szCs w:val="24"/>
          <w:highlight w:val="none"/>
          <w:lang w:val="en-US" w:eastAsia="zh-CN"/>
        </w:rPr>
        <w:t>计算</w:t>
      </w:r>
    </w:p>
    <w:p w14:paraId="34972CF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根据《污染源强核算技术指南 锅炉》</w:t>
      </w:r>
      <w:r>
        <w:rPr>
          <w:rFonts w:hint="default" w:ascii="Times New Roman" w:hAnsi="Times New Roman" w:eastAsia="宋体" w:cs="Times New Roman"/>
          <w:color w:val="auto"/>
          <w:spacing w:val="0"/>
          <w:kern w:val="0"/>
          <w:sz w:val="24"/>
          <w:szCs w:val="24"/>
          <w:highlight w:val="none"/>
          <w:lang w:val="en-US" w:eastAsia="zh-CN" w:bidi="ar"/>
        </w:rPr>
        <w:t>（HJ991-2018），</w:t>
      </w:r>
      <w:r>
        <w:rPr>
          <w:rFonts w:hint="default" w:ascii="Times New Roman" w:hAnsi="Times New Roman" w:eastAsia="宋体" w:cs="Times New Roman"/>
          <w:color w:val="auto"/>
          <w:kern w:val="0"/>
          <w:sz w:val="24"/>
          <w:szCs w:val="24"/>
          <w:highlight w:val="none"/>
          <w:lang w:val="en-US" w:eastAsia="zh-CN" w:bidi="ar"/>
        </w:rPr>
        <w:t>指南中废气污染源源强核算方法5.1.1燃煤、燃生物质锅炉</w:t>
      </w:r>
      <w:r>
        <w:rPr>
          <w:rFonts w:hint="default" w:ascii="Times New Roman" w:hAnsi="Times New Roman" w:eastAsia="宋体" w:cs="Times New Roman"/>
          <w:b w:val="0"/>
          <w:bCs w:val="0"/>
          <w:color w:val="auto"/>
          <w:sz w:val="24"/>
          <w:szCs w:val="24"/>
          <w:highlight w:val="none"/>
          <w:lang w:val="en-US" w:eastAsia="zh-CN"/>
        </w:rPr>
        <w:t>汞及其化合物</w:t>
      </w:r>
      <w:r>
        <w:rPr>
          <w:rFonts w:hint="default" w:ascii="Times New Roman" w:hAnsi="Times New Roman" w:eastAsia="宋体" w:cs="Times New Roman"/>
          <w:color w:val="auto"/>
          <w:kern w:val="0"/>
          <w:sz w:val="24"/>
          <w:szCs w:val="24"/>
          <w:highlight w:val="none"/>
          <w:lang w:val="en-US" w:eastAsia="zh-CN" w:bidi="ar"/>
        </w:rPr>
        <w:t>排放量按下式计算：</w:t>
      </w:r>
    </w:p>
    <w:p w14:paraId="1649026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highlight w:val="none"/>
        </w:rPr>
        <w:drawing>
          <wp:anchor distT="0" distB="0" distL="114300" distR="114300" simplePos="0" relativeHeight="251675648" behindDoc="0" locked="0" layoutInCell="1" allowOverlap="1">
            <wp:simplePos x="0" y="0"/>
            <wp:positionH relativeFrom="column">
              <wp:align>center</wp:align>
            </wp:positionH>
            <wp:positionV relativeFrom="paragraph">
              <wp:posOffset>57785</wp:posOffset>
            </wp:positionV>
            <wp:extent cx="2000250" cy="476250"/>
            <wp:effectExtent l="0" t="0" r="0" b="0"/>
            <wp:wrapTopAndBottom/>
            <wp:docPr id="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
                    <pic:cNvPicPr>
                      <a:picLocks noChangeAspect="1"/>
                    </pic:cNvPicPr>
                  </pic:nvPicPr>
                  <pic:blipFill>
                    <a:blip r:embed="rId27"/>
                    <a:stretch>
                      <a:fillRect/>
                    </a:stretch>
                  </pic:blipFill>
                  <pic:spPr>
                    <a:xfrm>
                      <a:off x="0" y="0"/>
                      <a:ext cx="2000250" cy="476250"/>
                    </a:xfrm>
                    <a:prstGeom prst="rect">
                      <a:avLst/>
                    </a:prstGeom>
                    <a:noFill/>
                    <a:ln>
                      <a:noFill/>
                    </a:ln>
                  </pic:spPr>
                </pic:pic>
              </a:graphicData>
            </a:graphic>
          </wp:anchor>
        </w:drawing>
      </w:r>
      <w:r>
        <w:rPr>
          <w:rFonts w:hint="default" w:ascii="Times New Roman" w:hAnsi="Times New Roman" w:eastAsia="宋体" w:cs="Times New Roman"/>
          <w:color w:val="auto"/>
          <w:kern w:val="0"/>
          <w:sz w:val="24"/>
          <w:szCs w:val="24"/>
          <w:highlight w:val="none"/>
          <w:lang w:val="en-US" w:eastAsia="zh-CN" w:bidi="ar"/>
        </w:rPr>
        <w:t>式中：E</w:t>
      </w:r>
      <w:r>
        <w:rPr>
          <w:rFonts w:hint="default" w:ascii="Times New Roman" w:hAnsi="Times New Roman" w:eastAsia="宋体" w:cs="Times New Roman"/>
          <w:color w:val="auto"/>
          <w:kern w:val="0"/>
          <w:sz w:val="24"/>
          <w:szCs w:val="24"/>
          <w:highlight w:val="none"/>
          <w:vertAlign w:val="subscript"/>
          <w:lang w:val="en-US" w:eastAsia="zh-CN" w:bidi="ar"/>
        </w:rPr>
        <w:t>Hg</w:t>
      </w:r>
      <w:r>
        <w:rPr>
          <w:rFonts w:hint="default" w:ascii="Times New Roman" w:hAnsi="Times New Roman" w:eastAsia="宋体" w:cs="Times New Roman"/>
          <w:color w:val="auto"/>
          <w:kern w:val="0"/>
          <w:sz w:val="24"/>
          <w:szCs w:val="24"/>
          <w:highlight w:val="none"/>
          <w:lang w:val="en-US" w:eastAsia="zh-CN" w:bidi="ar"/>
        </w:rPr>
        <w:t>—核算时段内汞及其化合物排放量（以汞计），t；</w:t>
      </w:r>
    </w:p>
    <w:p w14:paraId="700D717D">
      <w:pPr>
        <w:keepNext w:val="0"/>
        <w:keepLines w:val="0"/>
        <w:pageBreakBefore w:val="0"/>
        <w:widowControl w:val="0"/>
        <w:kinsoku/>
        <w:wordWrap/>
        <w:overflowPunct/>
        <w:topLinePunct w:val="0"/>
        <w:autoSpaceDE/>
        <w:autoSpaceDN/>
        <w:bidi w:val="0"/>
        <w:adjustRightInd/>
        <w:snapToGrid/>
        <w:spacing w:line="480" w:lineRule="exact"/>
        <w:ind w:firstLine="1200" w:firstLineChars="5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R—核算时段内锅炉燃料耗量，t；本项目煤炭用量为5400t/a；</w:t>
      </w:r>
    </w:p>
    <w:p w14:paraId="44ED2F3E">
      <w:pPr>
        <w:keepNext w:val="0"/>
        <w:keepLines w:val="0"/>
        <w:pageBreakBefore w:val="0"/>
        <w:widowControl w:val="0"/>
        <w:suppressLineNumbers w:val="0"/>
        <w:kinsoku/>
        <w:wordWrap/>
        <w:overflowPunct/>
        <w:topLinePunct w:val="0"/>
        <w:autoSpaceDE/>
        <w:autoSpaceDN/>
        <w:bidi w:val="0"/>
        <w:adjustRightInd/>
        <w:snapToGrid/>
        <w:spacing w:line="480" w:lineRule="exact"/>
        <w:ind w:firstLine="1200" w:firstLineChars="5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bscript"/>
          <w:lang w:val="en-US" w:eastAsia="zh-CN"/>
        </w:rPr>
        <w:t>Hgar</w:t>
      </w:r>
      <w:r>
        <w:rPr>
          <w:rFonts w:hint="default" w:ascii="Times New Roman" w:hAnsi="Times New Roman" w:eastAsia="宋体" w:cs="Times New Roman"/>
          <w:color w:val="auto"/>
          <w:sz w:val="24"/>
          <w:szCs w:val="24"/>
          <w:highlight w:val="none"/>
          <w:lang w:val="en-US" w:eastAsia="zh-CN"/>
        </w:rPr>
        <w:t>—收到基汞的含量，</w:t>
      </w:r>
      <w:r>
        <w:rPr>
          <w:rFonts w:hint="default" w:ascii="Times New Roman" w:hAnsi="Times New Roman" w:cs="Times New Roman"/>
          <w:color w:val="auto"/>
          <w:highlight w:val="none"/>
          <w:lang w:val="en-US" w:eastAsia="zh-CN"/>
        </w:rPr>
        <w:t>μ</w:t>
      </w:r>
      <w:r>
        <w:rPr>
          <w:rFonts w:hint="default" w:ascii="Times New Roman" w:hAnsi="Times New Roman" w:eastAsia="宋体" w:cs="Times New Roman"/>
          <w:color w:val="auto"/>
          <w:sz w:val="24"/>
          <w:szCs w:val="24"/>
          <w:highlight w:val="none"/>
          <w:lang w:val="en-US" w:eastAsia="zh-CN"/>
        </w:rPr>
        <w:t>g/g；</w:t>
      </w:r>
      <w:r>
        <w:rPr>
          <w:rFonts w:hint="default" w:ascii="Times New Roman" w:hAnsi="Times New Roman" w:eastAsia="宋体" w:cs="Times New Roman"/>
          <w:color w:val="auto"/>
          <w:kern w:val="0"/>
          <w:sz w:val="24"/>
          <w:szCs w:val="24"/>
          <w:highlight w:val="none"/>
          <w:lang w:val="en-US" w:eastAsia="zh-CN" w:bidi="ar"/>
        </w:rPr>
        <w:t>因检验报告未测定汞指标，根据《新疆原煤中汞含量分布及燃煤大气汞排放量估算》，新疆矿区汞含量分布区间</w:t>
      </w:r>
      <w:r>
        <w:rPr>
          <w:rFonts w:hint="default" w:ascii="Times New Roman" w:hAnsi="Times New Roman" w:eastAsia="宋体" w:cs="Times New Roman"/>
          <w:color w:val="auto"/>
          <w:highlight w:val="none"/>
          <w:lang w:val="en-US" w:eastAsia="zh-CN"/>
        </w:rPr>
        <w:t>（0.0203-0.1705）</w:t>
      </w:r>
      <w:r>
        <w:rPr>
          <w:rFonts w:hint="default" w:cs="Times New Roman"/>
          <w:color w:val="auto"/>
          <w:highlight w:val="none"/>
          <w:lang w:val="en-US" w:eastAsia="zh-CN"/>
        </w:rPr>
        <w:t>μ</w:t>
      </w:r>
      <w:r>
        <w:rPr>
          <w:rFonts w:hint="default" w:ascii="Times New Roman" w:hAnsi="Times New Roman" w:eastAsia="宋体" w:cs="Times New Roman"/>
          <w:color w:val="auto"/>
          <w:highlight w:val="none"/>
          <w:lang w:val="en-US" w:eastAsia="zh-CN"/>
        </w:rPr>
        <w:t>g/g，平均值0.0543ug/g</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w:t>
      </w:r>
      <w:r>
        <w:rPr>
          <w:rFonts w:hint="default" w:ascii="Times New Roman" w:hAnsi="Times New Roman" w:eastAsia="宋体" w:cs="Times New Roman"/>
          <w:color w:val="auto"/>
          <w:kern w:val="0"/>
          <w:sz w:val="24"/>
          <w:szCs w:val="24"/>
          <w:highlight w:val="none"/>
          <w:lang w:val="en-US" w:eastAsia="zh-CN" w:bidi="ar"/>
        </w:rPr>
        <w:t>本评价取汞含量最高值0.1705</w:t>
      </w:r>
      <w:r>
        <w:rPr>
          <w:rFonts w:hint="default" w:ascii="Times New Roman" w:hAnsi="Times New Roman" w:cs="Times New Roman"/>
          <w:color w:val="auto"/>
          <w:highlight w:val="none"/>
          <w:lang w:val="en-US" w:eastAsia="zh-CN"/>
        </w:rPr>
        <w:t>μ</w:t>
      </w:r>
      <w:r>
        <w:rPr>
          <w:rFonts w:hint="default" w:ascii="Times New Roman" w:hAnsi="Times New Roman" w:eastAsia="宋体" w:cs="Times New Roman"/>
          <w:color w:val="auto"/>
          <w:highlight w:val="none"/>
          <w:lang w:val="en-US" w:eastAsia="zh-CN"/>
        </w:rPr>
        <w:t>g/g进行计算；</w:t>
      </w:r>
    </w:p>
    <w:p w14:paraId="50A9BF10">
      <w:pPr>
        <w:keepNext w:val="0"/>
        <w:keepLines w:val="0"/>
        <w:pageBreakBefore w:val="0"/>
        <w:widowControl w:val="0"/>
        <w:kinsoku/>
        <w:wordWrap/>
        <w:overflowPunct/>
        <w:topLinePunct w:val="0"/>
        <w:autoSpaceDE/>
        <w:autoSpaceDN/>
        <w:bidi w:val="0"/>
        <w:adjustRightInd/>
        <w:snapToGrid/>
        <w:spacing w:line="480" w:lineRule="exact"/>
        <w:ind w:firstLine="1200" w:firstLineChars="5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η</w:t>
      </w:r>
      <w:r>
        <w:rPr>
          <w:rFonts w:hint="default" w:ascii="Times New Roman" w:hAnsi="Times New Roman" w:eastAsia="宋体" w:cs="Times New Roman"/>
          <w:color w:val="auto"/>
          <w:highlight w:val="none"/>
          <w:vertAlign w:val="subscript"/>
          <w:lang w:val="en-US" w:eastAsia="zh-CN"/>
        </w:rPr>
        <w:t>Hg</w:t>
      </w:r>
      <w:r>
        <w:rPr>
          <w:rFonts w:hint="default" w:ascii="Times New Roman" w:hAnsi="Times New Roman" w:eastAsia="宋体" w:cs="Times New Roman"/>
          <w:color w:val="auto"/>
          <w:highlight w:val="none"/>
          <w:lang w:val="en-US" w:eastAsia="zh-CN"/>
        </w:rPr>
        <w:t>—汞的协同脱除效率，%。烟气S</w:t>
      </w:r>
      <w:r>
        <w:rPr>
          <w:rFonts w:hint="eastAsia" w:cs="Times New Roman"/>
          <w:color w:val="auto"/>
          <w:highlight w:val="none"/>
          <w:lang w:val="en-US" w:eastAsia="zh-CN"/>
        </w:rPr>
        <w:t>N</w:t>
      </w:r>
      <w:r>
        <w:rPr>
          <w:rFonts w:hint="default" w:ascii="Times New Roman" w:hAnsi="Times New Roman" w:eastAsia="宋体" w:cs="Times New Roman"/>
          <w:color w:val="auto"/>
          <w:highlight w:val="none"/>
          <w:lang w:val="en-US" w:eastAsia="zh-CN"/>
        </w:rPr>
        <w:t>CR脱硝、除尘和湿法脱硫等污染防治设施对汞及其化合物协同脱除效率约为70%。</w:t>
      </w:r>
    </w:p>
    <w:p w14:paraId="188AEC22">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根据上式，本项目</w:t>
      </w:r>
      <w:r>
        <w:rPr>
          <w:rFonts w:hint="default" w:ascii="Times New Roman" w:hAnsi="Times New Roman" w:eastAsia="宋体" w:cs="Times New Roman"/>
          <w:color w:val="auto"/>
          <w:spacing w:val="6"/>
          <w:kern w:val="2"/>
          <w:sz w:val="24"/>
          <w:szCs w:val="24"/>
          <w:highlight w:val="none"/>
          <w:lang w:val="en-US" w:eastAsia="zh-CN" w:bidi="ar-SA"/>
        </w:rPr>
        <w:t>链条式燃煤</w:t>
      </w:r>
      <w:r>
        <w:rPr>
          <w:rFonts w:hint="default" w:ascii="Times New Roman" w:hAnsi="Times New Roman" w:eastAsia="宋体" w:cs="Times New Roman"/>
          <w:color w:val="auto"/>
          <w:kern w:val="0"/>
          <w:sz w:val="24"/>
          <w:szCs w:val="24"/>
          <w:highlight w:val="none"/>
          <w:lang w:val="en-US" w:eastAsia="zh-CN" w:bidi="ar"/>
        </w:rPr>
        <w:t>锅炉运行过程中，汞及其化合物排放量为：5400×0.1705×（1-70/100）×10</w:t>
      </w:r>
      <w:r>
        <w:rPr>
          <w:rFonts w:hint="default" w:ascii="Times New Roman" w:hAnsi="Times New Roman" w:eastAsia="宋体" w:cs="Times New Roman"/>
          <w:color w:val="auto"/>
          <w:kern w:val="0"/>
          <w:sz w:val="24"/>
          <w:szCs w:val="24"/>
          <w:highlight w:val="none"/>
          <w:vertAlign w:val="superscript"/>
          <w:lang w:val="en-US" w:eastAsia="zh-CN" w:bidi="ar"/>
        </w:rPr>
        <w:t>-6</w:t>
      </w:r>
      <w:r>
        <w:rPr>
          <w:rFonts w:hint="default" w:ascii="Times New Roman" w:hAnsi="Times New Roman" w:eastAsia="宋体" w:cs="Times New Roman"/>
          <w:color w:val="auto"/>
          <w:kern w:val="0"/>
          <w:sz w:val="24"/>
          <w:szCs w:val="24"/>
          <w:highlight w:val="none"/>
          <w:lang w:val="en-US" w:eastAsia="zh-CN" w:bidi="ar"/>
        </w:rPr>
        <w:t>=</w:t>
      </w:r>
      <w:bookmarkStart w:id="470" w:name="OLE_LINK110"/>
      <w:r>
        <w:rPr>
          <w:rFonts w:hint="default" w:ascii="Times New Roman" w:hAnsi="Times New Roman" w:eastAsia="宋体" w:cs="Times New Roman"/>
          <w:color w:val="auto"/>
          <w:kern w:val="0"/>
          <w:sz w:val="24"/>
          <w:szCs w:val="24"/>
          <w:highlight w:val="none"/>
          <w:lang w:val="en-US" w:eastAsia="zh-CN" w:bidi="ar"/>
        </w:rPr>
        <w:t>2.76×10</w:t>
      </w:r>
      <w:r>
        <w:rPr>
          <w:rFonts w:hint="default" w:ascii="Times New Roman" w:hAnsi="Times New Roman" w:eastAsia="宋体" w:cs="Times New Roman"/>
          <w:color w:val="auto"/>
          <w:kern w:val="0"/>
          <w:sz w:val="24"/>
          <w:szCs w:val="24"/>
          <w:highlight w:val="none"/>
          <w:vertAlign w:val="superscript"/>
          <w:lang w:val="en-US" w:eastAsia="zh-CN" w:bidi="ar"/>
        </w:rPr>
        <w:t>-4</w:t>
      </w:r>
      <w:bookmarkEnd w:id="470"/>
      <w:r>
        <w:rPr>
          <w:rFonts w:hint="default" w:ascii="Times New Roman" w:hAnsi="Times New Roman" w:eastAsia="宋体" w:cs="Times New Roman"/>
          <w:color w:val="auto"/>
          <w:kern w:val="0"/>
          <w:sz w:val="24"/>
          <w:szCs w:val="24"/>
          <w:highlight w:val="none"/>
          <w:lang w:val="en-US" w:eastAsia="zh-CN" w:bidi="ar"/>
        </w:rPr>
        <w:t>t/a。</w:t>
      </w:r>
    </w:p>
    <w:p w14:paraId="393CF85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综上，项目</w:t>
      </w:r>
      <w:r>
        <w:rPr>
          <w:rFonts w:hint="default" w:ascii="Times New Roman" w:hAnsi="Times New Roman" w:eastAsia="宋体" w:cs="Times New Roman"/>
          <w:color w:val="auto"/>
          <w:spacing w:val="6"/>
          <w:sz w:val="24"/>
          <w:szCs w:val="24"/>
          <w:highlight w:val="none"/>
          <w:lang w:val="en-US" w:eastAsia="zh-CN"/>
        </w:rPr>
        <w:t>链条式燃煤</w:t>
      </w:r>
      <w:r>
        <w:rPr>
          <w:rFonts w:hint="default" w:ascii="Times New Roman" w:hAnsi="Times New Roman" w:eastAsia="宋体" w:cs="Times New Roman"/>
          <w:color w:val="auto"/>
          <w:kern w:val="0"/>
          <w:sz w:val="24"/>
          <w:szCs w:val="24"/>
          <w:highlight w:val="none"/>
          <w:lang w:val="en-US" w:eastAsia="zh-CN" w:bidi="ar"/>
        </w:rPr>
        <w:t>锅炉运行过程中，锅炉废气产生及排放情况见下表3.3-</w:t>
      </w:r>
      <w:r>
        <w:rPr>
          <w:rFonts w:hint="eastAsia" w:cs="Times New Roman"/>
          <w:color w:val="auto"/>
          <w:kern w:val="0"/>
          <w:sz w:val="24"/>
          <w:szCs w:val="24"/>
          <w:highlight w:val="none"/>
          <w:lang w:val="en-US" w:eastAsia="zh-CN" w:bidi="ar"/>
        </w:rPr>
        <w:t>6</w:t>
      </w:r>
      <w:r>
        <w:rPr>
          <w:rFonts w:hint="default" w:ascii="Times New Roman" w:hAnsi="Times New Roman" w:eastAsia="宋体" w:cs="Times New Roman"/>
          <w:color w:val="auto"/>
          <w:kern w:val="0"/>
          <w:sz w:val="24"/>
          <w:szCs w:val="24"/>
          <w:highlight w:val="none"/>
          <w:lang w:val="en-US" w:eastAsia="zh-CN" w:bidi="ar"/>
        </w:rPr>
        <w:t>。</w:t>
      </w:r>
    </w:p>
    <w:p w14:paraId="4231FBD2">
      <w:pP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br w:type="page"/>
      </w:r>
    </w:p>
    <w:p w14:paraId="5208B88A">
      <w:pPr>
        <w:keepNext w:val="0"/>
        <w:keepLines w:val="0"/>
        <w:pageBreakBefore w:val="0"/>
        <w:widowControl w:val="0"/>
        <w:kinsoku/>
        <w:wordWrap/>
        <w:overflowPunct/>
        <w:topLinePunct w:val="0"/>
        <w:autoSpaceDE w:val="0"/>
        <w:autoSpaceDN w:val="0"/>
        <w:bidi w:val="0"/>
        <w:adjustRightInd w:val="0"/>
        <w:snapToGrid/>
        <w:spacing w:line="480" w:lineRule="exact"/>
        <w:ind w:firstLine="0" w:firstLineChars="0"/>
        <w:jc w:val="center"/>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表3.</w:t>
      </w:r>
      <w:r>
        <w:rPr>
          <w:rFonts w:hint="default" w:ascii="Times New Roman" w:hAnsi="Times New Roman" w:eastAsia="宋体" w:cs="Times New Roman"/>
          <w:b/>
          <w:color w:val="auto"/>
          <w:sz w:val="24"/>
          <w:szCs w:val="24"/>
          <w:highlight w:val="none"/>
          <w:lang w:val="en-US" w:eastAsia="zh-CN"/>
        </w:rPr>
        <w:t>3</w:t>
      </w:r>
      <w:r>
        <w:rPr>
          <w:rFonts w:hint="default" w:ascii="Times New Roman" w:hAnsi="Times New Roman" w:eastAsia="宋体" w:cs="Times New Roman"/>
          <w:b/>
          <w:color w:val="auto"/>
          <w:sz w:val="24"/>
          <w:szCs w:val="24"/>
          <w:highlight w:val="none"/>
        </w:rPr>
        <w:t>-</w:t>
      </w:r>
      <w:r>
        <w:rPr>
          <w:rFonts w:hint="eastAsia" w:cs="Times New Roman"/>
          <w:b/>
          <w:color w:val="auto"/>
          <w:sz w:val="24"/>
          <w:szCs w:val="24"/>
          <w:highlight w:val="none"/>
          <w:lang w:val="en-US" w:eastAsia="zh-CN"/>
        </w:rPr>
        <w:t>6</w:t>
      </w:r>
      <w:r>
        <w:rPr>
          <w:rFonts w:hint="default" w:ascii="Times New Roman" w:hAnsi="Times New Roman" w:eastAsia="宋体" w:cs="Times New Roman"/>
          <w:b/>
          <w:color w:val="auto"/>
          <w:sz w:val="24"/>
          <w:szCs w:val="24"/>
          <w:highlight w:val="none"/>
        </w:rPr>
        <w:t xml:space="preserve">  </w:t>
      </w:r>
      <w:r>
        <w:rPr>
          <w:rFonts w:hint="default" w:ascii="Times New Roman" w:hAnsi="Times New Roman" w:eastAsia="宋体" w:cs="Times New Roman"/>
          <w:b/>
          <w:color w:val="auto"/>
          <w:sz w:val="24"/>
          <w:szCs w:val="24"/>
          <w:highlight w:val="none"/>
          <w:lang w:val="en-US" w:eastAsia="zh-CN"/>
        </w:rPr>
        <w:t xml:space="preserve">  </w:t>
      </w:r>
      <w:r>
        <w:rPr>
          <w:rFonts w:hint="default" w:ascii="Times New Roman" w:hAnsi="Times New Roman" w:eastAsia="宋体" w:cs="Times New Roman"/>
          <w:b/>
          <w:color w:val="auto"/>
          <w:sz w:val="24"/>
          <w:szCs w:val="24"/>
          <w:highlight w:val="none"/>
          <w:lang w:eastAsia="zh-CN"/>
        </w:rPr>
        <w:t>链条式燃煤锅炉废气产生及排放情况表</w:t>
      </w:r>
    </w:p>
    <w:tbl>
      <w:tblPr>
        <w:tblStyle w:val="34"/>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0"/>
        <w:gridCol w:w="709"/>
        <w:gridCol w:w="723"/>
        <w:gridCol w:w="1145"/>
        <w:gridCol w:w="1078"/>
        <w:gridCol w:w="1009"/>
        <w:gridCol w:w="1103"/>
        <w:gridCol w:w="813"/>
        <w:gridCol w:w="1002"/>
        <w:gridCol w:w="849"/>
      </w:tblGrid>
      <w:tr w14:paraId="26EB88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640" w:type="dxa"/>
            <w:noWrap w:val="0"/>
            <w:vAlign w:val="center"/>
          </w:tcPr>
          <w:p w14:paraId="4BA09B06">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b/>
                <w:bCs/>
                <w:color w:val="auto"/>
                <w:spacing w:val="0"/>
                <w:kern w:val="2"/>
                <w:sz w:val="21"/>
                <w:szCs w:val="21"/>
                <w:highlight w:val="none"/>
                <w:vertAlign w:val="baseline"/>
                <w:lang w:val="en-US" w:eastAsia="zh-CN" w:bidi="ar-SA"/>
              </w:rPr>
            </w:pPr>
            <w:bookmarkStart w:id="471" w:name="OLE_LINK1309"/>
            <w:r>
              <w:rPr>
                <w:rFonts w:hint="default" w:ascii="Times New Roman" w:hAnsi="Times New Roman" w:eastAsia="宋体" w:cs="Times New Roman"/>
                <w:b/>
                <w:bCs/>
                <w:color w:val="auto"/>
                <w:spacing w:val="0"/>
                <w:kern w:val="2"/>
                <w:sz w:val="21"/>
                <w:szCs w:val="21"/>
                <w:highlight w:val="none"/>
                <w:vertAlign w:val="baseline"/>
                <w:lang w:val="en-US" w:eastAsia="zh-CN" w:bidi="ar-SA"/>
              </w:rPr>
              <w:t>污染源</w:t>
            </w:r>
          </w:p>
        </w:tc>
        <w:tc>
          <w:tcPr>
            <w:tcW w:w="709" w:type="dxa"/>
            <w:noWrap w:val="0"/>
            <w:vAlign w:val="center"/>
          </w:tcPr>
          <w:p w14:paraId="0A804B84">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b/>
                <w:bCs/>
                <w:color w:val="auto"/>
                <w:spacing w:val="0"/>
                <w:kern w:val="2"/>
                <w:sz w:val="21"/>
                <w:szCs w:val="21"/>
                <w:highlight w:val="none"/>
                <w:vertAlign w:val="baseline"/>
                <w:lang w:val="en-US" w:eastAsia="zh-CN" w:bidi="ar-SA"/>
              </w:rPr>
            </w:pPr>
            <w:r>
              <w:rPr>
                <w:rFonts w:hint="default" w:ascii="Times New Roman" w:hAnsi="Times New Roman" w:eastAsia="宋体" w:cs="Times New Roman"/>
                <w:b/>
                <w:bCs/>
                <w:color w:val="auto"/>
                <w:spacing w:val="0"/>
                <w:kern w:val="2"/>
                <w:sz w:val="21"/>
                <w:szCs w:val="21"/>
                <w:highlight w:val="none"/>
                <w:vertAlign w:val="baseline"/>
                <w:lang w:val="en-US" w:eastAsia="zh-CN" w:bidi="ar-SA"/>
              </w:rPr>
              <w:t>污染物</w:t>
            </w:r>
          </w:p>
        </w:tc>
        <w:tc>
          <w:tcPr>
            <w:tcW w:w="723" w:type="dxa"/>
            <w:noWrap w:val="0"/>
            <w:vAlign w:val="center"/>
          </w:tcPr>
          <w:p w14:paraId="6F2D1DC8">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b/>
                <w:bCs/>
                <w:color w:val="auto"/>
                <w:spacing w:val="0"/>
                <w:kern w:val="2"/>
                <w:sz w:val="21"/>
                <w:szCs w:val="21"/>
                <w:highlight w:val="none"/>
                <w:vertAlign w:val="baseline"/>
                <w:lang w:val="en-US" w:eastAsia="zh-CN" w:bidi="ar-SA"/>
              </w:rPr>
            </w:pPr>
            <w:r>
              <w:rPr>
                <w:rFonts w:hint="default" w:ascii="Times New Roman" w:hAnsi="Times New Roman" w:eastAsia="宋体" w:cs="Times New Roman"/>
                <w:b/>
                <w:bCs/>
                <w:color w:val="auto"/>
                <w:spacing w:val="0"/>
                <w:kern w:val="2"/>
                <w:sz w:val="21"/>
                <w:szCs w:val="21"/>
                <w:highlight w:val="none"/>
                <w:vertAlign w:val="baseline"/>
                <w:lang w:val="en-US" w:eastAsia="zh-CN" w:bidi="ar-SA"/>
              </w:rPr>
              <w:t>排放方式</w:t>
            </w:r>
          </w:p>
        </w:tc>
        <w:tc>
          <w:tcPr>
            <w:tcW w:w="1145" w:type="dxa"/>
            <w:noWrap w:val="0"/>
            <w:vAlign w:val="center"/>
          </w:tcPr>
          <w:p w14:paraId="142E8C78">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b/>
                <w:bCs/>
                <w:color w:val="auto"/>
                <w:spacing w:val="0"/>
                <w:kern w:val="2"/>
                <w:sz w:val="21"/>
                <w:szCs w:val="21"/>
                <w:highlight w:val="none"/>
                <w:vertAlign w:val="baseline"/>
                <w:lang w:val="en-US" w:eastAsia="zh-CN" w:bidi="ar-SA"/>
              </w:rPr>
            </w:pPr>
            <w:r>
              <w:rPr>
                <w:rFonts w:hint="default" w:ascii="Times New Roman" w:hAnsi="Times New Roman" w:eastAsia="宋体" w:cs="Times New Roman"/>
                <w:b/>
                <w:bCs/>
                <w:color w:val="auto"/>
                <w:spacing w:val="0"/>
                <w:kern w:val="2"/>
                <w:sz w:val="21"/>
                <w:szCs w:val="21"/>
                <w:highlight w:val="none"/>
                <w:vertAlign w:val="baseline"/>
                <w:lang w:val="en-US" w:eastAsia="zh-CN" w:bidi="ar-SA"/>
              </w:rPr>
              <w:t>产生量</w:t>
            </w:r>
          </w:p>
        </w:tc>
        <w:tc>
          <w:tcPr>
            <w:tcW w:w="1078" w:type="dxa"/>
            <w:noWrap w:val="0"/>
            <w:vAlign w:val="center"/>
          </w:tcPr>
          <w:p w14:paraId="003927EE">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b/>
                <w:bCs/>
                <w:color w:val="auto"/>
                <w:spacing w:val="0"/>
                <w:kern w:val="2"/>
                <w:sz w:val="21"/>
                <w:szCs w:val="21"/>
                <w:highlight w:val="none"/>
                <w:vertAlign w:val="baseline"/>
                <w:lang w:val="en-US" w:eastAsia="zh-CN" w:bidi="ar-SA"/>
              </w:rPr>
            </w:pPr>
            <w:r>
              <w:rPr>
                <w:rFonts w:hint="default" w:ascii="Times New Roman" w:hAnsi="Times New Roman" w:eastAsia="宋体" w:cs="Times New Roman"/>
                <w:b/>
                <w:bCs/>
                <w:color w:val="auto"/>
                <w:spacing w:val="0"/>
                <w:kern w:val="2"/>
                <w:sz w:val="21"/>
                <w:szCs w:val="21"/>
                <w:highlight w:val="none"/>
                <w:vertAlign w:val="baseline"/>
                <w:lang w:val="en-US" w:eastAsia="zh-CN" w:bidi="ar-SA"/>
              </w:rPr>
              <w:t>产生速率</w:t>
            </w:r>
          </w:p>
        </w:tc>
        <w:tc>
          <w:tcPr>
            <w:tcW w:w="1009" w:type="dxa"/>
            <w:noWrap w:val="0"/>
            <w:vAlign w:val="center"/>
          </w:tcPr>
          <w:p w14:paraId="795D71B7">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b/>
                <w:bCs/>
                <w:color w:val="auto"/>
                <w:spacing w:val="0"/>
                <w:kern w:val="2"/>
                <w:sz w:val="21"/>
                <w:szCs w:val="21"/>
                <w:highlight w:val="none"/>
                <w:vertAlign w:val="baseline"/>
                <w:lang w:val="en-US" w:eastAsia="zh-CN" w:bidi="ar-SA"/>
              </w:rPr>
            </w:pPr>
            <w:r>
              <w:rPr>
                <w:rFonts w:hint="default" w:ascii="Times New Roman" w:hAnsi="Times New Roman" w:eastAsia="宋体" w:cs="Times New Roman"/>
                <w:b/>
                <w:bCs/>
                <w:color w:val="auto"/>
                <w:spacing w:val="0"/>
                <w:kern w:val="2"/>
                <w:sz w:val="21"/>
                <w:szCs w:val="21"/>
                <w:highlight w:val="none"/>
                <w:vertAlign w:val="baseline"/>
                <w:lang w:val="en-US" w:eastAsia="zh-CN" w:bidi="ar-SA"/>
              </w:rPr>
              <w:t>产生浓度</w:t>
            </w:r>
          </w:p>
        </w:tc>
        <w:tc>
          <w:tcPr>
            <w:tcW w:w="1103" w:type="dxa"/>
            <w:noWrap w:val="0"/>
            <w:vAlign w:val="center"/>
          </w:tcPr>
          <w:p w14:paraId="62537274">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b/>
                <w:bCs/>
                <w:color w:val="auto"/>
                <w:spacing w:val="0"/>
                <w:kern w:val="2"/>
                <w:sz w:val="21"/>
                <w:szCs w:val="21"/>
                <w:highlight w:val="none"/>
                <w:vertAlign w:val="baseline"/>
                <w:lang w:val="en-US" w:eastAsia="zh-CN" w:bidi="ar-SA"/>
              </w:rPr>
            </w:pPr>
            <w:r>
              <w:rPr>
                <w:rFonts w:hint="default" w:ascii="Times New Roman" w:hAnsi="Times New Roman" w:eastAsia="宋体" w:cs="Times New Roman"/>
                <w:b/>
                <w:bCs/>
                <w:color w:val="auto"/>
                <w:spacing w:val="0"/>
                <w:kern w:val="2"/>
                <w:sz w:val="21"/>
                <w:szCs w:val="21"/>
                <w:highlight w:val="none"/>
                <w:vertAlign w:val="baseline"/>
                <w:lang w:val="en-US" w:eastAsia="zh-CN" w:bidi="ar-SA"/>
              </w:rPr>
              <w:t>废气治理措施</w:t>
            </w:r>
          </w:p>
        </w:tc>
        <w:tc>
          <w:tcPr>
            <w:tcW w:w="813" w:type="dxa"/>
            <w:noWrap w:val="0"/>
            <w:vAlign w:val="center"/>
          </w:tcPr>
          <w:p w14:paraId="149FF897">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b/>
                <w:bCs/>
                <w:color w:val="auto"/>
                <w:spacing w:val="0"/>
                <w:kern w:val="2"/>
                <w:sz w:val="21"/>
                <w:szCs w:val="21"/>
                <w:highlight w:val="none"/>
                <w:vertAlign w:val="baseline"/>
                <w:lang w:val="en-US" w:eastAsia="zh-CN" w:bidi="ar-SA"/>
              </w:rPr>
            </w:pPr>
            <w:r>
              <w:rPr>
                <w:rFonts w:hint="default" w:ascii="Times New Roman" w:hAnsi="Times New Roman" w:eastAsia="宋体" w:cs="Times New Roman"/>
                <w:b/>
                <w:bCs/>
                <w:color w:val="auto"/>
                <w:spacing w:val="0"/>
                <w:kern w:val="2"/>
                <w:sz w:val="21"/>
                <w:szCs w:val="21"/>
                <w:highlight w:val="none"/>
                <w:vertAlign w:val="baseline"/>
                <w:lang w:val="en-US" w:eastAsia="zh-CN" w:bidi="ar-SA"/>
              </w:rPr>
              <w:t>排放量</w:t>
            </w:r>
          </w:p>
        </w:tc>
        <w:tc>
          <w:tcPr>
            <w:tcW w:w="1002" w:type="dxa"/>
            <w:noWrap w:val="0"/>
            <w:vAlign w:val="center"/>
          </w:tcPr>
          <w:p w14:paraId="4D8FF2BF">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b/>
                <w:bCs/>
                <w:color w:val="auto"/>
                <w:spacing w:val="0"/>
                <w:kern w:val="2"/>
                <w:sz w:val="21"/>
                <w:szCs w:val="21"/>
                <w:highlight w:val="none"/>
                <w:vertAlign w:val="baseline"/>
                <w:lang w:val="en-US" w:eastAsia="zh-CN" w:bidi="ar-SA"/>
              </w:rPr>
            </w:pPr>
            <w:r>
              <w:rPr>
                <w:rFonts w:hint="default" w:ascii="Times New Roman" w:hAnsi="Times New Roman" w:eastAsia="宋体" w:cs="Times New Roman"/>
                <w:b/>
                <w:bCs/>
                <w:color w:val="auto"/>
                <w:spacing w:val="0"/>
                <w:kern w:val="2"/>
                <w:sz w:val="21"/>
                <w:szCs w:val="21"/>
                <w:highlight w:val="none"/>
                <w:vertAlign w:val="baseline"/>
                <w:lang w:val="en-US" w:eastAsia="zh-CN" w:bidi="ar-SA"/>
              </w:rPr>
              <w:t>排放速率</w:t>
            </w:r>
          </w:p>
        </w:tc>
        <w:tc>
          <w:tcPr>
            <w:tcW w:w="849" w:type="dxa"/>
            <w:noWrap w:val="0"/>
            <w:vAlign w:val="center"/>
          </w:tcPr>
          <w:p w14:paraId="72C24609">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b/>
                <w:bCs/>
                <w:color w:val="auto"/>
                <w:spacing w:val="0"/>
                <w:kern w:val="2"/>
                <w:sz w:val="21"/>
                <w:szCs w:val="21"/>
                <w:highlight w:val="none"/>
                <w:vertAlign w:val="baseline"/>
                <w:lang w:val="en-US" w:eastAsia="zh-CN" w:bidi="ar-SA"/>
              </w:rPr>
            </w:pPr>
            <w:r>
              <w:rPr>
                <w:rFonts w:hint="default" w:ascii="Times New Roman" w:hAnsi="Times New Roman" w:eastAsia="宋体" w:cs="Times New Roman"/>
                <w:b/>
                <w:bCs/>
                <w:color w:val="auto"/>
                <w:spacing w:val="0"/>
                <w:kern w:val="2"/>
                <w:sz w:val="21"/>
                <w:szCs w:val="21"/>
                <w:highlight w:val="none"/>
                <w:vertAlign w:val="baseline"/>
                <w:lang w:val="en-US" w:eastAsia="zh-CN" w:bidi="ar-SA"/>
              </w:rPr>
              <w:t>排放浓度</w:t>
            </w:r>
          </w:p>
        </w:tc>
      </w:tr>
      <w:tr w14:paraId="5F68A3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restart"/>
            <w:noWrap w:val="0"/>
            <w:vAlign w:val="center"/>
          </w:tcPr>
          <w:p w14:paraId="4F51E3F0">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default" w:ascii="Times New Roman" w:hAnsi="Times New Roman" w:eastAsia="宋体" w:cs="Times New Roman"/>
                <w:color w:val="auto"/>
                <w:spacing w:val="6"/>
                <w:kern w:val="2"/>
                <w:sz w:val="21"/>
                <w:szCs w:val="21"/>
                <w:highlight w:val="none"/>
                <w:lang w:val="en-US" w:eastAsia="zh-CN" w:bidi="ar-SA"/>
              </w:rPr>
              <w:t>链条式燃煤</w:t>
            </w:r>
            <w:r>
              <w:rPr>
                <w:rFonts w:hint="default" w:ascii="Times New Roman" w:hAnsi="Times New Roman" w:eastAsia="宋体" w:cs="Times New Roman"/>
                <w:b w:val="0"/>
                <w:bCs w:val="0"/>
                <w:color w:val="auto"/>
                <w:kern w:val="2"/>
                <w:sz w:val="21"/>
                <w:szCs w:val="21"/>
                <w:highlight w:val="none"/>
                <w:lang w:val="en-US" w:eastAsia="zh-CN" w:bidi="ar-SA"/>
              </w:rPr>
              <w:t>锅炉废气</w:t>
            </w:r>
          </w:p>
        </w:tc>
        <w:tc>
          <w:tcPr>
            <w:tcW w:w="709" w:type="dxa"/>
            <w:noWrap w:val="0"/>
            <w:vAlign w:val="center"/>
          </w:tcPr>
          <w:p w14:paraId="478A02FF">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default" w:ascii="Times New Roman" w:hAnsi="Times New Roman" w:eastAsia="宋体" w:cs="Times New Roman"/>
                <w:color w:val="auto"/>
                <w:spacing w:val="0"/>
                <w:kern w:val="2"/>
                <w:sz w:val="21"/>
                <w:szCs w:val="21"/>
                <w:highlight w:val="none"/>
                <w:vertAlign w:val="baseline"/>
                <w:lang w:val="en-US" w:eastAsia="zh-CN" w:bidi="ar-SA"/>
              </w:rPr>
              <w:t>废气量</w:t>
            </w:r>
          </w:p>
        </w:tc>
        <w:tc>
          <w:tcPr>
            <w:tcW w:w="723" w:type="dxa"/>
            <w:vMerge w:val="restart"/>
            <w:noWrap w:val="0"/>
            <w:vAlign w:val="center"/>
          </w:tcPr>
          <w:p w14:paraId="4A550B92">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default" w:ascii="Times New Roman" w:hAnsi="Times New Roman" w:eastAsia="宋体" w:cs="Times New Roman"/>
                <w:color w:val="auto"/>
                <w:spacing w:val="0"/>
                <w:kern w:val="2"/>
                <w:sz w:val="21"/>
                <w:szCs w:val="21"/>
                <w:highlight w:val="none"/>
                <w:vertAlign w:val="baseline"/>
                <w:lang w:val="en-US" w:eastAsia="zh-CN" w:bidi="ar-SA"/>
              </w:rPr>
              <w:t>有组织</w:t>
            </w:r>
          </w:p>
        </w:tc>
        <w:tc>
          <w:tcPr>
            <w:tcW w:w="1145" w:type="dxa"/>
            <w:noWrap w:val="0"/>
            <w:vAlign w:val="center"/>
          </w:tcPr>
          <w:p w14:paraId="0C06B574">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lang w:val="en-US" w:eastAsia="zh-CN" w:bidi="ar-SA"/>
              </w:rPr>
              <w:t>5538.24万</w:t>
            </w:r>
            <w:r>
              <w:rPr>
                <w:rFonts w:hint="default" w:ascii="Times New Roman" w:hAnsi="Times New Roman" w:eastAsia="宋体" w:cs="Times New Roman"/>
                <w:color w:val="auto"/>
                <w:spacing w:val="0"/>
                <w:kern w:val="0"/>
                <w:sz w:val="21"/>
                <w:szCs w:val="21"/>
                <w:highlight w:val="none"/>
                <w:lang w:val="en-US" w:eastAsia="zh-CN" w:bidi="ar"/>
              </w:rPr>
              <w:t>Nm³/a</w:t>
            </w:r>
          </w:p>
        </w:tc>
        <w:tc>
          <w:tcPr>
            <w:tcW w:w="1078" w:type="dxa"/>
            <w:noWrap w:val="0"/>
            <w:vAlign w:val="center"/>
          </w:tcPr>
          <w:p w14:paraId="442F279E">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default" w:ascii="Times New Roman" w:hAnsi="Times New Roman" w:eastAsia="宋体" w:cs="Times New Roman"/>
                <w:color w:val="auto"/>
                <w:spacing w:val="0"/>
                <w:kern w:val="2"/>
                <w:sz w:val="21"/>
                <w:szCs w:val="21"/>
                <w:highlight w:val="none"/>
                <w:vertAlign w:val="baseline"/>
                <w:lang w:val="en-US" w:eastAsia="zh-CN" w:bidi="ar-SA"/>
              </w:rPr>
              <w:t>/</w:t>
            </w:r>
          </w:p>
        </w:tc>
        <w:tc>
          <w:tcPr>
            <w:tcW w:w="1009" w:type="dxa"/>
            <w:noWrap w:val="0"/>
            <w:vAlign w:val="center"/>
          </w:tcPr>
          <w:p w14:paraId="3AB876B1">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default" w:ascii="Times New Roman" w:hAnsi="Times New Roman" w:eastAsia="宋体" w:cs="Times New Roman"/>
                <w:color w:val="auto"/>
                <w:spacing w:val="0"/>
                <w:kern w:val="2"/>
                <w:sz w:val="21"/>
                <w:szCs w:val="21"/>
                <w:highlight w:val="none"/>
                <w:vertAlign w:val="baseline"/>
                <w:lang w:val="en-US" w:eastAsia="zh-CN" w:bidi="ar-SA"/>
              </w:rPr>
              <w:t>/</w:t>
            </w:r>
          </w:p>
        </w:tc>
        <w:tc>
          <w:tcPr>
            <w:tcW w:w="1103" w:type="dxa"/>
            <w:noWrap w:val="0"/>
            <w:vAlign w:val="center"/>
          </w:tcPr>
          <w:p w14:paraId="0C754F1F">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13" w:type="dxa"/>
            <w:noWrap w:val="0"/>
            <w:vAlign w:val="center"/>
          </w:tcPr>
          <w:p w14:paraId="1D6FD9CD">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lang w:val="en-US" w:eastAsia="zh-CN" w:bidi="ar-SA"/>
              </w:rPr>
              <w:t>5538.24万</w:t>
            </w:r>
            <w:r>
              <w:rPr>
                <w:rFonts w:hint="default" w:ascii="Times New Roman" w:hAnsi="Times New Roman" w:eastAsia="宋体" w:cs="Times New Roman"/>
                <w:color w:val="auto"/>
                <w:spacing w:val="0"/>
                <w:kern w:val="0"/>
                <w:sz w:val="21"/>
                <w:szCs w:val="21"/>
                <w:highlight w:val="none"/>
                <w:lang w:val="en-US" w:eastAsia="zh-CN" w:bidi="ar"/>
              </w:rPr>
              <w:t>Nm³/a</w:t>
            </w:r>
          </w:p>
        </w:tc>
        <w:tc>
          <w:tcPr>
            <w:tcW w:w="1002" w:type="dxa"/>
            <w:noWrap w:val="0"/>
            <w:vAlign w:val="center"/>
          </w:tcPr>
          <w:p w14:paraId="28FDEE6B">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default" w:ascii="Times New Roman" w:hAnsi="Times New Roman" w:eastAsia="宋体" w:cs="Times New Roman"/>
                <w:color w:val="auto"/>
                <w:spacing w:val="0"/>
                <w:kern w:val="2"/>
                <w:sz w:val="21"/>
                <w:szCs w:val="21"/>
                <w:highlight w:val="none"/>
                <w:vertAlign w:val="baseline"/>
                <w:lang w:val="en-US" w:eastAsia="zh-CN" w:bidi="ar-SA"/>
              </w:rPr>
              <w:t>/</w:t>
            </w:r>
          </w:p>
        </w:tc>
        <w:tc>
          <w:tcPr>
            <w:tcW w:w="849" w:type="dxa"/>
            <w:noWrap w:val="0"/>
            <w:vAlign w:val="center"/>
          </w:tcPr>
          <w:p w14:paraId="45E5EF0F">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default" w:ascii="Times New Roman" w:hAnsi="Times New Roman" w:eastAsia="宋体" w:cs="Times New Roman"/>
                <w:color w:val="auto"/>
                <w:spacing w:val="0"/>
                <w:kern w:val="2"/>
                <w:sz w:val="21"/>
                <w:szCs w:val="21"/>
                <w:highlight w:val="none"/>
                <w:vertAlign w:val="baseline"/>
                <w:lang w:val="en-US" w:eastAsia="zh-CN" w:bidi="ar-SA"/>
              </w:rPr>
              <w:t>/</w:t>
            </w:r>
          </w:p>
        </w:tc>
      </w:tr>
      <w:tr w14:paraId="0C68E4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continue"/>
            <w:noWrap w:val="0"/>
            <w:vAlign w:val="center"/>
          </w:tcPr>
          <w:p w14:paraId="78825EAD">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p>
        </w:tc>
        <w:tc>
          <w:tcPr>
            <w:tcW w:w="709" w:type="dxa"/>
            <w:noWrap w:val="0"/>
            <w:vAlign w:val="center"/>
          </w:tcPr>
          <w:p w14:paraId="6C7DE659">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default" w:ascii="Times New Roman" w:hAnsi="Times New Roman" w:eastAsia="宋体" w:cs="Times New Roman"/>
                <w:color w:val="auto"/>
                <w:spacing w:val="0"/>
                <w:kern w:val="2"/>
                <w:sz w:val="21"/>
                <w:szCs w:val="21"/>
                <w:highlight w:val="none"/>
                <w:vertAlign w:val="baseline"/>
                <w:lang w:val="en-US" w:eastAsia="zh-CN" w:bidi="ar-SA"/>
              </w:rPr>
              <w:t>颗粒物</w:t>
            </w:r>
          </w:p>
        </w:tc>
        <w:tc>
          <w:tcPr>
            <w:tcW w:w="723" w:type="dxa"/>
            <w:vMerge w:val="continue"/>
            <w:noWrap w:val="0"/>
            <w:vAlign w:val="center"/>
          </w:tcPr>
          <w:p w14:paraId="11C2E725">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p>
        </w:tc>
        <w:tc>
          <w:tcPr>
            <w:tcW w:w="1145" w:type="dxa"/>
            <w:noWrap w:val="0"/>
            <w:vAlign w:val="center"/>
          </w:tcPr>
          <w:p w14:paraId="30D0E54D">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vertAlign w:val="baseline"/>
                <w:lang w:val="en-US" w:eastAsia="zh-CN" w:bidi="ar-SA"/>
              </w:rPr>
            </w:pPr>
            <w:r>
              <w:rPr>
                <w:rFonts w:hint="default" w:ascii="Times New Roman" w:hAnsi="Times New Roman" w:eastAsia="宋体" w:cs="Times New Roman"/>
                <w:b w:val="0"/>
                <w:bCs w:val="0"/>
                <w:color w:val="auto"/>
                <w:spacing w:val="0"/>
                <w:kern w:val="2"/>
                <w:sz w:val="21"/>
                <w:szCs w:val="21"/>
                <w:highlight w:val="none"/>
                <w:vertAlign w:val="baseline"/>
                <w:lang w:val="en-US" w:eastAsia="zh-CN" w:bidi="ar-SA"/>
              </w:rPr>
              <w:t>134.19t/a</w:t>
            </w:r>
          </w:p>
        </w:tc>
        <w:tc>
          <w:tcPr>
            <w:tcW w:w="1078" w:type="dxa"/>
            <w:noWrap w:val="0"/>
            <w:vAlign w:val="center"/>
          </w:tcPr>
          <w:p w14:paraId="0DB3B320">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vertAlign w:val="baseline"/>
                <w:lang w:val="en-US" w:eastAsia="zh-CN" w:bidi="ar-SA"/>
              </w:rPr>
            </w:pPr>
            <w:bookmarkStart w:id="472" w:name="OLE_LINK727"/>
            <w:r>
              <w:rPr>
                <w:rFonts w:hint="default" w:ascii="Times New Roman" w:hAnsi="Times New Roman" w:eastAsia="宋体" w:cs="Times New Roman"/>
                <w:b w:val="0"/>
                <w:bCs w:val="0"/>
                <w:color w:val="auto"/>
                <w:spacing w:val="0"/>
                <w:kern w:val="2"/>
                <w:sz w:val="21"/>
                <w:szCs w:val="21"/>
                <w:highlight w:val="none"/>
                <w:vertAlign w:val="baseline"/>
                <w:lang w:val="en-US" w:eastAsia="zh-CN" w:bidi="ar-SA"/>
              </w:rPr>
              <w:t>37.28kg/h</w:t>
            </w:r>
            <w:bookmarkEnd w:id="472"/>
          </w:p>
        </w:tc>
        <w:tc>
          <w:tcPr>
            <w:tcW w:w="1009" w:type="dxa"/>
            <w:noWrap w:val="0"/>
            <w:vAlign w:val="center"/>
          </w:tcPr>
          <w:p w14:paraId="0664943B">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vertAlign w:val="baseline"/>
                <w:lang w:val="en-US" w:eastAsia="zh-CN" w:bidi="ar-SA"/>
              </w:rPr>
            </w:pPr>
            <w:bookmarkStart w:id="473" w:name="OLE_LINK726"/>
            <w:r>
              <w:rPr>
                <w:rFonts w:hint="default" w:ascii="Times New Roman" w:hAnsi="Times New Roman" w:eastAsia="宋体" w:cs="Times New Roman"/>
                <w:b w:val="0"/>
                <w:bCs w:val="0"/>
                <w:color w:val="auto"/>
                <w:spacing w:val="0"/>
                <w:kern w:val="2"/>
                <w:sz w:val="21"/>
                <w:szCs w:val="21"/>
                <w:highlight w:val="none"/>
                <w:vertAlign w:val="baseline"/>
                <w:lang w:val="en-US" w:eastAsia="zh-CN" w:bidi="ar-SA"/>
              </w:rPr>
              <w:t>2423mg/m</w:t>
            </w:r>
            <w:r>
              <w:rPr>
                <w:rFonts w:hint="default" w:ascii="Times New Roman" w:hAnsi="Times New Roman" w:eastAsia="宋体" w:cs="Times New Roman"/>
                <w:b w:val="0"/>
                <w:bCs w:val="0"/>
                <w:color w:val="auto"/>
                <w:spacing w:val="0"/>
                <w:kern w:val="2"/>
                <w:sz w:val="21"/>
                <w:szCs w:val="21"/>
                <w:highlight w:val="none"/>
                <w:vertAlign w:val="superscript"/>
                <w:lang w:val="en-US" w:eastAsia="zh-CN" w:bidi="ar-SA"/>
              </w:rPr>
              <w:t>3</w:t>
            </w:r>
            <w:bookmarkEnd w:id="473"/>
          </w:p>
        </w:tc>
        <w:tc>
          <w:tcPr>
            <w:tcW w:w="1103" w:type="dxa"/>
            <w:vMerge w:val="restart"/>
            <w:noWrap w:val="0"/>
            <w:vAlign w:val="center"/>
          </w:tcPr>
          <w:p w14:paraId="017D087B">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1套高温</w:t>
            </w:r>
            <w:r>
              <w:rPr>
                <w:rFonts w:hint="default" w:ascii="Times New Roman" w:hAnsi="Times New Roman" w:eastAsia="宋体" w:cs="Times New Roman"/>
                <w:color w:val="auto"/>
                <w:spacing w:val="0"/>
                <w:sz w:val="21"/>
                <w:szCs w:val="21"/>
                <w:highlight w:val="none"/>
                <w:lang w:eastAsia="zh-CN"/>
              </w:rPr>
              <w:t>袋式除尘</w:t>
            </w:r>
            <w:r>
              <w:rPr>
                <w:rFonts w:hint="default" w:ascii="Times New Roman" w:hAnsi="Times New Roman" w:eastAsia="宋体" w:cs="Times New Roman"/>
                <w:color w:val="auto"/>
                <w:spacing w:val="0"/>
                <w:sz w:val="21"/>
                <w:szCs w:val="21"/>
                <w:highlight w:val="none"/>
                <w:lang w:val="en-US" w:eastAsia="zh-CN"/>
              </w:rPr>
              <w:t>设施+1套S</w:t>
            </w:r>
            <w:r>
              <w:rPr>
                <w:rFonts w:hint="eastAsia" w:cs="Times New Roman"/>
                <w:color w:val="auto"/>
                <w:spacing w:val="0"/>
                <w:sz w:val="21"/>
                <w:szCs w:val="21"/>
                <w:highlight w:val="none"/>
                <w:lang w:val="en-US" w:eastAsia="zh-CN"/>
              </w:rPr>
              <w:t>N</w:t>
            </w:r>
            <w:r>
              <w:rPr>
                <w:rFonts w:hint="default" w:ascii="Times New Roman" w:hAnsi="Times New Roman" w:eastAsia="宋体" w:cs="Times New Roman"/>
                <w:color w:val="auto"/>
                <w:spacing w:val="0"/>
                <w:sz w:val="21"/>
                <w:szCs w:val="21"/>
                <w:highlight w:val="none"/>
                <w:lang w:val="en-US" w:eastAsia="zh-CN"/>
              </w:rPr>
              <w:t>CR脱硝设施+1套水膜脱硫除尘设施+40m高烟囱</w:t>
            </w:r>
          </w:p>
        </w:tc>
        <w:tc>
          <w:tcPr>
            <w:tcW w:w="813" w:type="dxa"/>
            <w:noWrap w:val="0"/>
            <w:vAlign w:val="center"/>
          </w:tcPr>
          <w:p w14:paraId="3763F687">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lang w:val="en-US" w:eastAsia="zh-CN" w:bidi="ar-SA"/>
              </w:rPr>
              <w:t>1.342</w:t>
            </w:r>
            <w:r>
              <w:rPr>
                <w:rFonts w:hint="default" w:ascii="Times New Roman" w:hAnsi="Times New Roman" w:eastAsia="宋体" w:cs="Times New Roman"/>
                <w:b w:val="0"/>
                <w:bCs w:val="0"/>
                <w:color w:val="auto"/>
                <w:spacing w:val="0"/>
                <w:kern w:val="2"/>
                <w:sz w:val="21"/>
                <w:szCs w:val="21"/>
                <w:highlight w:val="none"/>
                <w:vertAlign w:val="baseline"/>
                <w:lang w:val="en-US" w:eastAsia="zh-CN" w:bidi="ar-SA"/>
              </w:rPr>
              <w:t>t/a</w:t>
            </w:r>
          </w:p>
        </w:tc>
        <w:tc>
          <w:tcPr>
            <w:tcW w:w="1002" w:type="dxa"/>
            <w:noWrap w:val="0"/>
            <w:vAlign w:val="center"/>
          </w:tcPr>
          <w:p w14:paraId="02020374">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 w:val="0"/>
                <w:bCs w:val="0"/>
                <w:color w:val="auto"/>
                <w:spacing w:val="0"/>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0.373</w:t>
            </w:r>
            <w:r>
              <w:rPr>
                <w:rFonts w:hint="default" w:ascii="Times New Roman" w:hAnsi="Times New Roman" w:eastAsia="宋体" w:cs="Times New Roman"/>
                <w:b w:val="0"/>
                <w:bCs w:val="0"/>
                <w:color w:val="auto"/>
                <w:spacing w:val="0"/>
                <w:sz w:val="21"/>
                <w:szCs w:val="21"/>
                <w:highlight w:val="none"/>
                <w:vertAlign w:val="baseline"/>
                <w:lang w:val="en-US" w:eastAsia="zh-CN"/>
              </w:rPr>
              <w:t>kg/h</w:t>
            </w:r>
          </w:p>
        </w:tc>
        <w:tc>
          <w:tcPr>
            <w:tcW w:w="849" w:type="dxa"/>
            <w:noWrap w:val="0"/>
            <w:vAlign w:val="center"/>
          </w:tcPr>
          <w:p w14:paraId="365DB07F">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 w:val="0"/>
                <w:bCs w:val="0"/>
                <w:color w:val="auto"/>
                <w:spacing w:val="0"/>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24.2</w:t>
            </w:r>
            <w:r>
              <w:rPr>
                <w:rFonts w:hint="default" w:ascii="Times New Roman" w:hAnsi="Times New Roman" w:eastAsia="宋体" w:cs="Times New Roman"/>
                <w:b w:val="0"/>
                <w:bCs w:val="0"/>
                <w:color w:val="auto"/>
                <w:spacing w:val="0"/>
                <w:sz w:val="21"/>
                <w:szCs w:val="21"/>
                <w:highlight w:val="none"/>
                <w:vertAlign w:val="baseline"/>
                <w:lang w:val="en-US" w:eastAsia="zh-CN"/>
              </w:rPr>
              <w:t>mg/m</w:t>
            </w:r>
            <w:r>
              <w:rPr>
                <w:rFonts w:hint="default" w:ascii="Times New Roman" w:hAnsi="Times New Roman" w:eastAsia="宋体" w:cs="Times New Roman"/>
                <w:b w:val="0"/>
                <w:bCs w:val="0"/>
                <w:color w:val="auto"/>
                <w:spacing w:val="0"/>
                <w:sz w:val="21"/>
                <w:szCs w:val="21"/>
                <w:highlight w:val="none"/>
                <w:vertAlign w:val="superscript"/>
                <w:lang w:val="en-US" w:eastAsia="zh-CN"/>
              </w:rPr>
              <w:t>3</w:t>
            </w:r>
          </w:p>
        </w:tc>
      </w:tr>
      <w:tr w14:paraId="399F97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continue"/>
            <w:noWrap w:val="0"/>
            <w:vAlign w:val="center"/>
          </w:tcPr>
          <w:p w14:paraId="5EE2AA27">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bookmarkStart w:id="474" w:name="OLE_LINK728" w:colFirst="3" w:colLast="5"/>
          </w:p>
        </w:tc>
        <w:tc>
          <w:tcPr>
            <w:tcW w:w="709" w:type="dxa"/>
            <w:noWrap w:val="0"/>
            <w:vAlign w:val="center"/>
          </w:tcPr>
          <w:p w14:paraId="18CCC66C">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default" w:ascii="Times New Roman" w:hAnsi="Times New Roman" w:eastAsia="宋体" w:cs="Times New Roman"/>
                <w:color w:val="auto"/>
                <w:spacing w:val="0"/>
                <w:kern w:val="2"/>
                <w:sz w:val="21"/>
                <w:szCs w:val="21"/>
                <w:highlight w:val="none"/>
                <w:vertAlign w:val="baseline"/>
                <w:lang w:val="en-US" w:eastAsia="zh-CN" w:bidi="ar-SA"/>
              </w:rPr>
              <w:t>二氧化硫</w:t>
            </w:r>
          </w:p>
        </w:tc>
        <w:tc>
          <w:tcPr>
            <w:tcW w:w="723" w:type="dxa"/>
            <w:vMerge w:val="continue"/>
            <w:noWrap w:val="0"/>
            <w:vAlign w:val="center"/>
          </w:tcPr>
          <w:p w14:paraId="46C1192D">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p>
        </w:tc>
        <w:tc>
          <w:tcPr>
            <w:tcW w:w="1145" w:type="dxa"/>
            <w:noWrap w:val="0"/>
            <w:vAlign w:val="center"/>
          </w:tcPr>
          <w:p w14:paraId="5AE636F8">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bookmarkStart w:id="475" w:name="OLE_LINK106"/>
            <w:r>
              <w:rPr>
                <w:rFonts w:hint="default" w:ascii="Times New Roman" w:hAnsi="Times New Roman" w:eastAsia="宋体" w:cs="Times New Roman"/>
                <w:color w:val="auto"/>
                <w:kern w:val="0"/>
                <w:sz w:val="21"/>
                <w:szCs w:val="21"/>
                <w:highlight w:val="none"/>
                <w:lang w:val="en-US" w:eastAsia="zh-CN" w:bidi="ar"/>
              </w:rPr>
              <w:t>20.93t/a</w:t>
            </w:r>
            <w:bookmarkEnd w:id="475"/>
          </w:p>
        </w:tc>
        <w:tc>
          <w:tcPr>
            <w:tcW w:w="1078" w:type="dxa"/>
            <w:noWrap w:val="0"/>
            <w:vAlign w:val="center"/>
          </w:tcPr>
          <w:p w14:paraId="429FF18C">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bookmarkStart w:id="476" w:name="OLE_LINK107"/>
            <w:bookmarkStart w:id="477" w:name="OLE_LINK730"/>
            <w:r>
              <w:rPr>
                <w:rFonts w:hint="default" w:ascii="Times New Roman" w:hAnsi="Times New Roman" w:eastAsia="宋体" w:cs="Times New Roman"/>
                <w:b w:val="0"/>
                <w:bCs w:val="0"/>
                <w:color w:val="auto"/>
                <w:spacing w:val="0"/>
                <w:kern w:val="2"/>
                <w:sz w:val="21"/>
                <w:szCs w:val="21"/>
                <w:highlight w:val="none"/>
                <w:vertAlign w:val="baseline"/>
                <w:lang w:val="en-US" w:eastAsia="zh-CN" w:bidi="ar-SA"/>
              </w:rPr>
              <w:t>5.81kg/h</w:t>
            </w:r>
            <w:bookmarkEnd w:id="476"/>
            <w:bookmarkEnd w:id="477"/>
          </w:p>
        </w:tc>
        <w:tc>
          <w:tcPr>
            <w:tcW w:w="1009" w:type="dxa"/>
            <w:noWrap w:val="0"/>
            <w:vAlign w:val="center"/>
          </w:tcPr>
          <w:p w14:paraId="2034861D">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bookmarkStart w:id="478" w:name="OLE_LINK108"/>
            <w:r>
              <w:rPr>
                <w:rFonts w:hint="default" w:ascii="Times New Roman" w:hAnsi="Times New Roman" w:eastAsia="宋体" w:cs="Times New Roman"/>
                <w:b w:val="0"/>
                <w:bCs w:val="0"/>
                <w:color w:val="auto"/>
                <w:spacing w:val="0"/>
                <w:kern w:val="2"/>
                <w:sz w:val="21"/>
                <w:szCs w:val="21"/>
                <w:highlight w:val="none"/>
                <w:vertAlign w:val="baseline"/>
                <w:lang w:val="en-US" w:eastAsia="zh-CN" w:bidi="ar-SA"/>
              </w:rPr>
              <w:t>378mg/m</w:t>
            </w:r>
            <w:r>
              <w:rPr>
                <w:rFonts w:hint="default" w:ascii="Times New Roman" w:hAnsi="Times New Roman" w:eastAsia="宋体" w:cs="Times New Roman"/>
                <w:b w:val="0"/>
                <w:bCs w:val="0"/>
                <w:color w:val="auto"/>
                <w:spacing w:val="0"/>
                <w:kern w:val="2"/>
                <w:sz w:val="21"/>
                <w:szCs w:val="21"/>
                <w:highlight w:val="none"/>
                <w:vertAlign w:val="superscript"/>
                <w:lang w:val="en-US" w:eastAsia="zh-CN" w:bidi="ar-SA"/>
              </w:rPr>
              <w:t>3</w:t>
            </w:r>
            <w:bookmarkEnd w:id="478"/>
          </w:p>
        </w:tc>
        <w:tc>
          <w:tcPr>
            <w:tcW w:w="1103" w:type="dxa"/>
            <w:vMerge w:val="continue"/>
            <w:noWrap w:val="0"/>
            <w:vAlign w:val="center"/>
          </w:tcPr>
          <w:p w14:paraId="1B67725E">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p>
        </w:tc>
        <w:tc>
          <w:tcPr>
            <w:tcW w:w="813" w:type="dxa"/>
            <w:noWrap w:val="0"/>
            <w:vAlign w:val="center"/>
          </w:tcPr>
          <w:p w14:paraId="3AAB5091">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2.093</w:t>
            </w:r>
            <w:r>
              <w:rPr>
                <w:rFonts w:hint="default" w:ascii="Times New Roman" w:hAnsi="Times New Roman" w:eastAsia="宋体" w:cs="Times New Roman"/>
                <w:color w:val="auto"/>
                <w:kern w:val="0"/>
                <w:sz w:val="21"/>
                <w:szCs w:val="21"/>
                <w:highlight w:val="none"/>
                <w:lang w:val="en-US" w:eastAsia="zh-CN" w:bidi="ar"/>
              </w:rPr>
              <w:t>t/a</w:t>
            </w:r>
          </w:p>
        </w:tc>
        <w:tc>
          <w:tcPr>
            <w:tcW w:w="1002" w:type="dxa"/>
            <w:noWrap w:val="0"/>
            <w:vAlign w:val="center"/>
          </w:tcPr>
          <w:p w14:paraId="2881577B">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pacing w:val="0"/>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0.581</w:t>
            </w:r>
            <w:r>
              <w:rPr>
                <w:rFonts w:hint="default" w:ascii="Times New Roman" w:hAnsi="Times New Roman" w:eastAsia="宋体" w:cs="Times New Roman"/>
                <w:b w:val="0"/>
                <w:bCs w:val="0"/>
                <w:color w:val="auto"/>
                <w:spacing w:val="0"/>
                <w:sz w:val="21"/>
                <w:szCs w:val="21"/>
                <w:highlight w:val="none"/>
                <w:vertAlign w:val="baseline"/>
                <w:lang w:val="en-US" w:eastAsia="zh-CN"/>
              </w:rPr>
              <w:t>kg/h</w:t>
            </w:r>
          </w:p>
        </w:tc>
        <w:tc>
          <w:tcPr>
            <w:tcW w:w="849" w:type="dxa"/>
            <w:noWrap w:val="0"/>
            <w:vAlign w:val="center"/>
          </w:tcPr>
          <w:p w14:paraId="313544A4">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pacing w:val="0"/>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37.8</w:t>
            </w:r>
            <w:r>
              <w:rPr>
                <w:rFonts w:hint="default" w:ascii="Times New Roman" w:hAnsi="Times New Roman" w:eastAsia="宋体" w:cs="Times New Roman"/>
                <w:b w:val="0"/>
                <w:bCs w:val="0"/>
                <w:color w:val="auto"/>
                <w:spacing w:val="0"/>
                <w:sz w:val="21"/>
                <w:szCs w:val="21"/>
                <w:highlight w:val="none"/>
                <w:vertAlign w:val="baseline"/>
                <w:lang w:val="en-US" w:eastAsia="zh-CN"/>
              </w:rPr>
              <w:t>mg/m</w:t>
            </w:r>
            <w:r>
              <w:rPr>
                <w:rFonts w:hint="default" w:ascii="Times New Roman" w:hAnsi="Times New Roman" w:eastAsia="宋体" w:cs="Times New Roman"/>
                <w:b w:val="0"/>
                <w:bCs w:val="0"/>
                <w:color w:val="auto"/>
                <w:spacing w:val="0"/>
                <w:sz w:val="21"/>
                <w:szCs w:val="21"/>
                <w:highlight w:val="none"/>
                <w:vertAlign w:val="superscript"/>
                <w:lang w:val="en-US" w:eastAsia="zh-CN"/>
              </w:rPr>
              <w:t>3</w:t>
            </w:r>
          </w:p>
        </w:tc>
      </w:tr>
      <w:bookmarkEnd w:id="474"/>
      <w:tr w14:paraId="08B890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continue"/>
            <w:noWrap w:val="0"/>
            <w:vAlign w:val="center"/>
          </w:tcPr>
          <w:p w14:paraId="2A00FD04">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bookmarkStart w:id="479" w:name="OLE_LINK731" w:colFirst="3" w:colLast="5"/>
            <w:bookmarkStart w:id="480" w:name="OLE_LINK1308" w:colFirst="7" w:colLast="9"/>
          </w:p>
        </w:tc>
        <w:tc>
          <w:tcPr>
            <w:tcW w:w="709" w:type="dxa"/>
            <w:noWrap w:val="0"/>
            <w:vAlign w:val="center"/>
          </w:tcPr>
          <w:p w14:paraId="249CCB72">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default" w:ascii="Times New Roman" w:hAnsi="Times New Roman" w:eastAsia="宋体" w:cs="Times New Roman"/>
                <w:color w:val="auto"/>
                <w:spacing w:val="0"/>
                <w:kern w:val="2"/>
                <w:sz w:val="21"/>
                <w:szCs w:val="21"/>
                <w:highlight w:val="none"/>
                <w:vertAlign w:val="baseline"/>
                <w:lang w:val="en-US" w:eastAsia="zh-CN" w:bidi="ar-SA"/>
              </w:rPr>
              <w:t>氮氧化物</w:t>
            </w:r>
          </w:p>
        </w:tc>
        <w:tc>
          <w:tcPr>
            <w:tcW w:w="723" w:type="dxa"/>
            <w:vMerge w:val="continue"/>
            <w:noWrap w:val="0"/>
            <w:vAlign w:val="center"/>
          </w:tcPr>
          <w:p w14:paraId="235A7235">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p>
        </w:tc>
        <w:tc>
          <w:tcPr>
            <w:tcW w:w="1145" w:type="dxa"/>
            <w:noWrap w:val="0"/>
            <w:vAlign w:val="center"/>
          </w:tcPr>
          <w:p w14:paraId="70DF592C">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15.88t/a</w:t>
            </w:r>
          </w:p>
        </w:tc>
        <w:tc>
          <w:tcPr>
            <w:tcW w:w="1078" w:type="dxa"/>
            <w:noWrap w:val="0"/>
            <w:vAlign w:val="center"/>
          </w:tcPr>
          <w:p w14:paraId="6C73CCB5">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bookmarkStart w:id="481" w:name="OLE_LINK294"/>
            <w:r>
              <w:rPr>
                <w:rFonts w:hint="default" w:ascii="Times New Roman" w:hAnsi="Times New Roman" w:eastAsia="宋体" w:cs="Times New Roman"/>
                <w:b w:val="0"/>
                <w:bCs w:val="0"/>
                <w:color w:val="auto"/>
                <w:spacing w:val="0"/>
                <w:kern w:val="2"/>
                <w:sz w:val="21"/>
                <w:szCs w:val="21"/>
                <w:highlight w:val="none"/>
                <w:vertAlign w:val="baseline"/>
                <w:lang w:val="en-US" w:eastAsia="zh-CN" w:bidi="ar-SA"/>
              </w:rPr>
              <w:t>4.41kg/h</w:t>
            </w:r>
            <w:bookmarkEnd w:id="481"/>
          </w:p>
        </w:tc>
        <w:tc>
          <w:tcPr>
            <w:tcW w:w="1009" w:type="dxa"/>
            <w:noWrap w:val="0"/>
            <w:vAlign w:val="center"/>
          </w:tcPr>
          <w:p w14:paraId="435A29BE">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default" w:ascii="Times New Roman" w:hAnsi="Times New Roman" w:eastAsia="宋体" w:cs="Times New Roman"/>
                <w:b w:val="0"/>
                <w:bCs w:val="0"/>
                <w:color w:val="auto"/>
                <w:spacing w:val="0"/>
                <w:kern w:val="2"/>
                <w:sz w:val="21"/>
                <w:szCs w:val="21"/>
                <w:highlight w:val="none"/>
                <w:vertAlign w:val="baseline"/>
                <w:lang w:val="en-US" w:eastAsia="zh-CN" w:bidi="ar-SA"/>
              </w:rPr>
              <w:t>287mg/m</w:t>
            </w:r>
            <w:r>
              <w:rPr>
                <w:rFonts w:hint="default" w:ascii="Times New Roman" w:hAnsi="Times New Roman" w:eastAsia="宋体" w:cs="Times New Roman"/>
                <w:b w:val="0"/>
                <w:bCs w:val="0"/>
                <w:color w:val="auto"/>
                <w:spacing w:val="0"/>
                <w:kern w:val="2"/>
                <w:sz w:val="21"/>
                <w:szCs w:val="21"/>
                <w:highlight w:val="none"/>
                <w:vertAlign w:val="superscript"/>
                <w:lang w:val="en-US" w:eastAsia="zh-CN" w:bidi="ar-SA"/>
              </w:rPr>
              <w:t>3</w:t>
            </w:r>
          </w:p>
        </w:tc>
        <w:tc>
          <w:tcPr>
            <w:tcW w:w="1103" w:type="dxa"/>
            <w:vMerge w:val="continue"/>
            <w:noWrap w:val="0"/>
            <w:vAlign w:val="center"/>
          </w:tcPr>
          <w:p w14:paraId="5AAE316A">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p>
        </w:tc>
        <w:tc>
          <w:tcPr>
            <w:tcW w:w="813" w:type="dxa"/>
            <w:noWrap w:val="0"/>
            <w:vAlign w:val="center"/>
          </w:tcPr>
          <w:p w14:paraId="628749A3">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eastAsia" w:cs="Times New Roman"/>
                <w:color w:val="auto"/>
                <w:kern w:val="2"/>
                <w:sz w:val="21"/>
                <w:szCs w:val="21"/>
                <w:highlight w:val="none"/>
                <w:lang w:val="en-US" w:eastAsia="zh-CN" w:bidi="ar-SA"/>
              </w:rPr>
              <w:t>11.113</w:t>
            </w:r>
            <w:r>
              <w:rPr>
                <w:rFonts w:hint="default" w:ascii="Times New Roman" w:hAnsi="Times New Roman" w:eastAsia="宋体" w:cs="Times New Roman"/>
                <w:color w:val="auto"/>
                <w:kern w:val="0"/>
                <w:sz w:val="21"/>
                <w:szCs w:val="21"/>
                <w:highlight w:val="none"/>
                <w:lang w:val="en-US" w:eastAsia="zh-CN" w:bidi="ar"/>
              </w:rPr>
              <w:t>t/a</w:t>
            </w:r>
          </w:p>
        </w:tc>
        <w:tc>
          <w:tcPr>
            <w:tcW w:w="1002" w:type="dxa"/>
            <w:noWrap w:val="0"/>
            <w:vAlign w:val="center"/>
          </w:tcPr>
          <w:p w14:paraId="338EB662">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pacing w:val="0"/>
                <w:sz w:val="21"/>
                <w:szCs w:val="21"/>
                <w:highlight w:val="none"/>
                <w:vertAlign w:val="baseline"/>
                <w:lang w:val="en-US" w:eastAsia="zh-CN"/>
              </w:rPr>
            </w:pPr>
            <w:r>
              <w:rPr>
                <w:rFonts w:hint="eastAsia" w:cs="Times New Roman"/>
                <w:color w:val="auto"/>
                <w:sz w:val="21"/>
                <w:szCs w:val="21"/>
                <w:highlight w:val="none"/>
                <w:lang w:val="en-US" w:eastAsia="zh-CN"/>
              </w:rPr>
              <w:t>3.087</w:t>
            </w:r>
            <w:r>
              <w:rPr>
                <w:rFonts w:hint="default" w:ascii="Times New Roman" w:hAnsi="Times New Roman" w:eastAsia="宋体" w:cs="Times New Roman"/>
                <w:b w:val="0"/>
                <w:bCs w:val="0"/>
                <w:color w:val="auto"/>
                <w:spacing w:val="0"/>
                <w:sz w:val="21"/>
                <w:szCs w:val="21"/>
                <w:highlight w:val="none"/>
                <w:vertAlign w:val="baseline"/>
                <w:lang w:val="en-US" w:eastAsia="zh-CN"/>
              </w:rPr>
              <w:t>kg/h</w:t>
            </w:r>
          </w:p>
        </w:tc>
        <w:tc>
          <w:tcPr>
            <w:tcW w:w="849" w:type="dxa"/>
            <w:noWrap w:val="0"/>
            <w:vAlign w:val="center"/>
          </w:tcPr>
          <w:p w14:paraId="22607AD3">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pacing w:val="0"/>
                <w:sz w:val="21"/>
                <w:szCs w:val="21"/>
                <w:highlight w:val="none"/>
                <w:vertAlign w:val="baseline"/>
                <w:lang w:val="en-US" w:eastAsia="zh-CN"/>
              </w:rPr>
            </w:pPr>
            <w:r>
              <w:rPr>
                <w:rFonts w:hint="eastAsia" w:cs="Times New Roman"/>
                <w:color w:val="auto"/>
                <w:sz w:val="21"/>
                <w:szCs w:val="21"/>
                <w:highlight w:val="none"/>
                <w:lang w:val="en-US" w:eastAsia="zh-CN"/>
              </w:rPr>
              <w:t>200.7</w:t>
            </w:r>
            <w:r>
              <w:rPr>
                <w:rFonts w:hint="default" w:ascii="Times New Roman" w:hAnsi="Times New Roman" w:eastAsia="宋体" w:cs="Times New Roman"/>
                <w:b w:val="0"/>
                <w:bCs w:val="0"/>
                <w:color w:val="auto"/>
                <w:spacing w:val="0"/>
                <w:sz w:val="21"/>
                <w:szCs w:val="21"/>
                <w:highlight w:val="none"/>
                <w:vertAlign w:val="baseline"/>
                <w:lang w:val="en-US" w:eastAsia="zh-CN"/>
              </w:rPr>
              <w:t>mg/m</w:t>
            </w:r>
            <w:r>
              <w:rPr>
                <w:rFonts w:hint="default" w:ascii="Times New Roman" w:hAnsi="Times New Roman" w:eastAsia="宋体" w:cs="Times New Roman"/>
                <w:b w:val="0"/>
                <w:bCs w:val="0"/>
                <w:color w:val="auto"/>
                <w:spacing w:val="0"/>
                <w:sz w:val="21"/>
                <w:szCs w:val="21"/>
                <w:highlight w:val="none"/>
                <w:vertAlign w:val="superscript"/>
                <w:lang w:val="en-US" w:eastAsia="zh-CN"/>
              </w:rPr>
              <w:t>3</w:t>
            </w:r>
          </w:p>
        </w:tc>
      </w:tr>
      <w:tr w14:paraId="5579E3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vMerge w:val="continue"/>
            <w:noWrap w:val="0"/>
            <w:vAlign w:val="center"/>
          </w:tcPr>
          <w:p w14:paraId="2C5F1EAC">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709" w:type="dxa"/>
            <w:noWrap w:val="0"/>
            <w:vAlign w:val="center"/>
          </w:tcPr>
          <w:p w14:paraId="6367F030">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default" w:ascii="Times New Roman" w:hAnsi="Times New Roman" w:eastAsia="宋体" w:cs="Times New Roman"/>
                <w:color w:val="auto"/>
                <w:spacing w:val="0"/>
                <w:kern w:val="2"/>
                <w:sz w:val="21"/>
                <w:szCs w:val="21"/>
                <w:highlight w:val="none"/>
                <w:vertAlign w:val="baseline"/>
                <w:lang w:val="en-US" w:eastAsia="zh-CN" w:bidi="ar-SA"/>
              </w:rPr>
              <w:t>汞及其化合物</w:t>
            </w:r>
          </w:p>
        </w:tc>
        <w:tc>
          <w:tcPr>
            <w:tcW w:w="723" w:type="dxa"/>
            <w:vMerge w:val="continue"/>
            <w:noWrap w:val="0"/>
            <w:vAlign w:val="center"/>
          </w:tcPr>
          <w:p w14:paraId="7250F9E2">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p>
        </w:tc>
        <w:tc>
          <w:tcPr>
            <w:tcW w:w="1145" w:type="dxa"/>
            <w:noWrap w:val="0"/>
            <w:vAlign w:val="center"/>
          </w:tcPr>
          <w:p w14:paraId="6BE4F76C">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vertAlign w:val="superscript"/>
                <w:lang w:val="en-US" w:eastAsia="zh-CN" w:bidi="ar"/>
              </w:rPr>
            </w:pPr>
            <w:r>
              <w:rPr>
                <w:rFonts w:hint="default" w:ascii="Times New Roman" w:hAnsi="Times New Roman" w:eastAsia="宋体" w:cs="Times New Roman"/>
                <w:color w:val="auto"/>
                <w:kern w:val="0"/>
                <w:sz w:val="21"/>
                <w:szCs w:val="21"/>
                <w:highlight w:val="none"/>
                <w:lang w:val="en-US" w:eastAsia="zh-CN" w:bidi="ar"/>
              </w:rPr>
              <w:t>9.21×10</w:t>
            </w:r>
            <w:r>
              <w:rPr>
                <w:rFonts w:hint="default" w:ascii="Times New Roman" w:hAnsi="Times New Roman" w:eastAsia="宋体" w:cs="Times New Roman"/>
                <w:color w:val="auto"/>
                <w:kern w:val="0"/>
                <w:sz w:val="21"/>
                <w:szCs w:val="21"/>
                <w:highlight w:val="none"/>
                <w:vertAlign w:val="superscript"/>
                <w:lang w:val="en-US" w:eastAsia="zh-CN" w:bidi="ar"/>
              </w:rPr>
              <w:t>-4</w:t>
            </w:r>
          </w:p>
          <w:p w14:paraId="6B418BC6">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t/a</w:t>
            </w:r>
          </w:p>
        </w:tc>
        <w:tc>
          <w:tcPr>
            <w:tcW w:w="1078" w:type="dxa"/>
            <w:noWrap w:val="0"/>
            <w:vAlign w:val="center"/>
          </w:tcPr>
          <w:p w14:paraId="394BA314">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vertAlign w:val="superscript"/>
                <w:lang w:val="en-US" w:eastAsia="zh-CN" w:bidi="ar"/>
              </w:rPr>
            </w:pPr>
            <w:r>
              <w:rPr>
                <w:rFonts w:hint="default" w:ascii="Times New Roman" w:hAnsi="Times New Roman" w:eastAsia="宋体" w:cs="Times New Roman"/>
                <w:color w:val="auto"/>
                <w:kern w:val="0"/>
                <w:sz w:val="21"/>
                <w:szCs w:val="21"/>
                <w:highlight w:val="none"/>
                <w:lang w:val="en-US" w:eastAsia="zh-CN" w:bidi="ar"/>
              </w:rPr>
              <w:t>2.56×10</w:t>
            </w:r>
            <w:r>
              <w:rPr>
                <w:rFonts w:hint="default" w:ascii="Times New Roman" w:hAnsi="Times New Roman" w:eastAsia="宋体" w:cs="Times New Roman"/>
                <w:color w:val="auto"/>
                <w:kern w:val="0"/>
                <w:sz w:val="21"/>
                <w:szCs w:val="21"/>
                <w:highlight w:val="none"/>
                <w:vertAlign w:val="superscript"/>
                <w:lang w:val="en-US" w:eastAsia="zh-CN" w:bidi="ar"/>
              </w:rPr>
              <w:t>-4</w:t>
            </w:r>
          </w:p>
          <w:p w14:paraId="0C19191C">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default" w:ascii="Times New Roman" w:hAnsi="Times New Roman" w:eastAsia="宋体" w:cs="Times New Roman"/>
                <w:b w:val="0"/>
                <w:bCs w:val="0"/>
                <w:color w:val="auto"/>
                <w:spacing w:val="0"/>
                <w:kern w:val="2"/>
                <w:sz w:val="21"/>
                <w:szCs w:val="21"/>
                <w:highlight w:val="none"/>
                <w:vertAlign w:val="baseline"/>
                <w:lang w:val="en-US" w:eastAsia="zh-CN" w:bidi="ar-SA"/>
              </w:rPr>
              <w:t>kg/h</w:t>
            </w:r>
          </w:p>
        </w:tc>
        <w:tc>
          <w:tcPr>
            <w:tcW w:w="1009" w:type="dxa"/>
            <w:noWrap w:val="0"/>
            <w:vAlign w:val="center"/>
          </w:tcPr>
          <w:p w14:paraId="14244693">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0.0166</w:t>
            </w:r>
            <w:r>
              <w:rPr>
                <w:rFonts w:hint="default" w:ascii="Times New Roman" w:hAnsi="Times New Roman" w:eastAsia="宋体" w:cs="Times New Roman"/>
                <w:b w:val="0"/>
                <w:bCs w:val="0"/>
                <w:color w:val="auto"/>
                <w:spacing w:val="0"/>
                <w:kern w:val="2"/>
                <w:sz w:val="21"/>
                <w:szCs w:val="21"/>
                <w:highlight w:val="none"/>
                <w:vertAlign w:val="baseline"/>
                <w:lang w:val="en-US" w:eastAsia="zh-CN" w:bidi="ar-SA"/>
              </w:rPr>
              <w:t>mg/m</w:t>
            </w:r>
            <w:r>
              <w:rPr>
                <w:rFonts w:hint="default" w:ascii="Times New Roman" w:hAnsi="Times New Roman" w:eastAsia="宋体" w:cs="Times New Roman"/>
                <w:b w:val="0"/>
                <w:bCs w:val="0"/>
                <w:color w:val="auto"/>
                <w:spacing w:val="0"/>
                <w:kern w:val="2"/>
                <w:sz w:val="21"/>
                <w:szCs w:val="21"/>
                <w:highlight w:val="none"/>
                <w:vertAlign w:val="superscript"/>
                <w:lang w:val="en-US" w:eastAsia="zh-CN" w:bidi="ar-SA"/>
              </w:rPr>
              <w:t>3</w:t>
            </w:r>
          </w:p>
        </w:tc>
        <w:tc>
          <w:tcPr>
            <w:tcW w:w="1103" w:type="dxa"/>
            <w:vMerge w:val="continue"/>
            <w:noWrap w:val="0"/>
            <w:vAlign w:val="center"/>
          </w:tcPr>
          <w:p w14:paraId="5A7E7DFC">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lang w:val="en-US" w:eastAsia="zh-CN" w:bidi="ar-SA"/>
              </w:rPr>
            </w:pPr>
          </w:p>
        </w:tc>
        <w:tc>
          <w:tcPr>
            <w:tcW w:w="813" w:type="dxa"/>
            <w:noWrap w:val="0"/>
            <w:vAlign w:val="center"/>
          </w:tcPr>
          <w:p w14:paraId="28DD89BC">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2.76×10</w:t>
            </w:r>
            <w:r>
              <w:rPr>
                <w:rFonts w:hint="default" w:ascii="Times New Roman" w:hAnsi="Times New Roman" w:eastAsia="宋体" w:cs="Times New Roman"/>
                <w:color w:val="auto"/>
                <w:kern w:val="0"/>
                <w:sz w:val="21"/>
                <w:szCs w:val="21"/>
                <w:highlight w:val="none"/>
                <w:vertAlign w:val="superscript"/>
                <w:lang w:val="en-US" w:eastAsia="zh-CN" w:bidi="ar"/>
              </w:rPr>
              <w:t>-4</w:t>
            </w:r>
            <w:r>
              <w:rPr>
                <w:rFonts w:hint="default" w:ascii="Times New Roman" w:hAnsi="Times New Roman" w:eastAsia="宋体" w:cs="Times New Roman"/>
                <w:color w:val="auto"/>
                <w:kern w:val="0"/>
                <w:sz w:val="21"/>
                <w:szCs w:val="21"/>
                <w:highlight w:val="none"/>
                <w:lang w:val="en-US" w:eastAsia="zh-CN" w:bidi="ar"/>
              </w:rPr>
              <w:t>t/a</w:t>
            </w:r>
          </w:p>
        </w:tc>
        <w:tc>
          <w:tcPr>
            <w:tcW w:w="1002" w:type="dxa"/>
            <w:noWrap w:val="0"/>
            <w:vAlign w:val="center"/>
          </w:tcPr>
          <w:p w14:paraId="6572F9AA">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pacing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7.67×10</w:t>
            </w:r>
            <w:r>
              <w:rPr>
                <w:rFonts w:hint="default" w:ascii="Times New Roman" w:hAnsi="Times New Roman" w:eastAsia="宋体" w:cs="Times New Roman"/>
                <w:color w:val="auto"/>
                <w:kern w:val="0"/>
                <w:sz w:val="21"/>
                <w:szCs w:val="21"/>
                <w:highlight w:val="none"/>
                <w:vertAlign w:val="superscript"/>
                <w:lang w:val="en-US" w:eastAsia="zh-CN" w:bidi="ar"/>
              </w:rPr>
              <w:t>-5</w:t>
            </w:r>
            <w:r>
              <w:rPr>
                <w:rFonts w:hint="default" w:ascii="Times New Roman" w:hAnsi="Times New Roman" w:eastAsia="宋体" w:cs="Times New Roman"/>
                <w:b w:val="0"/>
                <w:bCs w:val="0"/>
                <w:color w:val="auto"/>
                <w:spacing w:val="0"/>
                <w:sz w:val="21"/>
                <w:szCs w:val="21"/>
                <w:highlight w:val="none"/>
                <w:vertAlign w:val="baseline"/>
                <w:lang w:val="en-US" w:eastAsia="zh-CN"/>
              </w:rPr>
              <w:t>kg/h</w:t>
            </w:r>
          </w:p>
        </w:tc>
        <w:tc>
          <w:tcPr>
            <w:tcW w:w="849" w:type="dxa"/>
            <w:noWrap w:val="0"/>
            <w:vAlign w:val="center"/>
          </w:tcPr>
          <w:p w14:paraId="1EE5163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pacing w:val="0"/>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0.0050</w:t>
            </w:r>
            <w:r>
              <w:rPr>
                <w:rFonts w:hint="default" w:ascii="Times New Roman" w:hAnsi="Times New Roman" w:eastAsia="宋体" w:cs="Times New Roman"/>
                <w:b w:val="0"/>
                <w:bCs w:val="0"/>
                <w:color w:val="auto"/>
                <w:spacing w:val="0"/>
                <w:sz w:val="21"/>
                <w:szCs w:val="21"/>
                <w:highlight w:val="none"/>
                <w:vertAlign w:val="baseline"/>
                <w:lang w:val="en-US" w:eastAsia="zh-CN"/>
              </w:rPr>
              <w:t>mg/m</w:t>
            </w:r>
            <w:r>
              <w:rPr>
                <w:rFonts w:hint="default" w:ascii="Times New Roman" w:hAnsi="Times New Roman" w:eastAsia="宋体" w:cs="Times New Roman"/>
                <w:b w:val="0"/>
                <w:bCs w:val="0"/>
                <w:color w:val="auto"/>
                <w:spacing w:val="0"/>
                <w:sz w:val="21"/>
                <w:szCs w:val="21"/>
                <w:highlight w:val="none"/>
                <w:vertAlign w:val="superscript"/>
                <w:lang w:val="en-US" w:eastAsia="zh-CN"/>
              </w:rPr>
              <w:t>3</w:t>
            </w:r>
          </w:p>
        </w:tc>
      </w:tr>
      <w:bookmarkEnd w:id="471"/>
      <w:bookmarkEnd w:id="479"/>
      <w:bookmarkEnd w:id="480"/>
    </w:tbl>
    <w:p w14:paraId="56536C7F">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（2）无组织废气</w:t>
      </w:r>
    </w:p>
    <w:p w14:paraId="1E93D60C">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项目无组织废气排放主要包括</w:t>
      </w:r>
      <w:r>
        <w:rPr>
          <w:rFonts w:hint="default" w:ascii="Times New Roman" w:hAnsi="Times New Roman" w:cs="Times New Roman"/>
          <w:color w:val="auto"/>
          <w:kern w:val="0"/>
          <w:highlight w:val="none"/>
          <w:lang w:eastAsia="zh-CN"/>
        </w:rPr>
        <w:t>破碎筛分粉尘、</w:t>
      </w:r>
      <w:r>
        <w:rPr>
          <w:rFonts w:hint="default" w:ascii="Times New Roman" w:hAnsi="Times New Roman" w:cs="Times New Roman"/>
          <w:color w:val="auto"/>
          <w:kern w:val="0"/>
          <w:highlight w:val="none"/>
        </w:rPr>
        <w:t>尾矿库扬尘、道路运输扬尘以及汽车尾气等。</w:t>
      </w:r>
    </w:p>
    <w:p w14:paraId="65B62BEA">
      <w:pPr>
        <w:pStyle w:val="10"/>
        <w:overflowPunct w:val="0"/>
        <w:topLinePunct/>
        <w:spacing w:after="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1 \* GB3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①</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lang w:eastAsia="zh-CN"/>
        </w:rPr>
        <w:t>破碎筛分及转运</w:t>
      </w:r>
      <w:r>
        <w:rPr>
          <w:rFonts w:hint="default" w:ascii="Times New Roman" w:hAnsi="Times New Roman" w:cs="Times New Roman"/>
          <w:color w:val="auto"/>
          <w:highlight w:val="none"/>
        </w:rPr>
        <w:t>粉尘</w:t>
      </w:r>
    </w:p>
    <w:p w14:paraId="14B45230">
      <w:pPr>
        <w:pStyle w:val="10"/>
        <w:keepNext w:val="0"/>
        <w:keepLines w:val="0"/>
        <w:pageBreakBefore w:val="0"/>
        <w:widowControl w:val="0"/>
        <w:kinsoku/>
        <w:wordWrap/>
        <w:overflowPunct w:val="0"/>
        <w:topLinePunct/>
        <w:autoSpaceDE/>
        <w:autoSpaceDN/>
        <w:bidi w:val="0"/>
        <w:adjustRightInd/>
        <w:snapToGrid/>
        <w:spacing w:after="0"/>
        <w:ind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本项目</w:t>
      </w:r>
      <w:r>
        <w:rPr>
          <w:rFonts w:hint="default" w:ascii="Times New Roman" w:hAnsi="Times New Roman" w:cs="Times New Roman"/>
          <w:color w:val="auto"/>
          <w:kern w:val="0"/>
          <w:highlight w:val="none"/>
          <w:lang w:eastAsia="zh-CN"/>
        </w:rPr>
        <w:t>破碎</w:t>
      </w:r>
      <w:r>
        <w:rPr>
          <w:rFonts w:hint="default" w:ascii="Times New Roman" w:hAnsi="Times New Roman" w:cs="Times New Roman"/>
          <w:color w:val="auto"/>
          <w:kern w:val="0"/>
          <w:highlight w:val="none"/>
        </w:rPr>
        <w:t>筛分及转运过程中未收集的粉尘量为</w:t>
      </w:r>
      <w:r>
        <w:rPr>
          <w:rFonts w:hint="default" w:ascii="Times New Roman" w:hAnsi="Times New Roman" w:cs="Times New Roman"/>
          <w:color w:val="auto"/>
          <w:kern w:val="0"/>
          <w:highlight w:val="none"/>
          <w:lang w:val="en-US" w:eastAsia="zh-CN"/>
        </w:rPr>
        <w:t>25.84t/a，</w:t>
      </w:r>
      <w:r>
        <w:rPr>
          <w:rFonts w:hint="default" w:ascii="Times New Roman" w:hAnsi="Times New Roman" w:cs="Times New Roman"/>
          <w:color w:val="auto"/>
          <w:kern w:val="0"/>
          <w:highlight w:val="none"/>
          <w:lang w:eastAsia="zh-CN"/>
        </w:rPr>
        <w:t>氟化物产生量为</w:t>
      </w:r>
      <w:r>
        <w:rPr>
          <w:rFonts w:hint="eastAsia" w:ascii="Times New Roman" w:hAnsi="Times New Roman" w:cs="Times New Roman"/>
          <w:color w:val="auto"/>
          <w:kern w:val="0"/>
          <w:highlight w:val="none"/>
          <w:lang w:val="en-US" w:eastAsia="zh-CN"/>
        </w:rPr>
        <w:t>3.24</w:t>
      </w:r>
      <w:r>
        <w:rPr>
          <w:rFonts w:hint="default" w:ascii="Times New Roman" w:hAnsi="Times New Roman" w:cs="Times New Roman"/>
          <w:color w:val="auto"/>
          <w:kern w:val="0"/>
          <w:highlight w:val="none"/>
          <w:lang w:val="en-US" w:eastAsia="zh-CN"/>
        </w:rPr>
        <w:t>t/a</w:t>
      </w:r>
      <w:r>
        <w:rPr>
          <w:rFonts w:hint="default" w:ascii="Times New Roman" w:hAnsi="Times New Roman" w:cs="Times New Roman"/>
          <w:color w:val="auto"/>
          <w:kern w:val="0"/>
          <w:highlight w:val="none"/>
        </w:rPr>
        <w:t>，</w:t>
      </w:r>
      <w:r>
        <w:rPr>
          <w:rFonts w:hint="default" w:ascii="Times New Roman" w:hAnsi="Times New Roman" w:cs="Times New Roman"/>
          <w:color w:val="auto"/>
          <w:kern w:val="0"/>
          <w:szCs w:val="20"/>
          <w:highlight w:val="none"/>
        </w:rPr>
        <w:t>经</w:t>
      </w:r>
      <w:r>
        <w:rPr>
          <w:rFonts w:hint="eastAsia" w:ascii="Times New Roman" w:hAnsi="Times New Roman" w:cs="Times New Roman"/>
          <w:color w:val="auto"/>
          <w:kern w:val="0"/>
          <w:highlight w:val="none"/>
          <w:lang w:val="en-US" w:eastAsia="zh-CN"/>
        </w:rPr>
        <w:t>破碎、</w:t>
      </w:r>
      <w:r>
        <w:rPr>
          <w:rFonts w:hint="default" w:ascii="Times New Roman" w:hAnsi="Times New Roman" w:cs="Times New Roman"/>
          <w:color w:val="auto"/>
          <w:kern w:val="0"/>
          <w:highlight w:val="none"/>
          <w:lang w:eastAsia="zh-CN"/>
        </w:rPr>
        <w:t>筛分</w:t>
      </w:r>
      <w:r>
        <w:rPr>
          <w:rFonts w:hint="default" w:ascii="Times New Roman" w:hAnsi="Times New Roman" w:cs="Times New Roman"/>
          <w:color w:val="auto"/>
          <w:kern w:val="0"/>
          <w:highlight w:val="none"/>
        </w:rPr>
        <w:t>车间</w:t>
      </w:r>
      <w:r>
        <w:rPr>
          <w:rFonts w:hint="default" w:ascii="Times New Roman" w:hAnsi="Times New Roman" w:cs="Times New Roman"/>
          <w:color w:val="auto"/>
          <w:kern w:val="0"/>
          <w:highlight w:val="none"/>
          <w:lang w:eastAsia="zh-CN"/>
        </w:rPr>
        <w:t>各</w:t>
      </w:r>
      <w:r>
        <w:rPr>
          <w:rFonts w:hint="default" w:ascii="Times New Roman" w:hAnsi="Times New Roman" w:cs="Times New Roman"/>
          <w:color w:val="auto"/>
          <w:highlight w:val="none"/>
          <w:lang w:eastAsia="zh-CN"/>
        </w:rPr>
        <w:t>封闭车间</w:t>
      </w:r>
      <w:r>
        <w:rPr>
          <w:rFonts w:hint="default" w:ascii="Times New Roman" w:hAnsi="Times New Roman" w:cs="Times New Roman"/>
          <w:color w:val="auto"/>
          <w:highlight w:val="none"/>
        </w:rPr>
        <w:t>产尘点设计的微雾抑尘系统降尘</w:t>
      </w:r>
      <w:r>
        <w:rPr>
          <w:rFonts w:hint="default" w:ascii="Times New Roman" w:hAnsi="Times New Roman" w:cs="Times New Roman"/>
          <w:color w:val="auto"/>
          <w:highlight w:val="none"/>
          <w:lang w:eastAsia="zh-CN"/>
        </w:rPr>
        <w:t>，采取封闭皮带运输</w:t>
      </w:r>
      <w:r>
        <w:rPr>
          <w:rFonts w:hint="default" w:ascii="Times New Roman" w:hAnsi="Times New Roman" w:cs="Times New Roman"/>
          <w:color w:val="auto"/>
          <w:kern w:val="0"/>
          <w:szCs w:val="20"/>
          <w:highlight w:val="none"/>
        </w:rPr>
        <w:t>，加强通风，可达到</w:t>
      </w:r>
      <w:r>
        <w:rPr>
          <w:rFonts w:hint="default" w:ascii="Times New Roman" w:hAnsi="Times New Roman" w:cs="Times New Roman"/>
          <w:color w:val="auto"/>
          <w:kern w:val="0"/>
          <w:szCs w:val="20"/>
          <w:highlight w:val="none"/>
          <w:lang w:val="en-US" w:eastAsia="zh-CN"/>
        </w:rPr>
        <w:t>9</w:t>
      </w:r>
      <w:r>
        <w:rPr>
          <w:rFonts w:hint="default" w:ascii="Times New Roman" w:hAnsi="Times New Roman" w:cs="Times New Roman"/>
          <w:color w:val="auto"/>
          <w:kern w:val="0"/>
          <w:szCs w:val="20"/>
          <w:highlight w:val="none"/>
        </w:rPr>
        <w:t>0%降尘效率，则</w:t>
      </w:r>
      <w:r>
        <w:rPr>
          <w:rFonts w:hint="default" w:ascii="Times New Roman" w:hAnsi="Times New Roman" w:cs="Times New Roman"/>
          <w:color w:val="auto"/>
          <w:kern w:val="0"/>
          <w:highlight w:val="none"/>
          <w:lang w:eastAsia="zh-CN"/>
        </w:rPr>
        <w:t>破碎</w:t>
      </w:r>
      <w:r>
        <w:rPr>
          <w:rFonts w:hint="default" w:ascii="Times New Roman" w:hAnsi="Times New Roman" w:cs="Times New Roman"/>
          <w:color w:val="auto"/>
          <w:kern w:val="0"/>
          <w:highlight w:val="none"/>
        </w:rPr>
        <w:t>筛分及转运粉尘</w:t>
      </w:r>
      <w:r>
        <w:rPr>
          <w:rFonts w:hint="default" w:ascii="Times New Roman" w:hAnsi="Times New Roman" w:cs="Times New Roman"/>
          <w:color w:val="auto"/>
          <w:kern w:val="0"/>
          <w:szCs w:val="20"/>
          <w:highlight w:val="none"/>
        </w:rPr>
        <w:t>无组织削减量为</w:t>
      </w:r>
      <w:r>
        <w:rPr>
          <w:rFonts w:hint="eastAsia" w:ascii="Times New Roman" w:hAnsi="Times New Roman" w:cs="Times New Roman"/>
          <w:color w:val="auto"/>
          <w:kern w:val="0"/>
          <w:szCs w:val="20"/>
          <w:highlight w:val="none"/>
          <w:lang w:val="en-US" w:eastAsia="zh-CN"/>
        </w:rPr>
        <w:t>23.26</w:t>
      </w:r>
      <w:r>
        <w:rPr>
          <w:rFonts w:hint="default" w:ascii="Times New Roman" w:hAnsi="Times New Roman" w:cs="Times New Roman"/>
          <w:color w:val="auto"/>
          <w:kern w:val="0"/>
          <w:szCs w:val="20"/>
          <w:highlight w:val="none"/>
        </w:rPr>
        <w:t>t/a，无组织粉尘排放量为</w:t>
      </w:r>
      <w:r>
        <w:rPr>
          <w:rFonts w:hint="eastAsia" w:ascii="Times New Roman" w:hAnsi="Times New Roman" w:cs="Times New Roman"/>
          <w:color w:val="auto"/>
          <w:kern w:val="0"/>
          <w:szCs w:val="20"/>
          <w:highlight w:val="none"/>
          <w:lang w:val="en-US" w:eastAsia="zh-CN"/>
        </w:rPr>
        <w:t>2.58</w:t>
      </w:r>
      <w:r>
        <w:rPr>
          <w:rFonts w:hint="default" w:ascii="Times New Roman" w:hAnsi="Times New Roman" w:cs="Times New Roman"/>
          <w:color w:val="auto"/>
          <w:kern w:val="0"/>
          <w:szCs w:val="20"/>
          <w:highlight w:val="none"/>
        </w:rPr>
        <w:t>t/a</w:t>
      </w:r>
      <w:r>
        <w:rPr>
          <w:rFonts w:hint="default" w:ascii="Times New Roman" w:hAnsi="Times New Roman" w:cs="Times New Roman"/>
          <w:color w:val="auto"/>
          <w:kern w:val="0"/>
          <w:szCs w:val="20"/>
          <w:highlight w:val="none"/>
          <w:lang w:eastAsia="zh-CN"/>
        </w:rPr>
        <w:t>，氟化物排放量为</w:t>
      </w:r>
      <w:r>
        <w:rPr>
          <w:rFonts w:hint="default" w:ascii="Times New Roman" w:hAnsi="Times New Roman" w:cs="Times New Roman"/>
          <w:color w:val="auto"/>
          <w:kern w:val="0"/>
          <w:highlight w:val="none"/>
          <w:lang w:val="en-US" w:eastAsia="zh-CN"/>
        </w:rPr>
        <w:t>0.</w:t>
      </w:r>
      <w:r>
        <w:rPr>
          <w:rFonts w:hint="eastAsia" w:ascii="Times New Roman" w:hAnsi="Times New Roman" w:cs="Times New Roman"/>
          <w:color w:val="auto"/>
          <w:kern w:val="0"/>
          <w:highlight w:val="none"/>
          <w:lang w:val="en-US" w:eastAsia="zh-CN"/>
        </w:rPr>
        <w:t>32</w:t>
      </w:r>
      <w:r>
        <w:rPr>
          <w:rFonts w:hint="default" w:ascii="Times New Roman" w:hAnsi="Times New Roman" w:cs="Times New Roman"/>
          <w:color w:val="auto"/>
          <w:kern w:val="0"/>
          <w:szCs w:val="20"/>
          <w:highlight w:val="none"/>
        </w:rPr>
        <w:t>t/a。</w:t>
      </w:r>
    </w:p>
    <w:p w14:paraId="1A9F28A8">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lang w:val="en-US" w:eastAsia="zh-CN"/>
        </w:rPr>
        <w:t>②</w:t>
      </w:r>
      <w:r>
        <w:rPr>
          <w:rFonts w:hint="default" w:ascii="Times New Roman" w:hAnsi="Times New Roman" w:cs="Times New Roman"/>
          <w:color w:val="auto"/>
          <w:kern w:val="0"/>
          <w:highlight w:val="none"/>
        </w:rPr>
        <w:t>新建尾矿库扬尘</w:t>
      </w:r>
    </w:p>
    <w:p w14:paraId="6D40D73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新建尾矿库尾矿排矿方式为湿排，放矿方法采用多管分散放矿，年入库尾矿量为</w:t>
      </w:r>
      <w:r>
        <w:rPr>
          <w:rFonts w:hint="eastAsia" w:cs="Times New Roman"/>
          <w:color w:val="auto"/>
          <w:kern w:val="0"/>
          <w:highlight w:val="none"/>
          <w:lang w:val="en-US" w:eastAsia="zh-CN"/>
        </w:rPr>
        <w:t>46</w:t>
      </w:r>
      <w:r>
        <w:rPr>
          <w:rFonts w:hint="default" w:ascii="Times New Roman" w:hAnsi="Times New Roman" w:cs="Times New Roman"/>
          <w:color w:val="auto"/>
          <w:highlight w:val="none"/>
        </w:rPr>
        <w:t>万</w:t>
      </w:r>
      <w:r>
        <w:rPr>
          <w:rFonts w:hint="default" w:ascii="Times New Roman" w:hAnsi="Times New Roman" w:cs="Times New Roman"/>
          <w:color w:val="auto"/>
          <w:kern w:val="0"/>
          <w:highlight w:val="none"/>
        </w:rPr>
        <w:t>t/a。</w:t>
      </w:r>
      <w:r>
        <w:rPr>
          <w:rFonts w:hint="default" w:ascii="Times New Roman" w:hAnsi="Times New Roman" w:cs="Times New Roman"/>
          <w:color w:val="auto"/>
          <w:highlight w:val="none"/>
        </w:rPr>
        <w:t>项目运营期，尾矿库的干坡面会产生扬尘，由于尾矿湿式排放，含有一定的水分，含水率约</w:t>
      </w:r>
      <w:r>
        <w:rPr>
          <w:rFonts w:hint="default" w:ascii="Times New Roman" w:hAnsi="Times New Roman" w:cs="Times New Roman"/>
          <w:color w:val="auto"/>
          <w:highlight w:val="none"/>
          <w:lang w:val="en-US" w:eastAsia="zh-CN"/>
        </w:rPr>
        <w:t>85</w:t>
      </w:r>
      <w:r>
        <w:rPr>
          <w:rFonts w:hint="default" w:ascii="Times New Roman" w:hAnsi="Times New Roman" w:cs="Times New Roman"/>
          <w:color w:val="auto"/>
          <w:highlight w:val="none"/>
        </w:rPr>
        <w:t>%，可在尾矿库表面形成水封面，使滩面保持湿润，有效防止了尾矿起尘。</w:t>
      </w:r>
    </w:p>
    <w:p w14:paraId="44545F68">
      <w:pPr>
        <w:pStyle w:val="10"/>
        <w:widowControl w:val="0"/>
        <w:overflowPunct w:val="0"/>
        <w:topLinePunct/>
        <w:spacing w:after="0"/>
        <w:ind w:firstLine="480"/>
        <w:jc w:val="center"/>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尾矿干滩起尘量的产生采用北京环科院与北大环境中心研究的经验公式，即：</w:t>
      </w:r>
    </w:p>
    <w:p w14:paraId="4963CE95">
      <w:pPr>
        <w:pStyle w:val="10"/>
        <w:widowControl w:val="0"/>
        <w:overflowPunct w:val="0"/>
        <w:topLinePunct/>
        <w:spacing w:after="0"/>
        <w:ind w:firstLine="0" w:firstLineChars="0"/>
        <w:jc w:val="center"/>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E=k</w:t>
      </w:r>
      <w:r>
        <w:rPr>
          <w:rFonts w:hint="eastAsia" w:ascii="Times New Roman" w:hAnsi="Times New Roman" w:cs="Times New Roman"/>
          <w:color w:val="auto"/>
          <w:kern w:val="2"/>
          <w:highlight w:val="none"/>
          <w:lang w:eastAsia="zh-CN"/>
        </w:rPr>
        <w:t>（</w:t>
      </w:r>
      <w:r>
        <w:rPr>
          <w:rFonts w:hint="default" w:ascii="Times New Roman" w:hAnsi="Times New Roman" w:cs="Times New Roman"/>
          <w:color w:val="auto"/>
          <w:kern w:val="2"/>
          <w:highlight w:val="none"/>
        </w:rPr>
        <w:t>0.0008535</w:t>
      </w:r>
      <w:r>
        <w:rPr>
          <w:rFonts w:hint="eastAsia" w:ascii="Times New Roman" w:hAnsi="Times New Roman" w:cs="Times New Roman"/>
          <w:color w:val="auto"/>
          <w:kern w:val="2"/>
          <w:highlight w:val="none"/>
          <w:lang w:eastAsia="zh-CN"/>
        </w:rPr>
        <w:t>）</w:t>
      </w:r>
      <w:r>
        <w:rPr>
          <w:rFonts w:hint="default" w:ascii="Times New Roman" w:hAnsi="Times New Roman" w:cs="Times New Roman"/>
          <w:color w:val="auto"/>
          <w:kern w:val="2"/>
          <w:highlight w:val="none"/>
        </w:rPr>
        <w:t>U</w:t>
      </w:r>
      <w:r>
        <w:rPr>
          <w:rFonts w:hint="default" w:ascii="Times New Roman" w:hAnsi="Times New Roman" w:cs="Times New Roman"/>
          <w:color w:val="auto"/>
          <w:kern w:val="2"/>
          <w:highlight w:val="none"/>
          <w:vertAlign w:val="superscript"/>
        </w:rPr>
        <w:t>3.22</w:t>
      </w:r>
      <w:r>
        <w:rPr>
          <w:rFonts w:hint="default" w:ascii="Times New Roman" w:hAnsi="Times New Roman" w:cs="Times New Roman"/>
          <w:color w:val="auto"/>
          <w:kern w:val="2"/>
          <w:highlight w:val="none"/>
        </w:rPr>
        <w:t>e</w:t>
      </w:r>
      <w:r>
        <w:rPr>
          <w:rFonts w:hint="default" w:ascii="Times New Roman" w:hAnsi="Times New Roman" w:cs="Times New Roman"/>
          <w:color w:val="auto"/>
          <w:kern w:val="2"/>
          <w:highlight w:val="none"/>
          <w:vertAlign w:val="superscript"/>
        </w:rPr>
        <w:t>-0.2W</w:t>
      </w:r>
    </w:p>
    <w:p w14:paraId="02AF2679">
      <w:pPr>
        <w:pStyle w:val="10"/>
        <w:widowControl w:val="0"/>
        <w:overflowPunct w:val="0"/>
        <w:topLinePunct/>
        <w:spacing w:after="0"/>
        <w:ind w:firstLine="480"/>
        <w:jc w:val="both"/>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式中：E—起尘量，kg/t（物料）</w:t>
      </w:r>
    </w:p>
    <w:p w14:paraId="3A2417A7">
      <w:pPr>
        <w:pStyle w:val="10"/>
        <w:widowControl w:val="0"/>
        <w:overflowPunct w:val="0"/>
        <w:topLinePunct/>
        <w:spacing w:after="0"/>
        <w:ind w:firstLine="1200" w:firstLineChars="500"/>
        <w:jc w:val="both"/>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k—输沙量；kg/m·h</w:t>
      </w:r>
    </w:p>
    <w:p w14:paraId="6B334274">
      <w:pPr>
        <w:pStyle w:val="10"/>
        <w:widowControl w:val="0"/>
        <w:overflowPunct w:val="0"/>
        <w:topLinePunct/>
        <w:spacing w:after="0"/>
        <w:ind w:firstLine="1200" w:firstLineChars="500"/>
        <w:jc w:val="both"/>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U—地面风速，m/s</w:t>
      </w:r>
    </w:p>
    <w:p w14:paraId="61908BB4">
      <w:pPr>
        <w:pStyle w:val="10"/>
        <w:widowControl w:val="0"/>
        <w:overflowPunct w:val="0"/>
        <w:topLinePunct/>
        <w:spacing w:after="0"/>
        <w:ind w:firstLine="1200" w:firstLineChars="500"/>
        <w:jc w:val="both"/>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W—物料含水率，%</w:t>
      </w:r>
    </w:p>
    <w:p w14:paraId="755FB8A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本次评价通过</w:t>
      </w:r>
      <w:r>
        <w:rPr>
          <w:rFonts w:hint="default" w:ascii="Times New Roman" w:hAnsi="Times New Roman" w:cs="Times New Roman"/>
          <w:color w:val="auto"/>
          <w:highlight w:val="none"/>
        </w:rPr>
        <w:t>类比同类尾矿砂的风洞试验，确定尾砂起</w:t>
      </w:r>
      <w:r>
        <w:rPr>
          <w:rFonts w:hint="default" w:ascii="Times New Roman" w:hAnsi="Times New Roman" w:cs="Times New Roman"/>
          <w:color w:val="auto"/>
          <w:highlight w:val="none"/>
          <w:lang w:eastAsia="zh-CN"/>
        </w:rPr>
        <w:t>尘</w:t>
      </w:r>
      <w:r>
        <w:rPr>
          <w:rFonts w:hint="default" w:ascii="Times New Roman" w:hAnsi="Times New Roman" w:cs="Times New Roman"/>
          <w:color w:val="auto"/>
          <w:highlight w:val="none"/>
        </w:rPr>
        <w:t>风速约为6m/s，干滩尾矿砂含水率按</w:t>
      </w:r>
      <w:r>
        <w:rPr>
          <w:rFonts w:hint="eastAsia" w:cs="Times New Roman"/>
          <w:color w:val="auto"/>
          <w:highlight w:val="none"/>
          <w:lang w:val="en-US" w:eastAsia="zh-CN"/>
        </w:rPr>
        <w:t>20</w:t>
      </w:r>
      <w:r>
        <w:rPr>
          <w:rFonts w:hint="default" w:ascii="Times New Roman" w:hAnsi="Times New Roman" w:cs="Times New Roman"/>
          <w:color w:val="auto"/>
          <w:highlight w:val="none"/>
        </w:rPr>
        <w:t>%计，不同风速下的输沙量见表3.3-</w:t>
      </w:r>
      <w:r>
        <w:rPr>
          <w:rFonts w:hint="eastAsia" w:cs="Times New Roman"/>
          <w:color w:val="auto"/>
          <w:highlight w:val="none"/>
          <w:lang w:val="en-US" w:eastAsia="zh-CN"/>
        </w:rPr>
        <w:t>7</w:t>
      </w:r>
      <w:r>
        <w:rPr>
          <w:rFonts w:hint="default" w:ascii="Times New Roman" w:hAnsi="Times New Roman" w:cs="Times New Roman"/>
          <w:color w:val="auto"/>
          <w:highlight w:val="none"/>
        </w:rPr>
        <w:t>。</w:t>
      </w:r>
    </w:p>
    <w:p w14:paraId="277DFCF8">
      <w:pPr>
        <w:ind w:firstLine="0" w:firstLineChars="0"/>
        <w:jc w:val="center"/>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表3.</w:t>
      </w:r>
      <w:r>
        <w:rPr>
          <w:rFonts w:hint="default" w:ascii="Times New Roman" w:hAnsi="Times New Roman" w:cs="Times New Roman"/>
          <w:b/>
          <w:color w:val="auto"/>
          <w:kern w:val="0"/>
          <w:highlight w:val="none"/>
          <w:lang w:val="en-US" w:eastAsia="zh-CN"/>
        </w:rPr>
        <w:t>3</w:t>
      </w:r>
      <w:r>
        <w:rPr>
          <w:rFonts w:hint="default" w:ascii="Times New Roman" w:hAnsi="Times New Roman" w:cs="Times New Roman"/>
          <w:b/>
          <w:color w:val="auto"/>
          <w:kern w:val="0"/>
          <w:highlight w:val="none"/>
        </w:rPr>
        <w:t>-</w:t>
      </w:r>
      <w:r>
        <w:rPr>
          <w:rFonts w:hint="eastAsia" w:cs="Times New Roman"/>
          <w:b/>
          <w:color w:val="auto"/>
          <w:kern w:val="0"/>
          <w:highlight w:val="none"/>
          <w:lang w:val="en-US" w:eastAsia="zh-CN"/>
        </w:rPr>
        <w:t>7</w:t>
      </w:r>
      <w:r>
        <w:rPr>
          <w:rFonts w:hint="default" w:ascii="Times New Roman" w:hAnsi="Times New Roman" w:cs="Times New Roman"/>
          <w:b/>
          <w:color w:val="auto"/>
          <w:kern w:val="0"/>
          <w:highlight w:val="none"/>
        </w:rPr>
        <w:t xml:space="preserve">    不同风速下的输沙量</w:t>
      </w:r>
    </w:p>
    <w:tbl>
      <w:tblPr>
        <w:tblStyle w:val="33"/>
        <w:tblW w:w="8988" w:type="dxa"/>
        <w:jc w:val="center"/>
        <w:tblLayout w:type="fixed"/>
        <w:tblCellMar>
          <w:top w:w="0" w:type="dxa"/>
          <w:left w:w="0" w:type="dxa"/>
          <w:bottom w:w="0" w:type="dxa"/>
          <w:right w:w="0" w:type="dxa"/>
        </w:tblCellMar>
      </w:tblPr>
      <w:tblGrid>
        <w:gridCol w:w="1498"/>
        <w:gridCol w:w="1498"/>
        <w:gridCol w:w="1498"/>
        <w:gridCol w:w="1498"/>
        <w:gridCol w:w="1498"/>
        <w:gridCol w:w="1498"/>
      </w:tblGrid>
      <w:tr w14:paraId="2EBFB0B6">
        <w:tblPrEx>
          <w:tblCellMar>
            <w:top w:w="0" w:type="dxa"/>
            <w:left w:w="0" w:type="dxa"/>
            <w:bottom w:w="0" w:type="dxa"/>
            <w:right w:w="0" w:type="dxa"/>
          </w:tblCellMar>
        </w:tblPrEx>
        <w:trPr>
          <w:trHeight w:val="340" w:hRule="atLeast"/>
          <w:jc w:val="center"/>
        </w:trPr>
        <w:tc>
          <w:tcPr>
            <w:tcW w:w="1498" w:type="dxa"/>
            <w:tcBorders>
              <w:top w:val="single" w:color="000000" w:sz="12" w:space="0"/>
              <w:left w:val="single" w:color="000000" w:sz="12" w:space="0"/>
              <w:bottom w:val="single" w:color="000000" w:sz="6" w:space="0"/>
              <w:right w:val="single" w:color="000000" w:sz="6" w:space="0"/>
            </w:tcBorders>
            <w:vAlign w:val="center"/>
          </w:tcPr>
          <w:p w14:paraId="39EE8FAC">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风速（m/s）</w:t>
            </w:r>
          </w:p>
        </w:tc>
        <w:tc>
          <w:tcPr>
            <w:tcW w:w="1498" w:type="dxa"/>
            <w:tcBorders>
              <w:top w:val="single" w:color="000000" w:sz="12" w:space="0"/>
              <w:left w:val="single" w:color="000000" w:sz="6" w:space="0"/>
              <w:bottom w:val="single" w:color="000000" w:sz="6" w:space="0"/>
              <w:right w:val="single" w:color="000000" w:sz="6" w:space="0"/>
            </w:tcBorders>
            <w:vAlign w:val="center"/>
          </w:tcPr>
          <w:p w14:paraId="05B33475">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p>
        </w:tc>
        <w:tc>
          <w:tcPr>
            <w:tcW w:w="1498" w:type="dxa"/>
            <w:tcBorders>
              <w:top w:val="single" w:color="000000" w:sz="12" w:space="0"/>
              <w:left w:val="single" w:color="000000" w:sz="6" w:space="0"/>
              <w:bottom w:val="single" w:color="000000" w:sz="6" w:space="0"/>
              <w:right w:val="single" w:color="000000" w:sz="6" w:space="0"/>
            </w:tcBorders>
            <w:vAlign w:val="center"/>
          </w:tcPr>
          <w:p w14:paraId="07F2C2EE">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c>
          <w:tcPr>
            <w:tcW w:w="1498" w:type="dxa"/>
            <w:tcBorders>
              <w:top w:val="single" w:color="000000" w:sz="12" w:space="0"/>
              <w:left w:val="single" w:color="000000" w:sz="6" w:space="0"/>
              <w:bottom w:val="single" w:color="000000" w:sz="6" w:space="0"/>
              <w:right w:val="single" w:color="000000" w:sz="6" w:space="0"/>
            </w:tcBorders>
            <w:vAlign w:val="center"/>
          </w:tcPr>
          <w:p w14:paraId="24FD1ED4">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1498" w:type="dxa"/>
            <w:tcBorders>
              <w:top w:val="single" w:color="000000" w:sz="12" w:space="0"/>
              <w:left w:val="single" w:color="000000" w:sz="6" w:space="0"/>
              <w:bottom w:val="single" w:color="000000" w:sz="6" w:space="0"/>
              <w:right w:val="single" w:color="000000" w:sz="6" w:space="0"/>
            </w:tcBorders>
            <w:vAlign w:val="center"/>
          </w:tcPr>
          <w:p w14:paraId="1B9915FD">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w:t>
            </w:r>
          </w:p>
        </w:tc>
        <w:tc>
          <w:tcPr>
            <w:tcW w:w="1498" w:type="dxa"/>
            <w:tcBorders>
              <w:top w:val="single" w:color="000000" w:sz="12" w:space="0"/>
              <w:left w:val="single" w:color="000000" w:sz="6" w:space="0"/>
              <w:bottom w:val="single" w:color="000000" w:sz="6" w:space="0"/>
              <w:right w:val="single" w:color="000000" w:sz="12" w:space="0"/>
            </w:tcBorders>
            <w:vAlign w:val="center"/>
          </w:tcPr>
          <w:p w14:paraId="45E8EB46">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r>
      <w:tr w14:paraId="32503893">
        <w:tblPrEx>
          <w:tblCellMar>
            <w:top w:w="0" w:type="dxa"/>
            <w:left w:w="0" w:type="dxa"/>
            <w:bottom w:w="0" w:type="dxa"/>
            <w:right w:w="0" w:type="dxa"/>
          </w:tblCellMar>
        </w:tblPrEx>
        <w:trPr>
          <w:trHeight w:val="340" w:hRule="atLeast"/>
          <w:jc w:val="center"/>
        </w:trPr>
        <w:tc>
          <w:tcPr>
            <w:tcW w:w="1498" w:type="dxa"/>
            <w:tcBorders>
              <w:top w:val="single" w:color="000000" w:sz="6" w:space="0"/>
              <w:left w:val="single" w:color="000000" w:sz="12" w:space="0"/>
              <w:bottom w:val="single" w:color="000000" w:sz="12" w:space="0"/>
              <w:right w:val="single" w:color="000000" w:sz="6" w:space="0"/>
            </w:tcBorders>
            <w:vAlign w:val="center"/>
          </w:tcPr>
          <w:p w14:paraId="79B7E3A0">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输沙量</w:t>
            </w:r>
            <w:r>
              <w:rPr>
                <w:rFonts w:hint="default" w:ascii="Times New Roman" w:hAnsi="Times New Roman" w:cs="Times New Roman"/>
                <w:color w:val="auto"/>
                <w:spacing w:val="-1"/>
                <w:sz w:val="21"/>
                <w:szCs w:val="21"/>
                <w:highlight w:val="none"/>
              </w:rPr>
              <w:t>（kg/m</w:t>
            </w:r>
            <w:r>
              <w:rPr>
                <w:rFonts w:hint="default" w:ascii="Times New Roman" w:hAnsi="Times New Roman" w:cs="Times New Roman"/>
                <w:color w:val="auto"/>
                <w:kern w:val="2"/>
                <w:sz w:val="21"/>
                <w:szCs w:val="21"/>
                <w:highlight w:val="none"/>
              </w:rPr>
              <w:t>·</w:t>
            </w:r>
            <w:r>
              <w:rPr>
                <w:rFonts w:hint="default" w:ascii="Times New Roman" w:hAnsi="Times New Roman" w:cs="Times New Roman"/>
                <w:color w:val="auto"/>
                <w:spacing w:val="-1"/>
                <w:sz w:val="21"/>
                <w:szCs w:val="21"/>
                <w:highlight w:val="none"/>
              </w:rPr>
              <w:t>h）</w:t>
            </w:r>
          </w:p>
        </w:tc>
        <w:tc>
          <w:tcPr>
            <w:tcW w:w="1498" w:type="dxa"/>
            <w:tcBorders>
              <w:top w:val="single" w:color="000000" w:sz="6" w:space="0"/>
              <w:left w:val="single" w:color="000000" w:sz="6" w:space="0"/>
              <w:bottom w:val="single" w:color="000000" w:sz="12" w:space="0"/>
              <w:right w:val="single" w:color="000000" w:sz="6" w:space="0"/>
            </w:tcBorders>
            <w:vAlign w:val="center"/>
          </w:tcPr>
          <w:p w14:paraId="731294A5">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0.01</w:t>
            </w:r>
          </w:p>
        </w:tc>
        <w:tc>
          <w:tcPr>
            <w:tcW w:w="1498" w:type="dxa"/>
            <w:tcBorders>
              <w:top w:val="single" w:color="000000" w:sz="6" w:space="0"/>
              <w:left w:val="single" w:color="000000" w:sz="6" w:space="0"/>
              <w:bottom w:val="single" w:color="000000" w:sz="12" w:space="0"/>
              <w:right w:val="single" w:color="000000" w:sz="6" w:space="0"/>
            </w:tcBorders>
            <w:vAlign w:val="center"/>
          </w:tcPr>
          <w:p w14:paraId="048664BE">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5.20</w:t>
            </w:r>
          </w:p>
        </w:tc>
        <w:tc>
          <w:tcPr>
            <w:tcW w:w="1498" w:type="dxa"/>
            <w:tcBorders>
              <w:top w:val="single" w:color="000000" w:sz="6" w:space="0"/>
              <w:left w:val="single" w:color="000000" w:sz="6" w:space="0"/>
              <w:bottom w:val="single" w:color="000000" w:sz="12" w:space="0"/>
              <w:right w:val="single" w:color="000000" w:sz="6" w:space="0"/>
            </w:tcBorders>
            <w:vAlign w:val="center"/>
          </w:tcPr>
          <w:p w14:paraId="05D632F1">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19.84</w:t>
            </w:r>
          </w:p>
        </w:tc>
        <w:tc>
          <w:tcPr>
            <w:tcW w:w="1498" w:type="dxa"/>
            <w:tcBorders>
              <w:top w:val="single" w:color="000000" w:sz="6" w:space="0"/>
              <w:left w:val="single" w:color="000000" w:sz="6" w:space="0"/>
              <w:bottom w:val="single" w:color="000000" w:sz="12" w:space="0"/>
              <w:right w:val="single" w:color="000000" w:sz="6" w:space="0"/>
            </w:tcBorders>
            <w:vAlign w:val="center"/>
          </w:tcPr>
          <w:p w14:paraId="3E14B234">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44.0</w:t>
            </w:r>
          </w:p>
        </w:tc>
        <w:tc>
          <w:tcPr>
            <w:tcW w:w="1498" w:type="dxa"/>
            <w:tcBorders>
              <w:top w:val="single" w:color="000000" w:sz="6" w:space="0"/>
              <w:left w:val="single" w:color="000000" w:sz="6" w:space="0"/>
              <w:bottom w:val="single" w:color="000000" w:sz="12" w:space="0"/>
              <w:right w:val="single" w:color="000000" w:sz="12" w:space="0"/>
            </w:tcBorders>
            <w:vAlign w:val="center"/>
          </w:tcPr>
          <w:p w14:paraId="22D39705">
            <w:pPr>
              <w:pStyle w:val="47"/>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97.7</w:t>
            </w:r>
          </w:p>
        </w:tc>
      </w:tr>
    </w:tbl>
    <w:p w14:paraId="65735F82">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根据不同风速下的输沙量和本地区年主导风向发生的小时数以及规范要求尾矿库最小干滩长度及所形成面积，就可计算出尾矿库扬尘量。本项目所在区年平均风速为</w:t>
      </w:r>
      <w:r>
        <w:rPr>
          <w:rFonts w:hint="default" w:ascii="Times New Roman" w:hAnsi="Times New Roman" w:cs="Times New Roman"/>
          <w:color w:val="auto"/>
          <w:highlight w:val="none"/>
          <w:lang w:val="en-US" w:eastAsia="zh-CN"/>
        </w:rPr>
        <w:t>3~5</w:t>
      </w:r>
      <w:r>
        <w:rPr>
          <w:rFonts w:hint="default" w:ascii="Times New Roman" w:hAnsi="Times New Roman" w:cs="Times New Roman"/>
          <w:color w:val="auto"/>
          <w:highlight w:val="none"/>
        </w:rPr>
        <w:t>m/s，环评选用风速为6.0m/s时的输</w:t>
      </w:r>
      <w:r>
        <w:rPr>
          <w:rFonts w:hint="default" w:ascii="Times New Roman" w:hAnsi="Times New Roman" w:cs="Times New Roman"/>
          <w:color w:val="auto"/>
          <w:highlight w:val="none"/>
          <w:lang w:eastAsia="zh-CN"/>
        </w:rPr>
        <w:t>沙</w:t>
      </w:r>
      <w:r>
        <w:rPr>
          <w:rFonts w:hint="default" w:ascii="Times New Roman" w:hAnsi="Times New Roman" w:cs="Times New Roman"/>
          <w:color w:val="auto"/>
          <w:highlight w:val="none"/>
        </w:rPr>
        <w:t>量，其输沙量为0.01kg/（m·h），本尾矿库年排放尾砂量为</w:t>
      </w:r>
      <w:r>
        <w:rPr>
          <w:rFonts w:hint="eastAsia" w:cs="Times New Roman"/>
          <w:color w:val="auto"/>
          <w:kern w:val="0"/>
          <w:highlight w:val="none"/>
          <w:lang w:val="en-US" w:eastAsia="zh-CN"/>
        </w:rPr>
        <w:t>46</w:t>
      </w:r>
      <w:r>
        <w:rPr>
          <w:rFonts w:hint="default" w:ascii="Times New Roman" w:hAnsi="Times New Roman" w:cs="Times New Roman"/>
          <w:color w:val="auto"/>
          <w:highlight w:val="none"/>
        </w:rPr>
        <w:t>万t/a，由此计算出尾矿库起尘量为</w:t>
      </w:r>
      <w:r>
        <w:rPr>
          <w:rFonts w:hint="eastAsia" w:cs="Times New Roman"/>
          <w:color w:val="auto"/>
          <w:highlight w:val="none"/>
          <w:lang w:val="en-US" w:eastAsia="zh-CN"/>
        </w:rPr>
        <w:t>0.0044</w:t>
      </w:r>
      <w:r>
        <w:rPr>
          <w:rFonts w:hint="default" w:ascii="Times New Roman" w:hAnsi="Times New Roman" w:cs="Times New Roman"/>
          <w:color w:val="auto"/>
          <w:highlight w:val="none"/>
          <w:lang w:val="en-US" w:eastAsia="zh-CN"/>
        </w:rPr>
        <w:t>t</w:t>
      </w:r>
      <w:r>
        <w:rPr>
          <w:rFonts w:hint="default" w:ascii="Times New Roman" w:hAnsi="Times New Roman" w:cs="Times New Roman"/>
          <w:color w:val="auto"/>
          <w:highlight w:val="none"/>
        </w:rPr>
        <w:t>/a。</w:t>
      </w:r>
    </w:p>
    <w:p w14:paraId="239E9AF3">
      <w:pPr>
        <w:overflowPunct w:val="0"/>
        <w:topLinePunct/>
        <w:spacing w:line="480" w:lineRule="exact"/>
        <w:ind w:firstLine="480" w:firstLineChars="200"/>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lang w:val="en-US" w:eastAsia="zh-CN"/>
        </w:rPr>
        <w:t>③</w:t>
      </w:r>
      <w:r>
        <w:rPr>
          <w:rFonts w:hint="default" w:ascii="Times New Roman" w:hAnsi="Times New Roman" w:eastAsia="宋体" w:cs="Times New Roman"/>
          <w:color w:val="auto"/>
          <w:kern w:val="0"/>
          <w:highlight w:val="none"/>
        </w:rPr>
        <w:t>道路运输扬尘</w:t>
      </w:r>
    </w:p>
    <w:p w14:paraId="342B9583">
      <w:pPr>
        <w:overflowPunct w:val="0"/>
        <w:topLinePunct/>
        <w:spacing w:line="480" w:lineRule="exac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道路扬尘</w:t>
      </w:r>
      <w:r>
        <w:rPr>
          <w:rFonts w:hint="default" w:ascii="Times New Roman" w:hAnsi="Times New Roman" w:eastAsia="宋体" w:cs="Times New Roman"/>
          <w:color w:val="auto"/>
          <w:kern w:val="0"/>
          <w:highlight w:val="none"/>
        </w:rPr>
        <w:t>计算</w:t>
      </w:r>
      <w:r>
        <w:rPr>
          <w:rFonts w:hint="default" w:ascii="Times New Roman" w:hAnsi="Times New Roman" w:eastAsia="宋体" w:cs="Times New Roman"/>
          <w:color w:val="auto"/>
          <w:highlight w:val="none"/>
        </w:rPr>
        <w:t>公式：</w:t>
      </w:r>
    </w:p>
    <w:p w14:paraId="7BA74C7D">
      <w:pPr>
        <w:spacing w:line="480" w:lineRule="exact"/>
        <w:ind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Q</w:t>
      </w:r>
      <w:r>
        <w:rPr>
          <w:rFonts w:hint="default" w:ascii="Times New Roman" w:hAnsi="Times New Roman" w:eastAsia="宋体" w:cs="Times New Roman"/>
          <w:color w:val="auto"/>
          <w:highlight w:val="none"/>
          <w:vertAlign w:val="subscript"/>
        </w:rPr>
        <w:t>p</w:t>
      </w:r>
      <w:r>
        <w:rPr>
          <w:rFonts w:hint="default" w:ascii="Times New Roman" w:hAnsi="Times New Roman" w:eastAsia="宋体" w:cs="Times New Roman"/>
          <w:color w:val="auto"/>
          <w:highlight w:val="none"/>
        </w:rPr>
        <w:t>=0.123</w:t>
      </w:r>
      <w:r>
        <w:rPr>
          <w:rFonts w:hint="eastAsia" w:cs="Times New Roman"/>
          <w:color w:val="auto"/>
          <w:highlight w:val="none"/>
          <w:lang w:eastAsia="zh-CN"/>
        </w:rPr>
        <w:t>（</w:t>
      </w:r>
      <w:r>
        <w:rPr>
          <w:rFonts w:hint="default" w:ascii="Times New Roman" w:hAnsi="Times New Roman" w:eastAsia="宋体" w:cs="Times New Roman"/>
          <w:color w:val="auto"/>
          <w:highlight w:val="none"/>
        </w:rPr>
        <w:t>V/5</w:t>
      </w:r>
      <w:r>
        <w:rPr>
          <w:rFonts w:hint="eastAsia" w:cs="Times New Roman"/>
          <w:color w:val="auto"/>
          <w:highlight w:val="none"/>
          <w:lang w:eastAsia="zh-CN"/>
        </w:rPr>
        <w:t>）</w:t>
      </w:r>
      <w:r>
        <w:rPr>
          <w:rFonts w:hint="default" w:ascii="Times New Roman" w:hAnsi="Times New Roman" w:eastAsia="宋体" w:cs="Times New Roman"/>
          <w:color w:val="auto"/>
          <w:highlight w:val="none"/>
        </w:rPr>
        <w:t>·</w:t>
      </w:r>
      <w:r>
        <w:rPr>
          <w:rFonts w:hint="eastAsia" w:cs="Times New Roman"/>
          <w:color w:val="auto"/>
          <w:highlight w:val="none"/>
          <w:lang w:eastAsia="zh-CN"/>
        </w:rPr>
        <w:t>（</w:t>
      </w:r>
      <w:r>
        <w:rPr>
          <w:rFonts w:hint="default" w:ascii="Times New Roman" w:hAnsi="Times New Roman" w:eastAsia="宋体" w:cs="Times New Roman"/>
          <w:color w:val="auto"/>
          <w:highlight w:val="none"/>
        </w:rPr>
        <w:t>M/6.8</w:t>
      </w:r>
      <w:r>
        <w:rPr>
          <w:rFonts w:hint="eastAsia" w:cs="Times New Roman"/>
          <w:color w:val="auto"/>
          <w:highlight w:val="none"/>
          <w:lang w:eastAsia="zh-CN"/>
        </w:rPr>
        <w:t>）</w:t>
      </w:r>
      <w:r>
        <w:rPr>
          <w:rFonts w:hint="default" w:ascii="Times New Roman" w:hAnsi="Times New Roman" w:eastAsia="宋体" w:cs="Times New Roman"/>
          <w:color w:val="auto"/>
          <w:highlight w:val="none"/>
          <w:vertAlign w:val="superscript"/>
        </w:rPr>
        <w:t>0.85</w:t>
      </w:r>
      <w:r>
        <w:rPr>
          <w:rFonts w:hint="default" w:ascii="Times New Roman" w:hAnsi="Times New Roman" w:eastAsia="宋体" w:cs="Times New Roman"/>
          <w:color w:val="auto"/>
          <w:highlight w:val="none"/>
        </w:rPr>
        <w:t>·</w:t>
      </w:r>
      <w:r>
        <w:rPr>
          <w:rFonts w:hint="eastAsia" w:cs="Times New Roman"/>
          <w:color w:val="auto"/>
          <w:highlight w:val="none"/>
          <w:lang w:eastAsia="zh-CN"/>
        </w:rPr>
        <w:t>（</w:t>
      </w:r>
      <w:r>
        <w:rPr>
          <w:rFonts w:hint="default" w:ascii="Times New Roman" w:hAnsi="Times New Roman" w:eastAsia="宋体" w:cs="Times New Roman"/>
          <w:color w:val="auto"/>
          <w:highlight w:val="none"/>
        </w:rPr>
        <w:t>P/0.5</w:t>
      </w:r>
      <w:r>
        <w:rPr>
          <w:rFonts w:hint="eastAsia" w:cs="Times New Roman"/>
          <w:color w:val="auto"/>
          <w:highlight w:val="none"/>
          <w:lang w:eastAsia="zh-CN"/>
        </w:rPr>
        <w:t>）</w:t>
      </w:r>
      <w:r>
        <w:rPr>
          <w:rFonts w:hint="default" w:ascii="Times New Roman" w:hAnsi="Times New Roman" w:eastAsia="宋体" w:cs="Times New Roman"/>
          <w:color w:val="auto"/>
          <w:highlight w:val="none"/>
          <w:vertAlign w:val="superscript"/>
        </w:rPr>
        <w:t>0.72</w:t>
      </w:r>
    </w:p>
    <w:p w14:paraId="1849E257">
      <w:pPr>
        <w:spacing w:line="480" w:lineRule="exact"/>
        <w:ind w:firstLine="0" w:firstLineChars="0"/>
        <w:jc w:val="center"/>
        <w:rPr>
          <w:rFonts w:hint="default" w:ascii="Times New Roman" w:hAnsi="Times New Roman" w:eastAsia="宋体" w:cs="Times New Roman"/>
          <w:color w:val="auto"/>
          <w:highlight w:val="none"/>
          <w:lang w:val="es-VE"/>
        </w:rPr>
      </w:pPr>
      <w:r>
        <w:rPr>
          <w:rFonts w:hint="default" w:ascii="Times New Roman" w:hAnsi="Times New Roman" w:eastAsia="宋体" w:cs="Times New Roman"/>
          <w:color w:val="auto"/>
          <w:highlight w:val="none"/>
          <w:lang w:val="es-VE"/>
        </w:rPr>
        <w:t>Q</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vertAlign w:val="subscript"/>
          <w:lang w:val="es-VE"/>
        </w:rPr>
        <w:t>p</w:t>
      </w:r>
      <w:r>
        <w:rPr>
          <w:rFonts w:hint="default" w:ascii="Times New Roman" w:hAnsi="Times New Roman" w:eastAsia="宋体" w:cs="Times New Roman"/>
          <w:color w:val="auto"/>
          <w:highlight w:val="none"/>
          <w:lang w:val="es-VE"/>
        </w:rPr>
        <w:t>=Q</w:t>
      </w:r>
      <w:r>
        <w:rPr>
          <w:rFonts w:hint="default" w:ascii="Times New Roman" w:hAnsi="Times New Roman" w:eastAsia="宋体" w:cs="Times New Roman"/>
          <w:color w:val="auto"/>
          <w:highlight w:val="none"/>
          <w:vertAlign w:val="subscript"/>
          <w:lang w:val="es-VE"/>
        </w:rPr>
        <w:t>p</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s-VE"/>
        </w:rPr>
        <w:t>L</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s-VE"/>
        </w:rPr>
        <w:t>Q/M</w:t>
      </w:r>
    </w:p>
    <w:p w14:paraId="55D1BFFB">
      <w:pPr>
        <w:spacing w:line="480" w:lineRule="exact"/>
        <w:ind w:firstLine="460" w:firstLineChars="192"/>
        <w:rPr>
          <w:rFonts w:hint="default" w:ascii="Times New Roman" w:hAnsi="Times New Roman" w:eastAsia="宋体" w:cs="Times New Roman"/>
          <w:color w:val="auto"/>
          <w:highlight w:val="none"/>
          <w:lang w:val="es-VE"/>
        </w:rPr>
      </w:pPr>
      <w:r>
        <w:rPr>
          <w:rFonts w:hint="default" w:ascii="Times New Roman" w:hAnsi="Times New Roman" w:eastAsia="宋体" w:cs="Times New Roman"/>
          <w:color w:val="auto"/>
          <w:highlight w:val="none"/>
        </w:rPr>
        <w:t>计算参数</w:t>
      </w:r>
      <w:r>
        <w:rPr>
          <w:rFonts w:hint="default" w:ascii="Times New Roman" w:hAnsi="Times New Roman" w:eastAsia="宋体" w:cs="Times New Roman"/>
          <w:color w:val="auto"/>
          <w:highlight w:val="none"/>
          <w:lang w:val="es-VE"/>
        </w:rPr>
        <w:t>：Q</w:t>
      </w:r>
      <w:r>
        <w:rPr>
          <w:rFonts w:hint="default" w:ascii="Times New Roman" w:hAnsi="Times New Roman" w:eastAsia="宋体" w:cs="Times New Roman"/>
          <w:color w:val="auto"/>
          <w:highlight w:val="none"/>
          <w:vertAlign w:val="subscript"/>
          <w:lang w:val="es-VE"/>
        </w:rPr>
        <w:t>p</w:t>
      </w:r>
      <w:r>
        <w:rPr>
          <w:rFonts w:hint="default" w:ascii="Times New Roman" w:hAnsi="Times New Roman" w:eastAsia="宋体" w:cs="Times New Roman"/>
          <w:color w:val="auto"/>
          <w:highlight w:val="none"/>
          <w:lang w:val="es-VE"/>
        </w:rPr>
        <w:t>—</w:t>
      </w:r>
      <w:r>
        <w:rPr>
          <w:rFonts w:hint="default" w:ascii="Times New Roman" w:hAnsi="Times New Roman" w:eastAsia="宋体" w:cs="Times New Roman"/>
          <w:color w:val="auto"/>
          <w:highlight w:val="none"/>
        </w:rPr>
        <w:t>道路扬尘量</w:t>
      </w:r>
      <w:r>
        <w:rPr>
          <w:rFonts w:hint="default" w:ascii="Times New Roman" w:hAnsi="Times New Roman" w:eastAsia="宋体" w:cs="Times New Roman"/>
          <w:color w:val="auto"/>
          <w:highlight w:val="none"/>
          <w:lang w:val="es-VE"/>
        </w:rPr>
        <w:t>，（kg/km</w:t>
      </w:r>
      <w:r>
        <w:rPr>
          <w:rFonts w:hint="default" w:ascii="Times New Roman" w:hAnsi="Times New Roman" w:eastAsia="宋体" w:cs="Times New Roman"/>
          <w:color w:val="auto"/>
          <w:highlight w:val="none"/>
        </w:rPr>
        <w:t>·辆</w:t>
      </w:r>
      <w:r>
        <w:rPr>
          <w:rFonts w:hint="default" w:ascii="Times New Roman" w:hAnsi="Times New Roman" w:eastAsia="宋体" w:cs="Times New Roman"/>
          <w:color w:val="auto"/>
          <w:highlight w:val="none"/>
          <w:lang w:val="es-VE"/>
        </w:rPr>
        <w:t>）；</w:t>
      </w:r>
    </w:p>
    <w:p w14:paraId="68A0C44E">
      <w:pPr>
        <w:spacing w:line="480" w:lineRule="exact"/>
        <w:ind w:firstLine="1680" w:firstLineChars="700"/>
        <w:jc w:val="left"/>
        <w:rPr>
          <w:rFonts w:hint="default" w:ascii="Times New Roman" w:hAnsi="Times New Roman" w:eastAsia="宋体" w:cs="Times New Roman"/>
          <w:color w:val="auto"/>
          <w:highlight w:val="none"/>
          <w:lang w:val="es-VE"/>
        </w:rPr>
      </w:pPr>
      <w:r>
        <w:rPr>
          <w:rFonts w:hint="default" w:ascii="Times New Roman" w:hAnsi="Times New Roman" w:eastAsia="宋体" w:cs="Times New Roman"/>
          <w:color w:val="auto"/>
          <w:highlight w:val="none"/>
          <w:lang w:val="es-VE"/>
        </w:rPr>
        <w:t>Q′</w:t>
      </w:r>
      <w:r>
        <w:rPr>
          <w:rFonts w:hint="default" w:ascii="Times New Roman" w:hAnsi="Times New Roman" w:eastAsia="宋体" w:cs="Times New Roman"/>
          <w:color w:val="auto"/>
          <w:highlight w:val="none"/>
          <w:vertAlign w:val="subscript"/>
          <w:lang w:val="es-VE"/>
        </w:rPr>
        <w:t>p</w:t>
      </w:r>
      <w:r>
        <w:rPr>
          <w:rFonts w:hint="default" w:ascii="Times New Roman" w:hAnsi="Times New Roman" w:eastAsia="宋体" w:cs="Times New Roman"/>
          <w:color w:val="auto"/>
          <w:highlight w:val="none"/>
          <w:lang w:val="es-VE"/>
        </w:rPr>
        <w:t>—</w:t>
      </w:r>
      <w:r>
        <w:rPr>
          <w:rFonts w:hint="default" w:ascii="Times New Roman" w:hAnsi="Times New Roman" w:eastAsia="宋体" w:cs="Times New Roman"/>
          <w:color w:val="auto"/>
          <w:highlight w:val="none"/>
        </w:rPr>
        <w:t>总扬尘量</w:t>
      </w:r>
      <w:r>
        <w:rPr>
          <w:rFonts w:hint="default" w:ascii="Times New Roman" w:hAnsi="Times New Roman" w:eastAsia="宋体" w:cs="Times New Roman"/>
          <w:color w:val="auto"/>
          <w:highlight w:val="none"/>
          <w:lang w:val="es-VE"/>
        </w:rPr>
        <w:t>，（kg/a）；</w:t>
      </w:r>
    </w:p>
    <w:p w14:paraId="079EA467">
      <w:pPr>
        <w:spacing w:line="480" w:lineRule="exact"/>
        <w:ind w:firstLine="1680" w:firstLineChars="700"/>
        <w:rPr>
          <w:rFonts w:hint="default" w:ascii="Times New Roman" w:hAnsi="Times New Roman" w:eastAsia="宋体" w:cs="Times New Roman"/>
          <w:color w:val="auto"/>
          <w:highlight w:val="none"/>
          <w:lang w:val="es-VE"/>
        </w:rPr>
      </w:pPr>
      <w:r>
        <w:rPr>
          <w:rFonts w:hint="default" w:ascii="Times New Roman" w:hAnsi="Times New Roman" w:eastAsia="宋体" w:cs="Times New Roman"/>
          <w:color w:val="auto"/>
          <w:highlight w:val="none"/>
          <w:lang w:val="es-VE"/>
        </w:rPr>
        <w:t>V—</w:t>
      </w:r>
      <w:r>
        <w:rPr>
          <w:rFonts w:hint="default" w:ascii="Times New Roman" w:hAnsi="Times New Roman" w:eastAsia="宋体" w:cs="Times New Roman"/>
          <w:color w:val="auto"/>
          <w:highlight w:val="none"/>
        </w:rPr>
        <w:t>车辆速度</w:t>
      </w:r>
      <w:r>
        <w:rPr>
          <w:rFonts w:hint="default" w:ascii="Times New Roman" w:hAnsi="Times New Roman" w:eastAsia="宋体" w:cs="Times New Roman"/>
          <w:color w:val="auto"/>
          <w:highlight w:val="none"/>
          <w:lang w:val="es-VE"/>
        </w:rPr>
        <w:t>，（20km/h）；</w:t>
      </w:r>
    </w:p>
    <w:p w14:paraId="214413C8">
      <w:pPr>
        <w:spacing w:line="480" w:lineRule="exact"/>
        <w:ind w:firstLine="1680" w:firstLineChars="70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M—车辆载重，40t/辆；</w:t>
      </w:r>
    </w:p>
    <w:p w14:paraId="327595D7">
      <w:pPr>
        <w:spacing w:line="480" w:lineRule="exact"/>
        <w:ind w:firstLine="1680" w:firstLineChars="7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P—路面灰尘覆盖率，0.2kg/m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w:t>
      </w:r>
    </w:p>
    <w:p w14:paraId="73F627B6">
      <w:pPr>
        <w:spacing w:line="480" w:lineRule="exact"/>
        <w:ind w:firstLine="1680" w:firstLineChars="700"/>
        <w:rPr>
          <w:rFonts w:hint="default" w:ascii="Times New Roman" w:hAnsi="Times New Roman" w:eastAsia="宋体" w:cs="Times New Roman"/>
          <w:color w:val="auto"/>
          <w:highlight w:val="none"/>
          <w:lang w:val="es-VE"/>
        </w:rPr>
      </w:pPr>
      <w:r>
        <w:rPr>
          <w:rFonts w:hint="default" w:ascii="Times New Roman" w:hAnsi="Times New Roman" w:eastAsia="宋体" w:cs="Times New Roman"/>
          <w:color w:val="auto"/>
          <w:highlight w:val="none"/>
          <w:lang w:val="es-VE"/>
        </w:rPr>
        <w:t>L—运距，厂区内运距约</w:t>
      </w:r>
      <w:r>
        <w:rPr>
          <w:rFonts w:hint="default" w:ascii="Times New Roman" w:hAnsi="Times New Roman" w:eastAsia="宋体" w:cs="Times New Roman"/>
          <w:color w:val="auto"/>
          <w:highlight w:val="none"/>
          <w:lang w:val="en-US" w:eastAsia="zh-CN"/>
        </w:rPr>
        <w:t>0.6</w:t>
      </w:r>
      <w:r>
        <w:rPr>
          <w:rFonts w:hint="default" w:ascii="Times New Roman" w:hAnsi="Times New Roman" w:eastAsia="宋体" w:cs="Times New Roman"/>
          <w:color w:val="auto"/>
          <w:highlight w:val="none"/>
        </w:rPr>
        <w:t>k</w:t>
      </w:r>
      <w:r>
        <w:rPr>
          <w:rFonts w:hint="default" w:ascii="Times New Roman" w:hAnsi="Times New Roman" w:eastAsia="宋体" w:cs="Times New Roman"/>
          <w:color w:val="auto"/>
          <w:highlight w:val="none"/>
          <w:lang w:val="es-VE"/>
        </w:rPr>
        <w:t>m；</w:t>
      </w:r>
    </w:p>
    <w:p w14:paraId="4D0E4EB8">
      <w:pPr>
        <w:spacing w:line="480" w:lineRule="exact"/>
        <w:ind w:firstLine="1680" w:firstLineChars="7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s-VE"/>
        </w:rPr>
        <w:t>Q—运输量，原矿</w:t>
      </w:r>
      <w:r>
        <w:rPr>
          <w:rFonts w:hint="default" w:ascii="Times New Roman" w:hAnsi="Times New Roman" w:eastAsia="宋体" w:cs="Times New Roman"/>
          <w:color w:val="auto"/>
          <w:highlight w:val="none"/>
          <w:lang w:val="en-US" w:eastAsia="zh-CN"/>
        </w:rPr>
        <w:t>60</w:t>
      </w:r>
      <w:r>
        <w:rPr>
          <w:rFonts w:hint="default" w:ascii="Times New Roman" w:hAnsi="Times New Roman" w:eastAsia="宋体" w:cs="Times New Roman"/>
          <w:color w:val="auto"/>
          <w:highlight w:val="none"/>
          <w:lang w:val="es-VE"/>
        </w:rPr>
        <w:t>万t/a</w:t>
      </w:r>
      <w:r>
        <w:rPr>
          <w:rFonts w:hint="eastAsia" w:cs="Times New Roman"/>
          <w:color w:val="auto"/>
          <w:highlight w:val="none"/>
          <w:lang w:val="es-VE" w:eastAsia="zh-CN"/>
        </w:rPr>
        <w:t>；</w:t>
      </w:r>
      <w:r>
        <w:rPr>
          <w:rFonts w:hint="eastAsia" w:cs="Times New Roman"/>
          <w:color w:val="auto"/>
          <w:highlight w:val="none"/>
          <w:lang w:val="en-US" w:eastAsia="zh-CN"/>
        </w:rPr>
        <w:t>精矿出厂量13.4万</w:t>
      </w:r>
      <w:r>
        <w:rPr>
          <w:rFonts w:hint="default" w:ascii="Times New Roman" w:hAnsi="Times New Roman" w:eastAsia="宋体" w:cs="Times New Roman"/>
          <w:color w:val="auto"/>
          <w:highlight w:val="none"/>
          <w:lang w:val="es-VE"/>
        </w:rPr>
        <w:t>t/a。</w:t>
      </w:r>
    </w:p>
    <w:p w14:paraId="679FF886">
      <w:pPr>
        <w:widowControl w:val="0"/>
        <w:overflowPunct w:val="0"/>
        <w:topLinePunct/>
        <w:spacing w:line="480" w:lineRule="exact"/>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0"/>
          <w:sz w:val="24"/>
          <w:szCs w:val="20"/>
          <w:highlight w:val="none"/>
          <w:lang w:val="en-US" w:eastAsia="zh-CN" w:bidi="ar-SA"/>
        </w:rPr>
        <w:t>原矿及精矿</w:t>
      </w:r>
      <w:r>
        <w:rPr>
          <w:rFonts w:hint="default" w:ascii="Times New Roman" w:hAnsi="Times New Roman" w:eastAsia="宋体" w:cs="Times New Roman"/>
          <w:color w:val="auto"/>
          <w:kern w:val="0"/>
          <w:sz w:val="24"/>
          <w:szCs w:val="20"/>
          <w:highlight w:val="none"/>
          <w:lang w:val="en-US" w:eastAsia="zh-CN" w:bidi="ar-SA"/>
        </w:rPr>
        <w:t>在厂区内运输过程中的产尘量为</w:t>
      </w:r>
      <w:r>
        <w:rPr>
          <w:rFonts w:hint="eastAsia" w:cs="Times New Roman"/>
          <w:color w:val="auto"/>
          <w:kern w:val="0"/>
          <w:sz w:val="24"/>
          <w:szCs w:val="20"/>
          <w:highlight w:val="none"/>
          <w:lang w:val="en-US" w:eastAsia="zh-CN" w:bidi="ar-SA"/>
        </w:rPr>
        <w:t>12.63</w:t>
      </w:r>
      <w:r>
        <w:rPr>
          <w:rFonts w:hint="default" w:ascii="Times New Roman" w:hAnsi="Times New Roman" w:eastAsia="宋体" w:cs="Times New Roman"/>
          <w:color w:val="auto"/>
          <w:kern w:val="0"/>
          <w:sz w:val="24"/>
          <w:szCs w:val="20"/>
          <w:highlight w:val="none"/>
          <w:lang w:val="en-US" w:eastAsia="zh-CN" w:bidi="ar-SA"/>
        </w:rPr>
        <w:t>t/a，在采取路面硬化、道路洒水降尘等措施后，可以抑制扬尘量约80%，采取措施后运输扬尘量约为2.</w:t>
      </w:r>
      <w:r>
        <w:rPr>
          <w:rFonts w:hint="eastAsia" w:cs="Times New Roman"/>
          <w:color w:val="auto"/>
          <w:kern w:val="0"/>
          <w:sz w:val="24"/>
          <w:szCs w:val="20"/>
          <w:highlight w:val="none"/>
          <w:lang w:val="en-US" w:eastAsia="zh-CN" w:bidi="ar-SA"/>
        </w:rPr>
        <w:t>53</w:t>
      </w:r>
      <w:r>
        <w:rPr>
          <w:rFonts w:hint="default" w:ascii="Times New Roman" w:hAnsi="Times New Roman" w:eastAsia="宋体" w:cs="Times New Roman"/>
          <w:color w:val="auto"/>
          <w:kern w:val="0"/>
          <w:sz w:val="24"/>
          <w:szCs w:val="20"/>
          <w:highlight w:val="none"/>
          <w:lang w:val="en-US" w:eastAsia="zh-CN" w:bidi="ar-SA"/>
        </w:rPr>
        <w:t>t/a。</w:t>
      </w:r>
    </w:p>
    <w:p w14:paraId="0912E4BA">
      <w:pPr>
        <w:widowControl w:val="0"/>
        <w:overflowPunct w:val="0"/>
        <w:topLinePunct/>
        <w:spacing w:line="480" w:lineRule="exact"/>
        <w:ind w:firstLine="480" w:firstLineChars="200"/>
        <w:jc w:val="both"/>
        <w:rPr>
          <w:rFonts w:hint="default" w:ascii="Times New Roman" w:hAnsi="Times New Roman" w:eastAsia="宋体" w:cs="Times New Roman"/>
          <w:color w:val="auto"/>
          <w:kern w:val="2"/>
          <w:sz w:val="24"/>
          <w:szCs w:val="20"/>
          <w:highlight w:val="none"/>
          <w:lang w:val="en-US" w:eastAsia="zh-CN" w:bidi="ar-SA"/>
        </w:rPr>
      </w:pPr>
      <w:r>
        <w:rPr>
          <w:rFonts w:hint="default" w:ascii="Times New Roman" w:hAnsi="Times New Roman" w:eastAsia="宋体" w:cs="Times New Roman"/>
          <w:color w:val="auto"/>
          <w:kern w:val="2"/>
          <w:sz w:val="24"/>
          <w:szCs w:val="20"/>
          <w:highlight w:val="none"/>
          <w:lang w:val="en-US" w:eastAsia="zh-CN" w:bidi="ar-SA"/>
        </w:rPr>
        <w:t>④汽车尾气</w:t>
      </w:r>
    </w:p>
    <w:p w14:paraId="61A91208">
      <w:pPr>
        <w:overflowPunct w:val="0"/>
        <w:topLinePunct/>
        <w:spacing w:line="480" w:lineRule="exac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highlight w:val="none"/>
        </w:rPr>
        <w:t>汽车尾气中主要污染物为CO</w:t>
      </w:r>
      <w:r>
        <w:rPr>
          <w:rFonts w:hint="default" w:ascii="Times New Roman" w:hAnsi="Times New Roman" w:eastAsia="宋体" w:cs="Times New Roman"/>
          <w:color w:val="auto"/>
          <w:highlight w:val="none"/>
        </w:rPr>
        <w:t>、C</w:t>
      </w:r>
      <w:r>
        <w:rPr>
          <w:rFonts w:hint="default" w:ascii="Times New Roman" w:hAnsi="Times New Roman" w:eastAsia="宋体" w:cs="Times New Roman"/>
          <w:color w:val="auto"/>
          <w:highlight w:val="none"/>
          <w:vertAlign w:val="subscript"/>
        </w:rPr>
        <w:t>n</w:t>
      </w:r>
      <w:r>
        <w:rPr>
          <w:rFonts w:hint="default" w:ascii="Times New Roman" w:hAnsi="Times New Roman" w:eastAsia="宋体" w:cs="Times New Roman"/>
          <w:color w:val="auto"/>
          <w:highlight w:val="none"/>
        </w:rPr>
        <w:t>H</w:t>
      </w:r>
      <w:r>
        <w:rPr>
          <w:rFonts w:hint="default" w:ascii="Times New Roman" w:hAnsi="Times New Roman" w:eastAsia="宋体" w:cs="Times New Roman"/>
          <w:color w:val="auto"/>
          <w:highlight w:val="none"/>
          <w:vertAlign w:val="subscript"/>
        </w:rPr>
        <w:t>m</w:t>
      </w:r>
      <w:r>
        <w:rPr>
          <w:rFonts w:hint="default" w:ascii="Times New Roman" w:hAnsi="Times New Roman" w:eastAsia="宋体" w:cs="Times New Roman"/>
          <w:color w:val="auto"/>
          <w:highlight w:val="none"/>
        </w:rPr>
        <w:t>、NO</w:t>
      </w:r>
      <w:r>
        <w:rPr>
          <w:rFonts w:hint="default" w:ascii="Times New Roman" w:hAnsi="Times New Roman" w:eastAsia="宋体" w:cs="Times New Roman"/>
          <w:color w:val="auto"/>
          <w:highlight w:val="none"/>
          <w:vertAlign w:val="subscript"/>
        </w:rPr>
        <w:t>X</w:t>
      </w:r>
      <w:r>
        <w:rPr>
          <w:rFonts w:hint="default" w:ascii="Times New Roman" w:hAnsi="Times New Roman" w:eastAsia="宋体" w:cs="Times New Roman"/>
          <w:color w:val="auto"/>
          <w:highlight w:val="none"/>
        </w:rPr>
        <w:t>，本项目运输量约为</w:t>
      </w:r>
      <w:r>
        <w:rPr>
          <w:rFonts w:hint="default" w:ascii="Times New Roman" w:hAnsi="Times New Roman" w:eastAsia="宋体" w:cs="Times New Roman"/>
          <w:color w:val="auto"/>
          <w:highlight w:val="none"/>
          <w:lang w:val="en-US" w:eastAsia="zh-CN"/>
        </w:rPr>
        <w:t>73.4</w:t>
      </w:r>
      <w:r>
        <w:rPr>
          <w:rFonts w:hint="default" w:ascii="Times New Roman" w:hAnsi="Times New Roman" w:eastAsia="宋体" w:cs="Times New Roman"/>
          <w:color w:val="auto"/>
          <w:highlight w:val="none"/>
        </w:rPr>
        <w:t>万t/a（原矿</w:t>
      </w:r>
      <w:r>
        <w:rPr>
          <w:rFonts w:hint="default" w:ascii="Times New Roman" w:hAnsi="Times New Roman" w:eastAsia="宋体" w:cs="Times New Roman"/>
          <w:color w:val="auto"/>
          <w:highlight w:val="none"/>
          <w:lang w:val="en-US" w:eastAsia="zh-CN"/>
        </w:rPr>
        <w:t>60</w:t>
      </w:r>
      <w:r>
        <w:rPr>
          <w:rFonts w:hint="default" w:ascii="Times New Roman" w:hAnsi="Times New Roman" w:eastAsia="宋体" w:cs="Times New Roman"/>
          <w:color w:val="auto"/>
          <w:highlight w:val="none"/>
        </w:rPr>
        <w:t>万t/a、精矿共计</w:t>
      </w:r>
      <w:r>
        <w:rPr>
          <w:rFonts w:hint="default" w:ascii="Times New Roman" w:hAnsi="Times New Roman" w:eastAsia="宋体" w:cs="Times New Roman"/>
          <w:color w:val="auto"/>
          <w:highlight w:val="none"/>
          <w:lang w:val="en-US" w:eastAsia="zh-CN"/>
        </w:rPr>
        <w:t>13.4</w:t>
      </w:r>
      <w:r>
        <w:rPr>
          <w:rFonts w:hint="default" w:ascii="Times New Roman" w:hAnsi="Times New Roman" w:eastAsia="宋体" w:cs="Times New Roman"/>
          <w:color w:val="auto"/>
          <w:highlight w:val="none"/>
        </w:rPr>
        <w:t>万t/a），按40t/车，每年将有</w:t>
      </w:r>
      <w:r>
        <w:rPr>
          <w:rFonts w:hint="default" w:ascii="Times New Roman" w:hAnsi="Times New Roman" w:eastAsia="宋体" w:cs="Times New Roman"/>
          <w:color w:val="auto"/>
          <w:highlight w:val="none"/>
          <w:lang w:val="en-US" w:eastAsia="zh-CN"/>
        </w:rPr>
        <w:t>18350</w:t>
      </w:r>
      <w:r>
        <w:rPr>
          <w:rFonts w:hint="default" w:ascii="Times New Roman" w:hAnsi="Times New Roman" w:eastAsia="宋体" w:cs="Times New Roman"/>
          <w:color w:val="auto"/>
          <w:highlight w:val="none"/>
        </w:rPr>
        <w:t>车次的运输量，汽车在运行过程中排放尾气和引起</w:t>
      </w:r>
      <w:r>
        <w:rPr>
          <w:rFonts w:hint="default" w:ascii="Times New Roman" w:hAnsi="Times New Roman" w:eastAsia="宋体" w:cs="Times New Roman"/>
          <w:color w:val="auto"/>
          <w:kern w:val="0"/>
          <w:highlight w:val="none"/>
        </w:rPr>
        <w:t>路面</w:t>
      </w:r>
      <w:r>
        <w:rPr>
          <w:rFonts w:hint="default" w:ascii="Times New Roman" w:hAnsi="Times New Roman" w:eastAsia="宋体" w:cs="Times New Roman"/>
          <w:color w:val="auto"/>
          <w:highlight w:val="none"/>
        </w:rPr>
        <w:t>扬尘，汽车尾气中主要污染物为CO、CnHm、NO</w:t>
      </w:r>
      <w:r>
        <w:rPr>
          <w:rFonts w:hint="default" w:ascii="Times New Roman" w:hAnsi="Times New Roman" w:eastAsia="宋体" w:cs="Times New Roman"/>
          <w:color w:val="auto"/>
          <w:highlight w:val="none"/>
          <w:vertAlign w:val="subscript"/>
        </w:rPr>
        <w:t>X</w:t>
      </w:r>
      <w:r>
        <w:rPr>
          <w:rFonts w:hint="default" w:ascii="Times New Roman" w:hAnsi="Times New Roman" w:eastAsia="宋体" w:cs="Times New Roman"/>
          <w:color w:val="auto"/>
          <w:highlight w:val="none"/>
        </w:rPr>
        <w:t>。</w:t>
      </w:r>
    </w:p>
    <w:p w14:paraId="53C735A7">
      <w:pPr>
        <w:overflowPunct w:val="0"/>
        <w:topLinePunct/>
        <w:spacing w:line="480" w:lineRule="exac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根据机动车在</w:t>
      </w:r>
      <w:r>
        <w:rPr>
          <w:rFonts w:hint="default" w:ascii="Times New Roman" w:hAnsi="Times New Roman" w:eastAsia="宋体" w:cs="Times New Roman"/>
          <w:color w:val="auto"/>
          <w:kern w:val="0"/>
          <w:highlight w:val="none"/>
        </w:rPr>
        <w:t>低速</w:t>
      </w:r>
      <w:r>
        <w:rPr>
          <w:rFonts w:hint="default" w:ascii="Times New Roman" w:hAnsi="Times New Roman" w:eastAsia="宋体" w:cs="Times New Roman"/>
          <w:color w:val="auto"/>
          <w:highlight w:val="none"/>
        </w:rPr>
        <w:t>下（20km/h）的测试计算，大气污染物排放因子为：</w:t>
      </w:r>
    </w:p>
    <w:p w14:paraId="1CCEEBAD">
      <w:pPr>
        <w:overflowPunct w:val="0"/>
        <w:topLinePunct/>
        <w:spacing w:line="480" w:lineRule="exac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CO：71.95g/km·辆</w:t>
      </w:r>
    </w:p>
    <w:p w14:paraId="23D9159D">
      <w:pPr>
        <w:overflowPunct w:val="0"/>
        <w:topLinePunct/>
        <w:spacing w:line="480" w:lineRule="exac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highlight w:val="none"/>
        </w:rPr>
        <w:t>C</w:t>
      </w:r>
      <w:r>
        <w:rPr>
          <w:rFonts w:hint="default" w:ascii="Times New Roman" w:hAnsi="Times New Roman" w:eastAsia="宋体" w:cs="Times New Roman"/>
          <w:color w:val="auto"/>
          <w:kern w:val="0"/>
          <w:highlight w:val="none"/>
          <w:vertAlign w:val="subscript"/>
        </w:rPr>
        <w:t>n</w:t>
      </w:r>
      <w:r>
        <w:rPr>
          <w:rFonts w:hint="default" w:ascii="Times New Roman" w:hAnsi="Times New Roman" w:eastAsia="宋体" w:cs="Times New Roman"/>
          <w:color w:val="auto"/>
          <w:kern w:val="0"/>
          <w:highlight w:val="none"/>
        </w:rPr>
        <w:t>H</w:t>
      </w:r>
      <w:r>
        <w:rPr>
          <w:rFonts w:hint="default" w:ascii="Times New Roman" w:hAnsi="Times New Roman" w:eastAsia="宋体" w:cs="Times New Roman"/>
          <w:color w:val="auto"/>
          <w:kern w:val="0"/>
          <w:highlight w:val="none"/>
          <w:vertAlign w:val="subscript"/>
        </w:rPr>
        <w:t>m</w:t>
      </w:r>
      <w:r>
        <w:rPr>
          <w:rFonts w:hint="default" w:ascii="Times New Roman" w:hAnsi="Times New Roman" w:eastAsia="宋体" w:cs="Times New Roman"/>
          <w:color w:val="auto"/>
          <w:highlight w:val="none"/>
        </w:rPr>
        <w:t>：11.44g/km·辆</w:t>
      </w:r>
    </w:p>
    <w:p w14:paraId="4071285F">
      <w:pPr>
        <w:overflowPunct w:val="0"/>
        <w:topLinePunct/>
        <w:spacing w:line="480" w:lineRule="exac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highlight w:val="none"/>
        </w:rPr>
        <w:t>NO</w:t>
      </w:r>
      <w:r>
        <w:rPr>
          <w:rFonts w:hint="default" w:ascii="Times New Roman" w:hAnsi="Times New Roman" w:eastAsia="宋体" w:cs="Times New Roman"/>
          <w:color w:val="auto"/>
          <w:kern w:val="0"/>
          <w:highlight w:val="none"/>
          <w:vertAlign w:val="subscript"/>
        </w:rPr>
        <w:t>x</w:t>
      </w:r>
      <w:r>
        <w:rPr>
          <w:rFonts w:hint="default" w:ascii="Times New Roman" w:hAnsi="Times New Roman" w:eastAsia="宋体" w:cs="Times New Roman"/>
          <w:color w:val="auto"/>
          <w:highlight w:val="none"/>
        </w:rPr>
        <w:t>：2.37g/km·辆</w:t>
      </w:r>
    </w:p>
    <w:p w14:paraId="6661E3A3">
      <w:pPr>
        <w:overflowPunct w:val="0"/>
        <w:topLinePunct/>
        <w:spacing w:line="480" w:lineRule="exact"/>
        <w:ind w:firstLine="480" w:firstLineChars="200"/>
        <w:rPr>
          <w:rFonts w:hint="default" w:ascii="Times New Roman" w:hAnsi="Times New Roman" w:eastAsia="宋体" w:cs="Times New Roman"/>
          <w:b/>
          <w:color w:val="auto"/>
          <w:kern w:val="0"/>
          <w:highlight w:val="none"/>
        </w:rPr>
      </w:pPr>
      <w:r>
        <w:rPr>
          <w:rFonts w:hint="default" w:ascii="Times New Roman" w:hAnsi="Times New Roman" w:eastAsia="宋体" w:cs="Times New Roman"/>
          <w:color w:val="auto"/>
          <w:highlight w:val="none"/>
        </w:rPr>
        <w:t>项目运输道路约</w:t>
      </w:r>
      <w:r>
        <w:rPr>
          <w:rFonts w:hint="default" w:ascii="Times New Roman" w:hAnsi="Times New Roman" w:eastAsia="宋体" w:cs="Times New Roman"/>
          <w:color w:val="auto"/>
          <w:highlight w:val="none"/>
          <w:lang w:val="en-US" w:eastAsia="zh-CN"/>
        </w:rPr>
        <w:t>0.6</w:t>
      </w:r>
      <w:r>
        <w:rPr>
          <w:rFonts w:hint="default" w:ascii="Times New Roman" w:hAnsi="Times New Roman" w:eastAsia="宋体" w:cs="Times New Roman"/>
          <w:color w:val="auto"/>
          <w:highlight w:val="none"/>
        </w:rPr>
        <w:t>km，根据本项目道路情况，预测汽车尾气中污染物排放量见表3.</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8</w:t>
      </w:r>
      <w:r>
        <w:rPr>
          <w:rFonts w:hint="default" w:ascii="Times New Roman" w:hAnsi="Times New Roman" w:eastAsia="宋体" w:cs="Times New Roman"/>
          <w:color w:val="auto"/>
          <w:highlight w:val="none"/>
        </w:rPr>
        <w:t>。</w:t>
      </w:r>
    </w:p>
    <w:p w14:paraId="626C0939">
      <w:pPr>
        <w:spacing w:line="360" w:lineRule="exact"/>
        <w:ind w:firstLine="0" w:firstLineChars="0"/>
        <w:jc w:val="center"/>
        <w:rPr>
          <w:rFonts w:hint="default" w:ascii="Times New Roman" w:hAnsi="Times New Roman" w:eastAsia="宋体" w:cs="Times New Roman"/>
          <w:b/>
          <w:color w:val="auto"/>
          <w:kern w:val="0"/>
          <w:highlight w:val="none"/>
        </w:rPr>
      </w:pPr>
      <w:r>
        <w:rPr>
          <w:rFonts w:hint="default" w:ascii="Times New Roman" w:hAnsi="Times New Roman" w:eastAsia="宋体" w:cs="Times New Roman"/>
          <w:b/>
          <w:color w:val="auto"/>
          <w:kern w:val="0"/>
          <w:highlight w:val="none"/>
        </w:rPr>
        <w:t>表3.</w:t>
      </w:r>
      <w:r>
        <w:rPr>
          <w:rFonts w:hint="default" w:ascii="Times New Roman" w:hAnsi="Times New Roman" w:eastAsia="宋体" w:cs="Times New Roman"/>
          <w:b/>
          <w:color w:val="auto"/>
          <w:kern w:val="0"/>
          <w:highlight w:val="none"/>
          <w:lang w:val="en-US" w:eastAsia="zh-CN"/>
        </w:rPr>
        <w:t>3</w:t>
      </w:r>
      <w:r>
        <w:rPr>
          <w:rFonts w:hint="default" w:ascii="Times New Roman" w:hAnsi="Times New Roman" w:eastAsia="宋体" w:cs="Times New Roman"/>
          <w:b/>
          <w:color w:val="auto"/>
          <w:kern w:val="0"/>
          <w:highlight w:val="none"/>
        </w:rPr>
        <w:t>-</w:t>
      </w:r>
      <w:r>
        <w:rPr>
          <w:rFonts w:hint="eastAsia" w:cs="Times New Roman"/>
          <w:b/>
          <w:color w:val="auto"/>
          <w:kern w:val="0"/>
          <w:highlight w:val="none"/>
          <w:lang w:val="en-US" w:eastAsia="zh-CN"/>
        </w:rPr>
        <w:t>8</w:t>
      </w:r>
      <w:r>
        <w:rPr>
          <w:rFonts w:hint="default" w:ascii="Times New Roman" w:hAnsi="Times New Roman" w:eastAsia="宋体" w:cs="Times New Roman"/>
          <w:b/>
          <w:color w:val="auto"/>
          <w:kern w:val="0"/>
          <w:highlight w:val="none"/>
        </w:rPr>
        <w:t xml:space="preserve">    汽车尾气污染物源强及预测排放总量</w:t>
      </w:r>
    </w:p>
    <w:tbl>
      <w:tblPr>
        <w:tblStyle w:val="33"/>
        <w:tblW w:w="918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40"/>
        <w:gridCol w:w="2080"/>
        <w:gridCol w:w="2080"/>
        <w:gridCol w:w="2080"/>
      </w:tblGrid>
      <w:tr w14:paraId="5D3DDA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40" w:type="dxa"/>
            <w:tcBorders>
              <w:top w:val="single" w:color="auto" w:sz="12" w:space="0"/>
              <w:left w:val="single" w:color="auto" w:sz="12" w:space="0"/>
              <w:bottom w:val="single" w:color="auto" w:sz="4" w:space="0"/>
              <w:right w:val="single" w:color="auto" w:sz="4" w:space="0"/>
            </w:tcBorders>
            <w:vAlign w:val="center"/>
          </w:tcPr>
          <w:p w14:paraId="59CB9702">
            <w:pPr>
              <w:spacing w:line="36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2080" w:type="dxa"/>
            <w:tcBorders>
              <w:top w:val="single" w:color="auto" w:sz="12" w:space="0"/>
              <w:left w:val="single" w:color="auto" w:sz="4" w:space="0"/>
              <w:bottom w:val="single" w:color="auto" w:sz="4" w:space="0"/>
              <w:right w:val="single" w:color="auto" w:sz="4" w:space="0"/>
            </w:tcBorders>
            <w:vAlign w:val="center"/>
          </w:tcPr>
          <w:p w14:paraId="6C3EEC0E">
            <w:pPr>
              <w:spacing w:line="36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CO</w:t>
            </w:r>
          </w:p>
        </w:tc>
        <w:tc>
          <w:tcPr>
            <w:tcW w:w="2080" w:type="dxa"/>
            <w:tcBorders>
              <w:top w:val="single" w:color="auto" w:sz="12" w:space="0"/>
              <w:left w:val="single" w:color="auto" w:sz="4" w:space="0"/>
              <w:bottom w:val="single" w:color="auto" w:sz="4" w:space="0"/>
              <w:right w:val="single" w:color="auto" w:sz="4" w:space="0"/>
            </w:tcBorders>
            <w:vAlign w:val="center"/>
          </w:tcPr>
          <w:p w14:paraId="02E980D3">
            <w:pPr>
              <w:spacing w:line="360" w:lineRule="exact"/>
              <w:ind w:firstLine="0" w:firstLineChars="0"/>
              <w:jc w:val="center"/>
              <w:rPr>
                <w:rFonts w:hint="default" w:ascii="Times New Roman" w:hAnsi="Times New Roman" w:eastAsia="宋体" w:cs="Times New Roman"/>
                <w:b/>
                <w:bCs/>
                <w:color w:val="auto"/>
                <w:sz w:val="21"/>
                <w:szCs w:val="21"/>
                <w:highlight w:val="none"/>
                <w:vertAlign w:val="subscript"/>
              </w:rPr>
            </w:pPr>
            <w:r>
              <w:rPr>
                <w:rFonts w:hint="default" w:ascii="Times New Roman" w:hAnsi="Times New Roman" w:eastAsia="宋体" w:cs="Times New Roman"/>
                <w:b/>
                <w:bCs/>
                <w:color w:val="auto"/>
                <w:sz w:val="21"/>
                <w:szCs w:val="21"/>
                <w:highlight w:val="none"/>
              </w:rPr>
              <w:t>C</w:t>
            </w:r>
            <w:r>
              <w:rPr>
                <w:rFonts w:hint="default" w:ascii="Times New Roman" w:hAnsi="Times New Roman" w:eastAsia="宋体" w:cs="Times New Roman"/>
                <w:b/>
                <w:bCs/>
                <w:color w:val="auto"/>
                <w:sz w:val="21"/>
                <w:szCs w:val="21"/>
                <w:highlight w:val="none"/>
                <w:vertAlign w:val="subscript"/>
              </w:rPr>
              <w:t>n</w:t>
            </w:r>
            <w:r>
              <w:rPr>
                <w:rFonts w:hint="default" w:ascii="Times New Roman" w:hAnsi="Times New Roman" w:eastAsia="宋体" w:cs="Times New Roman"/>
                <w:b/>
                <w:bCs/>
                <w:color w:val="auto"/>
                <w:sz w:val="21"/>
                <w:szCs w:val="21"/>
                <w:highlight w:val="none"/>
              </w:rPr>
              <w:t>H</w:t>
            </w:r>
            <w:r>
              <w:rPr>
                <w:rFonts w:hint="default" w:ascii="Times New Roman" w:hAnsi="Times New Roman" w:eastAsia="宋体" w:cs="Times New Roman"/>
                <w:b/>
                <w:bCs/>
                <w:color w:val="auto"/>
                <w:sz w:val="21"/>
                <w:szCs w:val="21"/>
                <w:highlight w:val="none"/>
                <w:vertAlign w:val="subscript"/>
              </w:rPr>
              <w:t>m</w:t>
            </w:r>
          </w:p>
        </w:tc>
        <w:tc>
          <w:tcPr>
            <w:tcW w:w="2080" w:type="dxa"/>
            <w:tcBorders>
              <w:top w:val="single" w:color="auto" w:sz="12" w:space="0"/>
              <w:left w:val="single" w:color="auto" w:sz="4" w:space="0"/>
              <w:bottom w:val="single" w:color="auto" w:sz="4" w:space="0"/>
              <w:right w:val="single" w:color="auto" w:sz="12" w:space="0"/>
            </w:tcBorders>
            <w:vAlign w:val="center"/>
          </w:tcPr>
          <w:p w14:paraId="66EE40F9">
            <w:pPr>
              <w:spacing w:line="360" w:lineRule="exact"/>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NO</w:t>
            </w:r>
            <w:r>
              <w:rPr>
                <w:rFonts w:hint="default" w:ascii="Times New Roman" w:hAnsi="Times New Roman" w:eastAsia="宋体" w:cs="Times New Roman"/>
                <w:b/>
                <w:bCs/>
                <w:color w:val="auto"/>
                <w:sz w:val="21"/>
                <w:szCs w:val="21"/>
                <w:highlight w:val="none"/>
                <w:vertAlign w:val="subscript"/>
                <w:lang w:val="en-US" w:eastAsia="zh-CN"/>
              </w:rPr>
              <w:t>x</w:t>
            </w:r>
          </w:p>
        </w:tc>
      </w:tr>
      <w:tr w14:paraId="0BA790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940" w:type="dxa"/>
            <w:tcBorders>
              <w:top w:val="single" w:color="auto" w:sz="4" w:space="0"/>
              <w:left w:val="single" w:color="auto" w:sz="12" w:space="0"/>
              <w:bottom w:val="single" w:color="auto" w:sz="4" w:space="0"/>
              <w:right w:val="single" w:color="auto" w:sz="4" w:space="0"/>
            </w:tcBorders>
            <w:vAlign w:val="center"/>
          </w:tcPr>
          <w:p w14:paraId="1F7628DE">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污染物源强（g/km·辆）</w:t>
            </w:r>
          </w:p>
        </w:tc>
        <w:tc>
          <w:tcPr>
            <w:tcW w:w="2080" w:type="dxa"/>
            <w:tcBorders>
              <w:top w:val="single" w:color="auto" w:sz="4" w:space="0"/>
              <w:left w:val="single" w:color="auto" w:sz="4" w:space="0"/>
              <w:bottom w:val="single" w:color="auto" w:sz="4" w:space="0"/>
              <w:right w:val="single" w:color="auto" w:sz="4" w:space="0"/>
            </w:tcBorders>
            <w:vAlign w:val="center"/>
          </w:tcPr>
          <w:p w14:paraId="1733ECCE">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71.95</w:t>
            </w:r>
          </w:p>
        </w:tc>
        <w:tc>
          <w:tcPr>
            <w:tcW w:w="2080" w:type="dxa"/>
            <w:tcBorders>
              <w:top w:val="single" w:color="auto" w:sz="4" w:space="0"/>
              <w:left w:val="single" w:color="auto" w:sz="4" w:space="0"/>
              <w:bottom w:val="single" w:color="auto" w:sz="4" w:space="0"/>
              <w:right w:val="single" w:color="auto" w:sz="4" w:space="0"/>
            </w:tcBorders>
            <w:vAlign w:val="center"/>
          </w:tcPr>
          <w:p w14:paraId="4E1F1A91">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11.44</w:t>
            </w:r>
          </w:p>
        </w:tc>
        <w:tc>
          <w:tcPr>
            <w:tcW w:w="2080" w:type="dxa"/>
            <w:tcBorders>
              <w:top w:val="single" w:color="auto" w:sz="4" w:space="0"/>
              <w:left w:val="single" w:color="auto" w:sz="4" w:space="0"/>
              <w:bottom w:val="single" w:color="auto" w:sz="4" w:space="0"/>
              <w:right w:val="single" w:color="auto" w:sz="12" w:space="0"/>
            </w:tcBorders>
            <w:vAlign w:val="center"/>
          </w:tcPr>
          <w:p w14:paraId="7B2ECCBC">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2.37</w:t>
            </w:r>
          </w:p>
        </w:tc>
      </w:tr>
      <w:tr w14:paraId="1EE3CF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940" w:type="dxa"/>
            <w:tcBorders>
              <w:top w:val="single" w:color="auto" w:sz="4" w:space="0"/>
              <w:left w:val="single" w:color="auto" w:sz="12" w:space="0"/>
              <w:bottom w:val="single" w:color="auto" w:sz="12" w:space="0"/>
              <w:right w:val="single" w:color="auto" w:sz="4" w:space="0"/>
            </w:tcBorders>
            <w:vAlign w:val="center"/>
          </w:tcPr>
          <w:p w14:paraId="137E006E">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污染物排放量（t/a）</w:t>
            </w:r>
          </w:p>
        </w:tc>
        <w:tc>
          <w:tcPr>
            <w:tcW w:w="2080" w:type="dxa"/>
            <w:tcBorders>
              <w:top w:val="single" w:color="auto" w:sz="4" w:space="0"/>
              <w:left w:val="single" w:color="auto" w:sz="4" w:space="0"/>
              <w:bottom w:val="single" w:color="auto" w:sz="12" w:space="0"/>
              <w:right w:val="single" w:color="auto" w:sz="4" w:space="0"/>
            </w:tcBorders>
            <w:vAlign w:val="center"/>
          </w:tcPr>
          <w:p w14:paraId="0279C94A">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0.792</w:t>
            </w:r>
          </w:p>
        </w:tc>
        <w:tc>
          <w:tcPr>
            <w:tcW w:w="2080" w:type="dxa"/>
            <w:tcBorders>
              <w:top w:val="single" w:color="auto" w:sz="4" w:space="0"/>
              <w:left w:val="single" w:color="auto" w:sz="4" w:space="0"/>
              <w:bottom w:val="single" w:color="auto" w:sz="12" w:space="0"/>
              <w:right w:val="single" w:color="auto" w:sz="4" w:space="0"/>
            </w:tcBorders>
            <w:vAlign w:val="center"/>
          </w:tcPr>
          <w:p w14:paraId="43A4F61E">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0.126</w:t>
            </w:r>
          </w:p>
        </w:tc>
        <w:tc>
          <w:tcPr>
            <w:tcW w:w="2080" w:type="dxa"/>
            <w:tcBorders>
              <w:top w:val="single" w:color="auto" w:sz="4" w:space="0"/>
              <w:left w:val="single" w:color="auto" w:sz="4" w:space="0"/>
              <w:bottom w:val="single" w:color="auto" w:sz="12" w:space="0"/>
              <w:right w:val="single" w:color="auto" w:sz="12" w:space="0"/>
            </w:tcBorders>
            <w:vAlign w:val="center"/>
          </w:tcPr>
          <w:p w14:paraId="5A75081A">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0.026</w:t>
            </w:r>
          </w:p>
        </w:tc>
      </w:tr>
    </w:tbl>
    <w:p w14:paraId="2949EA3B">
      <w:pPr>
        <w:topLinePunct/>
        <w:ind w:firstLine="48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车辆在工作时产生的废气量少，很快会稀释、扩散</w:t>
      </w:r>
      <w:r>
        <w:rPr>
          <w:rFonts w:hint="default" w:ascii="Times New Roman" w:hAnsi="Times New Roman" w:eastAsia="宋体" w:cs="Times New Roman"/>
          <w:color w:val="auto"/>
          <w:highlight w:val="none"/>
          <w:lang w:eastAsia="zh-CN"/>
        </w:rPr>
        <w:t>，控制车速</w:t>
      </w:r>
      <w:r>
        <w:rPr>
          <w:rFonts w:hint="default" w:ascii="Times New Roman" w:hAnsi="Times New Roman" w:eastAsia="宋体" w:cs="Times New Roman"/>
          <w:color w:val="auto"/>
          <w:highlight w:val="none"/>
        </w:rPr>
        <w:t>，废气中有害物质对区域环境的影响轻微</w:t>
      </w:r>
      <w:r>
        <w:rPr>
          <w:rFonts w:hint="default" w:ascii="Times New Roman" w:hAnsi="Times New Roman" w:eastAsia="宋体" w:cs="Times New Roman"/>
          <w:color w:val="auto"/>
          <w:highlight w:val="none"/>
          <w:lang w:eastAsia="zh-CN"/>
        </w:rPr>
        <w:t>。</w:t>
      </w:r>
    </w:p>
    <w:p w14:paraId="0E6AAD98">
      <w:pPr>
        <w:topLinePunct/>
        <w:ind w:firstLine="48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⑤煤棚</w:t>
      </w:r>
      <w:r>
        <w:rPr>
          <w:rFonts w:hint="default" w:ascii="Times New Roman" w:hAnsi="Times New Roman" w:eastAsia="宋体" w:cs="Times New Roman"/>
          <w:color w:val="auto"/>
          <w:highlight w:val="none"/>
          <w:lang w:eastAsia="zh-CN"/>
        </w:rPr>
        <w:t>扬尘</w:t>
      </w:r>
    </w:p>
    <w:p w14:paraId="50BB2667">
      <w:pPr>
        <w:topLinePunct/>
        <w:ind w:firstLine="48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本项目煤炭</w:t>
      </w:r>
      <w:r>
        <w:rPr>
          <w:rFonts w:hint="default" w:ascii="Times New Roman" w:hAnsi="Times New Roman" w:eastAsia="宋体" w:cs="Times New Roman"/>
          <w:color w:val="auto"/>
          <w:highlight w:val="none"/>
          <w:lang w:val="en-US" w:eastAsia="zh-CN"/>
        </w:rPr>
        <w:t>堆存于煤棚</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拟建煤棚</w:t>
      </w:r>
      <w:r>
        <w:rPr>
          <w:rFonts w:hint="default" w:ascii="Times New Roman" w:hAnsi="Times New Roman" w:eastAsia="宋体" w:cs="Times New Roman"/>
          <w:color w:val="auto"/>
          <w:highlight w:val="none"/>
          <w:lang w:eastAsia="zh-CN"/>
        </w:rPr>
        <w:t>占地面积约</w:t>
      </w:r>
      <w:r>
        <w:rPr>
          <w:rFonts w:hint="default" w:ascii="Times New Roman" w:hAnsi="Times New Roman" w:eastAsia="宋体" w:cs="Times New Roman"/>
          <w:color w:val="auto"/>
          <w:highlight w:val="none"/>
          <w:lang w:val="en-US" w:eastAsia="zh-CN"/>
        </w:rPr>
        <w:t>735</w:t>
      </w:r>
      <w:r>
        <w:rPr>
          <w:rFonts w:hint="default" w:ascii="Times New Roman" w:hAnsi="Times New Roman" w:eastAsia="宋体" w:cs="Times New Roman"/>
          <w:color w:val="auto"/>
          <w:highlight w:val="none"/>
          <w:lang w:eastAsia="zh-CN"/>
        </w:rPr>
        <w:t>m</w:t>
      </w:r>
      <w:r>
        <w:rPr>
          <w:rFonts w:hint="default" w:ascii="Times New Roman" w:hAnsi="Times New Roman" w:eastAsia="宋体" w:cs="Times New Roman"/>
          <w:color w:val="auto"/>
          <w:highlight w:val="none"/>
          <w:vertAlign w:val="superscript"/>
          <w:lang w:eastAsia="zh-CN"/>
        </w:rPr>
        <w:t>2</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燃煤</w:t>
      </w:r>
      <w:r>
        <w:rPr>
          <w:rFonts w:hint="default" w:ascii="Times New Roman" w:hAnsi="Times New Roman" w:eastAsia="宋体" w:cs="Times New Roman"/>
          <w:color w:val="auto"/>
          <w:highlight w:val="none"/>
          <w:lang w:eastAsia="zh-CN"/>
        </w:rPr>
        <w:t>装卸过程会产生一定的扬尘，燃料堆场上方建有彩钢棚顶，并设置三面围挡，燃料装卸过程产生的扬尘基本局限于堆棚内沉降，影响轻微。</w:t>
      </w:r>
    </w:p>
    <w:p w14:paraId="5C533EEF">
      <w:pPr>
        <w:topLinePunct/>
        <w:ind w:firstLine="48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⑥</w:t>
      </w:r>
      <w:r>
        <w:rPr>
          <w:rFonts w:hint="default" w:ascii="Times New Roman" w:hAnsi="Times New Roman" w:eastAsia="宋体" w:cs="Times New Roman"/>
          <w:color w:val="auto"/>
          <w:highlight w:val="none"/>
          <w:lang w:eastAsia="zh-CN"/>
        </w:rPr>
        <w:t>灰渣暂存场地扬尘</w:t>
      </w:r>
    </w:p>
    <w:p w14:paraId="2DCA7015">
      <w:pPr>
        <w:topLinePunct/>
        <w:ind w:firstLine="48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本项目锅炉炉渣、脱硫石膏</w:t>
      </w:r>
      <w:r>
        <w:rPr>
          <w:rFonts w:hint="default" w:ascii="Times New Roman" w:hAnsi="Times New Roman" w:eastAsia="宋体" w:cs="Times New Roman"/>
          <w:color w:val="auto"/>
          <w:highlight w:val="none"/>
          <w:lang w:val="en-US" w:eastAsia="zh-CN"/>
        </w:rPr>
        <w:t>堆存于新建</w:t>
      </w:r>
      <w:r>
        <w:rPr>
          <w:rFonts w:hint="default" w:ascii="Times New Roman" w:hAnsi="Times New Roman" w:eastAsia="宋体" w:cs="Times New Roman"/>
          <w:color w:val="auto"/>
          <w:highlight w:val="none"/>
          <w:lang w:eastAsia="zh-CN"/>
        </w:rPr>
        <w:t>锅炉灰渣暂存场地进行暂存，占地面积约为350m</w:t>
      </w:r>
      <w:r>
        <w:rPr>
          <w:rFonts w:hint="default" w:ascii="Times New Roman" w:hAnsi="Times New Roman" w:eastAsia="宋体" w:cs="Times New Roman"/>
          <w:color w:val="auto"/>
          <w:highlight w:val="none"/>
          <w:vertAlign w:val="superscript"/>
          <w:lang w:eastAsia="zh-CN"/>
        </w:rPr>
        <w:t>2</w:t>
      </w:r>
      <w:r>
        <w:rPr>
          <w:rFonts w:hint="default" w:ascii="Times New Roman" w:hAnsi="Times New Roman" w:eastAsia="宋体" w:cs="Times New Roman"/>
          <w:color w:val="auto"/>
          <w:highlight w:val="none"/>
          <w:lang w:eastAsia="zh-CN"/>
        </w:rPr>
        <w:t>，灰渣装卸过程会产生一定的扬尘，暂存场地上方建有彩钢棚顶，并设置三面围挡，灰渣堆存期间适当进行表面洒水润湿，定期外运处置，灰渣装卸过程产生的扬尘基本局限于堆棚内沉降，影响轻微。</w:t>
      </w:r>
    </w:p>
    <w:p w14:paraId="3E6C2F91">
      <w:pPr>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（3）小结</w:t>
      </w:r>
    </w:p>
    <w:p w14:paraId="1F9BC88D">
      <w:pPr>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本项目运营期主要大气污染物排放情况见表3.</w:t>
      </w:r>
      <w:r>
        <w:rPr>
          <w:rFonts w:hint="default" w:ascii="Times New Roman" w:hAnsi="Times New Roman" w:cs="Times New Roman"/>
          <w:color w:val="auto"/>
          <w:kern w:val="0"/>
          <w:highlight w:val="none"/>
          <w:lang w:val="en-US" w:eastAsia="zh-CN"/>
        </w:rPr>
        <w:t>3</w:t>
      </w:r>
      <w:r>
        <w:rPr>
          <w:rFonts w:hint="default" w:ascii="Times New Roman" w:hAnsi="Times New Roman" w:cs="Times New Roman"/>
          <w:color w:val="auto"/>
          <w:kern w:val="0"/>
          <w:highlight w:val="none"/>
        </w:rPr>
        <w:t>-</w:t>
      </w:r>
      <w:r>
        <w:rPr>
          <w:rFonts w:hint="eastAsia" w:cs="Times New Roman"/>
          <w:color w:val="auto"/>
          <w:kern w:val="0"/>
          <w:highlight w:val="none"/>
          <w:lang w:val="en-US" w:eastAsia="zh-CN"/>
        </w:rPr>
        <w:t>9</w:t>
      </w:r>
      <w:r>
        <w:rPr>
          <w:rFonts w:hint="default" w:ascii="Times New Roman" w:hAnsi="Times New Roman" w:cs="Times New Roman"/>
          <w:color w:val="auto"/>
          <w:kern w:val="0"/>
          <w:highlight w:val="none"/>
        </w:rPr>
        <w:t>和表3.</w:t>
      </w:r>
      <w:r>
        <w:rPr>
          <w:rFonts w:hint="default" w:ascii="Times New Roman" w:hAnsi="Times New Roman" w:cs="Times New Roman"/>
          <w:color w:val="auto"/>
          <w:kern w:val="0"/>
          <w:highlight w:val="none"/>
          <w:lang w:val="en-US" w:eastAsia="zh-CN"/>
        </w:rPr>
        <w:t>3</w:t>
      </w:r>
      <w:r>
        <w:rPr>
          <w:rFonts w:hint="default" w:ascii="Times New Roman" w:hAnsi="Times New Roman" w:cs="Times New Roman"/>
          <w:color w:val="auto"/>
          <w:kern w:val="0"/>
          <w:highlight w:val="none"/>
        </w:rPr>
        <w:t>-</w:t>
      </w:r>
      <w:r>
        <w:rPr>
          <w:rFonts w:hint="eastAsia" w:cs="Times New Roman"/>
          <w:color w:val="auto"/>
          <w:kern w:val="0"/>
          <w:highlight w:val="none"/>
          <w:lang w:val="en-US" w:eastAsia="zh-CN"/>
        </w:rPr>
        <w:t>10</w:t>
      </w:r>
      <w:r>
        <w:rPr>
          <w:rFonts w:hint="default" w:ascii="Times New Roman" w:hAnsi="Times New Roman" w:cs="Times New Roman"/>
          <w:color w:val="auto"/>
          <w:kern w:val="0"/>
          <w:highlight w:val="none"/>
        </w:rPr>
        <w:t>。</w:t>
      </w:r>
    </w:p>
    <w:p w14:paraId="544C63E2">
      <w:pPr>
        <w:spacing w:line="480" w:lineRule="exact"/>
        <w:ind w:firstLine="0" w:firstLineChars="0"/>
        <w:jc w:val="center"/>
        <w:rPr>
          <w:rFonts w:hint="default" w:ascii="Times New Roman" w:hAnsi="Times New Roman" w:eastAsia="宋体" w:cs="Times New Roman"/>
          <w:b/>
          <w:color w:val="auto"/>
          <w:kern w:val="0"/>
          <w:highlight w:val="none"/>
        </w:rPr>
      </w:pPr>
      <w:r>
        <w:rPr>
          <w:rFonts w:hint="default" w:ascii="Times New Roman" w:hAnsi="Times New Roman" w:eastAsia="宋体" w:cs="Times New Roman"/>
          <w:b/>
          <w:color w:val="auto"/>
          <w:kern w:val="0"/>
          <w:highlight w:val="none"/>
        </w:rPr>
        <w:t>表3.</w:t>
      </w:r>
      <w:r>
        <w:rPr>
          <w:rFonts w:hint="default" w:ascii="Times New Roman" w:hAnsi="Times New Roman" w:eastAsia="宋体" w:cs="Times New Roman"/>
          <w:b/>
          <w:color w:val="auto"/>
          <w:kern w:val="0"/>
          <w:highlight w:val="none"/>
          <w:lang w:val="en-US" w:eastAsia="zh-CN"/>
        </w:rPr>
        <w:t>3</w:t>
      </w:r>
      <w:r>
        <w:rPr>
          <w:rFonts w:hint="default" w:ascii="Times New Roman" w:hAnsi="Times New Roman" w:eastAsia="宋体" w:cs="Times New Roman"/>
          <w:b/>
          <w:color w:val="auto"/>
          <w:kern w:val="0"/>
          <w:highlight w:val="none"/>
        </w:rPr>
        <w:t>-</w:t>
      </w:r>
      <w:r>
        <w:rPr>
          <w:rFonts w:hint="eastAsia" w:cs="Times New Roman"/>
          <w:b/>
          <w:color w:val="auto"/>
          <w:kern w:val="0"/>
          <w:highlight w:val="none"/>
          <w:lang w:val="en-US" w:eastAsia="zh-CN"/>
        </w:rPr>
        <w:t>9</w:t>
      </w:r>
      <w:r>
        <w:rPr>
          <w:rFonts w:hint="default" w:ascii="Times New Roman" w:hAnsi="Times New Roman" w:eastAsia="宋体" w:cs="Times New Roman"/>
          <w:b/>
          <w:color w:val="auto"/>
          <w:kern w:val="0"/>
          <w:highlight w:val="none"/>
        </w:rPr>
        <w:t xml:space="preserve">    项目主要大气污染物排放情况</w:t>
      </w:r>
    </w:p>
    <w:tbl>
      <w:tblPr>
        <w:tblStyle w:val="33"/>
        <w:tblW w:w="901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441"/>
        <w:gridCol w:w="2361"/>
        <w:gridCol w:w="1440"/>
        <w:gridCol w:w="2560"/>
        <w:gridCol w:w="2208"/>
      </w:tblGrid>
      <w:tr w14:paraId="7E35E3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2802" w:type="dxa"/>
            <w:gridSpan w:val="2"/>
            <w:vAlign w:val="center"/>
          </w:tcPr>
          <w:p w14:paraId="6CFEFC7E">
            <w:pPr>
              <w:spacing w:line="36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排放源</w:t>
            </w:r>
          </w:p>
        </w:tc>
        <w:tc>
          <w:tcPr>
            <w:tcW w:w="1440" w:type="dxa"/>
            <w:vAlign w:val="center"/>
          </w:tcPr>
          <w:p w14:paraId="48234B4D">
            <w:pPr>
              <w:spacing w:line="36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污染物名称</w:t>
            </w:r>
          </w:p>
        </w:tc>
        <w:tc>
          <w:tcPr>
            <w:tcW w:w="2560" w:type="dxa"/>
            <w:vAlign w:val="center"/>
          </w:tcPr>
          <w:p w14:paraId="1E8EB56A">
            <w:pPr>
              <w:spacing w:line="36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处理前产生浓度及产生量</w:t>
            </w:r>
          </w:p>
        </w:tc>
        <w:tc>
          <w:tcPr>
            <w:tcW w:w="2208" w:type="dxa"/>
            <w:vAlign w:val="center"/>
          </w:tcPr>
          <w:p w14:paraId="1D739DF8">
            <w:pPr>
              <w:spacing w:line="36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排放浓度及排放量</w:t>
            </w:r>
          </w:p>
        </w:tc>
      </w:tr>
      <w:tr w14:paraId="2B1D28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41" w:type="dxa"/>
            <w:vMerge w:val="restart"/>
            <w:vAlign w:val="center"/>
          </w:tcPr>
          <w:p w14:paraId="2251DA9E">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w:t>
            </w:r>
          </w:p>
        </w:tc>
        <w:tc>
          <w:tcPr>
            <w:tcW w:w="2361" w:type="dxa"/>
            <w:vMerge w:val="restart"/>
            <w:vAlign w:val="center"/>
          </w:tcPr>
          <w:p w14:paraId="638A758D">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破碎</w:t>
            </w:r>
            <w:r>
              <w:rPr>
                <w:rFonts w:hint="default" w:ascii="Times New Roman" w:hAnsi="Times New Roman" w:eastAsia="宋体" w:cs="Times New Roman"/>
                <w:color w:val="auto"/>
                <w:sz w:val="21"/>
                <w:szCs w:val="21"/>
                <w:highlight w:val="none"/>
              </w:rPr>
              <w:t>排气筒</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DA001</w:t>
            </w:r>
            <w:r>
              <w:rPr>
                <w:rFonts w:hint="eastAsia" w:ascii="Times New Roman" w:hAnsi="Times New Roman" w:eastAsia="宋体" w:cs="Times New Roman"/>
                <w:color w:val="auto"/>
                <w:sz w:val="21"/>
                <w:szCs w:val="21"/>
                <w:highlight w:val="none"/>
                <w:lang w:eastAsia="zh-CN"/>
              </w:rPr>
              <w:t>）</w:t>
            </w:r>
          </w:p>
        </w:tc>
        <w:tc>
          <w:tcPr>
            <w:tcW w:w="1440" w:type="dxa"/>
            <w:vAlign w:val="center"/>
          </w:tcPr>
          <w:p w14:paraId="79AE5B8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2560" w:type="dxa"/>
            <w:vAlign w:val="center"/>
          </w:tcPr>
          <w:p w14:paraId="576641C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252.22mg/m</w:t>
            </w:r>
            <w:r>
              <w:rPr>
                <w:rFonts w:hint="eastAsia" w:ascii="Times New Roman" w:hAnsi="Times New Roman" w:eastAsia="宋体" w:cs="Times New Roman"/>
                <w:color w:val="auto"/>
                <w:sz w:val="21"/>
                <w:szCs w:val="21"/>
                <w:highlight w:val="none"/>
                <w:vertAlign w:val="superscript"/>
                <w:lang w:val="en-US" w:eastAsia="zh-CN"/>
              </w:rPr>
              <w:t>3</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18.43t/a</w:t>
            </w:r>
          </w:p>
        </w:tc>
        <w:tc>
          <w:tcPr>
            <w:tcW w:w="2208" w:type="dxa"/>
            <w:shd w:val="clear" w:color="auto" w:fill="auto"/>
            <w:vAlign w:val="center"/>
          </w:tcPr>
          <w:p w14:paraId="2278844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2.27mg/m³</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0.166t/a</w:t>
            </w:r>
          </w:p>
        </w:tc>
      </w:tr>
      <w:tr w14:paraId="472EB4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41" w:type="dxa"/>
            <w:vMerge w:val="continue"/>
            <w:vAlign w:val="center"/>
          </w:tcPr>
          <w:p w14:paraId="1F83392E">
            <w:pPr>
              <w:spacing w:line="360" w:lineRule="exact"/>
              <w:ind w:firstLine="0" w:firstLineChars="0"/>
              <w:jc w:val="center"/>
              <w:rPr>
                <w:rFonts w:hint="default" w:ascii="Times New Roman" w:hAnsi="Times New Roman" w:eastAsia="宋体" w:cs="Times New Roman"/>
                <w:color w:val="auto"/>
                <w:sz w:val="21"/>
                <w:szCs w:val="21"/>
                <w:highlight w:val="none"/>
              </w:rPr>
            </w:pPr>
          </w:p>
        </w:tc>
        <w:tc>
          <w:tcPr>
            <w:tcW w:w="2361" w:type="dxa"/>
            <w:vMerge w:val="continue"/>
            <w:vAlign w:val="center"/>
          </w:tcPr>
          <w:p w14:paraId="0D865439">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p>
        </w:tc>
        <w:tc>
          <w:tcPr>
            <w:tcW w:w="1440" w:type="dxa"/>
            <w:vAlign w:val="center"/>
          </w:tcPr>
          <w:p w14:paraId="2CAE225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氟化物</w:t>
            </w:r>
          </w:p>
        </w:tc>
        <w:tc>
          <w:tcPr>
            <w:tcW w:w="2560" w:type="dxa"/>
            <w:vAlign w:val="center"/>
          </w:tcPr>
          <w:p w14:paraId="2420E33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31.65mg/m³</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2.313t/a</w:t>
            </w:r>
          </w:p>
        </w:tc>
        <w:tc>
          <w:tcPr>
            <w:tcW w:w="2208" w:type="dxa"/>
            <w:vAlign w:val="center"/>
          </w:tcPr>
          <w:p w14:paraId="032A13F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0.285mg/m³</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0.0208t/a</w:t>
            </w:r>
          </w:p>
        </w:tc>
      </w:tr>
      <w:tr w14:paraId="11A8EB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41" w:type="dxa"/>
            <w:vMerge w:val="continue"/>
            <w:vAlign w:val="center"/>
          </w:tcPr>
          <w:p w14:paraId="0AA02722">
            <w:pPr>
              <w:spacing w:line="360" w:lineRule="exact"/>
              <w:ind w:firstLine="0" w:firstLineChars="0"/>
              <w:jc w:val="center"/>
              <w:rPr>
                <w:rFonts w:hint="default" w:ascii="Times New Roman" w:hAnsi="Times New Roman" w:eastAsia="宋体" w:cs="Times New Roman"/>
                <w:color w:val="auto"/>
                <w:sz w:val="21"/>
                <w:szCs w:val="21"/>
                <w:highlight w:val="none"/>
              </w:rPr>
            </w:pPr>
          </w:p>
        </w:tc>
        <w:tc>
          <w:tcPr>
            <w:tcW w:w="2361" w:type="dxa"/>
            <w:vMerge w:val="restart"/>
            <w:vAlign w:val="center"/>
          </w:tcPr>
          <w:p w14:paraId="64B80F41">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筛分</w:t>
            </w:r>
            <w:r>
              <w:rPr>
                <w:rFonts w:hint="default" w:ascii="Times New Roman" w:hAnsi="Times New Roman" w:eastAsia="宋体" w:cs="Times New Roman"/>
                <w:color w:val="auto"/>
                <w:sz w:val="21"/>
                <w:szCs w:val="21"/>
                <w:highlight w:val="none"/>
              </w:rPr>
              <w:t>排气筒</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DA002</w:t>
            </w:r>
            <w:r>
              <w:rPr>
                <w:rFonts w:hint="eastAsia" w:ascii="Times New Roman" w:hAnsi="Times New Roman" w:eastAsia="宋体" w:cs="Times New Roman"/>
                <w:color w:val="auto"/>
                <w:sz w:val="21"/>
                <w:szCs w:val="21"/>
                <w:highlight w:val="none"/>
                <w:lang w:eastAsia="zh-CN"/>
              </w:rPr>
              <w:t>）</w:t>
            </w:r>
          </w:p>
        </w:tc>
        <w:tc>
          <w:tcPr>
            <w:tcW w:w="1440" w:type="dxa"/>
            <w:vAlign w:val="center"/>
          </w:tcPr>
          <w:p w14:paraId="4C7ACAD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2560" w:type="dxa"/>
            <w:vAlign w:val="center"/>
          </w:tcPr>
          <w:p w14:paraId="22A82F4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3284.24mg/m³</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240.01t/a</w:t>
            </w:r>
          </w:p>
        </w:tc>
        <w:tc>
          <w:tcPr>
            <w:tcW w:w="2208" w:type="dxa"/>
            <w:vAlign w:val="center"/>
          </w:tcPr>
          <w:p w14:paraId="37D88AF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29.6mg/m³</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2.16t/a</w:t>
            </w:r>
          </w:p>
        </w:tc>
      </w:tr>
      <w:tr w14:paraId="7AC848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41" w:type="dxa"/>
            <w:vMerge w:val="continue"/>
            <w:vAlign w:val="center"/>
          </w:tcPr>
          <w:p w14:paraId="5BE3A24F">
            <w:pPr>
              <w:spacing w:line="360" w:lineRule="exact"/>
              <w:ind w:firstLine="0" w:firstLineChars="0"/>
              <w:jc w:val="center"/>
              <w:rPr>
                <w:rFonts w:hint="default" w:ascii="Times New Roman" w:hAnsi="Times New Roman" w:eastAsia="宋体" w:cs="Times New Roman"/>
                <w:color w:val="auto"/>
                <w:sz w:val="21"/>
                <w:szCs w:val="21"/>
                <w:highlight w:val="none"/>
              </w:rPr>
            </w:pPr>
          </w:p>
        </w:tc>
        <w:tc>
          <w:tcPr>
            <w:tcW w:w="2361" w:type="dxa"/>
            <w:vMerge w:val="continue"/>
            <w:vAlign w:val="center"/>
          </w:tcPr>
          <w:p w14:paraId="0B4C34E4">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p>
        </w:tc>
        <w:tc>
          <w:tcPr>
            <w:tcW w:w="1440" w:type="dxa"/>
            <w:vAlign w:val="center"/>
          </w:tcPr>
          <w:p w14:paraId="4345524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氟化物</w:t>
            </w:r>
          </w:p>
        </w:tc>
        <w:tc>
          <w:tcPr>
            <w:tcW w:w="2560" w:type="dxa"/>
            <w:vAlign w:val="center"/>
          </w:tcPr>
          <w:p w14:paraId="19F87FA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412.17mg/m³</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30.12t/a</w:t>
            </w:r>
          </w:p>
        </w:tc>
        <w:tc>
          <w:tcPr>
            <w:tcW w:w="2208" w:type="dxa"/>
            <w:vAlign w:val="center"/>
          </w:tcPr>
          <w:p w14:paraId="709D3E6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3.715mg/m³</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0.271t/a</w:t>
            </w:r>
          </w:p>
        </w:tc>
      </w:tr>
      <w:tr w14:paraId="556D47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41" w:type="dxa"/>
            <w:vMerge w:val="continue"/>
            <w:vAlign w:val="center"/>
          </w:tcPr>
          <w:p w14:paraId="6F492320">
            <w:pPr>
              <w:spacing w:line="360" w:lineRule="exact"/>
              <w:ind w:firstLine="0" w:firstLineChars="0"/>
              <w:jc w:val="center"/>
              <w:rPr>
                <w:rFonts w:hint="default" w:ascii="Times New Roman" w:hAnsi="Times New Roman" w:eastAsia="宋体" w:cs="Times New Roman"/>
                <w:color w:val="auto"/>
                <w:sz w:val="21"/>
                <w:szCs w:val="21"/>
                <w:highlight w:val="none"/>
              </w:rPr>
            </w:pPr>
          </w:p>
        </w:tc>
        <w:tc>
          <w:tcPr>
            <w:tcW w:w="2361" w:type="dxa"/>
            <w:vMerge w:val="restart"/>
            <w:vAlign w:val="center"/>
          </w:tcPr>
          <w:p w14:paraId="4FCFEF70">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燃煤锅炉排气筒</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eastAsia="zh-CN"/>
              </w:rPr>
              <w:t>）</w:t>
            </w:r>
          </w:p>
        </w:tc>
        <w:tc>
          <w:tcPr>
            <w:tcW w:w="1440" w:type="dxa"/>
            <w:vAlign w:val="center"/>
          </w:tcPr>
          <w:p w14:paraId="7FB94545">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0"/>
                <w:kern w:val="2"/>
                <w:sz w:val="21"/>
                <w:szCs w:val="21"/>
                <w:highlight w:val="none"/>
                <w:vertAlign w:val="baseline"/>
                <w:lang w:val="en-US" w:eastAsia="zh-CN" w:bidi="ar-SA"/>
              </w:rPr>
              <w:t>颗粒物</w:t>
            </w:r>
          </w:p>
        </w:tc>
        <w:tc>
          <w:tcPr>
            <w:tcW w:w="2560" w:type="dxa"/>
            <w:vAlign w:val="center"/>
          </w:tcPr>
          <w:p w14:paraId="0B8C6A5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2423mg/m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rPr>
              <w:t>，134.19t/a</w:t>
            </w:r>
          </w:p>
        </w:tc>
        <w:tc>
          <w:tcPr>
            <w:tcW w:w="2208" w:type="dxa"/>
            <w:vAlign w:val="center"/>
          </w:tcPr>
          <w:p w14:paraId="057F323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24.2mg/m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rPr>
              <w:t>，1.342t/a</w:t>
            </w:r>
          </w:p>
        </w:tc>
      </w:tr>
      <w:tr w14:paraId="1738ED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41" w:type="dxa"/>
            <w:vMerge w:val="continue"/>
            <w:vAlign w:val="center"/>
          </w:tcPr>
          <w:p w14:paraId="23B5B45C">
            <w:pPr>
              <w:spacing w:line="360" w:lineRule="exact"/>
              <w:ind w:firstLine="0" w:firstLineChars="0"/>
              <w:jc w:val="center"/>
              <w:rPr>
                <w:rFonts w:hint="default" w:ascii="Times New Roman" w:hAnsi="Times New Roman" w:eastAsia="宋体" w:cs="Times New Roman"/>
                <w:color w:val="auto"/>
                <w:sz w:val="21"/>
                <w:szCs w:val="21"/>
                <w:highlight w:val="none"/>
              </w:rPr>
            </w:pPr>
          </w:p>
        </w:tc>
        <w:tc>
          <w:tcPr>
            <w:tcW w:w="2361" w:type="dxa"/>
            <w:vMerge w:val="continue"/>
            <w:vAlign w:val="center"/>
          </w:tcPr>
          <w:p w14:paraId="577BD871">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p>
        </w:tc>
        <w:tc>
          <w:tcPr>
            <w:tcW w:w="1440" w:type="dxa"/>
            <w:vAlign w:val="center"/>
          </w:tcPr>
          <w:p w14:paraId="0B1B1B12">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0"/>
                <w:kern w:val="2"/>
                <w:sz w:val="21"/>
                <w:szCs w:val="21"/>
                <w:highlight w:val="none"/>
                <w:vertAlign w:val="baseline"/>
                <w:lang w:val="en-US" w:eastAsia="zh-CN" w:bidi="ar-SA"/>
              </w:rPr>
              <w:t>二氧化硫</w:t>
            </w:r>
          </w:p>
        </w:tc>
        <w:tc>
          <w:tcPr>
            <w:tcW w:w="2560" w:type="dxa"/>
            <w:vAlign w:val="center"/>
          </w:tcPr>
          <w:p w14:paraId="14146D9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378mg/m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rPr>
              <w:t>，20.93t/a</w:t>
            </w:r>
          </w:p>
        </w:tc>
        <w:tc>
          <w:tcPr>
            <w:tcW w:w="2208" w:type="dxa"/>
            <w:vAlign w:val="center"/>
          </w:tcPr>
          <w:p w14:paraId="22B1F31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37.8mg/m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rPr>
              <w:t>，2.093t/a</w:t>
            </w:r>
          </w:p>
        </w:tc>
      </w:tr>
      <w:tr w14:paraId="18BFFE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441" w:type="dxa"/>
            <w:vMerge w:val="continue"/>
            <w:vAlign w:val="center"/>
          </w:tcPr>
          <w:p w14:paraId="5400EB8B">
            <w:pPr>
              <w:spacing w:line="360" w:lineRule="exact"/>
              <w:ind w:firstLine="0" w:firstLineChars="0"/>
              <w:jc w:val="center"/>
              <w:rPr>
                <w:rFonts w:hint="default" w:ascii="Times New Roman" w:hAnsi="Times New Roman" w:eastAsia="宋体" w:cs="Times New Roman"/>
                <w:color w:val="auto"/>
                <w:sz w:val="21"/>
                <w:szCs w:val="21"/>
                <w:highlight w:val="none"/>
              </w:rPr>
            </w:pPr>
          </w:p>
        </w:tc>
        <w:tc>
          <w:tcPr>
            <w:tcW w:w="2361" w:type="dxa"/>
            <w:vMerge w:val="continue"/>
            <w:vAlign w:val="center"/>
          </w:tcPr>
          <w:p w14:paraId="7CF55EA1">
            <w:pPr>
              <w:spacing w:line="360" w:lineRule="exact"/>
              <w:ind w:firstLine="0" w:firstLineChars="0"/>
              <w:jc w:val="center"/>
              <w:rPr>
                <w:rFonts w:hint="default" w:ascii="Times New Roman" w:hAnsi="Times New Roman" w:eastAsia="宋体" w:cs="Times New Roman"/>
                <w:color w:val="auto"/>
                <w:sz w:val="21"/>
                <w:szCs w:val="21"/>
                <w:highlight w:val="none"/>
              </w:rPr>
            </w:pPr>
          </w:p>
        </w:tc>
        <w:tc>
          <w:tcPr>
            <w:tcW w:w="1440" w:type="dxa"/>
            <w:vAlign w:val="center"/>
          </w:tcPr>
          <w:p w14:paraId="4234DFBB">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0"/>
                <w:kern w:val="2"/>
                <w:sz w:val="21"/>
                <w:szCs w:val="21"/>
                <w:highlight w:val="none"/>
                <w:vertAlign w:val="baseline"/>
                <w:lang w:val="en-US" w:eastAsia="zh-CN" w:bidi="ar-SA"/>
              </w:rPr>
              <w:t>氮氧化物</w:t>
            </w:r>
          </w:p>
        </w:tc>
        <w:tc>
          <w:tcPr>
            <w:tcW w:w="2560" w:type="dxa"/>
            <w:vAlign w:val="center"/>
          </w:tcPr>
          <w:p w14:paraId="7119C08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287mg/m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rPr>
              <w:t>，15.88t/a</w:t>
            </w:r>
          </w:p>
        </w:tc>
        <w:tc>
          <w:tcPr>
            <w:tcW w:w="2208" w:type="dxa"/>
            <w:vAlign w:val="center"/>
          </w:tcPr>
          <w:p w14:paraId="26E6F70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200.7</w:t>
            </w:r>
            <w:r>
              <w:rPr>
                <w:rFonts w:hint="eastAsia" w:ascii="Times New Roman" w:hAnsi="Times New Roman" w:eastAsia="宋体" w:cs="Times New Roman"/>
                <w:color w:val="auto"/>
                <w:sz w:val="21"/>
                <w:szCs w:val="21"/>
                <w:highlight w:val="none"/>
              </w:rPr>
              <w:t>mg/m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rPr>
              <w:t>，11.113t/a</w:t>
            </w:r>
          </w:p>
        </w:tc>
      </w:tr>
      <w:tr w14:paraId="776FA3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441" w:type="dxa"/>
            <w:vMerge w:val="continue"/>
            <w:vAlign w:val="center"/>
          </w:tcPr>
          <w:p w14:paraId="04D0B73F">
            <w:pPr>
              <w:spacing w:line="360" w:lineRule="exact"/>
              <w:ind w:firstLine="0" w:firstLineChars="0"/>
              <w:jc w:val="center"/>
              <w:rPr>
                <w:rFonts w:hint="default" w:ascii="Times New Roman" w:hAnsi="Times New Roman" w:eastAsia="宋体" w:cs="Times New Roman"/>
                <w:color w:val="auto"/>
                <w:sz w:val="21"/>
                <w:szCs w:val="21"/>
                <w:highlight w:val="none"/>
              </w:rPr>
            </w:pPr>
          </w:p>
        </w:tc>
        <w:tc>
          <w:tcPr>
            <w:tcW w:w="2361" w:type="dxa"/>
            <w:vMerge w:val="continue"/>
            <w:vAlign w:val="center"/>
          </w:tcPr>
          <w:p w14:paraId="65CAA0DF">
            <w:pPr>
              <w:spacing w:line="360" w:lineRule="exact"/>
              <w:ind w:firstLine="0" w:firstLineChars="0"/>
              <w:jc w:val="center"/>
              <w:rPr>
                <w:rFonts w:hint="default" w:ascii="Times New Roman" w:hAnsi="Times New Roman" w:eastAsia="宋体" w:cs="Times New Roman"/>
                <w:color w:val="auto"/>
                <w:sz w:val="21"/>
                <w:szCs w:val="21"/>
                <w:highlight w:val="none"/>
              </w:rPr>
            </w:pPr>
          </w:p>
        </w:tc>
        <w:tc>
          <w:tcPr>
            <w:tcW w:w="1440" w:type="dxa"/>
            <w:vAlign w:val="center"/>
          </w:tcPr>
          <w:p w14:paraId="1C691DE2">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0"/>
                <w:kern w:val="2"/>
                <w:sz w:val="21"/>
                <w:szCs w:val="21"/>
                <w:highlight w:val="none"/>
                <w:vertAlign w:val="baseline"/>
                <w:lang w:val="en-US" w:eastAsia="zh-CN" w:bidi="ar-SA"/>
              </w:rPr>
              <w:t>汞及其化合物</w:t>
            </w:r>
          </w:p>
        </w:tc>
        <w:tc>
          <w:tcPr>
            <w:tcW w:w="2560" w:type="dxa"/>
            <w:vAlign w:val="center"/>
          </w:tcPr>
          <w:p w14:paraId="293C92D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0.0166mg/m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rPr>
              <w:t>，9.21</w:t>
            </w: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vertAlign w:val="superscript"/>
                <w:lang w:val="en-US" w:eastAsia="zh-CN"/>
              </w:rPr>
              <w:t>-4</w:t>
            </w:r>
            <w:r>
              <w:rPr>
                <w:rFonts w:hint="eastAsia" w:ascii="Times New Roman" w:hAnsi="Times New Roman" w:eastAsia="宋体" w:cs="Times New Roman"/>
                <w:color w:val="auto"/>
                <w:sz w:val="21"/>
                <w:szCs w:val="21"/>
                <w:highlight w:val="none"/>
              </w:rPr>
              <w:t>t/a</w:t>
            </w:r>
          </w:p>
        </w:tc>
        <w:tc>
          <w:tcPr>
            <w:tcW w:w="2208" w:type="dxa"/>
            <w:vAlign w:val="center"/>
          </w:tcPr>
          <w:p w14:paraId="48B0598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0.0050mg/m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rPr>
              <w:t>，2.76</w:t>
            </w: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vertAlign w:val="superscript"/>
                <w:lang w:val="en-US" w:eastAsia="zh-CN"/>
              </w:rPr>
              <w:t>-4</w:t>
            </w:r>
            <w:r>
              <w:rPr>
                <w:rFonts w:hint="eastAsia" w:ascii="Times New Roman" w:hAnsi="Times New Roman" w:eastAsia="宋体" w:cs="Times New Roman"/>
                <w:color w:val="auto"/>
                <w:sz w:val="21"/>
                <w:szCs w:val="21"/>
                <w:highlight w:val="none"/>
              </w:rPr>
              <w:t>t/a</w:t>
            </w:r>
          </w:p>
        </w:tc>
      </w:tr>
      <w:tr w14:paraId="554355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41" w:type="dxa"/>
            <w:vMerge w:val="restart"/>
            <w:vAlign w:val="center"/>
          </w:tcPr>
          <w:p w14:paraId="1B336463">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c>
          <w:tcPr>
            <w:tcW w:w="2361" w:type="dxa"/>
            <w:vMerge w:val="restart"/>
            <w:vAlign w:val="center"/>
          </w:tcPr>
          <w:p w14:paraId="45013379">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破碎筛分及转运粉尘</w:t>
            </w:r>
          </w:p>
        </w:tc>
        <w:tc>
          <w:tcPr>
            <w:tcW w:w="1440" w:type="dxa"/>
            <w:vAlign w:val="center"/>
          </w:tcPr>
          <w:p w14:paraId="364A0EEF">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2560" w:type="dxa"/>
            <w:vAlign w:val="center"/>
          </w:tcPr>
          <w:p w14:paraId="172DD95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25.84t/a</w:t>
            </w:r>
          </w:p>
        </w:tc>
        <w:tc>
          <w:tcPr>
            <w:tcW w:w="2208" w:type="dxa"/>
            <w:vAlign w:val="center"/>
          </w:tcPr>
          <w:p w14:paraId="7FAFCA5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2.58t/a</w:t>
            </w:r>
          </w:p>
        </w:tc>
      </w:tr>
      <w:tr w14:paraId="69DD0F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41" w:type="dxa"/>
            <w:vMerge w:val="continue"/>
            <w:vAlign w:val="center"/>
          </w:tcPr>
          <w:p w14:paraId="5F2B1327">
            <w:pPr>
              <w:spacing w:line="360" w:lineRule="exact"/>
              <w:ind w:firstLine="0" w:firstLineChars="0"/>
              <w:jc w:val="center"/>
              <w:rPr>
                <w:rFonts w:hint="default" w:ascii="Times New Roman" w:hAnsi="Times New Roman" w:eastAsia="宋体" w:cs="Times New Roman"/>
                <w:color w:val="auto"/>
                <w:sz w:val="21"/>
                <w:szCs w:val="21"/>
                <w:highlight w:val="none"/>
              </w:rPr>
            </w:pPr>
          </w:p>
        </w:tc>
        <w:tc>
          <w:tcPr>
            <w:tcW w:w="2361" w:type="dxa"/>
            <w:vMerge w:val="continue"/>
            <w:vAlign w:val="center"/>
          </w:tcPr>
          <w:p w14:paraId="189DA462">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p>
        </w:tc>
        <w:tc>
          <w:tcPr>
            <w:tcW w:w="1440" w:type="dxa"/>
            <w:vAlign w:val="center"/>
          </w:tcPr>
          <w:p w14:paraId="77C1ECB6">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氟化物</w:t>
            </w:r>
          </w:p>
        </w:tc>
        <w:tc>
          <w:tcPr>
            <w:tcW w:w="2560" w:type="dxa"/>
            <w:vAlign w:val="center"/>
          </w:tcPr>
          <w:p w14:paraId="3A0E91D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3.24</w:t>
            </w:r>
            <w:r>
              <w:rPr>
                <w:rFonts w:hint="eastAsia" w:ascii="Times New Roman" w:hAnsi="Times New Roman" w:eastAsia="宋体" w:cs="Times New Roman"/>
                <w:color w:val="auto"/>
                <w:sz w:val="21"/>
                <w:szCs w:val="21"/>
                <w:highlight w:val="none"/>
              </w:rPr>
              <w:t>t/a</w:t>
            </w:r>
          </w:p>
        </w:tc>
        <w:tc>
          <w:tcPr>
            <w:tcW w:w="2208" w:type="dxa"/>
            <w:vAlign w:val="center"/>
          </w:tcPr>
          <w:p w14:paraId="540630F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0.</w:t>
            </w:r>
            <w:r>
              <w:rPr>
                <w:rFonts w:hint="eastAsia" w:cs="Times New Roman"/>
                <w:color w:val="auto"/>
                <w:sz w:val="21"/>
                <w:szCs w:val="21"/>
                <w:highlight w:val="none"/>
                <w:lang w:val="en-US" w:eastAsia="zh-CN"/>
              </w:rPr>
              <w:t>32</w:t>
            </w:r>
            <w:r>
              <w:rPr>
                <w:rFonts w:hint="eastAsia" w:ascii="Times New Roman" w:hAnsi="Times New Roman" w:eastAsia="宋体" w:cs="Times New Roman"/>
                <w:color w:val="auto"/>
                <w:sz w:val="21"/>
                <w:szCs w:val="21"/>
                <w:highlight w:val="none"/>
              </w:rPr>
              <w:t>t/a</w:t>
            </w:r>
          </w:p>
        </w:tc>
      </w:tr>
      <w:tr w14:paraId="7D6CA5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41" w:type="dxa"/>
            <w:vMerge w:val="continue"/>
            <w:vAlign w:val="center"/>
          </w:tcPr>
          <w:p w14:paraId="68104B9A">
            <w:pPr>
              <w:widowControl/>
              <w:spacing w:line="240" w:lineRule="auto"/>
              <w:ind w:firstLine="0" w:firstLineChars="0"/>
              <w:jc w:val="left"/>
              <w:rPr>
                <w:rFonts w:hint="default" w:ascii="Times New Roman" w:hAnsi="Times New Roman" w:eastAsia="宋体" w:cs="Times New Roman"/>
                <w:color w:val="auto"/>
                <w:sz w:val="21"/>
                <w:szCs w:val="21"/>
                <w:highlight w:val="none"/>
              </w:rPr>
            </w:pPr>
          </w:p>
        </w:tc>
        <w:tc>
          <w:tcPr>
            <w:tcW w:w="2361" w:type="dxa"/>
            <w:vAlign w:val="center"/>
          </w:tcPr>
          <w:p w14:paraId="1A413295">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尾矿库</w:t>
            </w:r>
          </w:p>
        </w:tc>
        <w:tc>
          <w:tcPr>
            <w:tcW w:w="1440" w:type="dxa"/>
            <w:vAlign w:val="center"/>
          </w:tcPr>
          <w:p w14:paraId="51AAAF06">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2560" w:type="dxa"/>
            <w:vAlign w:val="center"/>
          </w:tcPr>
          <w:p w14:paraId="02CE5D9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0.0044t/a</w:t>
            </w:r>
          </w:p>
        </w:tc>
        <w:tc>
          <w:tcPr>
            <w:tcW w:w="2208" w:type="dxa"/>
            <w:vAlign w:val="center"/>
          </w:tcPr>
          <w:p w14:paraId="3E1E916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0.0044t/a</w:t>
            </w:r>
          </w:p>
        </w:tc>
      </w:tr>
      <w:tr w14:paraId="651201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41" w:type="dxa"/>
            <w:vMerge w:val="continue"/>
            <w:vAlign w:val="center"/>
          </w:tcPr>
          <w:p w14:paraId="0A21B5D6">
            <w:pPr>
              <w:widowControl/>
              <w:spacing w:line="240" w:lineRule="auto"/>
              <w:ind w:firstLine="0" w:firstLineChars="0"/>
              <w:jc w:val="left"/>
              <w:rPr>
                <w:rFonts w:hint="default" w:ascii="Times New Roman" w:hAnsi="Times New Roman" w:eastAsia="宋体" w:cs="Times New Roman"/>
                <w:color w:val="auto"/>
                <w:sz w:val="21"/>
                <w:szCs w:val="21"/>
                <w:highlight w:val="none"/>
              </w:rPr>
            </w:pPr>
          </w:p>
        </w:tc>
        <w:tc>
          <w:tcPr>
            <w:tcW w:w="2361" w:type="dxa"/>
            <w:vAlign w:val="center"/>
          </w:tcPr>
          <w:p w14:paraId="36201735">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道路扬尘</w:t>
            </w:r>
          </w:p>
        </w:tc>
        <w:tc>
          <w:tcPr>
            <w:tcW w:w="1440" w:type="dxa"/>
          </w:tcPr>
          <w:p w14:paraId="49D97D12">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2560" w:type="dxa"/>
            <w:vAlign w:val="center"/>
          </w:tcPr>
          <w:p w14:paraId="2F59988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12.63t/a</w:t>
            </w:r>
          </w:p>
        </w:tc>
        <w:tc>
          <w:tcPr>
            <w:tcW w:w="2208" w:type="dxa"/>
            <w:vAlign w:val="center"/>
          </w:tcPr>
          <w:p w14:paraId="0BA4E57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w:t>
            </w:r>
            <w:r>
              <w:rPr>
                <w:rFonts w:hint="eastAsia" w:cs="Times New Roman"/>
                <w:color w:val="auto"/>
                <w:sz w:val="21"/>
                <w:szCs w:val="21"/>
                <w:highlight w:val="none"/>
                <w:lang w:val="en-US" w:eastAsia="zh-CN"/>
              </w:rPr>
              <w:t>53</w:t>
            </w:r>
            <w:r>
              <w:rPr>
                <w:rFonts w:hint="eastAsia" w:ascii="Times New Roman" w:hAnsi="Times New Roman" w:eastAsia="宋体" w:cs="Times New Roman"/>
                <w:color w:val="auto"/>
                <w:sz w:val="21"/>
                <w:szCs w:val="21"/>
                <w:highlight w:val="none"/>
              </w:rPr>
              <w:t>t/a</w:t>
            </w:r>
          </w:p>
        </w:tc>
      </w:tr>
      <w:tr w14:paraId="75FEC8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41" w:type="dxa"/>
            <w:vMerge w:val="continue"/>
            <w:vAlign w:val="center"/>
          </w:tcPr>
          <w:p w14:paraId="69DEDF40">
            <w:pPr>
              <w:widowControl/>
              <w:spacing w:line="240" w:lineRule="auto"/>
              <w:ind w:firstLine="0" w:firstLineChars="0"/>
              <w:jc w:val="left"/>
              <w:rPr>
                <w:rFonts w:hint="default" w:ascii="Times New Roman" w:hAnsi="Times New Roman" w:eastAsia="宋体" w:cs="Times New Roman"/>
                <w:color w:val="auto"/>
                <w:sz w:val="21"/>
                <w:szCs w:val="21"/>
                <w:highlight w:val="none"/>
              </w:rPr>
            </w:pPr>
          </w:p>
        </w:tc>
        <w:tc>
          <w:tcPr>
            <w:tcW w:w="2361" w:type="dxa"/>
            <w:vMerge w:val="restart"/>
            <w:vAlign w:val="center"/>
          </w:tcPr>
          <w:p w14:paraId="6E679DD7">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汽车尾气</w:t>
            </w:r>
          </w:p>
        </w:tc>
        <w:tc>
          <w:tcPr>
            <w:tcW w:w="1440" w:type="dxa"/>
            <w:vAlign w:val="center"/>
          </w:tcPr>
          <w:p w14:paraId="32790869">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w:t>
            </w:r>
          </w:p>
        </w:tc>
        <w:tc>
          <w:tcPr>
            <w:tcW w:w="2560" w:type="dxa"/>
            <w:vAlign w:val="center"/>
          </w:tcPr>
          <w:p w14:paraId="3BB1D0B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0.792t/a</w:t>
            </w:r>
          </w:p>
        </w:tc>
        <w:tc>
          <w:tcPr>
            <w:tcW w:w="2208" w:type="dxa"/>
            <w:vAlign w:val="center"/>
          </w:tcPr>
          <w:p w14:paraId="6C2B94E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0.792t/a</w:t>
            </w:r>
          </w:p>
        </w:tc>
      </w:tr>
      <w:tr w14:paraId="041AA5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41" w:type="dxa"/>
            <w:vMerge w:val="continue"/>
            <w:vAlign w:val="center"/>
          </w:tcPr>
          <w:p w14:paraId="2FDF4089">
            <w:pPr>
              <w:widowControl/>
              <w:spacing w:line="240" w:lineRule="auto"/>
              <w:ind w:firstLine="0" w:firstLineChars="0"/>
              <w:jc w:val="left"/>
              <w:rPr>
                <w:rFonts w:hint="default" w:ascii="Times New Roman" w:hAnsi="Times New Roman" w:eastAsia="宋体" w:cs="Times New Roman"/>
                <w:color w:val="auto"/>
                <w:sz w:val="21"/>
                <w:szCs w:val="21"/>
                <w:highlight w:val="none"/>
              </w:rPr>
            </w:pPr>
          </w:p>
        </w:tc>
        <w:tc>
          <w:tcPr>
            <w:tcW w:w="2361" w:type="dxa"/>
            <w:vMerge w:val="continue"/>
            <w:vAlign w:val="center"/>
          </w:tcPr>
          <w:p w14:paraId="6DE6F6C6">
            <w:pPr>
              <w:widowControl/>
              <w:spacing w:line="240" w:lineRule="auto"/>
              <w:ind w:firstLine="0" w:firstLineChars="0"/>
              <w:jc w:val="left"/>
              <w:rPr>
                <w:rFonts w:hint="default" w:ascii="Times New Roman" w:hAnsi="Times New Roman" w:eastAsia="宋体" w:cs="Times New Roman"/>
                <w:color w:val="auto"/>
                <w:sz w:val="21"/>
                <w:szCs w:val="21"/>
                <w:highlight w:val="none"/>
              </w:rPr>
            </w:pPr>
          </w:p>
        </w:tc>
        <w:tc>
          <w:tcPr>
            <w:tcW w:w="1440" w:type="dxa"/>
            <w:vAlign w:val="center"/>
          </w:tcPr>
          <w:p w14:paraId="2240CDE6">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w:t>
            </w:r>
            <w:r>
              <w:rPr>
                <w:rFonts w:hint="default" w:ascii="Times New Roman" w:hAnsi="Times New Roman" w:eastAsia="宋体" w:cs="Times New Roman"/>
                <w:color w:val="auto"/>
                <w:sz w:val="21"/>
                <w:szCs w:val="21"/>
                <w:highlight w:val="none"/>
                <w:vertAlign w:val="subscript"/>
              </w:rPr>
              <w:t>n</w:t>
            </w: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vertAlign w:val="subscript"/>
              </w:rPr>
              <w:t>m</w:t>
            </w:r>
          </w:p>
        </w:tc>
        <w:tc>
          <w:tcPr>
            <w:tcW w:w="2560" w:type="dxa"/>
            <w:vAlign w:val="center"/>
          </w:tcPr>
          <w:p w14:paraId="0724911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0.126t/a</w:t>
            </w:r>
          </w:p>
        </w:tc>
        <w:tc>
          <w:tcPr>
            <w:tcW w:w="2208" w:type="dxa"/>
            <w:vAlign w:val="center"/>
          </w:tcPr>
          <w:p w14:paraId="3B5FE6A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0.126t/a</w:t>
            </w:r>
          </w:p>
        </w:tc>
      </w:tr>
      <w:tr w14:paraId="27DE42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41" w:type="dxa"/>
            <w:vMerge w:val="continue"/>
            <w:vAlign w:val="center"/>
          </w:tcPr>
          <w:p w14:paraId="358A8C5A">
            <w:pPr>
              <w:widowControl/>
              <w:spacing w:line="240" w:lineRule="auto"/>
              <w:ind w:firstLine="0" w:firstLineChars="0"/>
              <w:jc w:val="left"/>
              <w:rPr>
                <w:rFonts w:hint="default" w:ascii="Times New Roman" w:hAnsi="Times New Roman" w:eastAsia="宋体" w:cs="Times New Roman"/>
                <w:color w:val="auto"/>
                <w:sz w:val="21"/>
                <w:szCs w:val="21"/>
                <w:highlight w:val="none"/>
              </w:rPr>
            </w:pPr>
          </w:p>
        </w:tc>
        <w:tc>
          <w:tcPr>
            <w:tcW w:w="2361" w:type="dxa"/>
            <w:vMerge w:val="continue"/>
            <w:vAlign w:val="center"/>
          </w:tcPr>
          <w:p w14:paraId="1DBAA599">
            <w:pPr>
              <w:widowControl/>
              <w:spacing w:line="240" w:lineRule="auto"/>
              <w:ind w:firstLine="0" w:firstLineChars="0"/>
              <w:jc w:val="left"/>
              <w:rPr>
                <w:rFonts w:hint="default" w:ascii="Times New Roman" w:hAnsi="Times New Roman" w:eastAsia="宋体" w:cs="Times New Roman"/>
                <w:color w:val="auto"/>
                <w:sz w:val="21"/>
                <w:szCs w:val="21"/>
                <w:highlight w:val="none"/>
              </w:rPr>
            </w:pPr>
          </w:p>
        </w:tc>
        <w:tc>
          <w:tcPr>
            <w:tcW w:w="1440" w:type="dxa"/>
            <w:vAlign w:val="center"/>
          </w:tcPr>
          <w:p w14:paraId="422A01C8">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NOx</w:t>
            </w:r>
          </w:p>
        </w:tc>
        <w:tc>
          <w:tcPr>
            <w:tcW w:w="2560" w:type="dxa"/>
            <w:vAlign w:val="center"/>
          </w:tcPr>
          <w:p w14:paraId="526FA65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0.026t/a</w:t>
            </w:r>
          </w:p>
        </w:tc>
        <w:tc>
          <w:tcPr>
            <w:tcW w:w="2208" w:type="dxa"/>
            <w:vAlign w:val="center"/>
          </w:tcPr>
          <w:p w14:paraId="35F71D3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0.026t/a</w:t>
            </w:r>
          </w:p>
        </w:tc>
      </w:tr>
      <w:tr w14:paraId="2C7CBD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41" w:type="dxa"/>
            <w:vMerge w:val="continue"/>
            <w:vAlign w:val="center"/>
          </w:tcPr>
          <w:p w14:paraId="32E5BFC6">
            <w:pPr>
              <w:widowControl/>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361" w:type="dxa"/>
            <w:vAlign w:val="center"/>
          </w:tcPr>
          <w:p w14:paraId="501F8A61">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煤棚扬尘</w:t>
            </w:r>
          </w:p>
        </w:tc>
        <w:tc>
          <w:tcPr>
            <w:tcW w:w="1440" w:type="dxa"/>
            <w:vAlign w:val="center"/>
          </w:tcPr>
          <w:p w14:paraId="73398B22">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2560" w:type="dxa"/>
            <w:vAlign w:val="center"/>
          </w:tcPr>
          <w:p w14:paraId="5AA067CF">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堆棚内沉降，影响轻微</w:t>
            </w:r>
          </w:p>
        </w:tc>
        <w:tc>
          <w:tcPr>
            <w:tcW w:w="2208" w:type="dxa"/>
            <w:vAlign w:val="center"/>
          </w:tcPr>
          <w:p w14:paraId="70C883C8">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351FFF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41" w:type="dxa"/>
            <w:vMerge w:val="continue"/>
            <w:vAlign w:val="center"/>
          </w:tcPr>
          <w:p w14:paraId="68ACF013">
            <w:pPr>
              <w:widowControl/>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361" w:type="dxa"/>
            <w:vAlign w:val="center"/>
          </w:tcPr>
          <w:p w14:paraId="0253ABD2">
            <w:pPr>
              <w:widowControl/>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灰渣暂存场地扬尘</w:t>
            </w:r>
          </w:p>
        </w:tc>
        <w:tc>
          <w:tcPr>
            <w:tcW w:w="1440" w:type="dxa"/>
            <w:vAlign w:val="center"/>
          </w:tcPr>
          <w:p w14:paraId="3D579EC7">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2560" w:type="dxa"/>
            <w:vAlign w:val="center"/>
          </w:tcPr>
          <w:p w14:paraId="3DA8CDDA">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堆棚内沉降，影响轻微</w:t>
            </w:r>
          </w:p>
        </w:tc>
        <w:tc>
          <w:tcPr>
            <w:tcW w:w="2208" w:type="dxa"/>
            <w:vAlign w:val="center"/>
          </w:tcPr>
          <w:p w14:paraId="563ACC01">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bl>
    <w:p w14:paraId="0913968B">
      <w:pPr>
        <w:spacing w:line="480" w:lineRule="exact"/>
        <w:ind w:firstLine="0" w:firstLineChars="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highlight w:val="none"/>
        </w:rPr>
        <w:t>表3.</w:t>
      </w:r>
      <w:r>
        <w:rPr>
          <w:rFonts w:hint="default" w:ascii="Times New Roman" w:hAnsi="Times New Roman" w:eastAsia="宋体" w:cs="Times New Roman"/>
          <w:b/>
          <w:color w:val="auto"/>
          <w:kern w:val="0"/>
          <w:highlight w:val="none"/>
          <w:lang w:val="en-US" w:eastAsia="zh-CN"/>
        </w:rPr>
        <w:t>3</w:t>
      </w:r>
      <w:r>
        <w:rPr>
          <w:rFonts w:hint="default" w:ascii="Times New Roman" w:hAnsi="Times New Roman" w:eastAsia="宋体" w:cs="Times New Roman"/>
          <w:b/>
          <w:color w:val="auto"/>
          <w:kern w:val="0"/>
          <w:highlight w:val="none"/>
        </w:rPr>
        <w:t>-</w:t>
      </w:r>
      <w:r>
        <w:rPr>
          <w:rFonts w:hint="eastAsia" w:cs="Times New Roman"/>
          <w:b/>
          <w:color w:val="auto"/>
          <w:kern w:val="0"/>
          <w:highlight w:val="none"/>
          <w:lang w:val="en-US" w:eastAsia="zh-CN"/>
        </w:rPr>
        <w:t>10</w:t>
      </w:r>
      <w:r>
        <w:rPr>
          <w:rFonts w:hint="default" w:ascii="Times New Roman" w:hAnsi="Times New Roman" w:eastAsia="宋体" w:cs="Times New Roman"/>
          <w:b/>
          <w:color w:val="auto"/>
          <w:kern w:val="0"/>
          <w:highlight w:val="none"/>
        </w:rPr>
        <w:t xml:space="preserve">    项目主要大气污染物排放总量</w:t>
      </w:r>
    </w:p>
    <w:tbl>
      <w:tblPr>
        <w:tblStyle w:val="33"/>
        <w:tblW w:w="904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255"/>
        <w:gridCol w:w="1967"/>
        <w:gridCol w:w="2816"/>
        <w:gridCol w:w="3005"/>
      </w:tblGrid>
      <w:tr w14:paraId="68BB91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255" w:type="dxa"/>
            <w:tcBorders>
              <w:tl2br w:val="nil"/>
              <w:tr2bl w:val="nil"/>
            </w:tcBorders>
            <w:vAlign w:val="center"/>
          </w:tcPr>
          <w:p w14:paraId="342A61A7">
            <w:pPr>
              <w:spacing w:line="36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排放源</w:t>
            </w:r>
          </w:p>
        </w:tc>
        <w:tc>
          <w:tcPr>
            <w:tcW w:w="1967" w:type="dxa"/>
            <w:tcBorders>
              <w:tl2br w:val="nil"/>
              <w:tr2bl w:val="nil"/>
            </w:tcBorders>
            <w:vAlign w:val="center"/>
          </w:tcPr>
          <w:p w14:paraId="54379DD7">
            <w:pPr>
              <w:spacing w:line="36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污染物名称</w:t>
            </w:r>
          </w:p>
        </w:tc>
        <w:tc>
          <w:tcPr>
            <w:tcW w:w="2816" w:type="dxa"/>
            <w:tcBorders>
              <w:tl2br w:val="nil"/>
              <w:tr2bl w:val="nil"/>
            </w:tcBorders>
            <w:vAlign w:val="center"/>
          </w:tcPr>
          <w:p w14:paraId="50DF6AD7">
            <w:pPr>
              <w:spacing w:line="360" w:lineRule="exact"/>
              <w:ind w:firstLine="0" w:firstLineChars="0"/>
              <w:jc w:val="center"/>
              <w:rPr>
                <w:rFonts w:hint="eastAsia"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产生量</w:t>
            </w:r>
            <w:r>
              <w:rPr>
                <w:rFonts w:hint="eastAsia" w:ascii="Times New Roman" w:hAnsi="Times New Roman" w:eastAsia="宋体" w:cs="Times New Roman"/>
                <w:b/>
                <w:bCs/>
                <w:color w:val="auto"/>
                <w:sz w:val="21"/>
                <w:szCs w:val="21"/>
                <w:highlight w:val="none"/>
                <w:lang w:eastAsia="zh-CN"/>
              </w:rPr>
              <w:t>（t/a）</w:t>
            </w:r>
          </w:p>
        </w:tc>
        <w:tc>
          <w:tcPr>
            <w:tcW w:w="3005" w:type="dxa"/>
            <w:tcBorders>
              <w:tl2br w:val="nil"/>
              <w:tr2bl w:val="nil"/>
            </w:tcBorders>
            <w:vAlign w:val="center"/>
          </w:tcPr>
          <w:p w14:paraId="15D06FBB">
            <w:pPr>
              <w:spacing w:line="360" w:lineRule="exact"/>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排放量</w:t>
            </w:r>
            <w:r>
              <w:rPr>
                <w:rFonts w:hint="eastAsia" w:ascii="Times New Roman" w:hAnsi="Times New Roman" w:eastAsia="宋体" w:cs="Times New Roman"/>
                <w:b/>
                <w:bCs/>
                <w:color w:val="auto"/>
                <w:sz w:val="21"/>
                <w:szCs w:val="21"/>
                <w:highlight w:val="none"/>
                <w:lang w:eastAsia="zh-CN"/>
              </w:rPr>
              <w:t>（t/a）</w:t>
            </w:r>
          </w:p>
        </w:tc>
      </w:tr>
      <w:tr w14:paraId="191294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55" w:type="dxa"/>
            <w:vMerge w:val="restart"/>
            <w:tcBorders>
              <w:tl2br w:val="nil"/>
              <w:tr2bl w:val="nil"/>
            </w:tcBorders>
            <w:vAlign w:val="center"/>
          </w:tcPr>
          <w:p w14:paraId="5704C23C">
            <w:pPr>
              <w:spacing w:line="360" w:lineRule="exact"/>
              <w:ind w:firstLine="0" w:firstLineChars="0"/>
              <w:jc w:val="center"/>
              <w:rPr>
                <w:rFonts w:hint="default" w:ascii="Times New Roman" w:hAnsi="Times New Roman" w:eastAsia="宋体" w:cs="Times New Roman"/>
                <w:color w:val="auto"/>
                <w:sz w:val="21"/>
                <w:szCs w:val="21"/>
                <w:highlight w:val="none"/>
              </w:rPr>
            </w:pPr>
            <w:bookmarkStart w:id="482" w:name="_Hlk384899458"/>
            <w:r>
              <w:rPr>
                <w:rFonts w:hint="default" w:ascii="Times New Roman" w:hAnsi="Times New Roman" w:eastAsia="宋体" w:cs="Times New Roman"/>
                <w:color w:val="auto"/>
                <w:sz w:val="21"/>
                <w:szCs w:val="21"/>
                <w:highlight w:val="none"/>
              </w:rPr>
              <w:t>有组织</w:t>
            </w:r>
          </w:p>
        </w:tc>
        <w:tc>
          <w:tcPr>
            <w:tcW w:w="1967" w:type="dxa"/>
            <w:tcBorders>
              <w:tl2br w:val="nil"/>
              <w:tr2bl w:val="nil"/>
            </w:tcBorders>
            <w:vAlign w:val="center"/>
          </w:tcPr>
          <w:p w14:paraId="26CFD4DC">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0"/>
                <w:kern w:val="2"/>
                <w:sz w:val="21"/>
                <w:szCs w:val="21"/>
                <w:highlight w:val="none"/>
                <w:vertAlign w:val="baseline"/>
                <w:lang w:val="en-US" w:eastAsia="zh-CN" w:bidi="ar-SA"/>
              </w:rPr>
              <w:t>颗粒物</w:t>
            </w:r>
          </w:p>
        </w:tc>
        <w:tc>
          <w:tcPr>
            <w:tcW w:w="2816" w:type="dxa"/>
            <w:tcBorders>
              <w:tl2br w:val="nil"/>
              <w:tr2bl w:val="nil"/>
            </w:tcBorders>
            <w:vAlign w:val="center"/>
          </w:tcPr>
          <w:p w14:paraId="55FCEEB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392.63</w:t>
            </w:r>
          </w:p>
        </w:tc>
        <w:tc>
          <w:tcPr>
            <w:tcW w:w="3005" w:type="dxa"/>
            <w:tcBorders>
              <w:tl2br w:val="nil"/>
              <w:tr2bl w:val="nil"/>
            </w:tcBorders>
            <w:vAlign w:val="center"/>
          </w:tcPr>
          <w:p w14:paraId="4D6BDB7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3.668</w:t>
            </w:r>
          </w:p>
        </w:tc>
      </w:tr>
      <w:tr w14:paraId="435D94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55" w:type="dxa"/>
            <w:vMerge w:val="continue"/>
            <w:tcBorders>
              <w:tl2br w:val="nil"/>
              <w:tr2bl w:val="nil"/>
            </w:tcBorders>
            <w:vAlign w:val="center"/>
          </w:tcPr>
          <w:p w14:paraId="772F0321">
            <w:pPr>
              <w:spacing w:line="360" w:lineRule="exact"/>
              <w:ind w:firstLine="0" w:firstLineChars="0"/>
              <w:jc w:val="center"/>
              <w:rPr>
                <w:rFonts w:hint="default" w:ascii="Times New Roman" w:hAnsi="Times New Roman" w:eastAsia="宋体" w:cs="Times New Roman"/>
                <w:color w:val="auto"/>
                <w:sz w:val="21"/>
                <w:szCs w:val="21"/>
                <w:highlight w:val="none"/>
              </w:rPr>
            </w:pPr>
          </w:p>
        </w:tc>
        <w:tc>
          <w:tcPr>
            <w:tcW w:w="1967" w:type="dxa"/>
            <w:tcBorders>
              <w:tl2br w:val="nil"/>
              <w:tr2bl w:val="nil"/>
            </w:tcBorders>
            <w:vAlign w:val="center"/>
          </w:tcPr>
          <w:p w14:paraId="3C4EB1D4">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氟化物</w:t>
            </w:r>
          </w:p>
        </w:tc>
        <w:tc>
          <w:tcPr>
            <w:tcW w:w="2816" w:type="dxa"/>
            <w:tcBorders>
              <w:tl2br w:val="nil"/>
              <w:tr2bl w:val="nil"/>
            </w:tcBorders>
            <w:vAlign w:val="center"/>
          </w:tcPr>
          <w:p w14:paraId="70F638F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32.433</w:t>
            </w:r>
          </w:p>
        </w:tc>
        <w:tc>
          <w:tcPr>
            <w:tcW w:w="3005" w:type="dxa"/>
            <w:tcBorders>
              <w:tl2br w:val="nil"/>
              <w:tr2bl w:val="nil"/>
            </w:tcBorders>
            <w:vAlign w:val="center"/>
          </w:tcPr>
          <w:p w14:paraId="66A74D9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0.2918</w:t>
            </w:r>
          </w:p>
        </w:tc>
      </w:tr>
      <w:tr w14:paraId="32E5BE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55" w:type="dxa"/>
            <w:vMerge w:val="continue"/>
            <w:tcBorders>
              <w:tl2br w:val="nil"/>
              <w:tr2bl w:val="nil"/>
            </w:tcBorders>
            <w:vAlign w:val="center"/>
          </w:tcPr>
          <w:p w14:paraId="663C7A7A">
            <w:pPr>
              <w:spacing w:line="360" w:lineRule="exact"/>
              <w:ind w:firstLine="0" w:firstLineChars="0"/>
              <w:jc w:val="center"/>
              <w:rPr>
                <w:rFonts w:hint="default" w:ascii="Times New Roman" w:hAnsi="Times New Roman" w:eastAsia="宋体" w:cs="Times New Roman"/>
                <w:color w:val="auto"/>
                <w:sz w:val="21"/>
                <w:szCs w:val="21"/>
                <w:highlight w:val="none"/>
              </w:rPr>
            </w:pPr>
          </w:p>
        </w:tc>
        <w:tc>
          <w:tcPr>
            <w:tcW w:w="1967" w:type="dxa"/>
            <w:tcBorders>
              <w:tl2br w:val="nil"/>
              <w:tr2bl w:val="nil"/>
            </w:tcBorders>
            <w:vAlign w:val="center"/>
          </w:tcPr>
          <w:p w14:paraId="617F9AA0">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0"/>
                <w:kern w:val="2"/>
                <w:sz w:val="21"/>
                <w:szCs w:val="21"/>
                <w:highlight w:val="none"/>
                <w:vertAlign w:val="baseline"/>
                <w:lang w:val="en-US" w:eastAsia="zh-CN" w:bidi="ar-SA"/>
              </w:rPr>
              <w:t>二氧化硫</w:t>
            </w:r>
          </w:p>
        </w:tc>
        <w:tc>
          <w:tcPr>
            <w:tcW w:w="2816" w:type="dxa"/>
            <w:tcBorders>
              <w:tl2br w:val="nil"/>
              <w:tr2bl w:val="nil"/>
            </w:tcBorders>
            <w:vAlign w:val="center"/>
          </w:tcPr>
          <w:p w14:paraId="1877B70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20.93</w:t>
            </w:r>
          </w:p>
        </w:tc>
        <w:tc>
          <w:tcPr>
            <w:tcW w:w="3005" w:type="dxa"/>
            <w:tcBorders>
              <w:tl2br w:val="nil"/>
              <w:tr2bl w:val="nil"/>
            </w:tcBorders>
            <w:vAlign w:val="center"/>
          </w:tcPr>
          <w:p w14:paraId="06F09C6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2.093</w:t>
            </w:r>
          </w:p>
        </w:tc>
      </w:tr>
      <w:tr w14:paraId="5E87AB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55" w:type="dxa"/>
            <w:vMerge w:val="continue"/>
            <w:tcBorders>
              <w:tl2br w:val="nil"/>
              <w:tr2bl w:val="nil"/>
            </w:tcBorders>
            <w:vAlign w:val="center"/>
          </w:tcPr>
          <w:p w14:paraId="2897E49C">
            <w:pPr>
              <w:spacing w:line="360" w:lineRule="exact"/>
              <w:ind w:firstLine="0" w:firstLineChars="0"/>
              <w:jc w:val="center"/>
              <w:rPr>
                <w:rFonts w:hint="default" w:ascii="Times New Roman" w:hAnsi="Times New Roman" w:eastAsia="宋体" w:cs="Times New Roman"/>
                <w:color w:val="auto"/>
                <w:sz w:val="21"/>
                <w:szCs w:val="21"/>
                <w:highlight w:val="none"/>
              </w:rPr>
            </w:pPr>
          </w:p>
        </w:tc>
        <w:tc>
          <w:tcPr>
            <w:tcW w:w="1967" w:type="dxa"/>
            <w:tcBorders>
              <w:tl2br w:val="nil"/>
              <w:tr2bl w:val="nil"/>
            </w:tcBorders>
            <w:vAlign w:val="center"/>
          </w:tcPr>
          <w:p w14:paraId="1F11321A">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0"/>
                <w:kern w:val="2"/>
                <w:sz w:val="21"/>
                <w:szCs w:val="21"/>
                <w:highlight w:val="none"/>
                <w:vertAlign w:val="baseline"/>
                <w:lang w:val="en-US" w:eastAsia="zh-CN" w:bidi="ar-SA"/>
              </w:rPr>
              <w:t>氮氧化物</w:t>
            </w:r>
          </w:p>
        </w:tc>
        <w:tc>
          <w:tcPr>
            <w:tcW w:w="2816" w:type="dxa"/>
            <w:tcBorders>
              <w:tl2br w:val="nil"/>
              <w:tr2bl w:val="nil"/>
            </w:tcBorders>
            <w:vAlign w:val="center"/>
          </w:tcPr>
          <w:p w14:paraId="19BD85E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15.88</w:t>
            </w:r>
          </w:p>
        </w:tc>
        <w:tc>
          <w:tcPr>
            <w:tcW w:w="3005" w:type="dxa"/>
            <w:tcBorders>
              <w:tl2br w:val="nil"/>
              <w:tr2bl w:val="nil"/>
            </w:tcBorders>
            <w:vAlign w:val="center"/>
          </w:tcPr>
          <w:p w14:paraId="113A175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11.113</w:t>
            </w:r>
          </w:p>
        </w:tc>
      </w:tr>
      <w:tr w14:paraId="3B4015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55" w:type="dxa"/>
            <w:vMerge w:val="continue"/>
            <w:tcBorders>
              <w:tl2br w:val="nil"/>
              <w:tr2bl w:val="nil"/>
            </w:tcBorders>
            <w:vAlign w:val="center"/>
          </w:tcPr>
          <w:p w14:paraId="242FDC6F">
            <w:pPr>
              <w:spacing w:line="360" w:lineRule="exact"/>
              <w:ind w:firstLine="0" w:firstLineChars="0"/>
              <w:jc w:val="center"/>
              <w:rPr>
                <w:rFonts w:hint="default" w:ascii="Times New Roman" w:hAnsi="Times New Roman" w:eastAsia="宋体" w:cs="Times New Roman"/>
                <w:color w:val="auto"/>
                <w:sz w:val="21"/>
                <w:szCs w:val="21"/>
                <w:highlight w:val="none"/>
              </w:rPr>
            </w:pPr>
          </w:p>
        </w:tc>
        <w:tc>
          <w:tcPr>
            <w:tcW w:w="1967" w:type="dxa"/>
            <w:tcBorders>
              <w:tl2br w:val="nil"/>
              <w:tr2bl w:val="nil"/>
            </w:tcBorders>
            <w:vAlign w:val="center"/>
          </w:tcPr>
          <w:p w14:paraId="6281902F">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0"/>
                <w:kern w:val="2"/>
                <w:sz w:val="21"/>
                <w:szCs w:val="21"/>
                <w:highlight w:val="none"/>
                <w:vertAlign w:val="baseline"/>
                <w:lang w:val="en-US" w:eastAsia="zh-CN" w:bidi="ar-SA"/>
              </w:rPr>
              <w:t>汞及其化合物</w:t>
            </w:r>
          </w:p>
        </w:tc>
        <w:tc>
          <w:tcPr>
            <w:tcW w:w="2816" w:type="dxa"/>
            <w:tcBorders>
              <w:tl2br w:val="nil"/>
              <w:tr2bl w:val="nil"/>
            </w:tcBorders>
            <w:vAlign w:val="center"/>
          </w:tcPr>
          <w:p w14:paraId="196114A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9.21</w:t>
            </w: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vertAlign w:val="superscript"/>
                <w:lang w:val="en-US" w:eastAsia="zh-CN"/>
              </w:rPr>
              <w:t>-4</w:t>
            </w:r>
          </w:p>
        </w:tc>
        <w:tc>
          <w:tcPr>
            <w:tcW w:w="3005" w:type="dxa"/>
            <w:tcBorders>
              <w:tl2br w:val="nil"/>
              <w:tr2bl w:val="nil"/>
            </w:tcBorders>
            <w:vAlign w:val="center"/>
          </w:tcPr>
          <w:p w14:paraId="78B7074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2.76</w:t>
            </w: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vertAlign w:val="superscript"/>
                <w:lang w:val="en-US" w:eastAsia="zh-CN"/>
              </w:rPr>
              <w:t>-4</w:t>
            </w:r>
          </w:p>
        </w:tc>
      </w:tr>
      <w:bookmarkEnd w:id="482"/>
      <w:tr w14:paraId="4F72CA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55" w:type="dxa"/>
            <w:vMerge w:val="restart"/>
            <w:tcBorders>
              <w:tl2br w:val="nil"/>
              <w:tr2bl w:val="nil"/>
            </w:tcBorders>
            <w:vAlign w:val="center"/>
          </w:tcPr>
          <w:p w14:paraId="675B7011">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c>
          <w:tcPr>
            <w:tcW w:w="1967" w:type="dxa"/>
            <w:tcBorders>
              <w:tl2br w:val="nil"/>
              <w:tr2bl w:val="nil"/>
            </w:tcBorders>
            <w:vAlign w:val="center"/>
          </w:tcPr>
          <w:p w14:paraId="6CCD7867">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2816" w:type="dxa"/>
            <w:tcBorders>
              <w:tl2br w:val="nil"/>
              <w:tr2bl w:val="nil"/>
            </w:tcBorders>
            <w:vAlign w:val="center"/>
          </w:tcPr>
          <w:p w14:paraId="1693116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38.4744</w:t>
            </w:r>
          </w:p>
        </w:tc>
        <w:tc>
          <w:tcPr>
            <w:tcW w:w="3005" w:type="dxa"/>
            <w:tcBorders>
              <w:tl2br w:val="nil"/>
              <w:tr2bl w:val="nil"/>
            </w:tcBorders>
            <w:vAlign w:val="center"/>
          </w:tcPr>
          <w:p w14:paraId="3D1B5DD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5.1144</w:t>
            </w:r>
          </w:p>
        </w:tc>
      </w:tr>
      <w:tr w14:paraId="371BA7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55" w:type="dxa"/>
            <w:vMerge w:val="continue"/>
            <w:tcBorders>
              <w:tl2br w:val="nil"/>
              <w:tr2bl w:val="nil"/>
            </w:tcBorders>
            <w:vAlign w:val="center"/>
          </w:tcPr>
          <w:p w14:paraId="1469554A">
            <w:pPr>
              <w:spacing w:line="360" w:lineRule="exact"/>
              <w:ind w:firstLine="0" w:firstLineChars="0"/>
              <w:jc w:val="center"/>
              <w:rPr>
                <w:rFonts w:hint="default" w:ascii="Times New Roman" w:hAnsi="Times New Roman" w:eastAsia="宋体" w:cs="Times New Roman"/>
                <w:color w:val="auto"/>
                <w:sz w:val="21"/>
                <w:szCs w:val="21"/>
                <w:highlight w:val="none"/>
              </w:rPr>
            </w:pPr>
          </w:p>
        </w:tc>
        <w:tc>
          <w:tcPr>
            <w:tcW w:w="1967" w:type="dxa"/>
            <w:tcBorders>
              <w:tl2br w:val="nil"/>
              <w:tr2bl w:val="nil"/>
            </w:tcBorders>
            <w:vAlign w:val="center"/>
          </w:tcPr>
          <w:p w14:paraId="48BDB4EE">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氟化物</w:t>
            </w:r>
          </w:p>
        </w:tc>
        <w:tc>
          <w:tcPr>
            <w:tcW w:w="2816" w:type="dxa"/>
            <w:tcBorders>
              <w:tl2br w:val="nil"/>
              <w:tr2bl w:val="nil"/>
            </w:tcBorders>
            <w:vAlign w:val="center"/>
          </w:tcPr>
          <w:p w14:paraId="76D0E33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3.24</w:t>
            </w:r>
          </w:p>
        </w:tc>
        <w:tc>
          <w:tcPr>
            <w:tcW w:w="3005" w:type="dxa"/>
            <w:tcBorders>
              <w:tl2br w:val="nil"/>
              <w:tr2bl w:val="nil"/>
            </w:tcBorders>
            <w:vAlign w:val="center"/>
          </w:tcPr>
          <w:p w14:paraId="7D39E45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0.32</w:t>
            </w:r>
          </w:p>
        </w:tc>
      </w:tr>
      <w:tr w14:paraId="227BF2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55" w:type="dxa"/>
            <w:vMerge w:val="continue"/>
            <w:tcBorders>
              <w:tl2br w:val="nil"/>
              <w:tr2bl w:val="nil"/>
            </w:tcBorders>
            <w:vAlign w:val="center"/>
          </w:tcPr>
          <w:p w14:paraId="1F81115C">
            <w:pPr>
              <w:widowControl/>
              <w:spacing w:line="240" w:lineRule="auto"/>
              <w:ind w:firstLine="0" w:firstLineChars="0"/>
              <w:jc w:val="left"/>
              <w:rPr>
                <w:rFonts w:hint="default" w:ascii="Times New Roman" w:hAnsi="Times New Roman" w:eastAsia="宋体" w:cs="Times New Roman"/>
                <w:color w:val="auto"/>
                <w:sz w:val="21"/>
                <w:szCs w:val="21"/>
                <w:highlight w:val="none"/>
              </w:rPr>
            </w:pPr>
          </w:p>
        </w:tc>
        <w:tc>
          <w:tcPr>
            <w:tcW w:w="1967" w:type="dxa"/>
            <w:tcBorders>
              <w:tl2br w:val="nil"/>
              <w:tr2bl w:val="nil"/>
            </w:tcBorders>
            <w:vAlign w:val="center"/>
          </w:tcPr>
          <w:p w14:paraId="36D9B6F6">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w:t>
            </w:r>
          </w:p>
        </w:tc>
        <w:tc>
          <w:tcPr>
            <w:tcW w:w="2816" w:type="dxa"/>
            <w:tcBorders>
              <w:tl2br w:val="nil"/>
              <w:tr2bl w:val="nil"/>
            </w:tcBorders>
            <w:vAlign w:val="center"/>
          </w:tcPr>
          <w:p w14:paraId="0F371F8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0.792</w:t>
            </w:r>
          </w:p>
        </w:tc>
        <w:tc>
          <w:tcPr>
            <w:tcW w:w="3005" w:type="dxa"/>
            <w:tcBorders>
              <w:tl2br w:val="nil"/>
              <w:tr2bl w:val="nil"/>
            </w:tcBorders>
            <w:vAlign w:val="center"/>
          </w:tcPr>
          <w:p w14:paraId="0CA1F3E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0.792</w:t>
            </w:r>
          </w:p>
        </w:tc>
      </w:tr>
      <w:tr w14:paraId="16AB9F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55" w:type="dxa"/>
            <w:vMerge w:val="continue"/>
            <w:tcBorders>
              <w:tl2br w:val="nil"/>
              <w:tr2bl w:val="nil"/>
            </w:tcBorders>
            <w:vAlign w:val="center"/>
          </w:tcPr>
          <w:p w14:paraId="1BC77D28">
            <w:pPr>
              <w:widowControl/>
              <w:spacing w:line="240" w:lineRule="auto"/>
              <w:ind w:firstLine="0" w:firstLineChars="0"/>
              <w:jc w:val="left"/>
              <w:rPr>
                <w:rFonts w:hint="default" w:ascii="Times New Roman" w:hAnsi="Times New Roman" w:eastAsia="宋体" w:cs="Times New Roman"/>
                <w:color w:val="auto"/>
                <w:sz w:val="21"/>
                <w:szCs w:val="21"/>
                <w:highlight w:val="none"/>
              </w:rPr>
            </w:pPr>
          </w:p>
        </w:tc>
        <w:tc>
          <w:tcPr>
            <w:tcW w:w="1967" w:type="dxa"/>
            <w:tcBorders>
              <w:tl2br w:val="nil"/>
              <w:tr2bl w:val="nil"/>
            </w:tcBorders>
            <w:vAlign w:val="center"/>
          </w:tcPr>
          <w:p w14:paraId="7CC6738F">
            <w:pPr>
              <w:spacing w:line="36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w:t>
            </w:r>
            <w:r>
              <w:rPr>
                <w:rFonts w:hint="default" w:ascii="Times New Roman" w:hAnsi="Times New Roman" w:eastAsia="宋体" w:cs="Times New Roman"/>
                <w:color w:val="auto"/>
                <w:sz w:val="21"/>
                <w:szCs w:val="21"/>
                <w:highlight w:val="none"/>
                <w:vertAlign w:val="subscript"/>
              </w:rPr>
              <w:t>n</w:t>
            </w: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vertAlign w:val="subscript"/>
              </w:rPr>
              <w:t>m</w:t>
            </w:r>
          </w:p>
        </w:tc>
        <w:tc>
          <w:tcPr>
            <w:tcW w:w="2816" w:type="dxa"/>
            <w:tcBorders>
              <w:tl2br w:val="nil"/>
              <w:tr2bl w:val="nil"/>
            </w:tcBorders>
            <w:vAlign w:val="center"/>
          </w:tcPr>
          <w:p w14:paraId="2CFE3E8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0.126</w:t>
            </w:r>
          </w:p>
        </w:tc>
        <w:tc>
          <w:tcPr>
            <w:tcW w:w="3005" w:type="dxa"/>
            <w:tcBorders>
              <w:tl2br w:val="nil"/>
              <w:tr2bl w:val="nil"/>
            </w:tcBorders>
            <w:vAlign w:val="center"/>
          </w:tcPr>
          <w:p w14:paraId="5A56067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0.126</w:t>
            </w:r>
          </w:p>
        </w:tc>
      </w:tr>
      <w:tr w14:paraId="4FB4EE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55" w:type="dxa"/>
            <w:vMerge w:val="continue"/>
            <w:tcBorders>
              <w:tl2br w:val="nil"/>
              <w:tr2bl w:val="nil"/>
            </w:tcBorders>
            <w:vAlign w:val="center"/>
          </w:tcPr>
          <w:p w14:paraId="540A5F64">
            <w:pPr>
              <w:widowControl/>
              <w:spacing w:line="240" w:lineRule="auto"/>
              <w:ind w:firstLine="0" w:firstLineChars="0"/>
              <w:jc w:val="left"/>
              <w:rPr>
                <w:rFonts w:hint="default" w:ascii="Times New Roman" w:hAnsi="Times New Roman" w:eastAsia="宋体" w:cs="Times New Roman"/>
                <w:color w:val="auto"/>
                <w:sz w:val="21"/>
                <w:szCs w:val="21"/>
                <w:highlight w:val="none"/>
              </w:rPr>
            </w:pPr>
          </w:p>
        </w:tc>
        <w:tc>
          <w:tcPr>
            <w:tcW w:w="1967" w:type="dxa"/>
            <w:tcBorders>
              <w:tl2br w:val="nil"/>
              <w:tr2bl w:val="nil"/>
            </w:tcBorders>
            <w:vAlign w:val="center"/>
          </w:tcPr>
          <w:p w14:paraId="3E6620E5">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lang w:val="en-US" w:eastAsia="zh-CN"/>
              </w:rPr>
              <w:t>x</w:t>
            </w:r>
          </w:p>
        </w:tc>
        <w:tc>
          <w:tcPr>
            <w:tcW w:w="2816" w:type="dxa"/>
            <w:tcBorders>
              <w:tl2br w:val="nil"/>
              <w:tr2bl w:val="nil"/>
            </w:tcBorders>
            <w:vAlign w:val="center"/>
          </w:tcPr>
          <w:p w14:paraId="16893B5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0.026</w:t>
            </w:r>
          </w:p>
        </w:tc>
        <w:tc>
          <w:tcPr>
            <w:tcW w:w="3005" w:type="dxa"/>
            <w:tcBorders>
              <w:tl2br w:val="nil"/>
              <w:tr2bl w:val="nil"/>
            </w:tcBorders>
            <w:vAlign w:val="center"/>
          </w:tcPr>
          <w:p w14:paraId="3AC2F5E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0.026</w:t>
            </w:r>
          </w:p>
        </w:tc>
      </w:tr>
    </w:tbl>
    <w:p w14:paraId="3EAA570B">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.2.2水污染源</w:t>
      </w:r>
    </w:p>
    <w:p w14:paraId="5C9181BA">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项目运营期废水主要</w:t>
      </w:r>
      <w:r>
        <w:rPr>
          <w:rFonts w:hint="default" w:ascii="Times New Roman" w:hAnsi="Times New Roman" w:cs="Times New Roman"/>
          <w:color w:val="auto"/>
          <w:highlight w:val="none"/>
        </w:rPr>
        <w:t>为选矿工艺产生的选矿废水、办公生活区产生的少量生活污水、锅炉房废水（包括锅炉排污水、软水系统废水</w:t>
      </w:r>
      <w:r>
        <w:rPr>
          <w:rFonts w:hint="eastAsia" w:cs="Times New Roman"/>
          <w:color w:val="auto"/>
          <w:highlight w:val="none"/>
          <w:lang w:eastAsia="zh-CN"/>
        </w:rPr>
        <w:t>、</w:t>
      </w:r>
      <w:r>
        <w:rPr>
          <w:rFonts w:hint="eastAsia" w:cs="Times New Roman"/>
          <w:color w:val="auto"/>
          <w:highlight w:val="none"/>
          <w:lang w:val="en-US" w:eastAsia="zh-CN"/>
        </w:rPr>
        <w:t>脱硫废水</w:t>
      </w:r>
      <w:r>
        <w:rPr>
          <w:rFonts w:hint="default" w:ascii="Times New Roman" w:hAnsi="Times New Roman" w:cs="Times New Roman"/>
          <w:color w:val="auto"/>
          <w:highlight w:val="none"/>
        </w:rPr>
        <w:t>）</w:t>
      </w:r>
    </w:p>
    <w:p w14:paraId="120CCB49">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（1）选矿废水</w:t>
      </w:r>
    </w:p>
    <w:p w14:paraId="6928882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本项目运营期选矿废水产生于选矿过程中，选矿废水量约为</w:t>
      </w:r>
      <w:r>
        <w:rPr>
          <w:rFonts w:hint="eastAsia" w:cs="Times New Roman"/>
          <w:color w:val="auto"/>
          <w:highlight w:val="none"/>
          <w:lang w:val="en-US" w:eastAsia="zh-CN"/>
        </w:rPr>
        <w:t>1554</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kern w:val="0"/>
          <w:highlight w:val="none"/>
        </w:rPr>
        <w:t>主要污染因子为pH、COD、SS</w:t>
      </w:r>
      <w:r>
        <w:rPr>
          <w:rFonts w:hint="eastAsia" w:cs="Times New Roman"/>
          <w:color w:val="auto"/>
          <w:kern w:val="0"/>
          <w:highlight w:val="none"/>
          <w:lang w:eastAsia="zh-CN"/>
        </w:rPr>
        <w:t>、</w:t>
      </w:r>
      <w:r>
        <w:rPr>
          <w:rFonts w:hint="eastAsia" w:cs="Times New Roman"/>
          <w:color w:val="auto"/>
          <w:kern w:val="0"/>
          <w:highlight w:val="none"/>
          <w:lang w:val="en-US" w:eastAsia="zh-CN"/>
        </w:rPr>
        <w:t>氟化物</w:t>
      </w:r>
      <w:r>
        <w:rPr>
          <w:rFonts w:hint="default" w:ascii="Times New Roman" w:hAnsi="Times New Roman" w:cs="Times New Roman"/>
          <w:color w:val="auto"/>
          <w:kern w:val="0"/>
          <w:highlight w:val="none"/>
        </w:rPr>
        <w:t>及少量</w:t>
      </w:r>
      <w:r>
        <w:rPr>
          <w:rFonts w:hint="eastAsia" w:cs="Times New Roman"/>
          <w:color w:val="auto"/>
          <w:kern w:val="0"/>
          <w:highlight w:val="none"/>
          <w:lang w:val="en-US" w:eastAsia="zh-CN"/>
        </w:rPr>
        <w:t>非</w:t>
      </w:r>
      <w:r>
        <w:rPr>
          <w:rFonts w:hint="default" w:ascii="Times New Roman" w:hAnsi="Times New Roman" w:cs="Times New Roman"/>
          <w:color w:val="auto"/>
          <w:kern w:val="0"/>
          <w:highlight w:val="none"/>
        </w:rPr>
        <w:t>金属等</w:t>
      </w:r>
      <w:r>
        <w:rPr>
          <w:rFonts w:hint="default" w:ascii="Times New Roman" w:hAnsi="Times New Roman" w:cs="Times New Roman"/>
          <w:color w:val="auto"/>
          <w:highlight w:val="none"/>
        </w:rPr>
        <w:t>。选矿废水部分被</w:t>
      </w:r>
      <w:r>
        <w:rPr>
          <w:rFonts w:hint="default" w:ascii="Times New Roman" w:hAnsi="Times New Roman" w:cs="Times New Roman"/>
          <w:color w:val="auto"/>
          <w:highlight w:val="none"/>
          <w:lang w:eastAsia="zh-CN"/>
        </w:rPr>
        <w:t>萤石</w:t>
      </w:r>
      <w:r>
        <w:rPr>
          <w:rFonts w:hint="default" w:ascii="Times New Roman" w:hAnsi="Times New Roman" w:cs="Times New Roman"/>
          <w:color w:val="auto"/>
          <w:highlight w:val="none"/>
        </w:rPr>
        <w:t>精</w:t>
      </w:r>
      <w:r>
        <w:rPr>
          <w:rFonts w:hint="default" w:ascii="Times New Roman" w:hAnsi="Times New Roman" w:cs="Times New Roman"/>
          <w:color w:val="auto"/>
          <w:highlight w:val="none"/>
          <w:lang w:eastAsia="zh-CN"/>
        </w:rPr>
        <w:t>矿</w:t>
      </w:r>
      <w:r>
        <w:rPr>
          <w:rFonts w:hint="default" w:ascii="Times New Roman" w:hAnsi="Times New Roman" w:cs="Times New Roman"/>
          <w:color w:val="auto"/>
          <w:highlight w:val="none"/>
        </w:rPr>
        <w:t>带走，</w:t>
      </w:r>
      <w:r>
        <w:rPr>
          <w:rFonts w:hint="default" w:ascii="Times New Roman" w:hAnsi="Times New Roman" w:cs="Times New Roman"/>
          <w:color w:val="auto"/>
          <w:highlight w:val="none"/>
          <w:lang w:eastAsia="zh-CN"/>
        </w:rPr>
        <w:t>精矿压滤</w:t>
      </w:r>
      <w:r>
        <w:rPr>
          <w:rFonts w:hint="default" w:ascii="Times New Roman" w:hAnsi="Times New Roman" w:cs="Times New Roman"/>
          <w:color w:val="auto"/>
          <w:highlight w:val="none"/>
        </w:rPr>
        <w:t>水、尾矿浓缩溢流水返回生产工序循环利用，尾矿矿浆通过管道输送至尾矿库，尾矿库设有回水系统，使用水泵将库内澄清水通过管道泵送至选矿厂生产回水池，供选矿循环使用，实现生产废水</w:t>
      </w:r>
      <w:r>
        <w:rPr>
          <w:rFonts w:hint="eastAsia" w:cs="Times New Roman"/>
          <w:color w:val="auto"/>
          <w:highlight w:val="none"/>
          <w:lang w:eastAsia="zh-CN"/>
        </w:rPr>
        <w:t>“</w:t>
      </w:r>
      <w:r>
        <w:rPr>
          <w:rFonts w:hint="default" w:ascii="Times New Roman" w:hAnsi="Times New Roman" w:cs="Times New Roman"/>
          <w:color w:val="auto"/>
          <w:highlight w:val="none"/>
        </w:rPr>
        <w:t>闭路循环</w:t>
      </w:r>
      <w:r>
        <w:rPr>
          <w:rFonts w:hint="eastAsia" w:cs="Times New Roman"/>
          <w:color w:val="auto"/>
          <w:highlight w:val="none"/>
          <w:lang w:eastAsia="zh-CN"/>
        </w:rPr>
        <w:t>”</w:t>
      </w:r>
      <w:r>
        <w:rPr>
          <w:rFonts w:hint="default" w:ascii="Times New Roman" w:hAnsi="Times New Roman" w:cs="Times New Roman"/>
          <w:color w:val="auto"/>
          <w:highlight w:val="none"/>
        </w:rPr>
        <w:t>，不外排。</w:t>
      </w:r>
    </w:p>
    <w:p w14:paraId="5B9C1B6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r>
        <w:rPr>
          <w:rFonts w:hint="default" w:ascii="Times New Roman" w:hAnsi="Times New Roman" w:cs="Times New Roman"/>
          <w:color w:val="auto"/>
          <w:kern w:val="0"/>
          <w:highlight w:val="none"/>
        </w:rPr>
        <w:t>生活污水</w:t>
      </w:r>
    </w:p>
    <w:p w14:paraId="2CF710D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生活污水主要为洗浴、食堂、卫生间以及洗衣等产生的，属于一般性生活污水，主要污染物为SS、BOD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、COD、氨氮及动植物油等，</w:t>
      </w:r>
      <w:r>
        <w:rPr>
          <w:rFonts w:hint="default" w:ascii="Times New Roman" w:hAnsi="Times New Roman" w:cs="Times New Roman"/>
          <w:color w:val="auto"/>
          <w:highlight w:val="none"/>
          <w:lang w:eastAsia="zh-CN"/>
        </w:rPr>
        <w:t>新增工作人员</w:t>
      </w:r>
      <w:r>
        <w:rPr>
          <w:rFonts w:hint="default" w:ascii="Times New Roman" w:hAnsi="Times New Roman" w:cs="Times New Roman"/>
          <w:color w:val="auto"/>
          <w:highlight w:val="none"/>
        </w:rPr>
        <w:t>生活污水产生量为</w:t>
      </w:r>
      <w:r>
        <w:rPr>
          <w:rFonts w:hint="eastAsia" w:cs="Times New Roman"/>
          <w:color w:val="auto"/>
          <w:highlight w:val="none"/>
          <w:lang w:val="en-US" w:eastAsia="zh-CN"/>
        </w:rPr>
        <w:t>6.12</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/d。生活污水污染物浓度及产生量为SS：220mg/L（</w:t>
      </w:r>
      <w:r>
        <w:rPr>
          <w:rFonts w:hint="eastAsia" w:cs="Times New Roman"/>
          <w:color w:val="auto"/>
          <w:highlight w:val="none"/>
          <w:lang w:val="en-US" w:eastAsia="zh-CN"/>
        </w:rPr>
        <w:t>0.40</w:t>
      </w:r>
      <w:r>
        <w:rPr>
          <w:rFonts w:hint="default" w:ascii="Times New Roman" w:hAnsi="Times New Roman" w:cs="Times New Roman"/>
          <w:color w:val="auto"/>
          <w:highlight w:val="none"/>
        </w:rPr>
        <w:t>t/a）、COD：300mg/L（</w:t>
      </w:r>
      <w:r>
        <w:rPr>
          <w:rFonts w:hint="eastAsia" w:cs="Times New Roman"/>
          <w:color w:val="auto"/>
          <w:highlight w:val="none"/>
          <w:lang w:val="en-US" w:eastAsia="zh-CN"/>
        </w:rPr>
        <w:t>0.55</w:t>
      </w:r>
      <w:r>
        <w:rPr>
          <w:rFonts w:hint="default" w:ascii="Times New Roman" w:hAnsi="Times New Roman" w:cs="Times New Roman"/>
          <w:color w:val="auto"/>
          <w:highlight w:val="none"/>
        </w:rPr>
        <w:t>t/a）、BOD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：200mg/L（</w:t>
      </w:r>
      <w:r>
        <w:rPr>
          <w:rFonts w:hint="eastAsia" w:cs="Times New Roman"/>
          <w:color w:val="auto"/>
          <w:highlight w:val="none"/>
          <w:lang w:val="en-US" w:eastAsia="zh-CN"/>
        </w:rPr>
        <w:t>0.37</w:t>
      </w:r>
      <w:r>
        <w:rPr>
          <w:rFonts w:hint="default" w:ascii="Times New Roman" w:hAnsi="Times New Roman" w:cs="Times New Roman"/>
          <w:color w:val="auto"/>
          <w:highlight w:val="none"/>
        </w:rPr>
        <w:t>t/a）、氨氮：30mg/L（</w:t>
      </w:r>
      <w:r>
        <w:rPr>
          <w:rFonts w:hint="eastAsia" w:cs="Times New Roman"/>
          <w:color w:val="auto"/>
          <w:highlight w:val="none"/>
          <w:lang w:val="en-US" w:eastAsia="zh-CN"/>
        </w:rPr>
        <w:t>0.6</w:t>
      </w:r>
      <w:r>
        <w:rPr>
          <w:rFonts w:hint="default" w:ascii="Times New Roman" w:hAnsi="Times New Roman" w:cs="Times New Roman"/>
          <w:color w:val="auto"/>
          <w:highlight w:val="none"/>
        </w:rPr>
        <w:t>t/a）、动植物油100mg/L（</w:t>
      </w:r>
      <w:r>
        <w:rPr>
          <w:rFonts w:hint="eastAsia" w:cs="Times New Roman"/>
          <w:color w:val="auto"/>
          <w:highlight w:val="none"/>
          <w:lang w:val="en-US" w:eastAsia="zh-CN"/>
        </w:rPr>
        <w:t>0.18</w:t>
      </w:r>
      <w:r>
        <w:rPr>
          <w:rFonts w:hint="default" w:ascii="Times New Roman" w:hAnsi="Times New Roman" w:cs="Times New Roman"/>
          <w:color w:val="auto"/>
          <w:highlight w:val="none"/>
        </w:rPr>
        <w:t>t/a）。本项目生活污水排入</w:t>
      </w:r>
      <w:r>
        <w:rPr>
          <w:rFonts w:hint="eastAsia" w:cs="Times New Roman"/>
          <w:color w:val="auto"/>
          <w:highlight w:val="none"/>
          <w:lang w:val="en-US" w:eastAsia="zh-CN"/>
        </w:rPr>
        <w:t>化粪池定期清运至</w:t>
      </w:r>
      <w:r>
        <w:rPr>
          <w:rFonts w:hint="default" w:ascii="Times New Roman" w:hAnsi="Times New Roman" w:cs="Times New Roman"/>
          <w:color w:val="auto"/>
          <w:highlight w:val="none"/>
        </w:rPr>
        <w:t>哈密市污水处理厂，不外排。</w:t>
      </w:r>
    </w:p>
    <w:p w14:paraId="4580D21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（3）锅炉房废水</w:t>
      </w:r>
    </w:p>
    <w:p w14:paraId="73A7F7D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锅炉房废水包括锅炉排污水、软水废水</w:t>
      </w:r>
      <w:r>
        <w:rPr>
          <w:rFonts w:hint="eastAsia" w:cs="Times New Roman"/>
          <w:color w:val="auto"/>
          <w:highlight w:val="none"/>
          <w:lang w:val="en-US" w:eastAsia="zh-CN"/>
        </w:rPr>
        <w:t>及脱硫废水</w:t>
      </w:r>
      <w:r>
        <w:rPr>
          <w:rFonts w:hint="default" w:ascii="Times New Roman" w:hAnsi="Times New Roman" w:cs="Times New Roman"/>
          <w:color w:val="auto"/>
          <w:highlight w:val="none"/>
        </w:rPr>
        <w:t>，废水量约</w:t>
      </w:r>
      <w:r>
        <w:rPr>
          <w:rFonts w:hint="eastAsia" w:cs="Times New Roman"/>
          <w:color w:val="auto"/>
          <w:highlight w:val="none"/>
          <w:lang w:val="en-US" w:eastAsia="zh-CN"/>
        </w:rPr>
        <w:t>49.2</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eastAsia" w:cs="Times New Roman"/>
          <w:color w:val="auto"/>
          <w:highlight w:val="none"/>
          <w:lang w:val="en-US" w:eastAsia="zh-CN"/>
        </w:rPr>
        <w:t>锅炉房废水</w:t>
      </w:r>
      <w:r>
        <w:rPr>
          <w:rFonts w:hint="default" w:ascii="Times New Roman" w:hAnsi="Times New Roman" w:cs="Times New Roman"/>
          <w:color w:val="auto"/>
          <w:highlight w:val="none"/>
        </w:rPr>
        <w:t>经沉淀池沉淀、中和处理后上清液回用选矿生产工序循环使用。</w:t>
      </w:r>
    </w:p>
    <w:p w14:paraId="369FA214">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.2.3噪声</w:t>
      </w:r>
    </w:p>
    <w:p w14:paraId="1AAE0BFA">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本项目运营期的主要设备有</w:t>
      </w:r>
      <w:r>
        <w:rPr>
          <w:rFonts w:hint="default" w:ascii="Times New Roman" w:hAnsi="Times New Roman" w:cs="Times New Roman"/>
          <w:color w:val="auto"/>
          <w:kern w:val="0"/>
          <w:highlight w:val="none"/>
          <w:lang w:eastAsia="zh-CN"/>
        </w:rPr>
        <w:t>破碎机、振动筛、</w:t>
      </w:r>
      <w:r>
        <w:rPr>
          <w:rFonts w:hint="default" w:ascii="Times New Roman" w:hAnsi="Times New Roman" w:cs="Times New Roman"/>
          <w:color w:val="auto"/>
          <w:kern w:val="0"/>
          <w:highlight w:val="none"/>
        </w:rPr>
        <w:t>球磨机、</w:t>
      </w:r>
      <w:r>
        <w:rPr>
          <w:rFonts w:hint="default" w:ascii="Times New Roman" w:hAnsi="Times New Roman" w:cs="Times New Roman"/>
          <w:color w:val="auto"/>
          <w:kern w:val="0"/>
          <w:highlight w:val="none"/>
          <w:lang w:eastAsia="zh-CN"/>
        </w:rPr>
        <w:t>风机</w:t>
      </w:r>
      <w:r>
        <w:rPr>
          <w:rFonts w:hint="default" w:ascii="Times New Roman" w:hAnsi="Times New Roman" w:cs="Times New Roman"/>
          <w:color w:val="auto"/>
          <w:kern w:val="0"/>
          <w:highlight w:val="none"/>
        </w:rPr>
        <w:t>及水泵等，噪声源的声压级及防治措施见表3.</w:t>
      </w:r>
      <w:r>
        <w:rPr>
          <w:rFonts w:hint="default" w:ascii="Times New Roman" w:hAnsi="Times New Roman" w:cs="Times New Roman"/>
          <w:color w:val="auto"/>
          <w:kern w:val="0"/>
          <w:highlight w:val="none"/>
          <w:lang w:val="en-US" w:eastAsia="zh-CN"/>
        </w:rPr>
        <w:t>3</w:t>
      </w:r>
      <w:r>
        <w:rPr>
          <w:rFonts w:hint="default" w:ascii="Times New Roman" w:hAnsi="Times New Roman" w:cs="Times New Roman"/>
          <w:color w:val="auto"/>
          <w:kern w:val="0"/>
          <w:highlight w:val="none"/>
        </w:rPr>
        <w:t>-11。</w:t>
      </w:r>
    </w:p>
    <w:p w14:paraId="51AF60BE">
      <w:pPr>
        <w:ind w:firstLine="0" w:firstLineChars="0"/>
        <w:jc w:val="center"/>
        <w:rPr>
          <w:color w:val="auto"/>
          <w:highlight w:val="none"/>
        </w:rPr>
      </w:pPr>
      <w:r>
        <w:rPr>
          <w:rFonts w:hint="default" w:ascii="Times New Roman" w:hAnsi="Times New Roman" w:cs="Times New Roman"/>
          <w:b/>
          <w:color w:val="auto"/>
          <w:kern w:val="0"/>
          <w:highlight w:val="none"/>
        </w:rPr>
        <w:t>表3.</w:t>
      </w:r>
      <w:r>
        <w:rPr>
          <w:rFonts w:hint="default" w:ascii="Times New Roman" w:hAnsi="Times New Roman" w:cs="Times New Roman"/>
          <w:b/>
          <w:color w:val="auto"/>
          <w:kern w:val="0"/>
          <w:highlight w:val="none"/>
          <w:lang w:val="en-US" w:eastAsia="zh-CN"/>
        </w:rPr>
        <w:t>3</w:t>
      </w:r>
      <w:r>
        <w:rPr>
          <w:rFonts w:hint="default" w:ascii="Times New Roman" w:hAnsi="Times New Roman" w:cs="Times New Roman"/>
          <w:b/>
          <w:color w:val="auto"/>
          <w:kern w:val="0"/>
          <w:highlight w:val="none"/>
        </w:rPr>
        <w:t>-11    主要噪声源噪声级及采取的措施</w:t>
      </w:r>
    </w:p>
    <w:tbl>
      <w:tblPr>
        <w:tblStyle w:val="33"/>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27"/>
        <w:gridCol w:w="614"/>
        <w:gridCol w:w="601"/>
        <w:gridCol w:w="601"/>
        <w:gridCol w:w="357"/>
        <w:gridCol w:w="427"/>
        <w:gridCol w:w="790"/>
        <w:gridCol w:w="1176"/>
        <w:gridCol w:w="790"/>
        <w:gridCol w:w="466"/>
        <w:gridCol w:w="790"/>
        <w:gridCol w:w="427"/>
        <w:gridCol w:w="790"/>
        <w:gridCol w:w="485"/>
      </w:tblGrid>
      <w:tr w14:paraId="3A766F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5" w:hRule="atLeast"/>
          <w:tblHeader/>
          <w:jc w:val="center"/>
        </w:trPr>
        <w:tc>
          <w:tcPr>
            <w:tcW w:w="194" w:type="pct"/>
            <w:vMerge w:val="restart"/>
            <w:tcBorders>
              <w:tl2br w:val="nil"/>
              <w:tr2bl w:val="nil"/>
            </w:tcBorders>
            <w:noWrap w:val="0"/>
            <w:vAlign w:val="center"/>
          </w:tcPr>
          <w:p w14:paraId="23C7E0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序号</w:t>
            </w:r>
          </w:p>
        </w:tc>
        <w:tc>
          <w:tcPr>
            <w:tcW w:w="238" w:type="pct"/>
            <w:vMerge w:val="restart"/>
            <w:tcBorders>
              <w:tl2br w:val="nil"/>
              <w:tr2bl w:val="nil"/>
            </w:tcBorders>
            <w:noWrap w:val="0"/>
            <w:vAlign w:val="center"/>
          </w:tcPr>
          <w:p w14:paraId="2C72D2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建筑物名称</w:t>
            </w:r>
          </w:p>
        </w:tc>
        <w:tc>
          <w:tcPr>
            <w:tcW w:w="492" w:type="pct"/>
            <w:vMerge w:val="restart"/>
            <w:tcBorders>
              <w:tl2br w:val="nil"/>
              <w:tr2bl w:val="nil"/>
            </w:tcBorders>
            <w:noWrap w:val="0"/>
            <w:vAlign w:val="center"/>
          </w:tcPr>
          <w:p w14:paraId="66FD52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设备名称</w:t>
            </w:r>
          </w:p>
        </w:tc>
        <w:tc>
          <w:tcPr>
            <w:tcW w:w="775" w:type="pct"/>
            <w:gridSpan w:val="3"/>
            <w:tcBorders>
              <w:tl2br w:val="nil"/>
              <w:tr2bl w:val="nil"/>
            </w:tcBorders>
            <w:noWrap w:val="0"/>
            <w:vAlign w:val="center"/>
          </w:tcPr>
          <w:p w14:paraId="56708C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空间相对位置（m）</w:t>
            </w:r>
          </w:p>
        </w:tc>
        <w:tc>
          <w:tcPr>
            <w:tcW w:w="188" w:type="pct"/>
            <w:vMerge w:val="restart"/>
            <w:tcBorders>
              <w:tl2br w:val="nil"/>
              <w:tr2bl w:val="nil"/>
            </w:tcBorders>
            <w:noWrap w:val="0"/>
            <w:vAlign w:val="center"/>
          </w:tcPr>
          <w:p w14:paraId="43D2C0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台数</w:t>
            </w:r>
          </w:p>
        </w:tc>
        <w:tc>
          <w:tcPr>
            <w:tcW w:w="313" w:type="pct"/>
            <w:vMerge w:val="restart"/>
            <w:tcBorders>
              <w:tl2br w:val="nil"/>
              <w:tr2bl w:val="nil"/>
            </w:tcBorders>
            <w:noWrap w:val="0"/>
            <w:vAlign w:val="center"/>
          </w:tcPr>
          <w:p w14:paraId="0AEC71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声压级</w:t>
            </w:r>
          </w:p>
          <w:p w14:paraId="483EE2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dB（A）</w:t>
            </w:r>
          </w:p>
        </w:tc>
        <w:tc>
          <w:tcPr>
            <w:tcW w:w="732" w:type="pct"/>
            <w:vMerge w:val="restart"/>
            <w:tcBorders>
              <w:tl2br w:val="nil"/>
              <w:tr2bl w:val="nil"/>
            </w:tcBorders>
            <w:noWrap w:val="0"/>
            <w:vAlign w:val="center"/>
          </w:tcPr>
          <w:p w14:paraId="0C2438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防治措施</w:t>
            </w:r>
          </w:p>
        </w:tc>
        <w:tc>
          <w:tcPr>
            <w:tcW w:w="371" w:type="pct"/>
            <w:vMerge w:val="restart"/>
            <w:tcBorders>
              <w:tl2br w:val="nil"/>
              <w:tr2bl w:val="nil"/>
            </w:tcBorders>
            <w:noWrap w:val="0"/>
            <w:vAlign w:val="center"/>
          </w:tcPr>
          <w:p w14:paraId="73C5B7FB">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snapToGrid w:val="0"/>
                <w:color w:val="auto"/>
                <w:kern w:val="0"/>
                <w:sz w:val="21"/>
                <w:szCs w:val="21"/>
                <w:highlight w:val="none"/>
              </w:rPr>
              <w:t>边界声级/</w:t>
            </w:r>
            <w:r>
              <w:rPr>
                <w:rFonts w:hint="default" w:ascii="Times New Roman" w:hAnsi="Times New Roman" w:eastAsia="宋体" w:cs="Times New Roman"/>
                <w:b/>
                <w:bCs/>
                <w:snapToGrid w:val="0"/>
                <w:color w:val="auto"/>
                <w:kern w:val="0"/>
                <w:sz w:val="21"/>
                <w:szCs w:val="21"/>
                <w:highlight w:val="none"/>
                <w:lang w:val="zh-CN"/>
              </w:rPr>
              <w:t>dB（A）</w:t>
            </w:r>
          </w:p>
        </w:tc>
        <w:tc>
          <w:tcPr>
            <w:tcW w:w="343" w:type="pct"/>
            <w:vMerge w:val="restart"/>
            <w:tcBorders>
              <w:tl2br w:val="nil"/>
              <w:tr2bl w:val="nil"/>
            </w:tcBorders>
            <w:noWrap w:val="0"/>
            <w:vAlign w:val="center"/>
          </w:tcPr>
          <w:p w14:paraId="63E3B978">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snapToGrid w:val="0"/>
                <w:color w:val="auto"/>
                <w:kern w:val="0"/>
                <w:sz w:val="21"/>
                <w:szCs w:val="21"/>
                <w:highlight w:val="none"/>
              </w:rPr>
              <w:t>距边界距离/m</w:t>
            </w:r>
          </w:p>
        </w:tc>
        <w:tc>
          <w:tcPr>
            <w:tcW w:w="411" w:type="pct"/>
            <w:vMerge w:val="restart"/>
            <w:tcBorders>
              <w:tl2br w:val="nil"/>
              <w:tr2bl w:val="nil"/>
            </w:tcBorders>
            <w:noWrap w:val="0"/>
            <w:vAlign w:val="center"/>
          </w:tcPr>
          <w:p w14:paraId="200F9963">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kern w:val="0"/>
                <w:sz w:val="21"/>
                <w:szCs w:val="21"/>
                <w:highlight w:val="none"/>
              </w:rPr>
              <w:t>建筑物</w:t>
            </w:r>
          </w:p>
          <w:p w14:paraId="20777315">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kern w:val="0"/>
                <w:sz w:val="21"/>
                <w:szCs w:val="21"/>
                <w:highlight w:val="none"/>
              </w:rPr>
              <w:t>插入损</w:t>
            </w:r>
          </w:p>
          <w:p w14:paraId="4E2327F3">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snapToGrid w:val="0"/>
                <w:color w:val="auto"/>
                <w:kern w:val="0"/>
                <w:sz w:val="21"/>
                <w:szCs w:val="21"/>
                <w:highlight w:val="none"/>
              </w:rPr>
              <w:t>失/</w:t>
            </w:r>
            <w:r>
              <w:rPr>
                <w:rFonts w:hint="default" w:ascii="Times New Roman" w:hAnsi="Times New Roman" w:eastAsia="宋体" w:cs="Times New Roman"/>
                <w:b/>
                <w:bCs/>
                <w:snapToGrid w:val="0"/>
                <w:color w:val="auto"/>
                <w:kern w:val="0"/>
                <w:sz w:val="21"/>
                <w:szCs w:val="21"/>
                <w:highlight w:val="none"/>
                <w:lang w:val="zh-CN"/>
              </w:rPr>
              <w:t>dB（A）</w:t>
            </w:r>
          </w:p>
        </w:tc>
        <w:tc>
          <w:tcPr>
            <w:tcW w:w="248" w:type="pct"/>
            <w:vMerge w:val="restart"/>
            <w:tcBorders>
              <w:tl2br w:val="nil"/>
              <w:tr2bl w:val="nil"/>
            </w:tcBorders>
            <w:noWrap w:val="0"/>
            <w:vAlign w:val="center"/>
          </w:tcPr>
          <w:p w14:paraId="67E556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排放规律</w:t>
            </w:r>
          </w:p>
        </w:tc>
        <w:tc>
          <w:tcPr>
            <w:tcW w:w="689" w:type="pct"/>
            <w:gridSpan w:val="2"/>
            <w:tcBorders>
              <w:tl2br w:val="nil"/>
              <w:tr2bl w:val="nil"/>
            </w:tcBorders>
            <w:noWrap w:val="0"/>
            <w:vAlign w:val="center"/>
          </w:tcPr>
          <w:p w14:paraId="0EA509C7">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snapToGrid w:val="0"/>
                <w:color w:val="auto"/>
                <w:kern w:val="0"/>
                <w:sz w:val="21"/>
                <w:szCs w:val="21"/>
                <w:highlight w:val="none"/>
              </w:rPr>
              <w:t>建筑物外噪声</w:t>
            </w:r>
          </w:p>
        </w:tc>
      </w:tr>
      <w:tr w14:paraId="30B0B1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5" w:hRule="atLeast"/>
          <w:tblHeader/>
          <w:jc w:val="center"/>
        </w:trPr>
        <w:tc>
          <w:tcPr>
            <w:tcW w:w="194" w:type="pct"/>
            <w:vMerge w:val="continue"/>
            <w:tcBorders>
              <w:tl2br w:val="nil"/>
              <w:tr2bl w:val="nil"/>
            </w:tcBorders>
            <w:noWrap w:val="0"/>
            <w:vAlign w:val="center"/>
          </w:tcPr>
          <w:p w14:paraId="72E706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highlight w:val="none"/>
              </w:rPr>
            </w:pPr>
          </w:p>
        </w:tc>
        <w:tc>
          <w:tcPr>
            <w:tcW w:w="238" w:type="pct"/>
            <w:vMerge w:val="continue"/>
            <w:tcBorders>
              <w:tl2br w:val="nil"/>
              <w:tr2bl w:val="nil"/>
            </w:tcBorders>
            <w:noWrap w:val="0"/>
            <w:vAlign w:val="center"/>
          </w:tcPr>
          <w:p w14:paraId="136371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highlight w:val="none"/>
              </w:rPr>
            </w:pPr>
          </w:p>
        </w:tc>
        <w:tc>
          <w:tcPr>
            <w:tcW w:w="492" w:type="pct"/>
            <w:vMerge w:val="continue"/>
            <w:tcBorders>
              <w:tl2br w:val="nil"/>
              <w:tr2bl w:val="nil"/>
            </w:tcBorders>
            <w:noWrap w:val="0"/>
            <w:vAlign w:val="center"/>
          </w:tcPr>
          <w:p w14:paraId="678405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highlight w:val="none"/>
              </w:rPr>
            </w:pPr>
          </w:p>
        </w:tc>
        <w:tc>
          <w:tcPr>
            <w:tcW w:w="214" w:type="pct"/>
            <w:tcBorders>
              <w:tl2br w:val="nil"/>
              <w:tr2bl w:val="nil"/>
            </w:tcBorders>
            <w:noWrap w:val="0"/>
            <w:vAlign w:val="center"/>
          </w:tcPr>
          <w:p w14:paraId="350564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X</w:t>
            </w:r>
          </w:p>
        </w:tc>
        <w:tc>
          <w:tcPr>
            <w:tcW w:w="280" w:type="pct"/>
            <w:tcBorders>
              <w:tl2br w:val="nil"/>
              <w:tr2bl w:val="nil"/>
            </w:tcBorders>
            <w:noWrap w:val="0"/>
            <w:vAlign w:val="center"/>
          </w:tcPr>
          <w:p w14:paraId="74AA9B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Y</w:t>
            </w:r>
          </w:p>
        </w:tc>
        <w:tc>
          <w:tcPr>
            <w:tcW w:w="281" w:type="pct"/>
            <w:tcBorders>
              <w:tl2br w:val="nil"/>
              <w:tr2bl w:val="nil"/>
            </w:tcBorders>
            <w:noWrap w:val="0"/>
            <w:vAlign w:val="center"/>
          </w:tcPr>
          <w:p w14:paraId="25295C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Z</w:t>
            </w:r>
          </w:p>
        </w:tc>
        <w:tc>
          <w:tcPr>
            <w:tcW w:w="188" w:type="pct"/>
            <w:vMerge w:val="continue"/>
            <w:tcBorders>
              <w:tl2br w:val="nil"/>
              <w:tr2bl w:val="nil"/>
            </w:tcBorders>
            <w:noWrap w:val="0"/>
            <w:vAlign w:val="center"/>
          </w:tcPr>
          <w:p w14:paraId="653960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13" w:type="pct"/>
            <w:vMerge w:val="continue"/>
            <w:tcBorders>
              <w:tl2br w:val="nil"/>
              <w:tr2bl w:val="nil"/>
            </w:tcBorders>
            <w:noWrap w:val="0"/>
            <w:vAlign w:val="center"/>
          </w:tcPr>
          <w:p w14:paraId="4B755D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732" w:type="pct"/>
            <w:vMerge w:val="continue"/>
            <w:tcBorders>
              <w:tl2br w:val="nil"/>
              <w:tr2bl w:val="nil"/>
            </w:tcBorders>
            <w:noWrap w:val="0"/>
            <w:vAlign w:val="center"/>
          </w:tcPr>
          <w:p w14:paraId="3567E1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71" w:type="pct"/>
            <w:vMerge w:val="continue"/>
            <w:tcBorders>
              <w:tl2br w:val="nil"/>
              <w:tr2bl w:val="nil"/>
            </w:tcBorders>
            <w:noWrap w:val="0"/>
            <w:vAlign w:val="center"/>
          </w:tcPr>
          <w:p w14:paraId="0B3F61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43" w:type="pct"/>
            <w:vMerge w:val="continue"/>
            <w:tcBorders>
              <w:tl2br w:val="nil"/>
              <w:tr2bl w:val="nil"/>
            </w:tcBorders>
            <w:noWrap w:val="0"/>
            <w:vAlign w:val="center"/>
          </w:tcPr>
          <w:p w14:paraId="3BE907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411" w:type="pct"/>
            <w:vMerge w:val="continue"/>
            <w:tcBorders>
              <w:tl2br w:val="nil"/>
              <w:tr2bl w:val="nil"/>
            </w:tcBorders>
            <w:noWrap w:val="0"/>
            <w:vAlign w:val="center"/>
          </w:tcPr>
          <w:p w14:paraId="271853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48" w:type="pct"/>
            <w:vMerge w:val="continue"/>
            <w:tcBorders>
              <w:tl2br w:val="nil"/>
              <w:tr2bl w:val="nil"/>
            </w:tcBorders>
            <w:noWrap w:val="0"/>
            <w:vAlign w:val="center"/>
          </w:tcPr>
          <w:p w14:paraId="10CC6D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54" w:type="pct"/>
            <w:tcBorders>
              <w:tl2br w:val="nil"/>
              <w:tr2bl w:val="nil"/>
            </w:tcBorders>
            <w:noWrap w:val="0"/>
            <w:vAlign w:val="center"/>
          </w:tcPr>
          <w:p w14:paraId="03E34530">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snapToGrid w:val="0"/>
                <w:color w:val="auto"/>
                <w:kern w:val="0"/>
                <w:sz w:val="21"/>
                <w:szCs w:val="21"/>
                <w:highlight w:val="none"/>
              </w:rPr>
              <w:t>声压级/</w:t>
            </w:r>
            <w:r>
              <w:rPr>
                <w:rFonts w:hint="default" w:ascii="Times New Roman" w:hAnsi="Times New Roman" w:eastAsia="宋体" w:cs="Times New Roman"/>
                <w:b/>
                <w:bCs/>
                <w:snapToGrid w:val="0"/>
                <w:color w:val="auto"/>
                <w:kern w:val="0"/>
                <w:sz w:val="21"/>
                <w:szCs w:val="21"/>
                <w:highlight w:val="none"/>
                <w:lang w:val="zh-CN"/>
              </w:rPr>
              <w:t>dB（A）</w:t>
            </w:r>
          </w:p>
        </w:tc>
        <w:tc>
          <w:tcPr>
            <w:tcW w:w="335" w:type="pct"/>
            <w:tcBorders>
              <w:tl2br w:val="nil"/>
              <w:tr2bl w:val="nil"/>
            </w:tcBorders>
            <w:noWrap w:val="0"/>
            <w:vAlign w:val="center"/>
          </w:tcPr>
          <w:p w14:paraId="50487078">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snapToGrid w:val="0"/>
                <w:color w:val="auto"/>
                <w:kern w:val="0"/>
                <w:sz w:val="21"/>
                <w:szCs w:val="21"/>
                <w:highlight w:val="none"/>
              </w:rPr>
              <w:t>建筑物外距离</w:t>
            </w:r>
          </w:p>
        </w:tc>
      </w:tr>
      <w:tr w14:paraId="1526B4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94" w:type="pct"/>
            <w:tcBorders>
              <w:tl2br w:val="nil"/>
              <w:tr2bl w:val="nil"/>
            </w:tcBorders>
            <w:noWrap w:val="0"/>
            <w:vAlign w:val="center"/>
          </w:tcPr>
          <w:p w14:paraId="04B09B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38" w:type="pct"/>
            <w:vMerge w:val="restart"/>
            <w:tcBorders>
              <w:tl2br w:val="nil"/>
              <w:tr2bl w:val="nil"/>
            </w:tcBorders>
            <w:noWrap w:val="0"/>
            <w:vAlign w:val="center"/>
          </w:tcPr>
          <w:p w14:paraId="167AEC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选矿厂</w:t>
            </w:r>
          </w:p>
        </w:tc>
        <w:tc>
          <w:tcPr>
            <w:tcW w:w="492" w:type="pct"/>
            <w:tcBorders>
              <w:tl2br w:val="nil"/>
              <w:tr2bl w:val="nil"/>
            </w:tcBorders>
            <w:noWrap w:val="0"/>
            <w:vAlign w:val="center"/>
          </w:tcPr>
          <w:p w14:paraId="71B0C243">
            <w:pPr>
              <w:pStyle w:val="32"/>
              <w:spacing w:after="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eastAsia="zh-CN"/>
              </w:rPr>
              <w:t>球磨</w:t>
            </w:r>
            <w:r>
              <w:rPr>
                <w:rFonts w:hint="default" w:ascii="Times New Roman" w:hAnsi="Times New Roman" w:cs="Times New Roman"/>
                <w:color w:val="auto"/>
                <w:szCs w:val="21"/>
                <w:highlight w:val="none"/>
              </w:rPr>
              <w:t>机</w:t>
            </w:r>
          </w:p>
        </w:tc>
        <w:tc>
          <w:tcPr>
            <w:tcW w:w="214" w:type="pct"/>
            <w:tcBorders>
              <w:tl2br w:val="nil"/>
              <w:tr2bl w:val="nil"/>
            </w:tcBorders>
            <w:noWrap w:val="0"/>
            <w:vAlign w:val="center"/>
          </w:tcPr>
          <w:p w14:paraId="3FA111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-168</w:t>
            </w:r>
          </w:p>
        </w:tc>
        <w:tc>
          <w:tcPr>
            <w:tcW w:w="280" w:type="pct"/>
            <w:tcBorders>
              <w:tl2br w:val="nil"/>
              <w:tr2bl w:val="nil"/>
            </w:tcBorders>
            <w:noWrap w:val="0"/>
            <w:vAlign w:val="center"/>
          </w:tcPr>
          <w:p w14:paraId="7C33AA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-101</w:t>
            </w:r>
          </w:p>
        </w:tc>
        <w:tc>
          <w:tcPr>
            <w:tcW w:w="281" w:type="pct"/>
            <w:tcBorders>
              <w:tl2br w:val="nil"/>
              <w:tr2bl w:val="nil"/>
            </w:tcBorders>
            <w:noWrap w:val="0"/>
            <w:vAlign w:val="center"/>
          </w:tcPr>
          <w:p w14:paraId="3127EC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188" w:type="pct"/>
            <w:tcBorders>
              <w:tl2br w:val="nil"/>
              <w:tr2bl w:val="nil"/>
            </w:tcBorders>
            <w:noWrap w:val="0"/>
            <w:vAlign w:val="center"/>
          </w:tcPr>
          <w:p w14:paraId="4482A6EC">
            <w:pPr>
              <w:pStyle w:val="32"/>
              <w:spacing w:after="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2</w:t>
            </w:r>
          </w:p>
        </w:tc>
        <w:tc>
          <w:tcPr>
            <w:tcW w:w="313" w:type="pct"/>
            <w:tcBorders>
              <w:tl2br w:val="nil"/>
              <w:tr2bl w:val="nil"/>
            </w:tcBorders>
            <w:noWrap w:val="0"/>
            <w:vAlign w:val="center"/>
          </w:tcPr>
          <w:p w14:paraId="1ABE2C88">
            <w:pPr>
              <w:pStyle w:val="32"/>
              <w:spacing w:after="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95</w:t>
            </w:r>
          </w:p>
        </w:tc>
        <w:tc>
          <w:tcPr>
            <w:tcW w:w="732" w:type="pct"/>
            <w:tcBorders>
              <w:tl2br w:val="nil"/>
              <w:tr2bl w:val="nil"/>
            </w:tcBorders>
            <w:noWrap w:val="0"/>
            <w:vAlign w:val="center"/>
          </w:tcPr>
          <w:p w14:paraId="265D44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基础减振、隔声罩</w:t>
            </w:r>
          </w:p>
        </w:tc>
        <w:tc>
          <w:tcPr>
            <w:tcW w:w="371" w:type="pct"/>
            <w:tcBorders>
              <w:tl2br w:val="nil"/>
              <w:tr2bl w:val="nil"/>
            </w:tcBorders>
            <w:noWrap w:val="0"/>
            <w:vAlign w:val="center"/>
          </w:tcPr>
          <w:p w14:paraId="7C7A0D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86</w:t>
            </w:r>
          </w:p>
        </w:tc>
        <w:tc>
          <w:tcPr>
            <w:tcW w:w="343" w:type="pct"/>
            <w:tcBorders>
              <w:tl2br w:val="nil"/>
              <w:tr2bl w:val="nil"/>
            </w:tcBorders>
            <w:noWrap w:val="0"/>
            <w:vAlign w:val="center"/>
          </w:tcPr>
          <w:p w14:paraId="48DE2B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411" w:type="pct"/>
            <w:tcBorders>
              <w:tl2br w:val="nil"/>
              <w:tr2bl w:val="nil"/>
            </w:tcBorders>
            <w:noWrap w:val="0"/>
            <w:vAlign w:val="center"/>
          </w:tcPr>
          <w:p w14:paraId="00DBD6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15-</w:t>
            </w:r>
            <w:r>
              <w:rPr>
                <w:rFonts w:hint="default" w:ascii="Times New Roman" w:hAnsi="Times New Roman" w:eastAsia="宋体" w:cs="Times New Roman"/>
                <w:b w:val="0"/>
                <w:bCs w:val="0"/>
                <w:snapToGrid w:val="0"/>
                <w:color w:val="auto"/>
                <w:kern w:val="0"/>
                <w:sz w:val="21"/>
                <w:szCs w:val="21"/>
                <w:highlight w:val="none"/>
              </w:rPr>
              <w:t>20</w:t>
            </w:r>
          </w:p>
        </w:tc>
        <w:tc>
          <w:tcPr>
            <w:tcW w:w="248" w:type="pct"/>
            <w:tcBorders>
              <w:tl2br w:val="nil"/>
              <w:tr2bl w:val="nil"/>
            </w:tcBorders>
            <w:noWrap w:val="0"/>
            <w:vAlign w:val="center"/>
          </w:tcPr>
          <w:p w14:paraId="6753A4D2">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连续</w:t>
            </w:r>
          </w:p>
        </w:tc>
        <w:tc>
          <w:tcPr>
            <w:tcW w:w="354" w:type="pct"/>
            <w:tcBorders>
              <w:tl2br w:val="nil"/>
              <w:tr2bl w:val="nil"/>
            </w:tcBorders>
            <w:noWrap w:val="0"/>
            <w:vAlign w:val="center"/>
          </w:tcPr>
          <w:p w14:paraId="0B543BAF">
            <w:pPr>
              <w:pStyle w:val="140"/>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75</w:t>
            </w:r>
          </w:p>
        </w:tc>
        <w:tc>
          <w:tcPr>
            <w:tcW w:w="335" w:type="pct"/>
            <w:tcBorders>
              <w:tl2br w:val="nil"/>
              <w:tr2bl w:val="nil"/>
            </w:tcBorders>
            <w:noWrap w:val="0"/>
            <w:vAlign w:val="center"/>
          </w:tcPr>
          <w:p w14:paraId="45323C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1m</w:t>
            </w:r>
          </w:p>
        </w:tc>
      </w:tr>
      <w:tr w14:paraId="49E019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94" w:type="pct"/>
            <w:tcBorders>
              <w:tl2br w:val="nil"/>
              <w:tr2bl w:val="nil"/>
            </w:tcBorders>
            <w:noWrap w:val="0"/>
            <w:vAlign w:val="center"/>
          </w:tcPr>
          <w:p w14:paraId="1BEDBA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238" w:type="pct"/>
            <w:vMerge w:val="continue"/>
            <w:tcBorders>
              <w:tl2br w:val="nil"/>
              <w:tr2bl w:val="nil"/>
            </w:tcBorders>
            <w:noWrap w:val="0"/>
            <w:vAlign w:val="center"/>
          </w:tcPr>
          <w:p w14:paraId="25F4EA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492" w:type="pct"/>
            <w:tcBorders>
              <w:tl2br w:val="nil"/>
              <w:tr2bl w:val="nil"/>
            </w:tcBorders>
            <w:noWrap w:val="0"/>
            <w:vAlign w:val="center"/>
          </w:tcPr>
          <w:p w14:paraId="3B948726">
            <w:pPr>
              <w:pStyle w:val="32"/>
              <w:spacing w:after="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振动筛</w:t>
            </w:r>
          </w:p>
        </w:tc>
        <w:tc>
          <w:tcPr>
            <w:tcW w:w="214" w:type="pct"/>
            <w:tcBorders>
              <w:tl2br w:val="nil"/>
              <w:tr2bl w:val="nil"/>
            </w:tcBorders>
            <w:noWrap w:val="0"/>
            <w:vAlign w:val="center"/>
          </w:tcPr>
          <w:p w14:paraId="6927CF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-191</w:t>
            </w:r>
          </w:p>
        </w:tc>
        <w:tc>
          <w:tcPr>
            <w:tcW w:w="280" w:type="pct"/>
            <w:tcBorders>
              <w:tl2br w:val="nil"/>
              <w:tr2bl w:val="nil"/>
            </w:tcBorders>
            <w:noWrap w:val="0"/>
            <w:vAlign w:val="center"/>
          </w:tcPr>
          <w:p w14:paraId="5D46FA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-86</w:t>
            </w:r>
          </w:p>
        </w:tc>
        <w:tc>
          <w:tcPr>
            <w:tcW w:w="281" w:type="pct"/>
            <w:tcBorders>
              <w:tl2br w:val="nil"/>
              <w:tr2bl w:val="nil"/>
            </w:tcBorders>
            <w:noWrap w:val="0"/>
            <w:vAlign w:val="center"/>
          </w:tcPr>
          <w:p w14:paraId="6A743B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188" w:type="pct"/>
            <w:tcBorders>
              <w:tl2br w:val="nil"/>
              <w:tr2bl w:val="nil"/>
            </w:tcBorders>
            <w:noWrap w:val="0"/>
            <w:vAlign w:val="center"/>
          </w:tcPr>
          <w:p w14:paraId="483AE344">
            <w:pPr>
              <w:pStyle w:val="32"/>
              <w:spacing w:after="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w:t>
            </w:r>
          </w:p>
        </w:tc>
        <w:tc>
          <w:tcPr>
            <w:tcW w:w="313" w:type="pct"/>
            <w:tcBorders>
              <w:tl2br w:val="nil"/>
              <w:tr2bl w:val="nil"/>
            </w:tcBorders>
            <w:noWrap w:val="0"/>
            <w:vAlign w:val="center"/>
          </w:tcPr>
          <w:p w14:paraId="135A7FBC">
            <w:pPr>
              <w:pStyle w:val="32"/>
              <w:spacing w:after="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90</w:t>
            </w:r>
          </w:p>
        </w:tc>
        <w:tc>
          <w:tcPr>
            <w:tcW w:w="732" w:type="pct"/>
            <w:tcBorders>
              <w:tl2br w:val="nil"/>
              <w:tr2bl w:val="nil"/>
            </w:tcBorders>
            <w:noWrap w:val="0"/>
            <w:vAlign w:val="center"/>
          </w:tcPr>
          <w:p w14:paraId="350954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基础减振、隔声罩</w:t>
            </w:r>
          </w:p>
        </w:tc>
        <w:tc>
          <w:tcPr>
            <w:tcW w:w="371" w:type="pct"/>
            <w:tcBorders>
              <w:tl2br w:val="nil"/>
              <w:tr2bl w:val="nil"/>
            </w:tcBorders>
            <w:noWrap w:val="0"/>
            <w:vAlign w:val="center"/>
          </w:tcPr>
          <w:p w14:paraId="7A84CA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w:t>
            </w:r>
            <w:r>
              <w:rPr>
                <w:rFonts w:hint="eastAsia" w:ascii="Times New Roman" w:hAnsi="Times New Roman" w:eastAsia="宋体" w:cs="Times New Roman"/>
                <w:color w:val="auto"/>
                <w:kern w:val="2"/>
                <w:sz w:val="21"/>
                <w:szCs w:val="21"/>
                <w:highlight w:val="none"/>
                <w:lang w:val="en-US" w:eastAsia="zh-CN" w:bidi="ar-SA"/>
              </w:rPr>
              <w:t>4</w:t>
            </w:r>
          </w:p>
        </w:tc>
        <w:tc>
          <w:tcPr>
            <w:tcW w:w="343" w:type="pct"/>
            <w:tcBorders>
              <w:tl2br w:val="nil"/>
              <w:tr2bl w:val="nil"/>
            </w:tcBorders>
            <w:noWrap w:val="0"/>
            <w:vAlign w:val="center"/>
          </w:tcPr>
          <w:p w14:paraId="1A657B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w:t>
            </w:r>
          </w:p>
        </w:tc>
        <w:tc>
          <w:tcPr>
            <w:tcW w:w="411" w:type="pct"/>
            <w:tcBorders>
              <w:tl2br w:val="nil"/>
              <w:tr2bl w:val="nil"/>
            </w:tcBorders>
            <w:noWrap w:val="0"/>
            <w:vAlign w:val="center"/>
          </w:tcPr>
          <w:p w14:paraId="62C12B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15-</w:t>
            </w:r>
            <w:r>
              <w:rPr>
                <w:rFonts w:hint="default" w:ascii="Times New Roman" w:hAnsi="Times New Roman" w:eastAsia="宋体" w:cs="Times New Roman"/>
                <w:b w:val="0"/>
                <w:bCs w:val="0"/>
                <w:snapToGrid w:val="0"/>
                <w:color w:val="auto"/>
                <w:kern w:val="0"/>
                <w:sz w:val="21"/>
                <w:szCs w:val="21"/>
                <w:highlight w:val="none"/>
              </w:rPr>
              <w:t>20</w:t>
            </w:r>
          </w:p>
        </w:tc>
        <w:tc>
          <w:tcPr>
            <w:tcW w:w="248" w:type="pct"/>
            <w:tcBorders>
              <w:tl2br w:val="nil"/>
              <w:tr2bl w:val="nil"/>
            </w:tcBorders>
            <w:noWrap w:val="0"/>
            <w:vAlign w:val="center"/>
          </w:tcPr>
          <w:p w14:paraId="149F00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连续</w:t>
            </w:r>
          </w:p>
        </w:tc>
        <w:tc>
          <w:tcPr>
            <w:tcW w:w="354" w:type="pct"/>
            <w:tcBorders>
              <w:tl2br w:val="nil"/>
              <w:tr2bl w:val="nil"/>
            </w:tcBorders>
            <w:noWrap w:val="0"/>
            <w:vAlign w:val="center"/>
          </w:tcPr>
          <w:p w14:paraId="77CA8F51">
            <w:pPr>
              <w:pStyle w:val="140"/>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w:t>
            </w:r>
            <w:r>
              <w:rPr>
                <w:rFonts w:hint="eastAsia" w:ascii="Times New Roman" w:hAnsi="Times New Roman" w:eastAsia="宋体" w:cs="Times New Roman"/>
                <w:color w:val="auto"/>
                <w:kern w:val="2"/>
                <w:sz w:val="21"/>
                <w:szCs w:val="21"/>
                <w:highlight w:val="none"/>
                <w:lang w:val="en-US" w:eastAsia="zh-CN" w:bidi="ar-SA"/>
              </w:rPr>
              <w:t>3</w:t>
            </w:r>
          </w:p>
        </w:tc>
        <w:tc>
          <w:tcPr>
            <w:tcW w:w="335" w:type="pct"/>
            <w:tcBorders>
              <w:tl2br w:val="nil"/>
              <w:tr2bl w:val="nil"/>
            </w:tcBorders>
            <w:noWrap w:val="0"/>
            <w:vAlign w:val="center"/>
          </w:tcPr>
          <w:p w14:paraId="208229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1m</w:t>
            </w:r>
          </w:p>
        </w:tc>
      </w:tr>
      <w:tr w14:paraId="01C052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94" w:type="pct"/>
            <w:tcBorders>
              <w:tl2br w:val="nil"/>
              <w:tr2bl w:val="nil"/>
            </w:tcBorders>
            <w:noWrap w:val="0"/>
            <w:vAlign w:val="center"/>
          </w:tcPr>
          <w:p w14:paraId="3FFCA4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238" w:type="pct"/>
            <w:vMerge w:val="continue"/>
            <w:tcBorders>
              <w:tl2br w:val="nil"/>
              <w:tr2bl w:val="nil"/>
            </w:tcBorders>
            <w:noWrap w:val="0"/>
            <w:vAlign w:val="center"/>
          </w:tcPr>
          <w:p w14:paraId="3BE47D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92" w:type="pct"/>
            <w:tcBorders>
              <w:tl2br w:val="nil"/>
              <w:tr2bl w:val="nil"/>
            </w:tcBorders>
            <w:noWrap w:val="0"/>
            <w:vAlign w:val="center"/>
          </w:tcPr>
          <w:p w14:paraId="3E9841BB">
            <w:pPr>
              <w:pStyle w:val="32"/>
              <w:spacing w:after="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eastAsia="zh-CN"/>
              </w:rPr>
              <w:t>破碎</w:t>
            </w:r>
            <w:r>
              <w:rPr>
                <w:rFonts w:hint="default" w:ascii="Times New Roman" w:hAnsi="Times New Roman" w:cs="Times New Roman"/>
                <w:color w:val="auto"/>
                <w:szCs w:val="21"/>
                <w:highlight w:val="none"/>
              </w:rPr>
              <w:t>机</w:t>
            </w:r>
          </w:p>
        </w:tc>
        <w:tc>
          <w:tcPr>
            <w:tcW w:w="214" w:type="pct"/>
            <w:tcBorders>
              <w:tl2br w:val="nil"/>
              <w:tr2bl w:val="nil"/>
            </w:tcBorders>
            <w:noWrap w:val="0"/>
            <w:vAlign w:val="center"/>
          </w:tcPr>
          <w:p w14:paraId="0082F3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-244</w:t>
            </w:r>
          </w:p>
        </w:tc>
        <w:tc>
          <w:tcPr>
            <w:tcW w:w="280" w:type="pct"/>
            <w:tcBorders>
              <w:tl2br w:val="nil"/>
              <w:tr2bl w:val="nil"/>
            </w:tcBorders>
            <w:noWrap w:val="0"/>
            <w:vAlign w:val="center"/>
          </w:tcPr>
          <w:p w14:paraId="0AE534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-103</w:t>
            </w:r>
          </w:p>
        </w:tc>
        <w:tc>
          <w:tcPr>
            <w:tcW w:w="281" w:type="pct"/>
            <w:tcBorders>
              <w:tl2br w:val="nil"/>
              <w:tr2bl w:val="nil"/>
            </w:tcBorders>
            <w:noWrap w:val="0"/>
            <w:vAlign w:val="center"/>
          </w:tcPr>
          <w:p w14:paraId="632CBB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188" w:type="pct"/>
            <w:tcBorders>
              <w:tl2br w:val="nil"/>
              <w:tr2bl w:val="nil"/>
            </w:tcBorders>
            <w:noWrap w:val="0"/>
            <w:vAlign w:val="center"/>
          </w:tcPr>
          <w:p w14:paraId="35759DBF">
            <w:pPr>
              <w:pStyle w:val="32"/>
              <w:spacing w:after="0"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Cs w:val="21"/>
                <w:highlight w:val="none"/>
                <w:lang w:val="en-US" w:eastAsia="zh-CN"/>
              </w:rPr>
              <w:t>3</w:t>
            </w:r>
          </w:p>
        </w:tc>
        <w:tc>
          <w:tcPr>
            <w:tcW w:w="313" w:type="pct"/>
            <w:tcBorders>
              <w:tl2br w:val="nil"/>
              <w:tr2bl w:val="nil"/>
            </w:tcBorders>
            <w:noWrap w:val="0"/>
            <w:vAlign w:val="center"/>
          </w:tcPr>
          <w:p w14:paraId="24CD6024">
            <w:pPr>
              <w:pStyle w:val="32"/>
              <w:spacing w:after="0"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Cs w:val="21"/>
                <w:highlight w:val="none"/>
                <w:lang w:val="en-US" w:eastAsia="zh-CN"/>
              </w:rPr>
              <w:t>95</w:t>
            </w:r>
          </w:p>
        </w:tc>
        <w:tc>
          <w:tcPr>
            <w:tcW w:w="732" w:type="pct"/>
            <w:tcBorders>
              <w:tl2br w:val="nil"/>
              <w:tr2bl w:val="nil"/>
            </w:tcBorders>
            <w:noWrap w:val="0"/>
            <w:vAlign w:val="center"/>
          </w:tcPr>
          <w:p w14:paraId="4A4DDB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基础减振、隔声罩</w:t>
            </w:r>
          </w:p>
        </w:tc>
        <w:tc>
          <w:tcPr>
            <w:tcW w:w="371" w:type="pct"/>
            <w:tcBorders>
              <w:tl2br w:val="nil"/>
              <w:tr2bl w:val="nil"/>
            </w:tcBorders>
            <w:noWrap w:val="0"/>
            <w:vAlign w:val="center"/>
          </w:tcPr>
          <w:p w14:paraId="15869F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86</w:t>
            </w:r>
          </w:p>
        </w:tc>
        <w:tc>
          <w:tcPr>
            <w:tcW w:w="343" w:type="pct"/>
            <w:tcBorders>
              <w:tl2br w:val="nil"/>
              <w:tr2bl w:val="nil"/>
            </w:tcBorders>
            <w:noWrap w:val="0"/>
            <w:vAlign w:val="center"/>
          </w:tcPr>
          <w:p w14:paraId="4D9D5D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w:t>
            </w:r>
          </w:p>
        </w:tc>
        <w:tc>
          <w:tcPr>
            <w:tcW w:w="411" w:type="pct"/>
            <w:tcBorders>
              <w:tl2br w:val="nil"/>
              <w:tr2bl w:val="nil"/>
            </w:tcBorders>
            <w:noWrap w:val="0"/>
            <w:vAlign w:val="center"/>
          </w:tcPr>
          <w:p w14:paraId="50C4AB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lang w:val="en-US" w:eastAsia="zh-CN"/>
              </w:rPr>
              <w:t>15-</w:t>
            </w:r>
            <w:r>
              <w:rPr>
                <w:rFonts w:hint="default" w:ascii="Times New Roman" w:hAnsi="Times New Roman" w:eastAsia="宋体" w:cs="Times New Roman"/>
                <w:b w:val="0"/>
                <w:bCs w:val="0"/>
                <w:snapToGrid w:val="0"/>
                <w:color w:val="auto"/>
                <w:kern w:val="0"/>
                <w:sz w:val="21"/>
                <w:szCs w:val="21"/>
                <w:highlight w:val="none"/>
              </w:rPr>
              <w:t>20</w:t>
            </w:r>
          </w:p>
        </w:tc>
        <w:tc>
          <w:tcPr>
            <w:tcW w:w="248" w:type="pct"/>
            <w:tcBorders>
              <w:tl2br w:val="nil"/>
              <w:tr2bl w:val="nil"/>
            </w:tcBorders>
            <w:noWrap w:val="0"/>
            <w:vAlign w:val="center"/>
          </w:tcPr>
          <w:p w14:paraId="6E0DD6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连续</w:t>
            </w:r>
          </w:p>
        </w:tc>
        <w:tc>
          <w:tcPr>
            <w:tcW w:w="354" w:type="pct"/>
            <w:tcBorders>
              <w:tl2br w:val="nil"/>
              <w:tr2bl w:val="nil"/>
            </w:tcBorders>
            <w:noWrap w:val="0"/>
            <w:vAlign w:val="center"/>
          </w:tcPr>
          <w:p w14:paraId="42CC1F81">
            <w:pPr>
              <w:pStyle w:val="140"/>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7</w:t>
            </w:r>
            <w:r>
              <w:rPr>
                <w:rFonts w:hint="eastAsia" w:ascii="Times New Roman" w:hAnsi="Times New Roman" w:eastAsia="宋体" w:cs="Times New Roman"/>
                <w:b w:val="0"/>
                <w:bCs w:val="0"/>
                <w:snapToGrid w:val="0"/>
                <w:color w:val="auto"/>
                <w:kern w:val="0"/>
                <w:sz w:val="21"/>
                <w:szCs w:val="21"/>
                <w:highlight w:val="none"/>
                <w:lang w:val="en-US" w:eastAsia="zh-CN"/>
              </w:rPr>
              <w:t>4</w:t>
            </w:r>
          </w:p>
        </w:tc>
        <w:tc>
          <w:tcPr>
            <w:tcW w:w="335" w:type="pct"/>
            <w:tcBorders>
              <w:tl2br w:val="nil"/>
              <w:tr2bl w:val="nil"/>
            </w:tcBorders>
            <w:noWrap w:val="0"/>
            <w:vAlign w:val="center"/>
          </w:tcPr>
          <w:p w14:paraId="3FD47B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1m</w:t>
            </w:r>
          </w:p>
        </w:tc>
      </w:tr>
      <w:tr w14:paraId="342AE8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94" w:type="pct"/>
            <w:tcBorders>
              <w:tl2br w:val="nil"/>
              <w:tr2bl w:val="nil"/>
            </w:tcBorders>
            <w:noWrap w:val="0"/>
            <w:vAlign w:val="center"/>
          </w:tcPr>
          <w:p w14:paraId="14EC9D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238" w:type="pct"/>
            <w:vMerge w:val="continue"/>
            <w:tcBorders>
              <w:tl2br w:val="nil"/>
              <w:tr2bl w:val="nil"/>
            </w:tcBorders>
            <w:noWrap w:val="0"/>
            <w:vAlign w:val="center"/>
          </w:tcPr>
          <w:p w14:paraId="3D6987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492" w:type="pct"/>
            <w:tcBorders>
              <w:tl2br w:val="nil"/>
              <w:tr2bl w:val="nil"/>
            </w:tcBorders>
            <w:noWrap w:val="0"/>
            <w:vAlign w:val="center"/>
          </w:tcPr>
          <w:p w14:paraId="49E7B291">
            <w:pPr>
              <w:pStyle w:val="32"/>
              <w:spacing w:after="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浮选机</w:t>
            </w:r>
          </w:p>
        </w:tc>
        <w:tc>
          <w:tcPr>
            <w:tcW w:w="214" w:type="pct"/>
            <w:tcBorders>
              <w:tl2br w:val="nil"/>
              <w:tr2bl w:val="nil"/>
            </w:tcBorders>
            <w:noWrap w:val="0"/>
            <w:vAlign w:val="center"/>
          </w:tcPr>
          <w:p w14:paraId="386703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-122</w:t>
            </w:r>
          </w:p>
        </w:tc>
        <w:tc>
          <w:tcPr>
            <w:tcW w:w="280" w:type="pct"/>
            <w:tcBorders>
              <w:tl2br w:val="nil"/>
              <w:tr2bl w:val="nil"/>
            </w:tcBorders>
            <w:noWrap w:val="0"/>
            <w:vAlign w:val="center"/>
          </w:tcPr>
          <w:p w14:paraId="02F112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-122</w:t>
            </w:r>
          </w:p>
        </w:tc>
        <w:tc>
          <w:tcPr>
            <w:tcW w:w="281" w:type="pct"/>
            <w:tcBorders>
              <w:tl2br w:val="nil"/>
              <w:tr2bl w:val="nil"/>
            </w:tcBorders>
            <w:noWrap w:val="0"/>
            <w:vAlign w:val="center"/>
          </w:tcPr>
          <w:p w14:paraId="1ECD44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188" w:type="pct"/>
            <w:tcBorders>
              <w:tl2br w:val="nil"/>
              <w:tr2bl w:val="nil"/>
            </w:tcBorders>
            <w:noWrap w:val="0"/>
            <w:vAlign w:val="center"/>
          </w:tcPr>
          <w:p w14:paraId="32D26E5E">
            <w:pPr>
              <w:pStyle w:val="32"/>
              <w:spacing w:after="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11</w:t>
            </w:r>
          </w:p>
        </w:tc>
        <w:tc>
          <w:tcPr>
            <w:tcW w:w="313" w:type="pct"/>
            <w:tcBorders>
              <w:tl2br w:val="nil"/>
              <w:tr2bl w:val="nil"/>
            </w:tcBorders>
            <w:noWrap w:val="0"/>
            <w:vAlign w:val="center"/>
          </w:tcPr>
          <w:p w14:paraId="669FC761">
            <w:pPr>
              <w:pStyle w:val="32"/>
              <w:spacing w:after="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90</w:t>
            </w:r>
          </w:p>
        </w:tc>
        <w:tc>
          <w:tcPr>
            <w:tcW w:w="732" w:type="pct"/>
            <w:tcBorders>
              <w:tl2br w:val="nil"/>
              <w:tr2bl w:val="nil"/>
            </w:tcBorders>
            <w:noWrap w:val="0"/>
            <w:vAlign w:val="center"/>
          </w:tcPr>
          <w:p w14:paraId="410DCC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基础减振、隔声罩</w:t>
            </w:r>
          </w:p>
        </w:tc>
        <w:tc>
          <w:tcPr>
            <w:tcW w:w="371" w:type="pct"/>
            <w:tcBorders>
              <w:tl2br w:val="nil"/>
              <w:tr2bl w:val="nil"/>
            </w:tcBorders>
            <w:noWrap w:val="0"/>
            <w:vAlign w:val="center"/>
          </w:tcPr>
          <w:p w14:paraId="602F28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82</w:t>
            </w:r>
          </w:p>
        </w:tc>
        <w:tc>
          <w:tcPr>
            <w:tcW w:w="343" w:type="pct"/>
            <w:tcBorders>
              <w:tl2br w:val="nil"/>
              <w:tr2bl w:val="nil"/>
            </w:tcBorders>
            <w:noWrap w:val="0"/>
            <w:vAlign w:val="center"/>
          </w:tcPr>
          <w:p w14:paraId="123F5D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28</w:t>
            </w:r>
          </w:p>
        </w:tc>
        <w:tc>
          <w:tcPr>
            <w:tcW w:w="411" w:type="pct"/>
            <w:tcBorders>
              <w:tl2br w:val="nil"/>
              <w:tr2bl w:val="nil"/>
            </w:tcBorders>
            <w:noWrap w:val="0"/>
            <w:vAlign w:val="center"/>
          </w:tcPr>
          <w:p w14:paraId="607E58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rPr>
              <w:t>15-20</w:t>
            </w:r>
          </w:p>
        </w:tc>
        <w:tc>
          <w:tcPr>
            <w:tcW w:w="248" w:type="pct"/>
            <w:tcBorders>
              <w:tl2br w:val="nil"/>
              <w:tr2bl w:val="nil"/>
            </w:tcBorders>
            <w:noWrap w:val="0"/>
            <w:vAlign w:val="center"/>
          </w:tcPr>
          <w:p w14:paraId="7E1675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连续</w:t>
            </w:r>
          </w:p>
        </w:tc>
        <w:tc>
          <w:tcPr>
            <w:tcW w:w="354" w:type="pct"/>
            <w:tcBorders>
              <w:tl2br w:val="nil"/>
              <w:tr2bl w:val="nil"/>
            </w:tcBorders>
            <w:noWrap w:val="0"/>
            <w:vAlign w:val="center"/>
          </w:tcPr>
          <w:p w14:paraId="4C132E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70</w:t>
            </w:r>
          </w:p>
        </w:tc>
        <w:tc>
          <w:tcPr>
            <w:tcW w:w="335" w:type="pct"/>
            <w:tcBorders>
              <w:tl2br w:val="nil"/>
              <w:tr2bl w:val="nil"/>
            </w:tcBorders>
            <w:noWrap w:val="0"/>
            <w:vAlign w:val="center"/>
          </w:tcPr>
          <w:p w14:paraId="32B3C9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1m</w:t>
            </w:r>
          </w:p>
        </w:tc>
      </w:tr>
      <w:tr w14:paraId="08465A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94" w:type="pct"/>
            <w:tcBorders>
              <w:tl2br w:val="nil"/>
              <w:tr2bl w:val="nil"/>
            </w:tcBorders>
            <w:noWrap w:val="0"/>
            <w:vAlign w:val="center"/>
          </w:tcPr>
          <w:p w14:paraId="3426FF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238" w:type="pct"/>
            <w:vMerge w:val="continue"/>
            <w:tcBorders>
              <w:tl2br w:val="nil"/>
              <w:tr2bl w:val="nil"/>
            </w:tcBorders>
            <w:noWrap w:val="0"/>
            <w:vAlign w:val="center"/>
          </w:tcPr>
          <w:p w14:paraId="2A4FC5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92" w:type="pct"/>
            <w:tcBorders>
              <w:tl2br w:val="nil"/>
              <w:tr2bl w:val="nil"/>
            </w:tcBorders>
            <w:noWrap w:val="0"/>
            <w:vAlign w:val="center"/>
          </w:tcPr>
          <w:p w14:paraId="02FC5158">
            <w:pPr>
              <w:pStyle w:val="32"/>
              <w:spacing w:after="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浓缩机</w:t>
            </w:r>
          </w:p>
        </w:tc>
        <w:tc>
          <w:tcPr>
            <w:tcW w:w="214" w:type="pct"/>
            <w:tcBorders>
              <w:tl2br w:val="nil"/>
              <w:tr2bl w:val="nil"/>
            </w:tcBorders>
            <w:noWrap w:val="0"/>
            <w:vAlign w:val="center"/>
          </w:tcPr>
          <w:p w14:paraId="68110B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-58</w:t>
            </w:r>
          </w:p>
        </w:tc>
        <w:tc>
          <w:tcPr>
            <w:tcW w:w="280" w:type="pct"/>
            <w:tcBorders>
              <w:tl2br w:val="nil"/>
              <w:tr2bl w:val="nil"/>
            </w:tcBorders>
            <w:noWrap w:val="0"/>
            <w:vAlign w:val="center"/>
          </w:tcPr>
          <w:p w14:paraId="72D154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-184</w:t>
            </w:r>
          </w:p>
        </w:tc>
        <w:tc>
          <w:tcPr>
            <w:tcW w:w="281" w:type="pct"/>
            <w:tcBorders>
              <w:tl2br w:val="nil"/>
              <w:tr2bl w:val="nil"/>
            </w:tcBorders>
            <w:noWrap w:val="0"/>
            <w:vAlign w:val="center"/>
          </w:tcPr>
          <w:p w14:paraId="62C5D8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188" w:type="pct"/>
            <w:tcBorders>
              <w:tl2br w:val="nil"/>
              <w:tr2bl w:val="nil"/>
            </w:tcBorders>
            <w:noWrap w:val="0"/>
            <w:vAlign w:val="center"/>
          </w:tcPr>
          <w:p w14:paraId="7B760D86">
            <w:pPr>
              <w:pStyle w:val="32"/>
              <w:spacing w:after="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w:t>
            </w:r>
          </w:p>
        </w:tc>
        <w:tc>
          <w:tcPr>
            <w:tcW w:w="313" w:type="pct"/>
            <w:tcBorders>
              <w:tl2br w:val="nil"/>
              <w:tr2bl w:val="nil"/>
            </w:tcBorders>
            <w:noWrap w:val="0"/>
            <w:vAlign w:val="center"/>
          </w:tcPr>
          <w:p w14:paraId="4CE1FAA5">
            <w:pPr>
              <w:pStyle w:val="32"/>
              <w:spacing w:after="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85</w:t>
            </w:r>
          </w:p>
        </w:tc>
        <w:tc>
          <w:tcPr>
            <w:tcW w:w="732" w:type="pct"/>
            <w:tcBorders>
              <w:tl2br w:val="nil"/>
              <w:tr2bl w:val="nil"/>
            </w:tcBorders>
            <w:noWrap w:val="0"/>
            <w:vAlign w:val="center"/>
          </w:tcPr>
          <w:p w14:paraId="549E19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基础减振、隔声罩</w:t>
            </w:r>
          </w:p>
        </w:tc>
        <w:tc>
          <w:tcPr>
            <w:tcW w:w="371" w:type="pct"/>
            <w:tcBorders>
              <w:tl2br w:val="nil"/>
              <w:tr2bl w:val="nil"/>
            </w:tcBorders>
            <w:noWrap w:val="0"/>
            <w:vAlign w:val="center"/>
          </w:tcPr>
          <w:p w14:paraId="572C57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80</w:t>
            </w:r>
          </w:p>
        </w:tc>
        <w:tc>
          <w:tcPr>
            <w:tcW w:w="343" w:type="pct"/>
            <w:tcBorders>
              <w:tl2br w:val="nil"/>
              <w:tr2bl w:val="nil"/>
            </w:tcBorders>
            <w:noWrap w:val="0"/>
            <w:vAlign w:val="center"/>
          </w:tcPr>
          <w:p w14:paraId="2C7C5B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411" w:type="pct"/>
            <w:tcBorders>
              <w:tl2br w:val="nil"/>
              <w:tr2bl w:val="nil"/>
            </w:tcBorders>
            <w:noWrap w:val="0"/>
            <w:vAlign w:val="center"/>
          </w:tcPr>
          <w:p w14:paraId="225AD4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rPr>
              <w:t>15-20</w:t>
            </w:r>
          </w:p>
        </w:tc>
        <w:tc>
          <w:tcPr>
            <w:tcW w:w="248" w:type="pct"/>
            <w:tcBorders>
              <w:tl2br w:val="nil"/>
              <w:tr2bl w:val="nil"/>
            </w:tcBorders>
            <w:noWrap w:val="0"/>
            <w:vAlign w:val="center"/>
          </w:tcPr>
          <w:p w14:paraId="150940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连续</w:t>
            </w:r>
          </w:p>
        </w:tc>
        <w:tc>
          <w:tcPr>
            <w:tcW w:w="354" w:type="pct"/>
            <w:tcBorders>
              <w:tl2br w:val="nil"/>
              <w:tr2bl w:val="nil"/>
            </w:tcBorders>
            <w:noWrap w:val="0"/>
            <w:vAlign w:val="center"/>
          </w:tcPr>
          <w:p w14:paraId="630460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73</w:t>
            </w:r>
          </w:p>
        </w:tc>
        <w:tc>
          <w:tcPr>
            <w:tcW w:w="335" w:type="pct"/>
            <w:tcBorders>
              <w:tl2br w:val="nil"/>
              <w:tr2bl w:val="nil"/>
            </w:tcBorders>
            <w:noWrap w:val="0"/>
            <w:vAlign w:val="center"/>
          </w:tcPr>
          <w:p w14:paraId="68F23B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1m</w:t>
            </w:r>
          </w:p>
        </w:tc>
      </w:tr>
      <w:tr w14:paraId="339AFF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94" w:type="pct"/>
            <w:tcBorders>
              <w:tl2br w:val="nil"/>
              <w:tr2bl w:val="nil"/>
            </w:tcBorders>
            <w:noWrap w:val="0"/>
            <w:vAlign w:val="center"/>
          </w:tcPr>
          <w:p w14:paraId="333A11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238" w:type="pct"/>
            <w:vMerge w:val="continue"/>
            <w:tcBorders>
              <w:tl2br w:val="nil"/>
              <w:tr2bl w:val="nil"/>
            </w:tcBorders>
            <w:noWrap w:val="0"/>
            <w:vAlign w:val="center"/>
          </w:tcPr>
          <w:p w14:paraId="287894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492" w:type="pct"/>
            <w:tcBorders>
              <w:tl2br w:val="nil"/>
              <w:tr2bl w:val="nil"/>
            </w:tcBorders>
            <w:noWrap w:val="0"/>
            <w:vAlign w:val="center"/>
          </w:tcPr>
          <w:p w14:paraId="5ECC6BA9">
            <w:pPr>
              <w:pStyle w:val="32"/>
              <w:spacing w:after="0" w:line="240" w:lineRule="auto"/>
              <w:ind w:left="0" w:leftChars="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Cs w:val="21"/>
                <w:highlight w:val="none"/>
                <w:lang w:val="en-US" w:eastAsia="zh-CN"/>
              </w:rPr>
              <w:t>旋流器</w:t>
            </w:r>
          </w:p>
        </w:tc>
        <w:tc>
          <w:tcPr>
            <w:tcW w:w="214" w:type="pct"/>
            <w:tcBorders>
              <w:tl2br w:val="nil"/>
              <w:tr2bl w:val="nil"/>
            </w:tcBorders>
            <w:noWrap w:val="0"/>
            <w:vAlign w:val="center"/>
          </w:tcPr>
          <w:p w14:paraId="364F1D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-104</w:t>
            </w:r>
          </w:p>
        </w:tc>
        <w:tc>
          <w:tcPr>
            <w:tcW w:w="280" w:type="pct"/>
            <w:tcBorders>
              <w:tl2br w:val="nil"/>
              <w:tr2bl w:val="nil"/>
            </w:tcBorders>
            <w:noWrap w:val="0"/>
            <w:vAlign w:val="center"/>
          </w:tcPr>
          <w:p w14:paraId="4E58E1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-146</w:t>
            </w:r>
          </w:p>
        </w:tc>
        <w:tc>
          <w:tcPr>
            <w:tcW w:w="281" w:type="pct"/>
            <w:tcBorders>
              <w:tl2br w:val="nil"/>
              <w:tr2bl w:val="nil"/>
            </w:tcBorders>
            <w:noWrap w:val="0"/>
            <w:vAlign w:val="center"/>
          </w:tcPr>
          <w:p w14:paraId="20817B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188" w:type="pct"/>
            <w:tcBorders>
              <w:tl2br w:val="nil"/>
              <w:tr2bl w:val="nil"/>
            </w:tcBorders>
            <w:noWrap w:val="0"/>
            <w:vAlign w:val="center"/>
          </w:tcPr>
          <w:p w14:paraId="10BFA867">
            <w:pPr>
              <w:pStyle w:val="32"/>
              <w:spacing w:after="0"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Cs w:val="21"/>
                <w:highlight w:val="none"/>
                <w:lang w:val="en-US" w:eastAsia="zh-CN"/>
              </w:rPr>
              <w:t>1</w:t>
            </w:r>
          </w:p>
        </w:tc>
        <w:tc>
          <w:tcPr>
            <w:tcW w:w="313" w:type="pct"/>
            <w:tcBorders>
              <w:tl2br w:val="nil"/>
              <w:tr2bl w:val="nil"/>
            </w:tcBorders>
            <w:noWrap w:val="0"/>
            <w:vAlign w:val="center"/>
          </w:tcPr>
          <w:p w14:paraId="4FA03F1A">
            <w:pPr>
              <w:pStyle w:val="32"/>
              <w:spacing w:after="0"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Cs w:val="21"/>
                <w:highlight w:val="none"/>
                <w:lang w:val="en-US" w:eastAsia="zh-CN"/>
              </w:rPr>
              <w:t>90</w:t>
            </w:r>
          </w:p>
        </w:tc>
        <w:tc>
          <w:tcPr>
            <w:tcW w:w="732" w:type="pct"/>
            <w:tcBorders>
              <w:tl2br w:val="nil"/>
              <w:tr2bl w:val="nil"/>
            </w:tcBorders>
            <w:noWrap w:val="0"/>
            <w:vAlign w:val="center"/>
          </w:tcPr>
          <w:p w14:paraId="244C36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基础减振、</w:t>
            </w:r>
            <w:r>
              <w:rPr>
                <w:rFonts w:hint="default" w:ascii="Times New Roman" w:hAnsi="Times New Roman" w:eastAsia="宋体" w:cs="Times New Roman"/>
                <w:color w:val="auto"/>
                <w:sz w:val="21"/>
                <w:szCs w:val="21"/>
                <w:highlight w:val="none"/>
                <w:lang w:val="en-US" w:eastAsia="zh-CN"/>
              </w:rPr>
              <w:t>隔声罩</w:t>
            </w:r>
          </w:p>
        </w:tc>
        <w:tc>
          <w:tcPr>
            <w:tcW w:w="371" w:type="pct"/>
            <w:tcBorders>
              <w:tl2br w:val="nil"/>
              <w:tr2bl w:val="nil"/>
            </w:tcBorders>
            <w:noWrap w:val="0"/>
            <w:vAlign w:val="center"/>
          </w:tcPr>
          <w:p w14:paraId="427060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81</w:t>
            </w:r>
          </w:p>
        </w:tc>
        <w:tc>
          <w:tcPr>
            <w:tcW w:w="343" w:type="pct"/>
            <w:tcBorders>
              <w:tl2br w:val="nil"/>
              <w:tr2bl w:val="nil"/>
            </w:tcBorders>
            <w:noWrap w:val="0"/>
            <w:vAlign w:val="center"/>
          </w:tcPr>
          <w:p w14:paraId="6B08BC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36</w:t>
            </w:r>
          </w:p>
        </w:tc>
        <w:tc>
          <w:tcPr>
            <w:tcW w:w="411" w:type="pct"/>
            <w:tcBorders>
              <w:tl2br w:val="nil"/>
              <w:tr2bl w:val="nil"/>
            </w:tcBorders>
            <w:noWrap w:val="0"/>
            <w:vAlign w:val="center"/>
          </w:tcPr>
          <w:p w14:paraId="788DC1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15-20</w:t>
            </w:r>
          </w:p>
        </w:tc>
        <w:tc>
          <w:tcPr>
            <w:tcW w:w="248" w:type="pct"/>
            <w:tcBorders>
              <w:tl2br w:val="nil"/>
              <w:tr2bl w:val="nil"/>
            </w:tcBorders>
            <w:noWrap w:val="0"/>
            <w:vAlign w:val="center"/>
          </w:tcPr>
          <w:p w14:paraId="642D6D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连续</w:t>
            </w:r>
          </w:p>
        </w:tc>
        <w:tc>
          <w:tcPr>
            <w:tcW w:w="354" w:type="pct"/>
            <w:tcBorders>
              <w:tl2br w:val="nil"/>
              <w:tr2bl w:val="nil"/>
            </w:tcBorders>
            <w:noWrap w:val="0"/>
            <w:vAlign w:val="center"/>
          </w:tcPr>
          <w:p w14:paraId="65CE25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w:t>
            </w:r>
          </w:p>
        </w:tc>
        <w:tc>
          <w:tcPr>
            <w:tcW w:w="335" w:type="pct"/>
            <w:tcBorders>
              <w:tl2br w:val="nil"/>
              <w:tr2bl w:val="nil"/>
            </w:tcBorders>
            <w:noWrap w:val="0"/>
            <w:vAlign w:val="center"/>
          </w:tcPr>
          <w:p w14:paraId="33376A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1m</w:t>
            </w:r>
          </w:p>
        </w:tc>
      </w:tr>
      <w:tr w14:paraId="5BA380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94" w:type="pct"/>
            <w:tcBorders>
              <w:tl2br w:val="nil"/>
              <w:tr2bl w:val="nil"/>
            </w:tcBorders>
            <w:noWrap w:val="0"/>
            <w:vAlign w:val="center"/>
          </w:tcPr>
          <w:p w14:paraId="7FD1B0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238" w:type="pct"/>
            <w:vMerge w:val="continue"/>
            <w:tcBorders>
              <w:tl2br w:val="nil"/>
              <w:tr2bl w:val="nil"/>
            </w:tcBorders>
            <w:noWrap w:val="0"/>
            <w:vAlign w:val="center"/>
          </w:tcPr>
          <w:p w14:paraId="201F01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92" w:type="pct"/>
            <w:tcBorders>
              <w:tl2br w:val="nil"/>
              <w:tr2bl w:val="nil"/>
            </w:tcBorders>
            <w:noWrap w:val="0"/>
            <w:vAlign w:val="center"/>
          </w:tcPr>
          <w:p w14:paraId="6040051F">
            <w:pPr>
              <w:pStyle w:val="32"/>
              <w:spacing w:after="0"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Cs w:val="21"/>
                <w:highlight w:val="none"/>
                <w:lang w:eastAsia="zh-CN"/>
              </w:rPr>
              <w:t>过滤机</w:t>
            </w:r>
          </w:p>
        </w:tc>
        <w:tc>
          <w:tcPr>
            <w:tcW w:w="214" w:type="pct"/>
            <w:tcBorders>
              <w:tl2br w:val="nil"/>
              <w:tr2bl w:val="nil"/>
            </w:tcBorders>
            <w:noWrap w:val="0"/>
            <w:vAlign w:val="center"/>
          </w:tcPr>
          <w:p w14:paraId="540111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w:t>
            </w:r>
          </w:p>
        </w:tc>
        <w:tc>
          <w:tcPr>
            <w:tcW w:w="280" w:type="pct"/>
            <w:tcBorders>
              <w:tl2br w:val="nil"/>
              <w:tr2bl w:val="nil"/>
            </w:tcBorders>
            <w:noWrap w:val="0"/>
            <w:vAlign w:val="center"/>
          </w:tcPr>
          <w:p w14:paraId="345E53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-172</w:t>
            </w:r>
          </w:p>
        </w:tc>
        <w:tc>
          <w:tcPr>
            <w:tcW w:w="281" w:type="pct"/>
            <w:tcBorders>
              <w:tl2br w:val="nil"/>
              <w:tr2bl w:val="nil"/>
            </w:tcBorders>
            <w:noWrap w:val="0"/>
            <w:vAlign w:val="center"/>
          </w:tcPr>
          <w:p w14:paraId="29C80E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188" w:type="pct"/>
            <w:tcBorders>
              <w:tl2br w:val="nil"/>
              <w:tr2bl w:val="nil"/>
            </w:tcBorders>
            <w:noWrap w:val="0"/>
            <w:vAlign w:val="center"/>
          </w:tcPr>
          <w:p w14:paraId="46897A85">
            <w:pPr>
              <w:pStyle w:val="32"/>
              <w:spacing w:after="0"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Cs w:val="21"/>
                <w:highlight w:val="none"/>
                <w:lang w:val="en-US" w:eastAsia="zh-CN"/>
              </w:rPr>
              <w:t>1</w:t>
            </w:r>
          </w:p>
        </w:tc>
        <w:tc>
          <w:tcPr>
            <w:tcW w:w="313" w:type="pct"/>
            <w:tcBorders>
              <w:tl2br w:val="nil"/>
              <w:tr2bl w:val="nil"/>
            </w:tcBorders>
            <w:noWrap w:val="0"/>
            <w:vAlign w:val="center"/>
          </w:tcPr>
          <w:p w14:paraId="6AB6D314">
            <w:pPr>
              <w:pStyle w:val="32"/>
              <w:spacing w:after="0"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Cs w:val="21"/>
                <w:highlight w:val="none"/>
                <w:lang w:val="en-US" w:eastAsia="zh-CN"/>
              </w:rPr>
              <w:t>92</w:t>
            </w:r>
          </w:p>
        </w:tc>
        <w:tc>
          <w:tcPr>
            <w:tcW w:w="732" w:type="pct"/>
            <w:tcBorders>
              <w:tl2br w:val="nil"/>
              <w:tr2bl w:val="nil"/>
            </w:tcBorders>
            <w:noWrap w:val="0"/>
            <w:vAlign w:val="center"/>
          </w:tcPr>
          <w:p w14:paraId="3191C2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基础减振、</w:t>
            </w:r>
            <w:r>
              <w:rPr>
                <w:rFonts w:hint="default" w:ascii="Times New Roman" w:hAnsi="Times New Roman" w:eastAsia="宋体" w:cs="Times New Roman"/>
                <w:color w:val="auto"/>
                <w:sz w:val="21"/>
                <w:szCs w:val="21"/>
                <w:highlight w:val="none"/>
                <w:lang w:val="en-US" w:eastAsia="zh-CN"/>
              </w:rPr>
              <w:t>隔声罩</w:t>
            </w:r>
          </w:p>
        </w:tc>
        <w:tc>
          <w:tcPr>
            <w:tcW w:w="371" w:type="pct"/>
            <w:tcBorders>
              <w:tl2br w:val="nil"/>
              <w:tr2bl w:val="nil"/>
            </w:tcBorders>
            <w:noWrap w:val="0"/>
            <w:vAlign w:val="center"/>
          </w:tcPr>
          <w:p w14:paraId="64948A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84</w:t>
            </w:r>
          </w:p>
        </w:tc>
        <w:tc>
          <w:tcPr>
            <w:tcW w:w="343" w:type="pct"/>
            <w:tcBorders>
              <w:tl2br w:val="nil"/>
              <w:tr2bl w:val="nil"/>
            </w:tcBorders>
            <w:noWrap w:val="0"/>
            <w:vAlign w:val="center"/>
          </w:tcPr>
          <w:p w14:paraId="5D9D7A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411" w:type="pct"/>
            <w:tcBorders>
              <w:tl2br w:val="nil"/>
              <w:tr2bl w:val="nil"/>
            </w:tcBorders>
            <w:noWrap w:val="0"/>
            <w:vAlign w:val="center"/>
          </w:tcPr>
          <w:p w14:paraId="780BB6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rPr>
              <w:t>15-20</w:t>
            </w:r>
          </w:p>
        </w:tc>
        <w:tc>
          <w:tcPr>
            <w:tcW w:w="248" w:type="pct"/>
            <w:tcBorders>
              <w:tl2br w:val="nil"/>
              <w:tr2bl w:val="nil"/>
            </w:tcBorders>
            <w:noWrap w:val="0"/>
            <w:vAlign w:val="center"/>
          </w:tcPr>
          <w:p w14:paraId="25629A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连续</w:t>
            </w:r>
          </w:p>
        </w:tc>
        <w:tc>
          <w:tcPr>
            <w:tcW w:w="354" w:type="pct"/>
            <w:tcBorders>
              <w:tl2br w:val="nil"/>
              <w:tr2bl w:val="nil"/>
            </w:tcBorders>
            <w:noWrap w:val="0"/>
            <w:vAlign w:val="center"/>
          </w:tcPr>
          <w:p w14:paraId="3AE17D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335" w:type="pct"/>
            <w:tcBorders>
              <w:tl2br w:val="nil"/>
              <w:tr2bl w:val="nil"/>
            </w:tcBorders>
            <w:noWrap w:val="0"/>
            <w:vAlign w:val="center"/>
          </w:tcPr>
          <w:p w14:paraId="6CA319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1m</w:t>
            </w:r>
          </w:p>
        </w:tc>
      </w:tr>
      <w:tr w14:paraId="26DFF3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94" w:type="pct"/>
            <w:tcBorders>
              <w:tl2br w:val="nil"/>
              <w:tr2bl w:val="nil"/>
            </w:tcBorders>
            <w:noWrap w:val="0"/>
            <w:vAlign w:val="center"/>
          </w:tcPr>
          <w:p w14:paraId="424161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238" w:type="pct"/>
            <w:tcBorders>
              <w:tl2br w:val="nil"/>
              <w:tr2bl w:val="nil"/>
            </w:tcBorders>
            <w:noWrap w:val="0"/>
            <w:vAlign w:val="center"/>
          </w:tcPr>
          <w:p w14:paraId="4DA7B8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锅炉房</w:t>
            </w:r>
          </w:p>
        </w:tc>
        <w:tc>
          <w:tcPr>
            <w:tcW w:w="492" w:type="pct"/>
            <w:tcBorders>
              <w:tl2br w:val="nil"/>
              <w:tr2bl w:val="nil"/>
            </w:tcBorders>
            <w:noWrap w:val="0"/>
            <w:vAlign w:val="center"/>
          </w:tcPr>
          <w:p w14:paraId="2EAD5601">
            <w:pPr>
              <w:pStyle w:val="32"/>
              <w:spacing w:after="0"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Cs w:val="21"/>
                <w:highlight w:val="none"/>
                <w:lang w:val="en-US" w:eastAsia="zh-CN"/>
              </w:rPr>
              <w:t>锅炉</w:t>
            </w:r>
          </w:p>
        </w:tc>
        <w:tc>
          <w:tcPr>
            <w:tcW w:w="214" w:type="pct"/>
            <w:tcBorders>
              <w:tl2br w:val="nil"/>
              <w:tr2bl w:val="nil"/>
            </w:tcBorders>
            <w:noWrap w:val="0"/>
            <w:vAlign w:val="center"/>
          </w:tcPr>
          <w:p w14:paraId="55E4F8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-76</w:t>
            </w:r>
          </w:p>
        </w:tc>
        <w:tc>
          <w:tcPr>
            <w:tcW w:w="280" w:type="pct"/>
            <w:tcBorders>
              <w:tl2br w:val="nil"/>
              <w:tr2bl w:val="nil"/>
            </w:tcBorders>
            <w:noWrap w:val="0"/>
            <w:vAlign w:val="center"/>
          </w:tcPr>
          <w:p w14:paraId="45A053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-207</w:t>
            </w:r>
          </w:p>
        </w:tc>
        <w:tc>
          <w:tcPr>
            <w:tcW w:w="281" w:type="pct"/>
            <w:tcBorders>
              <w:tl2br w:val="nil"/>
              <w:tr2bl w:val="nil"/>
            </w:tcBorders>
            <w:noWrap w:val="0"/>
            <w:vAlign w:val="center"/>
          </w:tcPr>
          <w:p w14:paraId="3B2D6A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188" w:type="pct"/>
            <w:tcBorders>
              <w:tl2br w:val="nil"/>
              <w:tr2bl w:val="nil"/>
            </w:tcBorders>
            <w:noWrap w:val="0"/>
            <w:vAlign w:val="center"/>
          </w:tcPr>
          <w:p w14:paraId="3BF360B5">
            <w:pPr>
              <w:pStyle w:val="32"/>
              <w:spacing w:after="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2</w:t>
            </w:r>
          </w:p>
        </w:tc>
        <w:tc>
          <w:tcPr>
            <w:tcW w:w="313" w:type="pct"/>
            <w:tcBorders>
              <w:tl2br w:val="nil"/>
              <w:tr2bl w:val="nil"/>
            </w:tcBorders>
            <w:noWrap w:val="0"/>
            <w:vAlign w:val="center"/>
          </w:tcPr>
          <w:p w14:paraId="03C0EB56">
            <w:pPr>
              <w:pStyle w:val="32"/>
              <w:spacing w:after="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85</w:t>
            </w:r>
          </w:p>
        </w:tc>
        <w:tc>
          <w:tcPr>
            <w:tcW w:w="732" w:type="pct"/>
            <w:tcBorders>
              <w:tl2br w:val="nil"/>
              <w:tr2bl w:val="nil"/>
            </w:tcBorders>
            <w:noWrap w:val="0"/>
            <w:vAlign w:val="center"/>
          </w:tcPr>
          <w:p w14:paraId="76231717">
            <w:pPr>
              <w:pStyle w:val="32"/>
              <w:spacing w:after="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基础减振、隔声、厂房封闭</w:t>
            </w:r>
          </w:p>
        </w:tc>
        <w:tc>
          <w:tcPr>
            <w:tcW w:w="371" w:type="pct"/>
            <w:tcBorders>
              <w:tl2br w:val="nil"/>
              <w:tr2bl w:val="nil"/>
            </w:tcBorders>
            <w:noWrap w:val="0"/>
            <w:vAlign w:val="center"/>
          </w:tcPr>
          <w:p w14:paraId="480B9F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80</w:t>
            </w:r>
          </w:p>
        </w:tc>
        <w:tc>
          <w:tcPr>
            <w:tcW w:w="343" w:type="pct"/>
            <w:tcBorders>
              <w:tl2br w:val="nil"/>
              <w:tr2bl w:val="nil"/>
            </w:tcBorders>
            <w:noWrap w:val="0"/>
            <w:vAlign w:val="center"/>
          </w:tcPr>
          <w:p w14:paraId="41A384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411" w:type="pct"/>
            <w:tcBorders>
              <w:tl2br w:val="nil"/>
              <w:tr2bl w:val="nil"/>
            </w:tcBorders>
            <w:noWrap w:val="0"/>
            <w:vAlign w:val="center"/>
          </w:tcPr>
          <w:p w14:paraId="51617F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rPr>
              <w:t>15-20</w:t>
            </w:r>
          </w:p>
        </w:tc>
        <w:tc>
          <w:tcPr>
            <w:tcW w:w="248" w:type="pct"/>
            <w:tcBorders>
              <w:tl2br w:val="nil"/>
              <w:tr2bl w:val="nil"/>
            </w:tcBorders>
            <w:noWrap w:val="0"/>
            <w:vAlign w:val="center"/>
          </w:tcPr>
          <w:p w14:paraId="0C2662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连续</w:t>
            </w:r>
          </w:p>
        </w:tc>
        <w:tc>
          <w:tcPr>
            <w:tcW w:w="354" w:type="pct"/>
            <w:tcBorders>
              <w:tl2br w:val="nil"/>
              <w:tr2bl w:val="nil"/>
            </w:tcBorders>
            <w:noWrap w:val="0"/>
            <w:vAlign w:val="center"/>
          </w:tcPr>
          <w:p w14:paraId="46D34396">
            <w:pPr>
              <w:pStyle w:val="140"/>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75</w:t>
            </w:r>
          </w:p>
        </w:tc>
        <w:tc>
          <w:tcPr>
            <w:tcW w:w="335" w:type="pct"/>
            <w:tcBorders>
              <w:tl2br w:val="nil"/>
              <w:tr2bl w:val="nil"/>
            </w:tcBorders>
            <w:noWrap w:val="0"/>
            <w:vAlign w:val="center"/>
          </w:tcPr>
          <w:p w14:paraId="3194E0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1m</w:t>
            </w:r>
          </w:p>
        </w:tc>
      </w:tr>
    </w:tbl>
    <w:p w14:paraId="51EDA260">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.2.4固体废物</w:t>
      </w:r>
    </w:p>
    <w:p w14:paraId="4B577379">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运营期固体废物主要来源于选矿工序产生的尾矿砂、除尘灰（除尘器收集的粉尘）、废药剂及包装物、废离子交换树脂、循环水池底泥、生活垃圾及少量废机油、废油桶</w:t>
      </w:r>
      <w:r>
        <w:rPr>
          <w:rFonts w:hint="eastAsia" w:cs="Times New Roman"/>
          <w:color w:val="auto"/>
          <w:kern w:val="0"/>
          <w:highlight w:val="none"/>
          <w:lang w:val="en-US" w:eastAsia="zh-CN"/>
        </w:rPr>
        <w:t>及油桶</w:t>
      </w:r>
      <w:r>
        <w:rPr>
          <w:rFonts w:hint="default" w:ascii="Times New Roman" w:hAnsi="Times New Roman" w:cs="Times New Roman"/>
          <w:color w:val="auto"/>
          <w:kern w:val="0"/>
          <w:highlight w:val="none"/>
        </w:rPr>
        <w:t>等。</w:t>
      </w:r>
    </w:p>
    <w:p w14:paraId="35F8A50A">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（1）尾矿砂</w:t>
      </w:r>
    </w:p>
    <w:p w14:paraId="531DF418">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本项目尾矿主要为磨矿选别过程中产生的尾矿砂，尾矿砂产生量</w:t>
      </w:r>
      <w:r>
        <w:rPr>
          <w:rFonts w:hint="default" w:ascii="Times New Roman" w:hAnsi="Times New Roman" w:cs="Times New Roman"/>
          <w:color w:val="auto"/>
          <w:kern w:val="0"/>
          <w:highlight w:val="none"/>
          <w:lang w:val="en-US" w:eastAsia="zh-CN"/>
        </w:rPr>
        <w:t>46.62</w:t>
      </w:r>
      <w:r>
        <w:rPr>
          <w:rFonts w:hint="default" w:ascii="Times New Roman" w:hAnsi="Times New Roman" w:cs="Times New Roman"/>
          <w:color w:val="auto"/>
          <w:kern w:val="0"/>
          <w:highlight w:val="none"/>
        </w:rPr>
        <w:t>万t/a，</w:t>
      </w:r>
      <w:r>
        <w:rPr>
          <w:rFonts w:hint="default" w:ascii="Times New Roman" w:hAnsi="Times New Roman" w:cs="Times New Roman"/>
          <w:color w:val="auto"/>
          <w:kern w:val="0"/>
          <w:highlight w:val="none"/>
          <w:lang w:val="zh-CN"/>
        </w:rPr>
        <w:t>为一般固体废物</w:t>
      </w:r>
      <w:r>
        <w:rPr>
          <w:rFonts w:hint="default" w:ascii="Times New Roman" w:hAnsi="Times New Roman" w:cs="Times New Roman"/>
          <w:color w:val="auto"/>
          <w:kern w:val="0"/>
          <w:highlight w:val="none"/>
        </w:rPr>
        <w:t>，</w:t>
      </w:r>
      <w:r>
        <w:rPr>
          <w:rFonts w:hint="default" w:ascii="Times New Roman" w:hAnsi="Times New Roman" w:cs="Times New Roman"/>
          <w:color w:val="auto"/>
          <w:kern w:val="0"/>
          <w:highlight w:val="none"/>
          <w:lang w:eastAsia="zh-CN"/>
        </w:rPr>
        <w:t>尾矿砂</w:t>
      </w:r>
      <w:r>
        <w:rPr>
          <w:rFonts w:hint="default" w:ascii="Times New Roman" w:hAnsi="Times New Roman" w:cs="Times New Roman"/>
          <w:color w:val="auto"/>
          <w:kern w:val="0"/>
          <w:highlight w:val="none"/>
        </w:rPr>
        <w:t>经管线输送至尾矿库。</w:t>
      </w:r>
    </w:p>
    <w:p w14:paraId="501F0B60">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（2）生活垃圾</w:t>
      </w:r>
    </w:p>
    <w:p w14:paraId="7438F30D">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本项目劳动定员</w:t>
      </w:r>
      <w:r>
        <w:rPr>
          <w:rFonts w:hint="default" w:ascii="Times New Roman" w:hAnsi="Times New Roman" w:cs="Times New Roman"/>
          <w:color w:val="auto"/>
          <w:highlight w:val="none"/>
          <w:lang w:val="en-US" w:eastAsia="zh-CN"/>
        </w:rPr>
        <w:t>72</w:t>
      </w:r>
      <w:r>
        <w:rPr>
          <w:rFonts w:hint="default" w:ascii="Times New Roman" w:hAnsi="Times New Roman" w:cs="Times New Roman"/>
          <w:color w:val="auto"/>
          <w:highlight w:val="none"/>
        </w:rPr>
        <w:t>人，</w:t>
      </w:r>
      <w:r>
        <w:rPr>
          <w:rFonts w:hint="default" w:ascii="Times New Roman" w:hAnsi="Times New Roman" w:cs="Times New Roman"/>
          <w:color w:val="auto"/>
          <w:kern w:val="0"/>
          <w:highlight w:val="none"/>
        </w:rPr>
        <w:t>生活垃圾的产生量按1.0kg/d·人计，则生活垃圾产生量为</w:t>
      </w:r>
      <w:r>
        <w:rPr>
          <w:rFonts w:hint="default" w:ascii="Times New Roman" w:hAnsi="Times New Roman" w:cs="Times New Roman"/>
          <w:color w:val="auto"/>
          <w:kern w:val="0"/>
          <w:highlight w:val="none"/>
          <w:lang w:val="en-US" w:eastAsia="zh-CN"/>
        </w:rPr>
        <w:t>72</w:t>
      </w:r>
      <w:r>
        <w:rPr>
          <w:rFonts w:hint="default" w:ascii="Times New Roman" w:hAnsi="Times New Roman" w:cs="Times New Roman"/>
          <w:color w:val="auto"/>
          <w:kern w:val="0"/>
          <w:highlight w:val="none"/>
        </w:rPr>
        <w:t>kg/d（</w:t>
      </w:r>
      <w:r>
        <w:rPr>
          <w:rFonts w:hint="default" w:ascii="Times New Roman" w:hAnsi="Times New Roman" w:cs="Times New Roman"/>
          <w:color w:val="auto"/>
          <w:kern w:val="0"/>
          <w:highlight w:val="none"/>
          <w:lang w:val="en-US" w:eastAsia="zh-CN"/>
        </w:rPr>
        <w:t>21.6</w:t>
      </w:r>
      <w:r>
        <w:rPr>
          <w:rFonts w:hint="default" w:ascii="Times New Roman" w:hAnsi="Times New Roman" w:cs="Times New Roman"/>
          <w:color w:val="auto"/>
          <w:kern w:val="0"/>
          <w:highlight w:val="none"/>
        </w:rPr>
        <w:t>t/a）。</w:t>
      </w:r>
      <w:r>
        <w:rPr>
          <w:rFonts w:hint="eastAsia"/>
          <w:color w:val="auto"/>
          <w:highlight w:val="none"/>
        </w:rPr>
        <w:t>生活垃圾集中收集，定期运至雅满苏镇垃圾转运站处理。</w:t>
      </w:r>
    </w:p>
    <w:p w14:paraId="3D88FBBD">
      <w:pPr>
        <w:overflowPunct w:val="0"/>
        <w:topLinePunct/>
        <w:ind w:firstLine="480"/>
        <w:rPr>
          <w:rFonts w:hint="default" w:ascii="Times New Roman" w:hAnsi="Times New Roman" w:eastAsia="宋体" w:cs="Times New Roman"/>
          <w:color w:val="auto"/>
          <w:kern w:val="0"/>
          <w:highlight w:val="none"/>
          <w:lang w:eastAsia="zh-CN"/>
        </w:rPr>
      </w:pPr>
      <w:r>
        <w:rPr>
          <w:rFonts w:hint="default" w:ascii="Times New Roman" w:hAnsi="Times New Roman" w:cs="Times New Roman"/>
          <w:color w:val="auto"/>
          <w:kern w:val="0"/>
          <w:highlight w:val="none"/>
        </w:rPr>
        <w:t>（</w:t>
      </w:r>
      <w:r>
        <w:rPr>
          <w:rFonts w:hint="default" w:ascii="Times New Roman" w:hAnsi="Times New Roman" w:cs="Times New Roman"/>
          <w:color w:val="auto"/>
          <w:kern w:val="0"/>
          <w:highlight w:val="none"/>
          <w:lang w:val="en-US" w:eastAsia="zh-CN"/>
        </w:rPr>
        <w:t>3</w:t>
      </w:r>
      <w:r>
        <w:rPr>
          <w:rFonts w:hint="default" w:ascii="Times New Roman" w:hAnsi="Times New Roman" w:cs="Times New Roman"/>
          <w:color w:val="auto"/>
          <w:kern w:val="0"/>
          <w:highlight w:val="none"/>
        </w:rPr>
        <w:t>）废机油及废油桶</w:t>
      </w:r>
    </w:p>
    <w:p w14:paraId="0B8FAEA8">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项目运营过程中会产生少量废机油及废油桶，废机油属于危险废物（HW08 900-217-08），废油桶属于危险废物（</w:t>
      </w:r>
      <w:r>
        <w:rPr>
          <w:rFonts w:hint="default" w:ascii="Times New Roman" w:hAnsi="Times New Roman" w:eastAsia="宋体" w:cs="Times New Roman"/>
          <w:color w:val="auto"/>
          <w:sz w:val="24"/>
          <w:szCs w:val="24"/>
          <w:highlight w:val="none"/>
        </w:rPr>
        <w:t>HW08</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900-2</w:t>
      </w:r>
      <w:r>
        <w:rPr>
          <w:rFonts w:hint="eastAsia" w:ascii="Times New Roman" w:hAnsi="Times New Roman" w:cs="Times New Roman"/>
          <w:color w:val="auto"/>
          <w:sz w:val="24"/>
          <w:szCs w:val="24"/>
          <w:highlight w:val="none"/>
          <w:lang w:val="en-US" w:eastAsia="zh-CN"/>
        </w:rPr>
        <w:t>49</w:t>
      </w:r>
      <w:r>
        <w:rPr>
          <w:rFonts w:hint="default" w:ascii="Times New Roman" w:hAnsi="Times New Roman" w:eastAsia="宋体" w:cs="Times New Roman"/>
          <w:color w:val="auto"/>
          <w:sz w:val="24"/>
          <w:szCs w:val="24"/>
          <w:highlight w:val="none"/>
        </w:rPr>
        <w:t>-08</w:t>
      </w:r>
      <w:r>
        <w:rPr>
          <w:rFonts w:hint="default" w:ascii="Times New Roman" w:hAnsi="Times New Roman" w:cs="Times New Roman"/>
          <w:color w:val="auto"/>
          <w:kern w:val="0"/>
          <w:highlight w:val="none"/>
        </w:rPr>
        <w:t>）</w:t>
      </w:r>
      <w:r>
        <w:rPr>
          <w:rFonts w:hint="eastAsia"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主要来源于工程机械和大型设备润滑、维护、检修。</w:t>
      </w:r>
      <w:r>
        <w:rPr>
          <w:rFonts w:hint="default" w:ascii="Times New Roman" w:hAnsi="Times New Roman" w:cs="Times New Roman"/>
          <w:color w:val="auto"/>
          <w:highlight w:val="none"/>
        </w:rPr>
        <w:t>废油桶产生量为</w:t>
      </w:r>
      <w:r>
        <w:rPr>
          <w:rFonts w:hint="eastAsia" w:cs="Times New Roman"/>
          <w:color w:val="auto"/>
          <w:highlight w:val="none"/>
          <w:lang w:val="en-US" w:eastAsia="zh-CN"/>
        </w:rPr>
        <w:t>15</w:t>
      </w:r>
      <w:r>
        <w:rPr>
          <w:rFonts w:hint="default" w:ascii="Times New Roman" w:hAnsi="Times New Roman" w:cs="Times New Roman"/>
          <w:color w:val="auto"/>
          <w:highlight w:val="none"/>
        </w:rPr>
        <w:t>只/年（约</w:t>
      </w:r>
      <w:r>
        <w:rPr>
          <w:rFonts w:hint="eastAsia" w:cs="Times New Roman"/>
          <w:color w:val="auto"/>
          <w:highlight w:val="none"/>
          <w:lang w:val="en-US" w:eastAsia="zh-CN"/>
        </w:rPr>
        <w:t>0.03</w:t>
      </w:r>
      <w:r>
        <w:rPr>
          <w:rFonts w:hint="default" w:ascii="Times New Roman" w:hAnsi="Times New Roman" w:cs="Times New Roman"/>
          <w:color w:val="auto"/>
          <w:highlight w:val="none"/>
        </w:rPr>
        <w:t>t/a），</w:t>
      </w:r>
      <w:r>
        <w:rPr>
          <w:rFonts w:hint="default" w:ascii="Times New Roman" w:hAnsi="Times New Roman" w:cs="Times New Roman"/>
          <w:color w:val="auto"/>
          <w:kern w:val="0"/>
          <w:highlight w:val="none"/>
        </w:rPr>
        <w:t>废机油产生量约</w:t>
      </w:r>
      <w:r>
        <w:rPr>
          <w:rFonts w:hint="eastAsia" w:cs="Times New Roman"/>
          <w:color w:val="auto"/>
          <w:kern w:val="0"/>
          <w:highlight w:val="none"/>
          <w:lang w:val="en-US" w:eastAsia="zh-CN"/>
        </w:rPr>
        <w:t>0.3</w:t>
      </w:r>
      <w:r>
        <w:rPr>
          <w:rFonts w:hint="default" w:ascii="Times New Roman" w:hAnsi="Times New Roman" w:cs="Times New Roman"/>
          <w:color w:val="auto"/>
          <w:kern w:val="0"/>
          <w:highlight w:val="none"/>
        </w:rPr>
        <w:t>t/a。</w:t>
      </w:r>
    </w:p>
    <w:p w14:paraId="41D333B9">
      <w:pPr>
        <w:pStyle w:val="29"/>
        <w:widowControl w:val="0"/>
        <w:overflowPunct w:val="0"/>
        <w:topLinePunct/>
        <w:spacing w:before="0" w:beforeAutospacing="0" w:after="0" w:afterAutospacing="0"/>
        <w:ind w:firstLine="480"/>
        <w:jc w:val="both"/>
        <w:rPr>
          <w:rFonts w:hint="default" w:ascii="Times New Roman" w:hAnsi="Times New Roman" w:cs="Times New Roman"/>
          <w:bCs/>
          <w:color w:val="auto"/>
          <w:highlight w:val="none"/>
        </w:rPr>
      </w:pPr>
      <w:r>
        <w:rPr>
          <w:rFonts w:hint="eastAsia" w:ascii="Times New Roman" w:hAnsi="Times New Roman" w:cs="Times New Roman"/>
          <w:color w:val="auto"/>
          <w:kern w:val="0"/>
          <w:highlight w:val="none"/>
          <w:lang w:eastAsia="zh-CN"/>
        </w:rPr>
        <w:t>危废贮存点</w:t>
      </w:r>
      <w:r>
        <w:rPr>
          <w:rFonts w:hint="default" w:ascii="Times New Roman" w:hAnsi="Times New Roman" w:cs="Times New Roman"/>
          <w:color w:val="auto"/>
          <w:highlight w:val="none"/>
        </w:rPr>
        <w:t>（规格：</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7</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21</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），危险废物暂存于</w:t>
      </w:r>
      <w:r>
        <w:rPr>
          <w:rFonts w:hint="eastAsia" w:ascii="Times New Roman" w:hAnsi="Times New Roman" w:cs="Times New Roman"/>
          <w:color w:val="auto"/>
          <w:highlight w:val="none"/>
          <w:lang w:eastAsia="zh-CN"/>
        </w:rPr>
        <w:t>危废贮存点</w:t>
      </w:r>
      <w:r>
        <w:rPr>
          <w:rFonts w:hint="default" w:ascii="Times New Roman" w:hAnsi="Times New Roman" w:cs="Times New Roman"/>
          <w:color w:val="auto"/>
          <w:highlight w:val="none"/>
        </w:rPr>
        <w:t>，委托有资质单位处置。根据《危险废物贮存污染控制标准》（GB</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18597</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2023）中有关规定，危险废物在</w:t>
      </w:r>
      <w:r>
        <w:rPr>
          <w:rFonts w:hint="eastAsia" w:ascii="Times New Roman" w:hAnsi="Times New Roman" w:cs="Times New Roman"/>
          <w:color w:val="auto"/>
          <w:highlight w:val="none"/>
          <w:lang w:eastAsia="zh-CN"/>
        </w:rPr>
        <w:t>危废贮存点</w:t>
      </w:r>
      <w:r>
        <w:rPr>
          <w:rFonts w:hint="default" w:ascii="Times New Roman" w:hAnsi="Times New Roman" w:cs="Times New Roman"/>
          <w:color w:val="auto"/>
          <w:highlight w:val="none"/>
        </w:rPr>
        <w:t>内暂存期间，使用完好无损容器盛装。储存容器上必须粘贴该标准中规定的危险废物标签；容器材质与危险废物本身相容（不相互反应）。厂内设置临时安全存放场所，基础做防渗，防渗层为至少1m粘土层（渗透系数小于等于10</w:t>
      </w:r>
      <w:r>
        <w:rPr>
          <w:rFonts w:hint="default" w:ascii="Times New Roman" w:hAnsi="Times New Roman" w:cs="Times New Roman"/>
          <w:color w:val="auto"/>
          <w:highlight w:val="none"/>
          <w:vertAlign w:val="superscript"/>
        </w:rPr>
        <w:t>-7</w:t>
      </w:r>
      <w:r>
        <w:rPr>
          <w:rFonts w:hint="default" w:ascii="Times New Roman" w:hAnsi="Times New Roman" w:cs="Times New Roman"/>
          <w:color w:val="auto"/>
          <w:highlight w:val="none"/>
        </w:rPr>
        <w:t>cm/s）</w:t>
      </w:r>
      <w:r>
        <w:rPr>
          <w:rFonts w:hint="default" w:ascii="Times New Roman" w:hAnsi="Times New Roman" w:cs="Times New Roman"/>
          <w:bCs/>
          <w:color w:val="auto"/>
          <w:highlight w:val="none"/>
        </w:rPr>
        <w:t>。根据</w:t>
      </w:r>
      <w:r>
        <w:rPr>
          <w:rFonts w:hint="eastAsia" w:ascii="Times New Roman" w:hAnsi="Times New Roman" w:cs="Times New Roman"/>
          <w:bCs/>
          <w:color w:val="auto"/>
          <w:highlight w:val="none"/>
          <w:lang w:eastAsia="zh-CN"/>
        </w:rPr>
        <w:t>“</w:t>
      </w:r>
      <w:r>
        <w:rPr>
          <w:rFonts w:hint="default" w:ascii="Times New Roman" w:hAnsi="Times New Roman" w:cs="Times New Roman"/>
          <w:bCs/>
          <w:color w:val="auto"/>
          <w:highlight w:val="none"/>
        </w:rPr>
        <w:t>《中华人民共和国固体废物污染环境防治法》第五十八条第二款：贮存危险废物必须采取符合</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s://www.baidu.com/s?wd=%E5%9B%BD%E5%AE%B6%E7%8E%AF%E5%A2%83%E4%BF%9D%E6%8A%A4%E6%A0%87%E5%87%86&amp;tn=44039180_cpr&amp;fenlei=mv6quAkxTZn0IZRqIHckPjm4nH00T1d9m1KbrjRvP1-huHcdmWw-0ZwV5Hcvrjm3rH6sPfKWUMw85HfYnjn4nH6sgvPsT6KdThsqpZwYTjCEQLGCpyw9Uz4Bmy-bIi4WUvYETgN-TLwGUv3EnW0LPjnLPjnkn1DLPWfYPH0vr0" \t "https://zhidao.baidu.com/question/_blank" </w:instrText>
      </w:r>
      <w:r>
        <w:rPr>
          <w:rFonts w:hint="default" w:ascii="Times New Roman" w:hAnsi="Times New Roman" w:cs="Times New Roman"/>
          <w:color w:val="auto"/>
          <w:highlight w:val="none"/>
        </w:rPr>
        <w:fldChar w:fldCharType="separate"/>
      </w:r>
      <w:r>
        <w:rPr>
          <w:rStyle w:val="39"/>
          <w:rFonts w:hint="default" w:ascii="Times New Roman" w:hAnsi="Times New Roman" w:cs="Times New Roman"/>
          <w:bCs/>
          <w:color w:val="auto"/>
          <w:highlight w:val="none"/>
          <w:u w:val="none"/>
        </w:rPr>
        <w:t>国家环境保护标准</w:t>
      </w:r>
      <w:r>
        <w:rPr>
          <w:rStyle w:val="39"/>
          <w:rFonts w:hint="default" w:ascii="Times New Roman" w:hAnsi="Times New Roman" w:cs="Times New Roman"/>
          <w:bCs/>
          <w:color w:val="auto"/>
          <w:highlight w:val="none"/>
          <w:u w:val="none"/>
        </w:rPr>
        <w:fldChar w:fldCharType="end"/>
      </w:r>
      <w:r>
        <w:rPr>
          <w:rFonts w:hint="default" w:ascii="Times New Roman" w:hAnsi="Times New Roman" w:cs="Times New Roman"/>
          <w:bCs/>
          <w:color w:val="auto"/>
          <w:highlight w:val="none"/>
        </w:rPr>
        <w:t>的防护措施，并不得超过一年</w:t>
      </w:r>
      <w:r>
        <w:rPr>
          <w:rFonts w:hint="eastAsia" w:ascii="Times New Roman" w:hAnsi="Times New Roman" w:cs="Times New Roman"/>
          <w:bCs/>
          <w:color w:val="auto"/>
          <w:highlight w:val="none"/>
          <w:lang w:eastAsia="zh-CN"/>
        </w:rPr>
        <w:t>”</w:t>
      </w:r>
      <w:r>
        <w:rPr>
          <w:rFonts w:hint="default" w:ascii="Times New Roman" w:hAnsi="Times New Roman" w:cs="Times New Roman"/>
          <w:bCs/>
          <w:color w:val="auto"/>
          <w:highlight w:val="none"/>
        </w:rPr>
        <w:t>；因此本项目危险废物贮存期限为一年，委托处置需转运时应及时办理危废转移联单。</w:t>
      </w:r>
    </w:p>
    <w:p w14:paraId="2E30E279">
      <w:pPr>
        <w:overflowPunct w:val="0"/>
        <w:topLinePunct/>
        <w:ind w:firstLine="480"/>
        <w:rPr>
          <w:rFonts w:hint="default" w:ascii="Times New Roman" w:hAnsi="Times New Roman" w:eastAsia="宋体" w:cs="Times New Roman"/>
          <w:color w:val="auto"/>
          <w:kern w:val="0"/>
          <w:highlight w:val="none"/>
          <w:lang w:eastAsia="zh-CN"/>
        </w:rPr>
      </w:pPr>
      <w:r>
        <w:rPr>
          <w:rFonts w:hint="default" w:ascii="Times New Roman" w:hAnsi="Times New Roman" w:cs="Times New Roman"/>
          <w:color w:val="auto"/>
          <w:kern w:val="0"/>
          <w:highlight w:val="none"/>
        </w:rPr>
        <w:t>（</w:t>
      </w:r>
      <w:r>
        <w:rPr>
          <w:rFonts w:hint="default" w:ascii="Times New Roman" w:hAnsi="Times New Roman" w:cs="Times New Roman"/>
          <w:color w:val="auto"/>
          <w:kern w:val="0"/>
          <w:highlight w:val="none"/>
          <w:lang w:val="en-US" w:eastAsia="zh-CN"/>
        </w:rPr>
        <w:t>4</w:t>
      </w:r>
      <w:r>
        <w:rPr>
          <w:rFonts w:hint="default" w:ascii="Times New Roman" w:hAnsi="Times New Roman" w:cs="Times New Roman"/>
          <w:color w:val="auto"/>
          <w:kern w:val="0"/>
          <w:highlight w:val="none"/>
        </w:rPr>
        <w:t>）</w:t>
      </w:r>
      <w:r>
        <w:rPr>
          <w:rFonts w:hint="default" w:ascii="Times New Roman" w:hAnsi="Times New Roman" w:cs="Times New Roman"/>
          <w:color w:val="auto"/>
          <w:kern w:val="0"/>
          <w:highlight w:val="none"/>
          <w:lang w:eastAsia="zh-CN"/>
        </w:rPr>
        <w:t>原辅料废</w:t>
      </w:r>
      <w:r>
        <w:rPr>
          <w:rFonts w:hint="default" w:ascii="Times New Roman" w:hAnsi="Times New Roman" w:cs="Times New Roman"/>
          <w:color w:val="auto"/>
          <w:kern w:val="0"/>
          <w:highlight w:val="none"/>
        </w:rPr>
        <w:t>包装物</w:t>
      </w:r>
    </w:p>
    <w:p w14:paraId="695747BA">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本项目原辅料包装形式包括桶装和袋装，</w:t>
      </w:r>
      <w:r>
        <w:rPr>
          <w:rFonts w:hint="default" w:ascii="Times New Roman" w:hAnsi="Times New Roman" w:cs="Times New Roman"/>
          <w:color w:val="auto"/>
          <w:kern w:val="0"/>
          <w:highlight w:val="none"/>
        </w:rPr>
        <w:t>根据</w:t>
      </w:r>
      <w:r>
        <w:rPr>
          <w:rFonts w:hint="eastAsia" w:cs="Times New Roman"/>
          <w:color w:val="auto"/>
          <w:kern w:val="0"/>
          <w:highlight w:val="none"/>
          <w:lang w:val="en-US" w:eastAsia="zh-CN"/>
        </w:rPr>
        <w:t>业主</w:t>
      </w:r>
      <w:r>
        <w:rPr>
          <w:rFonts w:hint="default" w:ascii="Times New Roman" w:hAnsi="Times New Roman" w:cs="Times New Roman"/>
          <w:color w:val="auto"/>
          <w:kern w:val="0"/>
          <w:highlight w:val="none"/>
        </w:rPr>
        <w:t>提供</w:t>
      </w:r>
      <w:r>
        <w:rPr>
          <w:rFonts w:hint="eastAsia" w:cs="Times New Roman"/>
          <w:color w:val="auto"/>
          <w:kern w:val="0"/>
          <w:highlight w:val="none"/>
          <w:lang w:eastAsia="zh-CN"/>
        </w:rPr>
        <w:t>的</w:t>
      </w:r>
      <w:r>
        <w:rPr>
          <w:rFonts w:hint="default" w:ascii="Times New Roman" w:hAnsi="Times New Roman" w:cs="Times New Roman"/>
          <w:color w:val="auto"/>
          <w:kern w:val="0"/>
          <w:highlight w:val="none"/>
        </w:rPr>
        <w:t>资料，本项目产生废包装共计</w:t>
      </w:r>
      <w:r>
        <w:rPr>
          <w:rFonts w:hint="eastAsia" w:cs="Times New Roman"/>
          <w:color w:val="auto"/>
          <w:kern w:val="0"/>
          <w:highlight w:val="none"/>
          <w:lang w:val="en-US" w:eastAsia="zh-CN"/>
        </w:rPr>
        <w:t>约0.6</w:t>
      </w:r>
      <w:r>
        <w:rPr>
          <w:rFonts w:hint="default" w:ascii="Times New Roman" w:hAnsi="Times New Roman" w:cs="Times New Roman"/>
          <w:color w:val="auto"/>
          <w:kern w:val="0"/>
          <w:highlight w:val="none"/>
        </w:rPr>
        <w:t>t/a</w:t>
      </w:r>
      <w:r>
        <w:rPr>
          <w:rFonts w:hint="eastAsia" w:cs="Times New Roman"/>
          <w:color w:val="auto"/>
          <w:kern w:val="0"/>
          <w:highlight w:val="none"/>
          <w:lang w:eastAsia="zh-CN"/>
        </w:rPr>
        <w:t>，</w:t>
      </w:r>
      <w:r>
        <w:rPr>
          <w:rFonts w:hint="eastAsia" w:cs="Times New Roman"/>
          <w:color w:val="auto"/>
          <w:kern w:val="0"/>
          <w:highlight w:val="none"/>
          <w:lang w:val="en-US" w:eastAsia="zh-CN"/>
        </w:rPr>
        <w:t>由</w:t>
      </w:r>
      <w:r>
        <w:rPr>
          <w:rFonts w:hint="eastAsia" w:cs="Times New Roman"/>
          <w:color w:val="auto"/>
          <w:kern w:val="0"/>
          <w:highlight w:val="none"/>
          <w:lang w:eastAsia="zh-CN"/>
        </w:rPr>
        <w:t>厂家回收处理</w:t>
      </w:r>
      <w:r>
        <w:rPr>
          <w:rFonts w:hint="default" w:ascii="Times New Roman" w:hAnsi="Times New Roman" w:cs="Times New Roman"/>
          <w:color w:val="auto"/>
          <w:kern w:val="0"/>
          <w:highlight w:val="none"/>
        </w:rPr>
        <w:t>。</w:t>
      </w:r>
    </w:p>
    <w:p w14:paraId="2C1BDC15">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w:t>
      </w:r>
      <w:r>
        <w:rPr>
          <w:rFonts w:hint="default" w:ascii="Times New Roman" w:hAnsi="Times New Roman" w:cs="Times New Roman"/>
          <w:color w:val="auto"/>
          <w:kern w:val="0"/>
          <w:highlight w:val="none"/>
          <w:lang w:val="en-US" w:eastAsia="zh-CN"/>
        </w:rPr>
        <w:t>5</w:t>
      </w:r>
      <w:r>
        <w:rPr>
          <w:rFonts w:hint="default" w:ascii="Times New Roman" w:hAnsi="Times New Roman" w:cs="Times New Roman"/>
          <w:color w:val="auto"/>
          <w:kern w:val="0"/>
          <w:highlight w:val="none"/>
        </w:rPr>
        <w:t>）除尘灰</w:t>
      </w:r>
    </w:p>
    <w:p w14:paraId="009960D9">
      <w:pPr>
        <w:overflowPunct w:val="0"/>
        <w:topLinePunct/>
        <w:ind w:firstLine="480"/>
        <w:rPr>
          <w:rFonts w:hint="eastAsia" w:ascii="Times New Roman" w:hAnsi="Times New Roman" w:eastAsia="宋体" w:cs="Times New Roman"/>
          <w:color w:val="auto"/>
          <w:kern w:val="0"/>
          <w:highlight w:val="none"/>
          <w:lang w:eastAsia="zh-CN"/>
        </w:rPr>
      </w:pPr>
      <w:r>
        <w:rPr>
          <w:rFonts w:hint="default" w:ascii="Times New Roman" w:hAnsi="Times New Roman" w:cs="Times New Roman"/>
          <w:color w:val="auto"/>
          <w:kern w:val="0"/>
          <w:highlight w:val="none"/>
        </w:rPr>
        <w:t>本项目新建</w:t>
      </w:r>
      <w:r>
        <w:rPr>
          <w:rFonts w:hint="default" w:ascii="Times New Roman" w:hAnsi="Times New Roman" w:cs="Times New Roman"/>
          <w:color w:val="auto"/>
          <w:kern w:val="0"/>
          <w:highlight w:val="none"/>
          <w:lang w:eastAsia="zh-CN"/>
        </w:rPr>
        <w:t>破碎筛分工段</w:t>
      </w:r>
      <w:r>
        <w:rPr>
          <w:rFonts w:hint="default" w:ascii="Times New Roman" w:hAnsi="Times New Roman" w:cs="Times New Roman"/>
          <w:color w:val="auto"/>
          <w:kern w:val="0"/>
          <w:highlight w:val="none"/>
        </w:rPr>
        <w:t>配套除尘器收集的粉尘灰产生量为</w:t>
      </w:r>
      <w:r>
        <w:rPr>
          <w:rFonts w:hint="eastAsia" w:cs="Times New Roman"/>
          <w:color w:val="auto"/>
          <w:kern w:val="0"/>
          <w:highlight w:val="none"/>
          <w:lang w:val="en-US" w:eastAsia="zh-CN"/>
        </w:rPr>
        <w:t>25.84</w:t>
      </w:r>
      <w:r>
        <w:rPr>
          <w:rFonts w:hint="default" w:ascii="Times New Roman" w:hAnsi="Times New Roman" w:cs="Times New Roman"/>
          <w:color w:val="auto"/>
          <w:kern w:val="0"/>
          <w:highlight w:val="none"/>
        </w:rPr>
        <w:t>t/a</w:t>
      </w:r>
      <w:r>
        <w:rPr>
          <w:rFonts w:hint="eastAsia" w:cs="Times New Roman"/>
          <w:color w:val="auto"/>
          <w:kern w:val="0"/>
          <w:highlight w:val="none"/>
          <w:lang w:eastAsia="zh-CN"/>
        </w:rPr>
        <w:t>，</w:t>
      </w:r>
      <w:r>
        <w:rPr>
          <w:rFonts w:hint="default" w:ascii="Times New Roman" w:hAnsi="Times New Roman" w:cs="Times New Roman"/>
          <w:color w:val="auto"/>
          <w:kern w:val="0"/>
          <w:highlight w:val="none"/>
          <w:lang w:eastAsia="zh-CN"/>
        </w:rPr>
        <w:t>破碎筛分工段</w:t>
      </w:r>
      <w:r>
        <w:rPr>
          <w:rFonts w:hint="default" w:ascii="Times New Roman" w:hAnsi="Times New Roman" w:cs="Times New Roman"/>
          <w:color w:val="auto"/>
          <w:kern w:val="0"/>
          <w:highlight w:val="none"/>
        </w:rPr>
        <w:t>的粉尘灰含较高的</w:t>
      </w:r>
      <w:r>
        <w:rPr>
          <w:rFonts w:hint="default" w:ascii="Times New Roman" w:hAnsi="Times New Roman" w:cs="Times New Roman"/>
          <w:color w:val="auto"/>
          <w:kern w:val="0"/>
          <w:highlight w:val="none"/>
          <w:lang w:eastAsia="zh-CN"/>
        </w:rPr>
        <w:t>萤石</w:t>
      </w:r>
      <w:r>
        <w:rPr>
          <w:rFonts w:hint="default" w:ascii="Times New Roman" w:hAnsi="Times New Roman" w:cs="Times New Roman"/>
          <w:color w:val="auto"/>
          <w:kern w:val="0"/>
          <w:highlight w:val="none"/>
        </w:rPr>
        <w:t>矿物，</w:t>
      </w:r>
      <w:r>
        <w:rPr>
          <w:rFonts w:hint="default" w:ascii="Times New Roman" w:hAnsi="Times New Roman" w:cs="Times New Roman"/>
          <w:color w:val="auto"/>
          <w:highlight w:val="none"/>
        </w:rPr>
        <w:t>通过除尘器灰斗收集后</w:t>
      </w:r>
      <w:r>
        <w:rPr>
          <w:rFonts w:hint="default" w:ascii="Times New Roman" w:hAnsi="Times New Roman" w:cs="Times New Roman"/>
          <w:color w:val="auto"/>
          <w:kern w:val="0"/>
          <w:highlight w:val="none"/>
        </w:rPr>
        <w:t>回用于选矿生产</w:t>
      </w:r>
      <w:r>
        <w:rPr>
          <w:rFonts w:hint="default" w:ascii="Times New Roman" w:hAnsi="Times New Roman" w:cs="Times New Roman"/>
          <w:color w:val="auto"/>
          <w:highlight w:val="none"/>
        </w:rPr>
        <w:t>。燃煤锅炉采用“高温袋式除尘设施+SNCR脱硝+水膜脱硫除尘”组合工艺，袋式除尘效率为99%</w:t>
      </w:r>
      <w:r>
        <w:rPr>
          <w:rFonts w:hint="eastAsia" w:cs="Times New Roman"/>
          <w:color w:val="auto"/>
          <w:highlight w:val="none"/>
          <w:lang w:eastAsia="zh-CN"/>
        </w:rPr>
        <w:t>，</w:t>
      </w:r>
      <w:r>
        <w:rPr>
          <w:rFonts w:hint="eastAsia" w:cs="Times New Roman"/>
          <w:color w:val="auto"/>
          <w:highlight w:val="none"/>
          <w:lang w:val="en-US" w:eastAsia="zh-CN"/>
        </w:rPr>
        <w:t>燃煤锅炉除尘灰</w:t>
      </w:r>
      <w:r>
        <w:rPr>
          <w:rFonts w:hint="default" w:ascii="Times New Roman" w:hAnsi="Times New Roman" w:cs="Times New Roman"/>
          <w:color w:val="auto"/>
          <w:highlight w:val="none"/>
        </w:rPr>
        <w:t>产生量</w:t>
      </w:r>
      <w:r>
        <w:rPr>
          <w:rFonts w:hint="eastAsia" w:cs="Times New Roman"/>
          <w:color w:val="auto"/>
          <w:highlight w:val="none"/>
          <w:lang w:val="en-US" w:eastAsia="zh-CN"/>
        </w:rPr>
        <w:t>约</w:t>
      </w:r>
      <w:r>
        <w:rPr>
          <w:rFonts w:hint="default" w:ascii="Times New Roman" w:hAnsi="Times New Roman" w:cs="Times New Roman"/>
          <w:color w:val="auto"/>
          <w:highlight w:val="none"/>
        </w:rPr>
        <w:t>为134.19t/a</w:t>
      </w:r>
      <w:r>
        <w:rPr>
          <w:rFonts w:hint="eastAsia" w:cs="Times New Roman"/>
          <w:color w:val="auto"/>
          <w:highlight w:val="none"/>
          <w:lang w:eastAsia="zh-CN"/>
        </w:rPr>
        <w:t>，</w:t>
      </w:r>
      <w:r>
        <w:rPr>
          <w:rFonts w:hint="eastAsia" w:cs="Times New Roman"/>
          <w:color w:val="auto"/>
          <w:kern w:val="0"/>
          <w:highlight w:val="none"/>
          <w:lang w:eastAsia="zh-CN"/>
        </w:rPr>
        <w:t>定期外售给建材企业或水泥厂进行综合利用。</w:t>
      </w:r>
    </w:p>
    <w:p w14:paraId="0EA4272F">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w:t>
      </w:r>
      <w:r>
        <w:rPr>
          <w:rFonts w:hint="default" w:ascii="Times New Roman" w:hAnsi="Times New Roman" w:cs="Times New Roman"/>
          <w:color w:val="auto"/>
          <w:kern w:val="0"/>
          <w:highlight w:val="none"/>
          <w:lang w:val="en-US" w:eastAsia="zh-CN"/>
        </w:rPr>
        <w:t>6</w:t>
      </w:r>
      <w:r>
        <w:rPr>
          <w:rFonts w:hint="default" w:ascii="Times New Roman" w:hAnsi="Times New Roman" w:cs="Times New Roman"/>
          <w:color w:val="auto"/>
          <w:kern w:val="0"/>
          <w:highlight w:val="none"/>
        </w:rPr>
        <w:t>）废离子交换树脂</w:t>
      </w:r>
    </w:p>
    <w:p w14:paraId="055A94B8">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锅炉制软水后会产生废离子交换树脂，</w:t>
      </w:r>
      <w:r>
        <w:rPr>
          <w:rFonts w:hint="default" w:ascii="Times New Roman" w:hAnsi="Times New Roman" w:cs="Times New Roman"/>
          <w:color w:val="auto"/>
          <w:highlight w:val="none"/>
        </w:rPr>
        <w:t>废离子交换树脂年产生量为0.</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t/3a，根据《国家危险废物名录（202</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年版）》，软化水制备系统产生的废离子交换树脂不在该名录中，不属于危险废物，树脂更换由厂家负责，更换的旧树脂由厂家回收处理。</w:t>
      </w:r>
    </w:p>
    <w:p w14:paraId="113B980B">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w:t>
      </w:r>
      <w:r>
        <w:rPr>
          <w:rFonts w:hint="default" w:ascii="Times New Roman" w:hAnsi="Times New Roman" w:cs="Times New Roman"/>
          <w:color w:val="auto"/>
          <w:kern w:val="0"/>
          <w:highlight w:val="none"/>
          <w:lang w:val="en-US" w:eastAsia="zh-CN"/>
        </w:rPr>
        <w:t>7</w:t>
      </w:r>
      <w:r>
        <w:rPr>
          <w:rFonts w:hint="default" w:ascii="Times New Roman" w:hAnsi="Times New Roman" w:cs="Times New Roman"/>
          <w:color w:val="auto"/>
          <w:kern w:val="0"/>
          <w:highlight w:val="none"/>
        </w:rPr>
        <w:t>）沉淀池底泥</w:t>
      </w:r>
    </w:p>
    <w:p w14:paraId="0E40F6B9">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lang w:val="en-US" w:eastAsia="zh-CN"/>
        </w:rPr>
        <w:t>沉淀池</w:t>
      </w:r>
      <w:r>
        <w:rPr>
          <w:rFonts w:hint="default" w:ascii="Times New Roman" w:hAnsi="Times New Roman" w:cs="Times New Roman"/>
          <w:color w:val="auto"/>
          <w:kern w:val="0"/>
          <w:highlight w:val="none"/>
        </w:rPr>
        <w:t>底泥产生量约</w:t>
      </w:r>
      <w:r>
        <w:rPr>
          <w:rFonts w:hint="default" w:ascii="Times New Roman" w:hAnsi="Times New Roman" w:cs="Times New Roman"/>
          <w:color w:val="auto"/>
          <w:kern w:val="0"/>
          <w:highlight w:val="none"/>
          <w:lang w:val="en-US" w:eastAsia="zh-CN"/>
        </w:rPr>
        <w:t>120</w:t>
      </w:r>
      <w:r>
        <w:rPr>
          <w:rFonts w:hint="default" w:ascii="Times New Roman" w:hAnsi="Times New Roman" w:cs="Times New Roman"/>
          <w:color w:val="auto"/>
          <w:kern w:val="0"/>
          <w:highlight w:val="none"/>
        </w:rPr>
        <w:t>t/a</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沉淀池定期清理，底泥</w:t>
      </w:r>
      <w:r>
        <w:rPr>
          <w:rFonts w:hint="eastAsia" w:cs="Times New Roman"/>
          <w:color w:val="auto"/>
          <w:kern w:val="0"/>
          <w:highlight w:val="none"/>
          <w:lang w:val="en-US" w:eastAsia="zh-CN"/>
        </w:rPr>
        <w:t>脱水后</w:t>
      </w:r>
      <w:r>
        <w:rPr>
          <w:rFonts w:hint="default" w:ascii="Times New Roman" w:hAnsi="Times New Roman" w:cs="Times New Roman"/>
          <w:color w:val="auto"/>
          <w:kern w:val="0"/>
          <w:highlight w:val="none"/>
        </w:rPr>
        <w:t>可返回生产工序回用于选矿。</w:t>
      </w:r>
    </w:p>
    <w:p w14:paraId="1C9E9EF6">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w:t>
      </w:r>
      <w:r>
        <w:rPr>
          <w:rFonts w:hint="default" w:ascii="Times New Roman" w:hAnsi="Times New Roman" w:cs="Times New Roman"/>
          <w:color w:val="auto"/>
          <w:kern w:val="0"/>
          <w:highlight w:val="none"/>
          <w:lang w:val="en-US" w:eastAsia="zh-CN"/>
        </w:rPr>
        <w:t>8</w:t>
      </w:r>
      <w:r>
        <w:rPr>
          <w:rFonts w:hint="default" w:ascii="Times New Roman" w:hAnsi="Times New Roman" w:cs="Times New Roman"/>
          <w:color w:val="auto"/>
          <w:kern w:val="0"/>
          <w:highlight w:val="none"/>
        </w:rPr>
        <w:t>）废布袋</w:t>
      </w:r>
    </w:p>
    <w:p w14:paraId="52E73978">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根据项目需要采取布袋除尘器作为环保处理措施手段，但在运行过程中难免会发生布袋破损，或遇水后糊袋的现象，因此需要更换布袋。本项目废布袋产生量约为0.5t/a，该部分固废属于一般固体废物，集中收集后定期拉运至就近的一般工业固体废物填埋场进行处置。</w:t>
      </w:r>
    </w:p>
    <w:p w14:paraId="71D39B2D">
      <w:pPr>
        <w:overflowPunct w:val="0"/>
        <w:topLinePunct/>
        <w:ind w:firstLine="480"/>
        <w:rPr>
          <w:rFonts w:hint="eastAsia" w:ascii="Times New Roman" w:hAnsi="Times New Roman" w:eastAsia="宋体" w:cs="Times New Roman"/>
          <w:color w:val="auto"/>
          <w:kern w:val="0"/>
          <w:highlight w:val="none"/>
          <w:lang w:eastAsia="zh-CN"/>
        </w:rPr>
      </w:pPr>
      <w:r>
        <w:rPr>
          <w:rFonts w:hint="eastAsia" w:cs="Times New Roman"/>
          <w:color w:val="auto"/>
          <w:kern w:val="0"/>
          <w:highlight w:val="none"/>
          <w:lang w:eastAsia="zh-CN"/>
        </w:rPr>
        <w:t>（</w:t>
      </w:r>
      <w:r>
        <w:rPr>
          <w:rFonts w:hint="eastAsia" w:cs="Times New Roman"/>
          <w:color w:val="auto"/>
          <w:kern w:val="0"/>
          <w:highlight w:val="none"/>
          <w:lang w:val="en-US" w:eastAsia="zh-CN"/>
        </w:rPr>
        <w:t>9</w:t>
      </w:r>
      <w:r>
        <w:rPr>
          <w:rFonts w:hint="eastAsia" w:cs="Times New Roman"/>
          <w:color w:val="auto"/>
          <w:kern w:val="0"/>
          <w:highlight w:val="none"/>
          <w:lang w:eastAsia="zh-CN"/>
        </w:rPr>
        <w:t>）脱硫石膏：本项目燃煤锅炉采用水膜脱硫除尘设施（石灰石/石灰-石膏湿法脱硫），运行过程中会产生脱硫石膏。脱硫石膏产生量约为燃煤硫分去除量的2.5倍，估算年产生量约50t/a（含水率约10%）。脱硫石膏属于一般工业固体废物，可作为水泥缓凝剂、石膏板、石膏砌块等建材生产的原料。本项目产生的脱硫石膏应暂存于锅炉灰渣暂存场地，定期外售给建材企业或水泥厂进行综合利用，不得随意堆放或混入生活垃圾。</w:t>
      </w:r>
    </w:p>
    <w:p w14:paraId="4F9818EB">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本项目固体废物排放情况具体见表3.</w:t>
      </w:r>
      <w:r>
        <w:rPr>
          <w:rFonts w:hint="default" w:ascii="Times New Roman" w:hAnsi="Times New Roman" w:cs="Times New Roman"/>
          <w:color w:val="auto"/>
          <w:kern w:val="0"/>
          <w:highlight w:val="none"/>
          <w:lang w:val="en-US" w:eastAsia="zh-CN"/>
        </w:rPr>
        <w:t>3</w:t>
      </w:r>
      <w:r>
        <w:rPr>
          <w:rFonts w:hint="default" w:ascii="Times New Roman" w:hAnsi="Times New Roman" w:cs="Times New Roman"/>
          <w:color w:val="auto"/>
          <w:kern w:val="0"/>
          <w:highlight w:val="none"/>
        </w:rPr>
        <w:t>-</w:t>
      </w:r>
      <w:r>
        <w:rPr>
          <w:rFonts w:hint="eastAsia" w:cs="Times New Roman"/>
          <w:color w:val="auto"/>
          <w:kern w:val="0"/>
          <w:highlight w:val="none"/>
          <w:lang w:val="en-US" w:eastAsia="zh-CN"/>
        </w:rPr>
        <w:t>12</w:t>
      </w:r>
      <w:r>
        <w:rPr>
          <w:rFonts w:hint="default" w:ascii="Times New Roman" w:hAnsi="Times New Roman" w:cs="Times New Roman"/>
          <w:color w:val="auto"/>
          <w:kern w:val="0"/>
          <w:highlight w:val="none"/>
        </w:rPr>
        <w:t>。</w:t>
      </w:r>
    </w:p>
    <w:p w14:paraId="2925BB72">
      <w:pPr>
        <w:ind w:firstLine="0" w:firstLineChars="0"/>
        <w:jc w:val="center"/>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表3.</w:t>
      </w:r>
      <w:r>
        <w:rPr>
          <w:rFonts w:hint="default" w:ascii="Times New Roman" w:hAnsi="Times New Roman" w:cs="Times New Roman"/>
          <w:b/>
          <w:color w:val="auto"/>
          <w:kern w:val="0"/>
          <w:highlight w:val="none"/>
          <w:lang w:val="en-US" w:eastAsia="zh-CN"/>
        </w:rPr>
        <w:t>3</w:t>
      </w:r>
      <w:r>
        <w:rPr>
          <w:rFonts w:hint="default" w:ascii="Times New Roman" w:hAnsi="Times New Roman" w:cs="Times New Roman"/>
          <w:b/>
          <w:color w:val="auto"/>
          <w:kern w:val="0"/>
          <w:highlight w:val="none"/>
        </w:rPr>
        <w:t>-1</w:t>
      </w:r>
      <w:r>
        <w:rPr>
          <w:rFonts w:hint="eastAsia" w:cs="Times New Roman"/>
          <w:b/>
          <w:color w:val="auto"/>
          <w:kern w:val="0"/>
          <w:highlight w:val="none"/>
          <w:lang w:val="en-US" w:eastAsia="zh-CN"/>
        </w:rPr>
        <w:t>2</w:t>
      </w:r>
      <w:r>
        <w:rPr>
          <w:rFonts w:hint="default" w:ascii="Times New Roman" w:hAnsi="Times New Roman" w:cs="Times New Roman"/>
          <w:b/>
          <w:color w:val="auto"/>
          <w:kern w:val="0"/>
          <w:highlight w:val="none"/>
        </w:rPr>
        <w:t xml:space="preserve">    固体废物排放情况</w:t>
      </w:r>
    </w:p>
    <w:tbl>
      <w:tblPr>
        <w:tblStyle w:val="33"/>
        <w:tblW w:w="91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82"/>
        <w:gridCol w:w="1405"/>
        <w:gridCol w:w="2027"/>
        <w:gridCol w:w="3040"/>
        <w:gridCol w:w="1426"/>
      </w:tblGrid>
      <w:tr w14:paraId="01AA7D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82" w:type="dxa"/>
            <w:tcBorders>
              <w:tl2br w:val="nil"/>
              <w:tr2bl w:val="nil"/>
            </w:tcBorders>
            <w:vAlign w:val="center"/>
          </w:tcPr>
          <w:p w14:paraId="4A9B06D1">
            <w:pPr>
              <w:spacing w:line="360" w:lineRule="exac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固废名称</w:t>
            </w:r>
          </w:p>
        </w:tc>
        <w:tc>
          <w:tcPr>
            <w:tcW w:w="1405" w:type="dxa"/>
            <w:tcBorders>
              <w:tl2br w:val="nil"/>
              <w:tr2bl w:val="nil"/>
            </w:tcBorders>
            <w:vAlign w:val="center"/>
          </w:tcPr>
          <w:p w14:paraId="3CDEF057">
            <w:pPr>
              <w:spacing w:line="360" w:lineRule="exac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产生量</w:t>
            </w:r>
          </w:p>
        </w:tc>
        <w:tc>
          <w:tcPr>
            <w:tcW w:w="2027" w:type="dxa"/>
            <w:tcBorders>
              <w:tl2br w:val="nil"/>
              <w:tr2bl w:val="nil"/>
            </w:tcBorders>
            <w:vAlign w:val="center"/>
          </w:tcPr>
          <w:p w14:paraId="69119E54">
            <w:pPr>
              <w:spacing w:line="360" w:lineRule="exac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固废类别及代码</w:t>
            </w:r>
          </w:p>
        </w:tc>
        <w:tc>
          <w:tcPr>
            <w:tcW w:w="3040" w:type="dxa"/>
            <w:tcBorders>
              <w:tl2br w:val="nil"/>
              <w:tr2bl w:val="nil"/>
            </w:tcBorders>
            <w:vAlign w:val="center"/>
          </w:tcPr>
          <w:p w14:paraId="19DFECD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color w:val="auto"/>
                <w:sz w:val="21"/>
                <w:szCs w:val="21"/>
                <w:highlight w:val="none"/>
              </w:rPr>
              <w:t>治理措施</w:t>
            </w:r>
          </w:p>
        </w:tc>
        <w:tc>
          <w:tcPr>
            <w:tcW w:w="1426" w:type="dxa"/>
            <w:tcBorders>
              <w:tl2br w:val="nil"/>
              <w:tr2bl w:val="nil"/>
            </w:tcBorders>
            <w:vAlign w:val="center"/>
          </w:tcPr>
          <w:p w14:paraId="5712A10C">
            <w:pPr>
              <w:spacing w:line="360" w:lineRule="exac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排放量</w:t>
            </w:r>
          </w:p>
        </w:tc>
      </w:tr>
      <w:tr w14:paraId="1800E0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2" w:type="dxa"/>
            <w:tcBorders>
              <w:tl2br w:val="nil"/>
              <w:tr2bl w:val="nil"/>
            </w:tcBorders>
            <w:vAlign w:val="center"/>
          </w:tcPr>
          <w:p w14:paraId="0BAE96D2">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生活垃圾</w:t>
            </w:r>
          </w:p>
        </w:tc>
        <w:tc>
          <w:tcPr>
            <w:tcW w:w="1405" w:type="dxa"/>
            <w:tcBorders>
              <w:tl2br w:val="nil"/>
              <w:tr2bl w:val="nil"/>
            </w:tcBorders>
            <w:vAlign w:val="center"/>
          </w:tcPr>
          <w:p w14:paraId="66C0785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21.6t/a</w:t>
            </w:r>
          </w:p>
        </w:tc>
        <w:tc>
          <w:tcPr>
            <w:tcW w:w="2027" w:type="dxa"/>
            <w:tcBorders>
              <w:tl2br w:val="nil"/>
              <w:tr2bl w:val="nil"/>
            </w:tcBorders>
            <w:vAlign w:val="center"/>
          </w:tcPr>
          <w:p w14:paraId="53021D8F">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生活垃圾</w:t>
            </w:r>
          </w:p>
        </w:tc>
        <w:tc>
          <w:tcPr>
            <w:tcW w:w="3040" w:type="dxa"/>
            <w:tcBorders>
              <w:tl2br w:val="nil"/>
              <w:tr2bl w:val="nil"/>
            </w:tcBorders>
            <w:vAlign w:val="center"/>
          </w:tcPr>
          <w:p w14:paraId="29F18AC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集中收集后，定期清运</w:t>
            </w:r>
          </w:p>
        </w:tc>
        <w:tc>
          <w:tcPr>
            <w:tcW w:w="1426" w:type="dxa"/>
            <w:tcBorders>
              <w:tl2br w:val="nil"/>
              <w:tr2bl w:val="nil"/>
            </w:tcBorders>
            <w:vAlign w:val="center"/>
          </w:tcPr>
          <w:p w14:paraId="1B1C70E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21.6t/a</w:t>
            </w:r>
          </w:p>
        </w:tc>
      </w:tr>
      <w:tr w14:paraId="029044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2" w:type="dxa"/>
            <w:tcBorders>
              <w:tl2br w:val="nil"/>
              <w:tr2bl w:val="nil"/>
            </w:tcBorders>
            <w:vAlign w:val="center"/>
          </w:tcPr>
          <w:p w14:paraId="78533DC5">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尾矿砂</w:t>
            </w:r>
          </w:p>
        </w:tc>
        <w:tc>
          <w:tcPr>
            <w:tcW w:w="1405" w:type="dxa"/>
            <w:tcBorders>
              <w:tl2br w:val="nil"/>
              <w:tr2bl w:val="nil"/>
            </w:tcBorders>
            <w:vAlign w:val="center"/>
          </w:tcPr>
          <w:p w14:paraId="0DD7196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46.62万t/a</w:t>
            </w:r>
          </w:p>
        </w:tc>
        <w:tc>
          <w:tcPr>
            <w:tcW w:w="2027" w:type="dxa"/>
            <w:tcBorders>
              <w:tl2br w:val="nil"/>
              <w:tr2bl w:val="nil"/>
            </w:tcBorders>
            <w:vAlign w:val="center"/>
          </w:tcPr>
          <w:p w14:paraId="4FCA7BDD">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一般工业固体废物</w:t>
            </w:r>
            <w:r>
              <w:rPr>
                <w:rFonts w:hint="default" w:ascii="Times New Roman" w:hAnsi="Times New Roman" w:cs="Times New Roman"/>
                <w:color w:val="auto"/>
                <w:sz w:val="21"/>
                <w:highlight w:val="none"/>
              </w:rPr>
              <w:t>（109-001-S05）</w:t>
            </w:r>
          </w:p>
        </w:tc>
        <w:tc>
          <w:tcPr>
            <w:tcW w:w="3040" w:type="dxa"/>
            <w:tcBorders>
              <w:tl2br w:val="nil"/>
              <w:tr2bl w:val="nil"/>
            </w:tcBorders>
            <w:vAlign w:val="center"/>
          </w:tcPr>
          <w:p w14:paraId="5096A50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堆存于尾矿库</w:t>
            </w:r>
          </w:p>
        </w:tc>
        <w:tc>
          <w:tcPr>
            <w:tcW w:w="1426" w:type="dxa"/>
            <w:tcBorders>
              <w:tl2br w:val="nil"/>
              <w:tr2bl w:val="nil"/>
            </w:tcBorders>
            <w:vAlign w:val="center"/>
          </w:tcPr>
          <w:p w14:paraId="4B0EE41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eastAsia" w:cs="Times New Roman"/>
                <w:bCs/>
                <w:color w:val="auto"/>
                <w:sz w:val="21"/>
                <w:szCs w:val="21"/>
                <w:highlight w:val="none"/>
                <w:lang w:val="en-US" w:eastAsia="zh-CN"/>
              </w:rPr>
              <w:t>46.62t/a</w:t>
            </w:r>
          </w:p>
        </w:tc>
      </w:tr>
      <w:tr w14:paraId="415C10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2" w:type="dxa"/>
            <w:tcBorders>
              <w:tl2br w:val="nil"/>
              <w:tr2bl w:val="nil"/>
            </w:tcBorders>
            <w:vAlign w:val="center"/>
          </w:tcPr>
          <w:p w14:paraId="3E813675">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废机油</w:t>
            </w:r>
          </w:p>
        </w:tc>
        <w:tc>
          <w:tcPr>
            <w:tcW w:w="1405" w:type="dxa"/>
            <w:tcBorders>
              <w:tl2br w:val="nil"/>
              <w:tr2bl w:val="nil"/>
            </w:tcBorders>
            <w:vAlign w:val="center"/>
          </w:tcPr>
          <w:p w14:paraId="02AABF8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0.3t/a</w:t>
            </w:r>
          </w:p>
        </w:tc>
        <w:tc>
          <w:tcPr>
            <w:tcW w:w="2027" w:type="dxa"/>
            <w:tcBorders>
              <w:tl2br w:val="nil"/>
              <w:tr2bl w:val="nil"/>
            </w:tcBorders>
            <w:vAlign w:val="center"/>
          </w:tcPr>
          <w:p w14:paraId="08A5C112">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危险废物（HW08 900-217-08）</w:t>
            </w:r>
          </w:p>
        </w:tc>
        <w:tc>
          <w:tcPr>
            <w:tcW w:w="3040" w:type="dxa"/>
            <w:vMerge w:val="restart"/>
            <w:tcBorders>
              <w:tl2br w:val="nil"/>
              <w:tr2bl w:val="nil"/>
            </w:tcBorders>
            <w:vAlign w:val="center"/>
          </w:tcPr>
          <w:p w14:paraId="71857A6A">
            <w:pPr>
              <w:spacing w:line="360" w:lineRule="exact"/>
              <w:ind w:firstLine="0" w:firstLineChars="0"/>
              <w:jc w:val="center"/>
              <w:rPr>
                <w:rFonts w:hint="default" w:ascii="Times New Roman" w:hAnsi="Times New Roman" w:cs="Times New Roman"/>
                <w:bCs/>
                <w:color w:val="auto"/>
                <w:sz w:val="21"/>
                <w:szCs w:val="21"/>
                <w:highlight w:val="none"/>
              </w:rPr>
            </w:pPr>
            <w:r>
              <w:rPr>
                <w:rFonts w:hint="eastAsia" w:cs="Times New Roman"/>
                <w:bCs/>
                <w:color w:val="auto"/>
                <w:sz w:val="21"/>
                <w:szCs w:val="21"/>
                <w:highlight w:val="none"/>
                <w:lang w:val="en-US" w:eastAsia="zh-CN"/>
              </w:rPr>
              <w:t>存放于</w:t>
            </w:r>
            <w:r>
              <w:rPr>
                <w:rFonts w:hint="eastAsia" w:cs="Times New Roman"/>
                <w:bCs/>
                <w:color w:val="auto"/>
                <w:sz w:val="21"/>
                <w:szCs w:val="21"/>
                <w:highlight w:val="none"/>
                <w:lang w:eastAsia="zh-CN"/>
              </w:rPr>
              <w:t>危废贮存点</w:t>
            </w:r>
            <w:r>
              <w:rPr>
                <w:rFonts w:hint="default" w:ascii="Times New Roman" w:hAnsi="Times New Roman" w:cs="Times New Roman"/>
                <w:bCs/>
                <w:color w:val="auto"/>
                <w:sz w:val="21"/>
                <w:szCs w:val="21"/>
                <w:highlight w:val="none"/>
                <w:lang w:eastAsia="zh-CN"/>
              </w:rPr>
              <w:t>，</w:t>
            </w:r>
            <w:r>
              <w:rPr>
                <w:rFonts w:hint="default" w:ascii="Times New Roman" w:hAnsi="Times New Roman" w:cs="Times New Roman"/>
                <w:bCs/>
                <w:color w:val="auto"/>
                <w:sz w:val="21"/>
                <w:szCs w:val="21"/>
                <w:highlight w:val="none"/>
              </w:rPr>
              <w:t>定期</w:t>
            </w:r>
            <w:r>
              <w:rPr>
                <w:rFonts w:hint="eastAsia" w:cs="Times New Roman"/>
                <w:bCs/>
                <w:color w:val="auto"/>
                <w:sz w:val="21"/>
                <w:szCs w:val="21"/>
                <w:highlight w:val="none"/>
                <w:lang w:eastAsia="zh-CN"/>
              </w:rPr>
              <w:t>交由</w:t>
            </w:r>
            <w:r>
              <w:rPr>
                <w:rFonts w:hint="default" w:ascii="Times New Roman" w:hAnsi="Times New Roman" w:cs="Times New Roman"/>
                <w:bCs/>
                <w:color w:val="auto"/>
                <w:sz w:val="21"/>
                <w:szCs w:val="21"/>
                <w:highlight w:val="none"/>
              </w:rPr>
              <w:t>资质单位处置</w:t>
            </w:r>
          </w:p>
        </w:tc>
        <w:tc>
          <w:tcPr>
            <w:tcW w:w="1426" w:type="dxa"/>
            <w:vMerge w:val="restart"/>
            <w:tcBorders>
              <w:tl2br w:val="nil"/>
              <w:tr2bl w:val="nil"/>
            </w:tcBorders>
            <w:vAlign w:val="center"/>
          </w:tcPr>
          <w:p w14:paraId="5245A8F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0.33t/a</w:t>
            </w:r>
          </w:p>
        </w:tc>
      </w:tr>
      <w:tr w14:paraId="038DE3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2" w:type="dxa"/>
            <w:tcBorders>
              <w:tl2br w:val="nil"/>
              <w:tr2bl w:val="nil"/>
            </w:tcBorders>
            <w:vAlign w:val="center"/>
          </w:tcPr>
          <w:p w14:paraId="48F9499B">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废油桶</w:t>
            </w:r>
          </w:p>
        </w:tc>
        <w:tc>
          <w:tcPr>
            <w:tcW w:w="1405" w:type="dxa"/>
            <w:tcBorders>
              <w:tl2br w:val="nil"/>
              <w:tr2bl w:val="nil"/>
            </w:tcBorders>
            <w:vAlign w:val="center"/>
          </w:tcPr>
          <w:p w14:paraId="5E43B0C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0.03t/a</w:t>
            </w:r>
          </w:p>
        </w:tc>
        <w:tc>
          <w:tcPr>
            <w:tcW w:w="2027" w:type="dxa"/>
            <w:tcBorders>
              <w:tl2br w:val="nil"/>
              <w:tr2bl w:val="nil"/>
            </w:tcBorders>
            <w:vAlign w:val="center"/>
          </w:tcPr>
          <w:p w14:paraId="650FEDD6">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危险废物（HW08 900-2</w:t>
            </w:r>
            <w:r>
              <w:rPr>
                <w:rFonts w:hint="default" w:ascii="Times New Roman" w:hAnsi="Times New Roman" w:cs="Times New Roman"/>
                <w:bCs/>
                <w:color w:val="auto"/>
                <w:sz w:val="21"/>
                <w:szCs w:val="21"/>
                <w:highlight w:val="none"/>
                <w:lang w:val="en-US" w:eastAsia="zh-CN"/>
              </w:rPr>
              <w:t>49</w:t>
            </w:r>
            <w:r>
              <w:rPr>
                <w:rFonts w:hint="default" w:ascii="Times New Roman" w:hAnsi="Times New Roman" w:cs="Times New Roman"/>
                <w:bCs/>
                <w:color w:val="auto"/>
                <w:sz w:val="21"/>
                <w:szCs w:val="21"/>
                <w:highlight w:val="none"/>
              </w:rPr>
              <w:t>-08）</w:t>
            </w:r>
          </w:p>
        </w:tc>
        <w:tc>
          <w:tcPr>
            <w:tcW w:w="3040" w:type="dxa"/>
            <w:vMerge w:val="continue"/>
            <w:tcBorders>
              <w:tl2br w:val="nil"/>
              <w:tr2bl w:val="nil"/>
            </w:tcBorders>
            <w:vAlign w:val="center"/>
          </w:tcPr>
          <w:p w14:paraId="5B89CA8F">
            <w:pPr>
              <w:spacing w:line="360" w:lineRule="exact"/>
              <w:ind w:firstLine="0" w:firstLineChars="0"/>
              <w:jc w:val="center"/>
              <w:rPr>
                <w:rFonts w:hint="default" w:ascii="Times New Roman" w:hAnsi="Times New Roman" w:cs="Times New Roman"/>
                <w:bCs/>
                <w:color w:val="auto"/>
                <w:sz w:val="21"/>
                <w:szCs w:val="21"/>
                <w:highlight w:val="none"/>
              </w:rPr>
            </w:pPr>
          </w:p>
        </w:tc>
        <w:tc>
          <w:tcPr>
            <w:tcW w:w="1426" w:type="dxa"/>
            <w:vMerge w:val="continue"/>
            <w:tcBorders>
              <w:tl2br w:val="nil"/>
              <w:tr2bl w:val="nil"/>
            </w:tcBorders>
            <w:vAlign w:val="center"/>
          </w:tcPr>
          <w:p w14:paraId="2827056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p>
        </w:tc>
      </w:tr>
      <w:tr w14:paraId="2E2EB0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2" w:type="dxa"/>
            <w:tcBorders>
              <w:tl2br w:val="nil"/>
              <w:tr2bl w:val="nil"/>
            </w:tcBorders>
            <w:vAlign w:val="center"/>
          </w:tcPr>
          <w:p w14:paraId="11BA56E7">
            <w:pPr>
              <w:spacing w:line="360" w:lineRule="exact"/>
              <w:ind w:firstLine="0" w:firstLineChars="0"/>
              <w:jc w:val="center"/>
              <w:rPr>
                <w:rFonts w:hint="default" w:ascii="Times New Roman" w:hAnsi="Times New Roman" w:cs="Times New Roman"/>
                <w:bCs/>
                <w:color w:val="auto"/>
                <w:sz w:val="21"/>
                <w:szCs w:val="21"/>
                <w:highlight w:val="none"/>
                <w:lang w:eastAsia="zh-CN"/>
              </w:rPr>
            </w:pPr>
            <w:r>
              <w:rPr>
                <w:rFonts w:hint="default" w:ascii="Times New Roman" w:hAnsi="Times New Roman" w:cs="Times New Roman"/>
                <w:bCs/>
                <w:color w:val="auto"/>
                <w:sz w:val="21"/>
                <w:szCs w:val="21"/>
                <w:highlight w:val="none"/>
                <w:lang w:eastAsia="zh-CN"/>
              </w:rPr>
              <w:t>原辅料废包装物</w:t>
            </w:r>
          </w:p>
        </w:tc>
        <w:tc>
          <w:tcPr>
            <w:tcW w:w="1405" w:type="dxa"/>
            <w:tcBorders>
              <w:tl2br w:val="nil"/>
              <w:tr2bl w:val="nil"/>
            </w:tcBorders>
            <w:vAlign w:val="center"/>
          </w:tcPr>
          <w:p w14:paraId="797920E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0.6t/a</w:t>
            </w:r>
          </w:p>
        </w:tc>
        <w:tc>
          <w:tcPr>
            <w:tcW w:w="2027" w:type="dxa"/>
            <w:tcBorders>
              <w:tl2br w:val="nil"/>
              <w:tr2bl w:val="nil"/>
            </w:tcBorders>
            <w:vAlign w:val="center"/>
          </w:tcPr>
          <w:p w14:paraId="2D6BE8FC">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一般工业固体废物（900-003-S17）</w:t>
            </w:r>
          </w:p>
        </w:tc>
        <w:tc>
          <w:tcPr>
            <w:tcW w:w="3040" w:type="dxa"/>
            <w:tcBorders>
              <w:tl2br w:val="nil"/>
              <w:tr2bl w:val="nil"/>
            </w:tcBorders>
            <w:vAlign w:val="center"/>
          </w:tcPr>
          <w:p w14:paraId="0524B242">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厂家回收处理</w:t>
            </w:r>
          </w:p>
        </w:tc>
        <w:tc>
          <w:tcPr>
            <w:tcW w:w="1426" w:type="dxa"/>
            <w:tcBorders>
              <w:tl2br w:val="nil"/>
              <w:tr2bl w:val="nil"/>
            </w:tcBorders>
            <w:vAlign w:val="center"/>
          </w:tcPr>
          <w:p w14:paraId="31ECBDA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eastAsia" w:cs="Times New Roman"/>
                <w:bCs/>
                <w:color w:val="auto"/>
                <w:sz w:val="21"/>
                <w:szCs w:val="21"/>
                <w:highlight w:val="none"/>
                <w:lang w:val="en-US" w:eastAsia="zh-CN"/>
              </w:rPr>
              <w:t>0t/a</w:t>
            </w:r>
          </w:p>
        </w:tc>
      </w:tr>
      <w:tr w14:paraId="19CAC0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0" w:hRule="atLeast"/>
          <w:jc w:val="center"/>
        </w:trPr>
        <w:tc>
          <w:tcPr>
            <w:tcW w:w="1282" w:type="dxa"/>
            <w:tcBorders>
              <w:tl2br w:val="nil"/>
              <w:tr2bl w:val="nil"/>
            </w:tcBorders>
            <w:vAlign w:val="center"/>
          </w:tcPr>
          <w:p w14:paraId="3A905FB7">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除尘灰</w:t>
            </w:r>
          </w:p>
        </w:tc>
        <w:tc>
          <w:tcPr>
            <w:tcW w:w="1405" w:type="dxa"/>
            <w:tcBorders>
              <w:tl2br w:val="nil"/>
              <w:tr2bl w:val="nil"/>
            </w:tcBorders>
            <w:vAlign w:val="center"/>
          </w:tcPr>
          <w:p w14:paraId="481F6E0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160.03t/a</w:t>
            </w:r>
          </w:p>
        </w:tc>
        <w:tc>
          <w:tcPr>
            <w:tcW w:w="2027" w:type="dxa"/>
            <w:tcBorders>
              <w:tl2br w:val="nil"/>
              <w:tr2bl w:val="nil"/>
            </w:tcBorders>
            <w:vAlign w:val="center"/>
          </w:tcPr>
          <w:p w14:paraId="4B37F053">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bCs/>
                <w:color w:val="auto"/>
                <w:sz w:val="21"/>
                <w:szCs w:val="21"/>
                <w:highlight w:val="none"/>
              </w:rPr>
              <w:t>一般工业固体废物（900-099-S59）</w:t>
            </w:r>
          </w:p>
        </w:tc>
        <w:tc>
          <w:tcPr>
            <w:tcW w:w="3040" w:type="dxa"/>
            <w:tcBorders>
              <w:tl2br w:val="nil"/>
              <w:tr2bl w:val="nil"/>
            </w:tcBorders>
            <w:vAlign w:val="center"/>
          </w:tcPr>
          <w:p w14:paraId="3431FF54">
            <w:pPr>
              <w:spacing w:line="360" w:lineRule="exact"/>
              <w:ind w:firstLine="0" w:firstLineChars="0"/>
              <w:jc w:val="center"/>
              <w:rPr>
                <w:rFonts w:hint="eastAsia"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rPr>
              <w:t>破碎筛分</w:t>
            </w:r>
            <w:r>
              <w:rPr>
                <w:rFonts w:hint="eastAsia" w:cs="Times New Roman"/>
                <w:bCs/>
                <w:color w:val="auto"/>
                <w:sz w:val="21"/>
                <w:szCs w:val="21"/>
                <w:highlight w:val="none"/>
                <w:lang w:val="en-US" w:eastAsia="zh-CN"/>
              </w:rPr>
              <w:t>工段除尘灰</w:t>
            </w:r>
            <w:r>
              <w:rPr>
                <w:rFonts w:hint="default" w:ascii="Times New Roman" w:hAnsi="Times New Roman" w:cs="Times New Roman"/>
                <w:bCs/>
                <w:color w:val="auto"/>
                <w:sz w:val="21"/>
                <w:szCs w:val="21"/>
                <w:highlight w:val="none"/>
              </w:rPr>
              <w:t>回用于选矿生产</w:t>
            </w:r>
            <w:r>
              <w:rPr>
                <w:rFonts w:hint="eastAsia" w:cs="Times New Roman"/>
                <w:bCs/>
                <w:color w:val="auto"/>
                <w:sz w:val="21"/>
                <w:szCs w:val="21"/>
                <w:highlight w:val="none"/>
                <w:lang w:eastAsia="zh-CN"/>
              </w:rPr>
              <w:t>；燃煤锅炉除尘灰定期外售给建材企业或水泥厂进行综合利用</w:t>
            </w:r>
          </w:p>
        </w:tc>
        <w:tc>
          <w:tcPr>
            <w:tcW w:w="1426" w:type="dxa"/>
            <w:tcBorders>
              <w:tl2br w:val="nil"/>
              <w:tr2bl w:val="nil"/>
            </w:tcBorders>
            <w:vAlign w:val="center"/>
          </w:tcPr>
          <w:p w14:paraId="28FDEC9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eastAsia" w:cs="Times New Roman"/>
                <w:bCs/>
                <w:color w:val="auto"/>
                <w:sz w:val="21"/>
                <w:szCs w:val="21"/>
                <w:highlight w:val="none"/>
                <w:lang w:val="en-US" w:eastAsia="zh-CN"/>
              </w:rPr>
              <w:t>134.19t/a</w:t>
            </w:r>
          </w:p>
        </w:tc>
      </w:tr>
      <w:tr w14:paraId="175301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2" w:type="dxa"/>
            <w:tcBorders>
              <w:tl2br w:val="nil"/>
              <w:tr2bl w:val="nil"/>
            </w:tcBorders>
            <w:vAlign w:val="center"/>
          </w:tcPr>
          <w:p w14:paraId="01028430">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废离子交换树脂</w:t>
            </w:r>
          </w:p>
        </w:tc>
        <w:tc>
          <w:tcPr>
            <w:tcW w:w="1405" w:type="dxa"/>
            <w:tcBorders>
              <w:tl2br w:val="nil"/>
              <w:tr2bl w:val="nil"/>
            </w:tcBorders>
            <w:vAlign w:val="center"/>
          </w:tcPr>
          <w:p w14:paraId="6A3BD46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0.2t/3a</w:t>
            </w:r>
          </w:p>
        </w:tc>
        <w:tc>
          <w:tcPr>
            <w:tcW w:w="2027" w:type="dxa"/>
            <w:tcBorders>
              <w:tl2br w:val="nil"/>
              <w:tr2bl w:val="nil"/>
            </w:tcBorders>
            <w:vAlign w:val="center"/>
          </w:tcPr>
          <w:p w14:paraId="537FC3A4">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bCs/>
                <w:color w:val="auto"/>
                <w:sz w:val="21"/>
                <w:szCs w:val="21"/>
                <w:highlight w:val="none"/>
              </w:rPr>
              <w:t>一般工业固体废物（900-008-S59）</w:t>
            </w:r>
          </w:p>
        </w:tc>
        <w:tc>
          <w:tcPr>
            <w:tcW w:w="3040" w:type="dxa"/>
            <w:tcBorders>
              <w:tl2br w:val="nil"/>
              <w:tr2bl w:val="nil"/>
            </w:tcBorders>
            <w:vAlign w:val="center"/>
          </w:tcPr>
          <w:p w14:paraId="63254666">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厂家回收处理</w:t>
            </w:r>
          </w:p>
        </w:tc>
        <w:tc>
          <w:tcPr>
            <w:tcW w:w="1426" w:type="dxa"/>
            <w:tcBorders>
              <w:tl2br w:val="nil"/>
              <w:tr2bl w:val="nil"/>
            </w:tcBorders>
            <w:vAlign w:val="center"/>
          </w:tcPr>
          <w:p w14:paraId="3C6D008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eastAsia" w:cs="Times New Roman"/>
                <w:bCs/>
                <w:color w:val="auto"/>
                <w:sz w:val="21"/>
                <w:szCs w:val="21"/>
                <w:highlight w:val="none"/>
                <w:lang w:val="en-US" w:eastAsia="zh-CN"/>
              </w:rPr>
              <w:t>0t/a</w:t>
            </w:r>
          </w:p>
        </w:tc>
      </w:tr>
      <w:tr w14:paraId="0D1EB0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2" w:type="dxa"/>
            <w:tcBorders>
              <w:tl2br w:val="nil"/>
              <w:tr2bl w:val="nil"/>
            </w:tcBorders>
            <w:vAlign w:val="center"/>
          </w:tcPr>
          <w:p w14:paraId="0FD359C9">
            <w:pPr>
              <w:spacing w:line="360" w:lineRule="exact"/>
              <w:ind w:firstLine="0" w:firstLineChars="0"/>
              <w:jc w:val="center"/>
              <w:rPr>
                <w:rFonts w:hint="default" w:ascii="Times New Roman" w:hAnsi="Times New Roman" w:cs="Times New Roman"/>
                <w:bCs/>
                <w:color w:val="auto"/>
                <w:sz w:val="21"/>
                <w:szCs w:val="21"/>
                <w:highlight w:val="none"/>
              </w:rPr>
            </w:pPr>
            <w:r>
              <w:rPr>
                <w:rFonts w:hint="eastAsia" w:cs="Times New Roman"/>
                <w:bCs/>
                <w:color w:val="auto"/>
                <w:sz w:val="21"/>
                <w:szCs w:val="21"/>
                <w:highlight w:val="none"/>
                <w:lang w:val="en-US" w:eastAsia="zh-CN"/>
              </w:rPr>
              <w:t>沉淀池</w:t>
            </w:r>
            <w:r>
              <w:rPr>
                <w:rFonts w:hint="default" w:ascii="Times New Roman" w:hAnsi="Times New Roman" w:cs="Times New Roman"/>
                <w:bCs/>
                <w:color w:val="auto"/>
                <w:sz w:val="21"/>
                <w:szCs w:val="21"/>
                <w:highlight w:val="none"/>
              </w:rPr>
              <w:t>底泥</w:t>
            </w:r>
          </w:p>
        </w:tc>
        <w:tc>
          <w:tcPr>
            <w:tcW w:w="1405" w:type="dxa"/>
            <w:tcBorders>
              <w:tl2br w:val="nil"/>
              <w:tr2bl w:val="nil"/>
            </w:tcBorders>
            <w:vAlign w:val="center"/>
          </w:tcPr>
          <w:p w14:paraId="7CDAAC2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120t/a</w:t>
            </w:r>
          </w:p>
        </w:tc>
        <w:tc>
          <w:tcPr>
            <w:tcW w:w="2027" w:type="dxa"/>
            <w:tcBorders>
              <w:tl2br w:val="nil"/>
              <w:tr2bl w:val="nil"/>
            </w:tcBorders>
            <w:vAlign w:val="center"/>
          </w:tcPr>
          <w:p w14:paraId="36D659DF">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一般工业固体废物</w:t>
            </w:r>
            <w:r>
              <w:rPr>
                <w:rFonts w:hint="default" w:ascii="Times New Roman" w:hAnsi="Times New Roman" w:cs="Times New Roman"/>
                <w:color w:val="auto"/>
                <w:sz w:val="21"/>
                <w:highlight w:val="none"/>
              </w:rPr>
              <w:t>（900-099-S59）</w:t>
            </w:r>
          </w:p>
        </w:tc>
        <w:tc>
          <w:tcPr>
            <w:tcW w:w="3040" w:type="dxa"/>
            <w:tcBorders>
              <w:tl2br w:val="nil"/>
              <w:tr2bl w:val="nil"/>
            </w:tcBorders>
            <w:vAlign w:val="center"/>
          </w:tcPr>
          <w:p w14:paraId="1ABD51B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定期清理，返回生产工序回用于选矿</w:t>
            </w:r>
          </w:p>
        </w:tc>
        <w:tc>
          <w:tcPr>
            <w:tcW w:w="1426" w:type="dxa"/>
            <w:tcBorders>
              <w:tl2br w:val="nil"/>
              <w:tr2bl w:val="nil"/>
            </w:tcBorders>
            <w:vAlign w:val="center"/>
          </w:tcPr>
          <w:p w14:paraId="6FDF5B4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eastAsia" w:cs="Times New Roman"/>
                <w:bCs/>
                <w:color w:val="auto"/>
                <w:sz w:val="21"/>
                <w:szCs w:val="21"/>
                <w:highlight w:val="none"/>
                <w:lang w:val="en-US" w:eastAsia="zh-CN"/>
              </w:rPr>
              <w:t>0t/a</w:t>
            </w:r>
          </w:p>
        </w:tc>
      </w:tr>
      <w:tr w14:paraId="037B61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2" w:type="dxa"/>
            <w:tcBorders>
              <w:tl2br w:val="nil"/>
              <w:tr2bl w:val="nil"/>
            </w:tcBorders>
            <w:vAlign w:val="center"/>
          </w:tcPr>
          <w:p w14:paraId="71A45A65">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废布袋</w:t>
            </w:r>
          </w:p>
        </w:tc>
        <w:tc>
          <w:tcPr>
            <w:tcW w:w="1405" w:type="dxa"/>
            <w:tcBorders>
              <w:tl2br w:val="nil"/>
              <w:tr2bl w:val="nil"/>
            </w:tcBorders>
            <w:vAlign w:val="center"/>
          </w:tcPr>
          <w:p w14:paraId="3EA8BE0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0.5t/a</w:t>
            </w:r>
          </w:p>
        </w:tc>
        <w:tc>
          <w:tcPr>
            <w:tcW w:w="2027" w:type="dxa"/>
            <w:tcBorders>
              <w:tl2br w:val="nil"/>
              <w:tr2bl w:val="nil"/>
            </w:tcBorders>
            <w:vAlign w:val="center"/>
          </w:tcPr>
          <w:p w14:paraId="0CD8D888">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一般工业固体废物（900-009-S59）</w:t>
            </w:r>
          </w:p>
        </w:tc>
        <w:tc>
          <w:tcPr>
            <w:tcW w:w="3040" w:type="dxa"/>
            <w:tcBorders>
              <w:tl2br w:val="nil"/>
              <w:tr2bl w:val="nil"/>
            </w:tcBorders>
            <w:vAlign w:val="center"/>
          </w:tcPr>
          <w:p w14:paraId="5726B7B6">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集中收集后定期拉运至</w:t>
            </w:r>
            <w:r>
              <w:rPr>
                <w:rFonts w:hint="eastAsia" w:cs="Times New Roman"/>
                <w:bCs/>
                <w:color w:val="auto"/>
                <w:sz w:val="21"/>
                <w:szCs w:val="21"/>
                <w:highlight w:val="none"/>
                <w:lang w:val="en-US" w:eastAsia="zh-CN"/>
              </w:rPr>
              <w:t>就近的</w:t>
            </w:r>
            <w:r>
              <w:rPr>
                <w:rFonts w:hint="default" w:ascii="Times New Roman" w:hAnsi="Times New Roman" w:cs="Times New Roman"/>
                <w:bCs/>
                <w:color w:val="auto"/>
                <w:sz w:val="21"/>
                <w:szCs w:val="21"/>
                <w:highlight w:val="none"/>
              </w:rPr>
              <w:t>一般工业固体废物填埋场进行处置</w:t>
            </w:r>
          </w:p>
        </w:tc>
        <w:tc>
          <w:tcPr>
            <w:tcW w:w="1426" w:type="dxa"/>
            <w:tcBorders>
              <w:tl2br w:val="nil"/>
              <w:tr2bl w:val="nil"/>
            </w:tcBorders>
            <w:vAlign w:val="center"/>
          </w:tcPr>
          <w:p w14:paraId="2A279FC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eastAsia" w:cs="Times New Roman"/>
                <w:bCs/>
                <w:color w:val="auto"/>
                <w:sz w:val="21"/>
                <w:szCs w:val="21"/>
                <w:highlight w:val="none"/>
                <w:lang w:val="en-US" w:eastAsia="zh-CN"/>
              </w:rPr>
              <w:t>0.5t/a</w:t>
            </w:r>
          </w:p>
        </w:tc>
      </w:tr>
      <w:tr w14:paraId="2D9568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2" w:type="dxa"/>
            <w:tcBorders>
              <w:tl2br w:val="nil"/>
              <w:tr2bl w:val="nil"/>
            </w:tcBorders>
            <w:vAlign w:val="center"/>
          </w:tcPr>
          <w:p w14:paraId="4A91FEAC">
            <w:pPr>
              <w:spacing w:line="360" w:lineRule="exact"/>
              <w:ind w:firstLine="0" w:firstLineChars="0"/>
              <w:jc w:val="center"/>
              <w:rPr>
                <w:rFonts w:hint="default" w:ascii="Times New Roman" w:hAnsi="Times New Roman" w:cs="Times New Roman"/>
                <w:bCs/>
                <w:color w:val="auto"/>
                <w:sz w:val="21"/>
                <w:szCs w:val="21"/>
                <w:highlight w:val="none"/>
              </w:rPr>
            </w:pPr>
            <w:bookmarkStart w:id="483" w:name="_Toc18866"/>
            <w:bookmarkStart w:id="484" w:name="_Toc30963"/>
            <w:bookmarkStart w:id="485" w:name="_Toc31750"/>
            <w:bookmarkStart w:id="486" w:name="_Toc6298"/>
            <w:bookmarkStart w:id="487" w:name="_Toc29311"/>
            <w:bookmarkStart w:id="488" w:name="_Toc16102"/>
            <w:bookmarkStart w:id="489" w:name="_Toc11624"/>
            <w:bookmarkStart w:id="490" w:name="_Toc5816"/>
            <w:bookmarkStart w:id="491" w:name="_Toc10911"/>
            <w:bookmarkStart w:id="492" w:name="_Toc10610"/>
            <w:bookmarkStart w:id="493" w:name="_Toc10742"/>
            <w:r>
              <w:rPr>
                <w:rFonts w:hint="default" w:ascii="Times New Roman" w:hAnsi="Times New Roman" w:cs="Times New Roman"/>
                <w:bCs/>
                <w:color w:val="auto"/>
                <w:sz w:val="21"/>
                <w:szCs w:val="21"/>
                <w:highlight w:val="none"/>
              </w:rPr>
              <w:t>脱硫石膏</w:t>
            </w:r>
          </w:p>
        </w:tc>
        <w:tc>
          <w:tcPr>
            <w:tcW w:w="1405" w:type="dxa"/>
            <w:tcBorders>
              <w:tl2br w:val="nil"/>
              <w:tr2bl w:val="nil"/>
            </w:tcBorders>
            <w:vAlign w:val="center"/>
          </w:tcPr>
          <w:p w14:paraId="1070998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50t/a</w:t>
            </w:r>
          </w:p>
        </w:tc>
        <w:tc>
          <w:tcPr>
            <w:tcW w:w="2027" w:type="dxa"/>
            <w:tcBorders>
              <w:tl2br w:val="nil"/>
              <w:tr2bl w:val="nil"/>
            </w:tcBorders>
            <w:vAlign w:val="center"/>
          </w:tcPr>
          <w:p w14:paraId="546E60F9">
            <w:pPr>
              <w:spacing w:line="360" w:lineRule="exact"/>
              <w:ind w:firstLine="0" w:firstLineChars="0"/>
              <w:jc w:val="center"/>
              <w:rPr>
                <w:rFonts w:hint="eastAsia" w:cs="Times New Roman"/>
                <w:bCs/>
                <w:color w:val="auto"/>
                <w:sz w:val="21"/>
                <w:szCs w:val="21"/>
                <w:highlight w:val="none"/>
                <w:lang w:eastAsia="zh-CN"/>
              </w:rPr>
            </w:pPr>
            <w:r>
              <w:rPr>
                <w:rFonts w:hint="eastAsia" w:cs="Times New Roman"/>
                <w:bCs/>
                <w:color w:val="auto"/>
                <w:sz w:val="21"/>
                <w:szCs w:val="21"/>
                <w:highlight w:val="none"/>
                <w:lang w:eastAsia="zh-CN"/>
              </w:rPr>
              <w:t>一般工业固体废物</w:t>
            </w:r>
          </w:p>
          <w:p w14:paraId="23F957B7">
            <w:pPr>
              <w:spacing w:line="360" w:lineRule="exact"/>
              <w:ind w:firstLine="0" w:firstLineChars="0"/>
              <w:jc w:val="center"/>
              <w:rPr>
                <w:rFonts w:hint="eastAsia" w:ascii="Times New Roman" w:hAnsi="Times New Roman" w:eastAsia="宋体" w:cs="Times New Roman"/>
                <w:bCs/>
                <w:color w:val="auto"/>
                <w:sz w:val="21"/>
                <w:szCs w:val="21"/>
                <w:highlight w:val="none"/>
                <w:lang w:eastAsia="zh-CN"/>
              </w:rPr>
            </w:pPr>
            <w:r>
              <w:rPr>
                <w:rFonts w:hint="eastAsia" w:cs="Times New Roman"/>
                <w:bCs/>
                <w:color w:val="auto"/>
                <w:sz w:val="21"/>
                <w:szCs w:val="21"/>
                <w:highlight w:val="none"/>
                <w:lang w:eastAsia="zh-CN"/>
              </w:rPr>
              <w:t>（</w:t>
            </w:r>
            <w:r>
              <w:rPr>
                <w:rFonts w:hint="default" w:ascii="Times New Roman" w:hAnsi="Times New Roman" w:cs="Times New Roman"/>
                <w:bCs/>
                <w:color w:val="auto"/>
                <w:sz w:val="21"/>
                <w:szCs w:val="21"/>
                <w:highlight w:val="none"/>
              </w:rPr>
              <w:t>900-099-S06</w:t>
            </w:r>
            <w:r>
              <w:rPr>
                <w:rFonts w:hint="eastAsia" w:cs="Times New Roman"/>
                <w:bCs/>
                <w:color w:val="auto"/>
                <w:sz w:val="21"/>
                <w:szCs w:val="21"/>
                <w:highlight w:val="none"/>
                <w:lang w:eastAsia="zh-CN"/>
              </w:rPr>
              <w:t>）</w:t>
            </w:r>
          </w:p>
        </w:tc>
        <w:tc>
          <w:tcPr>
            <w:tcW w:w="3040" w:type="dxa"/>
            <w:tcBorders>
              <w:tl2br w:val="nil"/>
              <w:tr2bl w:val="nil"/>
            </w:tcBorders>
            <w:vAlign w:val="center"/>
          </w:tcPr>
          <w:p w14:paraId="4CA96079">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定期外售给建材企业或水泥厂进行综合利用</w:t>
            </w:r>
          </w:p>
        </w:tc>
        <w:tc>
          <w:tcPr>
            <w:tcW w:w="1426" w:type="dxa"/>
            <w:tcBorders>
              <w:tl2br w:val="nil"/>
              <w:tr2bl w:val="nil"/>
            </w:tcBorders>
            <w:vAlign w:val="center"/>
          </w:tcPr>
          <w:p w14:paraId="0081935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50t/a</w:t>
            </w:r>
          </w:p>
        </w:tc>
      </w:tr>
    </w:tbl>
    <w:p w14:paraId="30108266">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.2.5非正常工况排放</w:t>
      </w:r>
    </w:p>
    <w:p w14:paraId="17BBD166">
      <w:pPr>
        <w:pStyle w:val="32"/>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本项目的非正常工况可能发生以下</w:t>
      </w:r>
      <w:r>
        <w:rPr>
          <w:rFonts w:hint="eastAsia" w:cs="Times New Roman"/>
          <w:color w:val="auto"/>
          <w:sz w:val="24"/>
          <w:highlight w:val="none"/>
          <w:lang w:val="en-US" w:eastAsia="zh-CN"/>
        </w:rPr>
        <w:t>三</w:t>
      </w:r>
      <w:r>
        <w:rPr>
          <w:rFonts w:hint="default" w:ascii="Times New Roman" w:hAnsi="Times New Roman" w:cs="Times New Roman"/>
          <w:color w:val="auto"/>
          <w:sz w:val="24"/>
          <w:highlight w:val="none"/>
        </w:rPr>
        <w:t>种情况：</w:t>
      </w:r>
    </w:p>
    <w:p w14:paraId="71DFC95D">
      <w:pPr>
        <w:pStyle w:val="32"/>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w:t>
      </w:r>
      <w:r>
        <w:rPr>
          <w:rFonts w:hint="eastAsia" w:cs="Times New Roman"/>
          <w:color w:val="auto"/>
          <w:sz w:val="24"/>
          <w:highlight w:val="none"/>
          <w:lang w:val="en-US" w:eastAsia="zh-CN"/>
        </w:rPr>
        <w:t>选矿厂</w:t>
      </w:r>
      <w:r>
        <w:rPr>
          <w:rFonts w:hint="default" w:ascii="Times New Roman" w:hAnsi="Times New Roman" w:cs="Times New Roman"/>
          <w:color w:val="auto"/>
          <w:sz w:val="24"/>
          <w:highlight w:val="none"/>
        </w:rPr>
        <w:t>集尘除尘系统不能正常工作的情况下，此时粉尘未经处理无组织扩散；</w:t>
      </w:r>
    </w:p>
    <w:p w14:paraId="14C9B93D">
      <w:pPr>
        <w:pStyle w:val="32"/>
        <w:overflowPunct w:val="0"/>
        <w:topLinePunct/>
        <w:spacing w:after="0"/>
        <w:ind w:left="0" w:leftChars="0" w:firstLine="480"/>
        <w:rPr>
          <w:rFonts w:hint="default" w:ascii="Times New Roman" w:hAnsi="Times New Roman" w:cs="Times New Roman"/>
          <w:color w:val="auto"/>
          <w:sz w:val="24"/>
          <w:highlight w:val="none"/>
        </w:rPr>
      </w:pPr>
      <w:r>
        <w:rPr>
          <w:rFonts w:hint="eastAsia" w:cs="Times New Roman"/>
          <w:color w:val="auto"/>
          <w:sz w:val="24"/>
          <w:highlight w:val="none"/>
          <w:lang w:val="en-US" w:eastAsia="zh-CN"/>
        </w:rPr>
        <w:t>②燃煤锅炉废气处理系统</w:t>
      </w:r>
      <w:r>
        <w:rPr>
          <w:rFonts w:hint="default" w:ascii="Times New Roman" w:hAnsi="Times New Roman" w:cs="Times New Roman"/>
          <w:color w:val="auto"/>
          <w:sz w:val="24"/>
          <w:highlight w:val="none"/>
        </w:rPr>
        <w:t>不能正常工作的情况下，</w:t>
      </w:r>
      <w:r>
        <w:rPr>
          <w:rFonts w:hint="eastAsia" w:cs="Times New Roman"/>
          <w:color w:val="auto"/>
          <w:sz w:val="24"/>
          <w:highlight w:val="none"/>
          <w:lang w:val="en-US" w:eastAsia="zh-CN"/>
        </w:rPr>
        <w:t>废气</w:t>
      </w:r>
      <w:r>
        <w:rPr>
          <w:rFonts w:hint="eastAsia" w:cs="Times New Roman"/>
          <w:color w:val="auto"/>
          <w:spacing w:val="0"/>
          <w:sz w:val="24"/>
          <w:highlight w:val="none"/>
          <w:lang w:val="en-US" w:eastAsia="zh-CN"/>
        </w:rPr>
        <w:t>未经处理通过排气筒排放</w:t>
      </w:r>
      <w:r>
        <w:rPr>
          <w:rFonts w:hint="default" w:ascii="Times New Roman" w:hAnsi="Times New Roman" w:cs="Times New Roman"/>
          <w:color w:val="auto"/>
          <w:sz w:val="24"/>
          <w:highlight w:val="none"/>
        </w:rPr>
        <w:t>；</w:t>
      </w:r>
    </w:p>
    <w:p w14:paraId="25CD6264">
      <w:pPr>
        <w:pStyle w:val="32"/>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②选矿废水处置设施发生故障。</w:t>
      </w:r>
    </w:p>
    <w:p w14:paraId="6B5D0E96">
      <w:pPr>
        <w:pStyle w:val="32"/>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选矿废水主要污染物为pH、COD、SS</w:t>
      </w:r>
      <w:r>
        <w:rPr>
          <w:rFonts w:hint="eastAsia" w:cs="Times New Roman"/>
          <w:color w:val="auto"/>
          <w:sz w:val="24"/>
          <w:highlight w:val="none"/>
          <w:lang w:eastAsia="zh-CN"/>
        </w:rPr>
        <w:t>、</w:t>
      </w:r>
      <w:r>
        <w:rPr>
          <w:rFonts w:hint="eastAsia" w:cs="Times New Roman"/>
          <w:color w:val="auto"/>
          <w:sz w:val="24"/>
          <w:highlight w:val="none"/>
          <w:lang w:val="en-US" w:eastAsia="zh-CN"/>
        </w:rPr>
        <w:t>氟化物</w:t>
      </w:r>
      <w:r>
        <w:rPr>
          <w:rFonts w:hint="default" w:ascii="Times New Roman" w:hAnsi="Times New Roman" w:cs="Times New Roman"/>
          <w:color w:val="auto"/>
          <w:sz w:val="24"/>
          <w:highlight w:val="none"/>
        </w:rPr>
        <w:t>及少量</w:t>
      </w:r>
      <w:r>
        <w:rPr>
          <w:rFonts w:hint="eastAsia" w:cs="Times New Roman"/>
          <w:color w:val="auto"/>
          <w:sz w:val="24"/>
          <w:highlight w:val="none"/>
          <w:lang w:val="en-US" w:eastAsia="zh-CN"/>
        </w:rPr>
        <w:t>非</w:t>
      </w:r>
      <w:r>
        <w:rPr>
          <w:rFonts w:hint="default" w:ascii="Times New Roman" w:hAnsi="Times New Roman" w:cs="Times New Roman"/>
          <w:color w:val="auto"/>
          <w:sz w:val="24"/>
          <w:highlight w:val="none"/>
        </w:rPr>
        <w:t>金属等，并且</w:t>
      </w:r>
      <w:r>
        <w:rPr>
          <w:rFonts w:hint="default" w:ascii="Times New Roman" w:hAnsi="Times New Roman" w:cs="Times New Roman"/>
          <w:color w:val="auto"/>
          <w:kern w:val="0"/>
          <w:sz w:val="24"/>
          <w:highlight w:val="none"/>
        </w:rPr>
        <w:t>非正常工况下选矿水溢出时立即停止生产，溢出水排入车间排水沟，最终由车间回水泵排入选矿车间外的回水池，保证不外排</w:t>
      </w:r>
      <w:r>
        <w:rPr>
          <w:rFonts w:hint="default" w:ascii="Times New Roman" w:hAnsi="Times New Roman" w:cs="Times New Roman"/>
          <w:color w:val="auto"/>
          <w:sz w:val="24"/>
          <w:highlight w:val="none"/>
        </w:rPr>
        <w:t>。因此，</w:t>
      </w:r>
      <w:r>
        <w:rPr>
          <w:rFonts w:hint="default" w:ascii="Times New Roman" w:hAnsi="Times New Roman" w:cs="Times New Roman"/>
          <w:color w:val="auto"/>
          <w:kern w:val="0"/>
          <w:sz w:val="24"/>
          <w:highlight w:val="none"/>
        </w:rPr>
        <w:t>非正常工况下选矿废水溢出概率较小。</w:t>
      </w:r>
    </w:p>
    <w:p w14:paraId="21441527">
      <w:pPr>
        <w:pStyle w:val="32"/>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rPr>
        <w:t>本项目假定非正常工况下为排放量较大的除尘系统发生故障，且发生故障时未及时停车检修。非正常工段粉尘排放统计见表3.</w:t>
      </w:r>
      <w:r>
        <w:rPr>
          <w:rFonts w:hint="default" w:ascii="Times New Roman" w:hAnsi="Times New Roman" w:cs="Times New Roman"/>
          <w:color w:val="auto"/>
          <w:kern w:val="0"/>
          <w:sz w:val="24"/>
          <w:highlight w:val="none"/>
          <w:lang w:val="en-US" w:eastAsia="zh-CN"/>
        </w:rPr>
        <w:t>3</w:t>
      </w:r>
      <w:r>
        <w:rPr>
          <w:rFonts w:hint="default" w:ascii="Times New Roman" w:hAnsi="Times New Roman" w:cs="Times New Roman"/>
          <w:color w:val="auto"/>
          <w:kern w:val="0"/>
          <w:sz w:val="24"/>
          <w:highlight w:val="none"/>
        </w:rPr>
        <w:t>-</w:t>
      </w:r>
      <w:r>
        <w:rPr>
          <w:rFonts w:hint="eastAsia" w:cs="Times New Roman"/>
          <w:color w:val="auto"/>
          <w:kern w:val="0"/>
          <w:sz w:val="24"/>
          <w:highlight w:val="none"/>
          <w:lang w:val="en-US" w:eastAsia="zh-CN"/>
        </w:rPr>
        <w:t>13</w:t>
      </w:r>
      <w:r>
        <w:rPr>
          <w:rFonts w:hint="default" w:ascii="Times New Roman" w:hAnsi="Times New Roman" w:cs="Times New Roman"/>
          <w:color w:val="auto"/>
          <w:kern w:val="0"/>
          <w:sz w:val="24"/>
          <w:highlight w:val="none"/>
        </w:rPr>
        <w:t>。</w:t>
      </w:r>
    </w:p>
    <w:p w14:paraId="0EABE28C">
      <w:pPr>
        <w:ind w:firstLine="0" w:firstLineChars="0"/>
        <w:jc w:val="center"/>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表3.</w:t>
      </w:r>
      <w:r>
        <w:rPr>
          <w:rFonts w:hint="default" w:ascii="Times New Roman" w:hAnsi="Times New Roman" w:cs="Times New Roman"/>
          <w:b/>
          <w:color w:val="auto"/>
          <w:kern w:val="0"/>
          <w:highlight w:val="none"/>
          <w:lang w:val="en-US" w:eastAsia="zh-CN"/>
        </w:rPr>
        <w:t>3</w:t>
      </w:r>
      <w:r>
        <w:rPr>
          <w:rFonts w:hint="default" w:ascii="Times New Roman" w:hAnsi="Times New Roman" w:cs="Times New Roman"/>
          <w:b/>
          <w:color w:val="auto"/>
          <w:kern w:val="0"/>
          <w:highlight w:val="none"/>
        </w:rPr>
        <w:t>-</w:t>
      </w:r>
      <w:r>
        <w:rPr>
          <w:rFonts w:hint="eastAsia" w:cs="Times New Roman"/>
          <w:b/>
          <w:color w:val="auto"/>
          <w:kern w:val="0"/>
          <w:highlight w:val="none"/>
          <w:lang w:val="en-US" w:eastAsia="zh-CN"/>
        </w:rPr>
        <w:t>13</w:t>
      </w:r>
      <w:r>
        <w:rPr>
          <w:rFonts w:hint="default" w:ascii="Times New Roman" w:hAnsi="Times New Roman" w:cs="Times New Roman"/>
          <w:b/>
          <w:color w:val="auto"/>
          <w:kern w:val="0"/>
          <w:highlight w:val="none"/>
        </w:rPr>
        <w:t xml:space="preserve">    非正常工况大气污染物排放情况</w:t>
      </w:r>
    </w:p>
    <w:tbl>
      <w:tblPr>
        <w:tblStyle w:val="33"/>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507"/>
        <w:gridCol w:w="839"/>
        <w:gridCol w:w="2"/>
        <w:gridCol w:w="1345"/>
        <w:gridCol w:w="1345"/>
        <w:gridCol w:w="1346"/>
        <w:gridCol w:w="1350"/>
        <w:gridCol w:w="1147"/>
        <w:gridCol w:w="1102"/>
      </w:tblGrid>
      <w:tr w14:paraId="468A18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5" w:hRule="atLeast"/>
          <w:tblHeader/>
          <w:jc w:val="center"/>
        </w:trPr>
        <w:tc>
          <w:tcPr>
            <w:tcW w:w="749" w:type="pct"/>
            <w:gridSpan w:val="2"/>
            <w:vAlign w:val="center"/>
          </w:tcPr>
          <w:p w14:paraId="158AE5DA">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排放源</w:t>
            </w:r>
          </w:p>
        </w:tc>
        <w:tc>
          <w:tcPr>
            <w:tcW w:w="749" w:type="pct"/>
            <w:gridSpan w:val="2"/>
            <w:vAlign w:val="center"/>
          </w:tcPr>
          <w:p w14:paraId="7A4F27FB">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污染物名称</w:t>
            </w:r>
          </w:p>
        </w:tc>
        <w:tc>
          <w:tcPr>
            <w:tcW w:w="748" w:type="pct"/>
            <w:vAlign w:val="center"/>
          </w:tcPr>
          <w:p w14:paraId="375B7890">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除尘器处理效率</w:t>
            </w:r>
          </w:p>
        </w:tc>
        <w:tc>
          <w:tcPr>
            <w:tcW w:w="749" w:type="pct"/>
            <w:vAlign w:val="center"/>
          </w:tcPr>
          <w:p w14:paraId="356C4754">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排放浓度</w:t>
            </w:r>
            <w:r>
              <w:rPr>
                <w:rFonts w:hint="eastAsia"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mg/m³</w:t>
            </w:r>
            <w:r>
              <w:rPr>
                <w:rFonts w:hint="eastAsia" w:cs="Times New Roman"/>
                <w:b/>
                <w:bCs/>
                <w:color w:val="auto"/>
                <w:sz w:val="21"/>
                <w:szCs w:val="21"/>
                <w:highlight w:val="none"/>
                <w:lang w:eastAsia="zh-CN"/>
              </w:rPr>
              <w:t>）</w:t>
            </w:r>
          </w:p>
        </w:tc>
        <w:tc>
          <w:tcPr>
            <w:tcW w:w="751" w:type="pct"/>
            <w:vAlign w:val="center"/>
          </w:tcPr>
          <w:p w14:paraId="45E8E1E7">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排放速率</w:t>
            </w:r>
            <w:r>
              <w:rPr>
                <w:rFonts w:hint="eastAsia"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kg/h</w:t>
            </w:r>
            <w:r>
              <w:rPr>
                <w:rFonts w:hint="eastAsia" w:cs="Times New Roman"/>
                <w:b/>
                <w:bCs/>
                <w:color w:val="auto"/>
                <w:sz w:val="21"/>
                <w:szCs w:val="21"/>
                <w:highlight w:val="none"/>
                <w:lang w:eastAsia="zh-CN"/>
              </w:rPr>
              <w:t>）</w:t>
            </w:r>
          </w:p>
        </w:tc>
        <w:tc>
          <w:tcPr>
            <w:tcW w:w="638" w:type="pct"/>
            <w:vAlign w:val="center"/>
          </w:tcPr>
          <w:p w14:paraId="37A58291">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持续时间</w:t>
            </w:r>
          </w:p>
          <w:p w14:paraId="226DC1C2">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right="0" w:firstLine="0" w:firstLineChars="0"/>
              <w:jc w:val="center"/>
              <w:textAlignment w:val="auto"/>
              <w:rPr>
                <w:rFonts w:hint="default" w:ascii="Times New Roman" w:hAnsi="Times New Roman" w:cs="Times New Roman"/>
                <w:b/>
                <w:bCs/>
                <w:color w:val="auto"/>
                <w:sz w:val="21"/>
                <w:szCs w:val="21"/>
                <w:highlight w:val="none"/>
              </w:rPr>
            </w:pPr>
            <w:r>
              <w:rPr>
                <w:rFonts w:hint="eastAsia"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lang w:val="en-US" w:eastAsia="zh-CN"/>
              </w:rPr>
              <w:t>min</w:t>
            </w:r>
            <w:r>
              <w:rPr>
                <w:rFonts w:hint="eastAsia" w:cs="Times New Roman"/>
                <w:b/>
                <w:bCs/>
                <w:color w:val="auto"/>
                <w:sz w:val="21"/>
                <w:szCs w:val="21"/>
                <w:highlight w:val="none"/>
                <w:lang w:val="en-US" w:eastAsia="zh-CN"/>
              </w:rPr>
              <w:t>）</w:t>
            </w:r>
          </w:p>
        </w:tc>
        <w:tc>
          <w:tcPr>
            <w:tcW w:w="613" w:type="pct"/>
            <w:vAlign w:val="center"/>
          </w:tcPr>
          <w:p w14:paraId="32DC41AB">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年发生频次（次）</w:t>
            </w:r>
          </w:p>
        </w:tc>
      </w:tr>
      <w:tr w14:paraId="7EAB27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52" w:hRule="atLeast"/>
          <w:jc w:val="center"/>
        </w:trPr>
        <w:tc>
          <w:tcPr>
            <w:tcW w:w="282" w:type="pct"/>
            <w:vMerge w:val="restart"/>
            <w:vAlign w:val="center"/>
          </w:tcPr>
          <w:p w14:paraId="2158CF6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有组织</w:t>
            </w:r>
          </w:p>
        </w:tc>
        <w:tc>
          <w:tcPr>
            <w:tcW w:w="468" w:type="pct"/>
            <w:gridSpan w:val="2"/>
            <w:vMerge w:val="restart"/>
            <w:vAlign w:val="center"/>
          </w:tcPr>
          <w:p w14:paraId="1E31FB7D">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袋式除尘器排气筒</w:t>
            </w:r>
            <w:r>
              <w:rPr>
                <w:rFonts w:hint="eastAsia" w:cs="Times New Roman"/>
                <w:color w:val="auto"/>
                <w:sz w:val="21"/>
                <w:szCs w:val="21"/>
                <w:highlight w:val="none"/>
                <w:lang w:val="en-US" w:eastAsia="zh-CN"/>
              </w:rPr>
              <w:t>DA001</w:t>
            </w:r>
          </w:p>
        </w:tc>
        <w:tc>
          <w:tcPr>
            <w:tcW w:w="748" w:type="pct"/>
            <w:vAlign w:val="center"/>
          </w:tcPr>
          <w:p w14:paraId="4B58259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粉尘</w:t>
            </w:r>
          </w:p>
        </w:tc>
        <w:tc>
          <w:tcPr>
            <w:tcW w:w="748" w:type="pct"/>
            <w:vAlign w:val="center"/>
          </w:tcPr>
          <w:p w14:paraId="1926713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749" w:type="pct"/>
            <w:vAlign w:val="center"/>
          </w:tcPr>
          <w:p w14:paraId="1DE53DD4">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369.46</w:t>
            </w:r>
          </w:p>
        </w:tc>
        <w:tc>
          <w:tcPr>
            <w:tcW w:w="751" w:type="pct"/>
            <w:vAlign w:val="center"/>
          </w:tcPr>
          <w:p w14:paraId="29B719C1">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w:t>
            </w:r>
          </w:p>
        </w:tc>
        <w:tc>
          <w:tcPr>
            <w:tcW w:w="638" w:type="pct"/>
            <w:vMerge w:val="restart"/>
            <w:vAlign w:val="center"/>
          </w:tcPr>
          <w:p w14:paraId="42E3BDB9">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60</w:t>
            </w:r>
          </w:p>
        </w:tc>
        <w:tc>
          <w:tcPr>
            <w:tcW w:w="613" w:type="pct"/>
            <w:vMerge w:val="restart"/>
            <w:vAlign w:val="center"/>
          </w:tcPr>
          <w:p w14:paraId="3D151157">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pacing w:val="1"/>
                <w:sz w:val="21"/>
                <w:szCs w:val="21"/>
                <w:highlight w:val="none"/>
                <w:lang w:val="en-US" w:eastAsia="zh-CN"/>
              </w:rPr>
              <w:t>1</w:t>
            </w:r>
          </w:p>
        </w:tc>
      </w:tr>
      <w:tr w14:paraId="7BB866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52" w:hRule="atLeast"/>
          <w:jc w:val="center"/>
        </w:trPr>
        <w:tc>
          <w:tcPr>
            <w:tcW w:w="282" w:type="pct"/>
            <w:vMerge w:val="continue"/>
            <w:vAlign w:val="center"/>
          </w:tcPr>
          <w:p w14:paraId="5089A438">
            <w:pPr>
              <w:spacing w:line="360" w:lineRule="exact"/>
              <w:ind w:firstLine="0" w:firstLineChars="0"/>
              <w:jc w:val="center"/>
              <w:rPr>
                <w:rFonts w:hint="default" w:ascii="Times New Roman" w:hAnsi="Times New Roman" w:cs="Times New Roman"/>
                <w:color w:val="auto"/>
                <w:sz w:val="21"/>
                <w:szCs w:val="21"/>
                <w:highlight w:val="none"/>
              </w:rPr>
            </w:pPr>
          </w:p>
        </w:tc>
        <w:tc>
          <w:tcPr>
            <w:tcW w:w="468" w:type="pct"/>
            <w:gridSpan w:val="2"/>
            <w:vMerge w:val="continue"/>
            <w:vAlign w:val="center"/>
          </w:tcPr>
          <w:p w14:paraId="6629AD7A">
            <w:pPr>
              <w:spacing w:line="360" w:lineRule="exact"/>
              <w:ind w:firstLine="0" w:firstLineChars="0"/>
              <w:jc w:val="center"/>
              <w:rPr>
                <w:rFonts w:hint="default" w:ascii="Times New Roman" w:hAnsi="Times New Roman" w:cs="Times New Roman"/>
                <w:color w:val="auto"/>
                <w:sz w:val="21"/>
                <w:szCs w:val="21"/>
                <w:highlight w:val="none"/>
              </w:rPr>
            </w:pPr>
          </w:p>
        </w:tc>
        <w:tc>
          <w:tcPr>
            <w:tcW w:w="748" w:type="pct"/>
            <w:vAlign w:val="center"/>
          </w:tcPr>
          <w:p w14:paraId="5F4725C6">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氟化物</w:t>
            </w:r>
          </w:p>
        </w:tc>
        <w:tc>
          <w:tcPr>
            <w:tcW w:w="748" w:type="pct"/>
            <w:vAlign w:val="center"/>
          </w:tcPr>
          <w:p w14:paraId="78636DF1">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749" w:type="pct"/>
            <w:vAlign w:val="center"/>
          </w:tcPr>
          <w:p w14:paraId="7541407A">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9.51</w:t>
            </w:r>
          </w:p>
        </w:tc>
        <w:tc>
          <w:tcPr>
            <w:tcW w:w="751" w:type="pct"/>
            <w:vAlign w:val="center"/>
          </w:tcPr>
          <w:p w14:paraId="45841BD5">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0.193</w:t>
            </w:r>
          </w:p>
        </w:tc>
        <w:tc>
          <w:tcPr>
            <w:tcW w:w="638" w:type="pct"/>
            <w:vMerge w:val="continue"/>
            <w:vAlign w:val="center"/>
          </w:tcPr>
          <w:p w14:paraId="14BC6504">
            <w:pPr>
              <w:spacing w:line="360" w:lineRule="exact"/>
              <w:ind w:firstLine="0" w:firstLineChars="0"/>
              <w:jc w:val="center"/>
              <w:rPr>
                <w:rFonts w:hint="default" w:ascii="Times New Roman" w:hAnsi="Times New Roman" w:cs="Times New Roman"/>
                <w:color w:val="auto"/>
                <w:sz w:val="21"/>
                <w:szCs w:val="21"/>
                <w:highlight w:val="none"/>
                <w:lang w:val="en-US" w:eastAsia="zh-CN"/>
              </w:rPr>
            </w:pPr>
          </w:p>
        </w:tc>
        <w:tc>
          <w:tcPr>
            <w:tcW w:w="613" w:type="pct"/>
            <w:vMerge w:val="continue"/>
            <w:vAlign w:val="center"/>
          </w:tcPr>
          <w:p w14:paraId="11182E20">
            <w:pPr>
              <w:spacing w:line="360" w:lineRule="exact"/>
              <w:ind w:firstLine="0" w:firstLineChars="0"/>
              <w:jc w:val="center"/>
              <w:rPr>
                <w:rFonts w:hint="default" w:ascii="Times New Roman" w:hAnsi="Times New Roman" w:cs="Times New Roman"/>
                <w:color w:val="auto"/>
                <w:sz w:val="21"/>
                <w:szCs w:val="21"/>
                <w:highlight w:val="none"/>
                <w:lang w:val="en-US" w:eastAsia="zh-CN"/>
              </w:rPr>
            </w:pPr>
          </w:p>
        </w:tc>
      </w:tr>
      <w:tr w14:paraId="0EBF66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52" w:hRule="atLeast"/>
          <w:jc w:val="center"/>
        </w:trPr>
        <w:tc>
          <w:tcPr>
            <w:tcW w:w="282" w:type="pct"/>
            <w:vMerge w:val="continue"/>
            <w:vAlign w:val="center"/>
          </w:tcPr>
          <w:p w14:paraId="3E0AE278">
            <w:pPr>
              <w:spacing w:line="360" w:lineRule="exact"/>
              <w:ind w:firstLine="0" w:firstLineChars="0"/>
              <w:jc w:val="center"/>
              <w:rPr>
                <w:rFonts w:hint="default" w:ascii="Times New Roman" w:hAnsi="Times New Roman" w:cs="Times New Roman"/>
                <w:color w:val="auto"/>
                <w:sz w:val="21"/>
                <w:szCs w:val="21"/>
                <w:highlight w:val="none"/>
              </w:rPr>
            </w:pPr>
          </w:p>
        </w:tc>
        <w:tc>
          <w:tcPr>
            <w:tcW w:w="468" w:type="pct"/>
            <w:gridSpan w:val="2"/>
            <w:vMerge w:val="restart"/>
            <w:vAlign w:val="center"/>
          </w:tcPr>
          <w:p w14:paraId="72FE7F62">
            <w:pPr>
              <w:spacing w:line="360" w:lineRule="exact"/>
              <w:ind w:firstLine="0" w:firstLineChars="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rPr>
              <w:t>袋式除尘器排气筒</w:t>
            </w:r>
            <w:r>
              <w:rPr>
                <w:rFonts w:hint="eastAsia" w:cs="Times New Roman"/>
                <w:color w:val="auto"/>
                <w:sz w:val="21"/>
                <w:szCs w:val="21"/>
                <w:highlight w:val="none"/>
                <w:lang w:val="en-US" w:eastAsia="zh-CN"/>
              </w:rPr>
              <w:t>DA002</w:t>
            </w:r>
          </w:p>
        </w:tc>
        <w:tc>
          <w:tcPr>
            <w:tcW w:w="748" w:type="pct"/>
            <w:vAlign w:val="center"/>
          </w:tcPr>
          <w:p w14:paraId="39A7EEE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粉尘</w:t>
            </w:r>
          </w:p>
        </w:tc>
        <w:tc>
          <w:tcPr>
            <w:tcW w:w="748" w:type="pct"/>
            <w:vAlign w:val="center"/>
          </w:tcPr>
          <w:p w14:paraId="40C9DE0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749" w:type="pct"/>
            <w:vAlign w:val="center"/>
          </w:tcPr>
          <w:p w14:paraId="19C27393">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369.46</w:t>
            </w:r>
          </w:p>
        </w:tc>
        <w:tc>
          <w:tcPr>
            <w:tcW w:w="751" w:type="pct"/>
            <w:vAlign w:val="center"/>
          </w:tcPr>
          <w:p w14:paraId="19DBA1B9">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w:t>
            </w:r>
          </w:p>
        </w:tc>
        <w:tc>
          <w:tcPr>
            <w:tcW w:w="638" w:type="pct"/>
            <w:vMerge w:val="continue"/>
            <w:vAlign w:val="center"/>
          </w:tcPr>
          <w:p w14:paraId="5942873F">
            <w:pPr>
              <w:spacing w:line="360" w:lineRule="exact"/>
              <w:ind w:firstLine="0" w:firstLineChars="0"/>
              <w:jc w:val="center"/>
              <w:rPr>
                <w:rFonts w:hint="default" w:ascii="Times New Roman" w:hAnsi="Times New Roman" w:cs="Times New Roman"/>
                <w:color w:val="auto"/>
                <w:sz w:val="21"/>
                <w:szCs w:val="21"/>
                <w:highlight w:val="none"/>
                <w:lang w:val="en-US" w:eastAsia="zh-CN"/>
              </w:rPr>
            </w:pPr>
          </w:p>
        </w:tc>
        <w:tc>
          <w:tcPr>
            <w:tcW w:w="613" w:type="pct"/>
            <w:vMerge w:val="continue"/>
            <w:vAlign w:val="center"/>
          </w:tcPr>
          <w:p w14:paraId="051380CB">
            <w:pPr>
              <w:spacing w:line="360" w:lineRule="exact"/>
              <w:ind w:firstLine="0" w:firstLineChars="0"/>
              <w:jc w:val="center"/>
              <w:rPr>
                <w:rFonts w:hint="default" w:ascii="Times New Roman" w:hAnsi="Times New Roman" w:cs="Times New Roman"/>
                <w:color w:val="auto"/>
                <w:sz w:val="21"/>
                <w:szCs w:val="21"/>
                <w:highlight w:val="none"/>
                <w:lang w:val="en-US" w:eastAsia="zh-CN"/>
              </w:rPr>
            </w:pPr>
          </w:p>
        </w:tc>
      </w:tr>
      <w:tr w14:paraId="029150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52" w:hRule="atLeast"/>
          <w:jc w:val="center"/>
        </w:trPr>
        <w:tc>
          <w:tcPr>
            <w:tcW w:w="282" w:type="pct"/>
            <w:vMerge w:val="continue"/>
            <w:vAlign w:val="center"/>
          </w:tcPr>
          <w:p w14:paraId="24C41101">
            <w:pPr>
              <w:spacing w:line="360" w:lineRule="exact"/>
              <w:ind w:firstLine="0" w:firstLineChars="0"/>
              <w:jc w:val="center"/>
              <w:rPr>
                <w:rFonts w:hint="default" w:ascii="Times New Roman" w:hAnsi="Times New Roman" w:cs="Times New Roman"/>
                <w:color w:val="auto"/>
                <w:sz w:val="21"/>
                <w:szCs w:val="21"/>
                <w:highlight w:val="none"/>
              </w:rPr>
            </w:pPr>
          </w:p>
        </w:tc>
        <w:tc>
          <w:tcPr>
            <w:tcW w:w="468" w:type="pct"/>
            <w:gridSpan w:val="2"/>
            <w:vMerge w:val="continue"/>
            <w:vAlign w:val="center"/>
          </w:tcPr>
          <w:p w14:paraId="3005860F">
            <w:pPr>
              <w:spacing w:line="360" w:lineRule="exact"/>
              <w:ind w:firstLine="0" w:firstLineChars="0"/>
              <w:jc w:val="center"/>
              <w:rPr>
                <w:rFonts w:hint="default" w:ascii="Times New Roman" w:hAnsi="Times New Roman" w:cs="Times New Roman"/>
                <w:color w:val="auto"/>
                <w:sz w:val="21"/>
                <w:szCs w:val="21"/>
                <w:highlight w:val="none"/>
              </w:rPr>
            </w:pPr>
          </w:p>
        </w:tc>
        <w:tc>
          <w:tcPr>
            <w:tcW w:w="748" w:type="pct"/>
            <w:vAlign w:val="center"/>
          </w:tcPr>
          <w:p w14:paraId="41BE27C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氟化物</w:t>
            </w:r>
          </w:p>
        </w:tc>
        <w:tc>
          <w:tcPr>
            <w:tcW w:w="748" w:type="pct"/>
            <w:vAlign w:val="center"/>
          </w:tcPr>
          <w:p w14:paraId="2F0F4E98">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749" w:type="pct"/>
            <w:vAlign w:val="center"/>
          </w:tcPr>
          <w:p w14:paraId="4D2CAA83">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9.51</w:t>
            </w:r>
          </w:p>
        </w:tc>
        <w:tc>
          <w:tcPr>
            <w:tcW w:w="751" w:type="pct"/>
            <w:vAlign w:val="center"/>
          </w:tcPr>
          <w:p w14:paraId="14F370FC">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0.193</w:t>
            </w:r>
          </w:p>
        </w:tc>
        <w:tc>
          <w:tcPr>
            <w:tcW w:w="638" w:type="pct"/>
            <w:vMerge w:val="continue"/>
            <w:vAlign w:val="center"/>
          </w:tcPr>
          <w:p w14:paraId="004C8736">
            <w:pPr>
              <w:spacing w:line="360" w:lineRule="exact"/>
              <w:ind w:firstLine="0" w:firstLineChars="0"/>
              <w:jc w:val="center"/>
              <w:rPr>
                <w:rFonts w:hint="default" w:ascii="Times New Roman" w:hAnsi="Times New Roman" w:cs="Times New Roman"/>
                <w:color w:val="auto"/>
                <w:sz w:val="21"/>
                <w:szCs w:val="21"/>
                <w:highlight w:val="none"/>
                <w:lang w:val="en-US" w:eastAsia="zh-CN"/>
              </w:rPr>
            </w:pPr>
          </w:p>
        </w:tc>
        <w:tc>
          <w:tcPr>
            <w:tcW w:w="613" w:type="pct"/>
            <w:vMerge w:val="continue"/>
            <w:vAlign w:val="center"/>
          </w:tcPr>
          <w:p w14:paraId="563E561A">
            <w:pPr>
              <w:spacing w:line="360" w:lineRule="exact"/>
              <w:ind w:firstLine="0" w:firstLineChars="0"/>
              <w:jc w:val="center"/>
              <w:rPr>
                <w:rFonts w:hint="default" w:ascii="Times New Roman" w:hAnsi="Times New Roman" w:cs="Times New Roman"/>
                <w:color w:val="auto"/>
                <w:sz w:val="21"/>
                <w:szCs w:val="21"/>
                <w:highlight w:val="none"/>
                <w:lang w:val="en-US" w:eastAsia="zh-CN"/>
              </w:rPr>
            </w:pPr>
          </w:p>
        </w:tc>
      </w:tr>
      <w:tr w14:paraId="22AA9F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52" w:hRule="atLeast"/>
          <w:jc w:val="center"/>
        </w:trPr>
        <w:tc>
          <w:tcPr>
            <w:tcW w:w="282" w:type="pct"/>
            <w:vMerge w:val="continue"/>
            <w:vAlign w:val="center"/>
          </w:tcPr>
          <w:p w14:paraId="5824B2CF">
            <w:pPr>
              <w:spacing w:line="360" w:lineRule="exact"/>
              <w:ind w:firstLine="0" w:firstLineChars="0"/>
              <w:jc w:val="center"/>
              <w:rPr>
                <w:rFonts w:hint="default" w:ascii="Times New Roman" w:hAnsi="Times New Roman" w:cs="Times New Roman"/>
                <w:color w:val="auto"/>
                <w:sz w:val="21"/>
                <w:szCs w:val="21"/>
                <w:highlight w:val="none"/>
              </w:rPr>
            </w:pPr>
            <w:bookmarkStart w:id="494" w:name="_Toc29855"/>
            <w:bookmarkStart w:id="495" w:name="_Toc107413890"/>
            <w:bookmarkStart w:id="496" w:name="_Toc28605"/>
            <w:bookmarkStart w:id="497" w:name="_Toc24211"/>
            <w:bookmarkStart w:id="498" w:name="_Toc6277"/>
            <w:bookmarkStart w:id="499" w:name="_Toc107414657"/>
            <w:bookmarkStart w:id="500" w:name="_Toc21356"/>
          </w:p>
        </w:tc>
        <w:tc>
          <w:tcPr>
            <w:tcW w:w="468" w:type="pct"/>
            <w:gridSpan w:val="2"/>
            <w:vMerge w:val="restart"/>
            <w:vAlign w:val="center"/>
          </w:tcPr>
          <w:p w14:paraId="03E595DF">
            <w:pPr>
              <w:spacing w:line="360" w:lineRule="exact"/>
              <w:ind w:firstLine="0" w:firstLineChars="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燃煤锅炉</w:t>
            </w:r>
            <w:r>
              <w:rPr>
                <w:rFonts w:hint="eastAsia" w:cs="Times New Roman"/>
                <w:color w:val="auto"/>
                <w:sz w:val="21"/>
                <w:szCs w:val="21"/>
                <w:highlight w:val="none"/>
                <w:lang w:val="en-US" w:eastAsia="zh-CN"/>
              </w:rPr>
              <w:t>排气筒DA003</w:t>
            </w:r>
          </w:p>
        </w:tc>
        <w:tc>
          <w:tcPr>
            <w:tcW w:w="748" w:type="pct"/>
            <w:vAlign w:val="center"/>
          </w:tcPr>
          <w:p w14:paraId="57F6D7D1">
            <w:pPr>
              <w:spacing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pacing w:val="0"/>
                <w:kern w:val="2"/>
                <w:sz w:val="21"/>
                <w:szCs w:val="21"/>
                <w:highlight w:val="none"/>
                <w:vertAlign w:val="baseline"/>
                <w:lang w:val="en-US" w:eastAsia="zh-CN" w:bidi="ar-SA"/>
              </w:rPr>
              <w:t>颗粒物</w:t>
            </w:r>
          </w:p>
        </w:tc>
        <w:tc>
          <w:tcPr>
            <w:tcW w:w="748" w:type="pct"/>
            <w:vAlign w:val="center"/>
          </w:tcPr>
          <w:p w14:paraId="7DCE36A8">
            <w:pPr>
              <w:spacing w:line="36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749" w:type="pct"/>
            <w:shd w:val="clear" w:color="auto" w:fill="auto"/>
            <w:vAlign w:val="center"/>
          </w:tcPr>
          <w:p w14:paraId="1A263D64">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vertAlign w:val="baseline"/>
                <w:lang w:val="en-US" w:eastAsia="zh-CN" w:bidi="ar-SA"/>
              </w:rPr>
            </w:pPr>
            <w:r>
              <w:rPr>
                <w:rFonts w:hint="default" w:ascii="Times New Roman" w:hAnsi="Times New Roman" w:eastAsia="宋体" w:cs="Times New Roman"/>
                <w:b w:val="0"/>
                <w:bCs w:val="0"/>
                <w:color w:val="auto"/>
                <w:spacing w:val="0"/>
                <w:kern w:val="2"/>
                <w:sz w:val="21"/>
                <w:szCs w:val="21"/>
                <w:highlight w:val="none"/>
                <w:vertAlign w:val="baseline"/>
                <w:lang w:val="en-US" w:eastAsia="zh-CN" w:bidi="ar-SA"/>
              </w:rPr>
              <w:t>2423</w:t>
            </w:r>
          </w:p>
        </w:tc>
        <w:tc>
          <w:tcPr>
            <w:tcW w:w="751" w:type="pct"/>
            <w:shd w:val="clear" w:color="auto" w:fill="auto"/>
            <w:vAlign w:val="center"/>
          </w:tcPr>
          <w:p w14:paraId="663E10AA">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vertAlign w:val="baseline"/>
                <w:lang w:val="en-US" w:eastAsia="zh-CN" w:bidi="ar-SA"/>
              </w:rPr>
            </w:pPr>
            <w:r>
              <w:rPr>
                <w:rFonts w:hint="default" w:ascii="Times New Roman" w:hAnsi="Times New Roman" w:eastAsia="宋体" w:cs="Times New Roman"/>
                <w:b w:val="0"/>
                <w:bCs w:val="0"/>
                <w:color w:val="auto"/>
                <w:spacing w:val="0"/>
                <w:kern w:val="2"/>
                <w:sz w:val="21"/>
                <w:szCs w:val="21"/>
                <w:highlight w:val="none"/>
                <w:vertAlign w:val="baseline"/>
                <w:lang w:val="en-US" w:eastAsia="zh-CN" w:bidi="ar-SA"/>
              </w:rPr>
              <w:t>37.28</w:t>
            </w:r>
          </w:p>
        </w:tc>
        <w:tc>
          <w:tcPr>
            <w:tcW w:w="638" w:type="pct"/>
            <w:vMerge w:val="restart"/>
            <w:vAlign w:val="center"/>
          </w:tcPr>
          <w:p w14:paraId="7D566C76">
            <w:pPr>
              <w:spacing w:line="36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613" w:type="pct"/>
            <w:vMerge w:val="restart"/>
            <w:vAlign w:val="center"/>
          </w:tcPr>
          <w:p w14:paraId="5B73847F">
            <w:pPr>
              <w:spacing w:line="36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r>
      <w:tr w14:paraId="197EEE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52" w:hRule="atLeast"/>
          <w:jc w:val="center"/>
        </w:trPr>
        <w:tc>
          <w:tcPr>
            <w:tcW w:w="282" w:type="pct"/>
            <w:vMerge w:val="continue"/>
            <w:vAlign w:val="center"/>
          </w:tcPr>
          <w:p w14:paraId="041CE8B5">
            <w:pPr>
              <w:spacing w:line="360" w:lineRule="exact"/>
              <w:ind w:firstLine="0" w:firstLineChars="0"/>
              <w:jc w:val="center"/>
              <w:rPr>
                <w:rFonts w:hint="default" w:ascii="Times New Roman" w:hAnsi="Times New Roman" w:cs="Times New Roman"/>
                <w:color w:val="auto"/>
                <w:sz w:val="21"/>
                <w:szCs w:val="21"/>
                <w:highlight w:val="none"/>
              </w:rPr>
            </w:pPr>
          </w:p>
        </w:tc>
        <w:tc>
          <w:tcPr>
            <w:tcW w:w="468" w:type="pct"/>
            <w:gridSpan w:val="2"/>
            <w:vMerge w:val="continue"/>
            <w:vAlign w:val="center"/>
          </w:tcPr>
          <w:p w14:paraId="09A49CCA">
            <w:pPr>
              <w:spacing w:line="360" w:lineRule="exact"/>
              <w:ind w:firstLine="0" w:firstLineChars="0"/>
              <w:jc w:val="center"/>
              <w:rPr>
                <w:rFonts w:hint="default" w:ascii="Times New Roman" w:hAnsi="Times New Roman" w:cs="Times New Roman"/>
                <w:color w:val="auto"/>
                <w:sz w:val="21"/>
                <w:szCs w:val="21"/>
                <w:highlight w:val="none"/>
              </w:rPr>
            </w:pPr>
          </w:p>
        </w:tc>
        <w:tc>
          <w:tcPr>
            <w:tcW w:w="748" w:type="pct"/>
            <w:vAlign w:val="center"/>
          </w:tcPr>
          <w:p w14:paraId="04B0EC2F">
            <w:pPr>
              <w:spacing w:line="36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二氧化硫</w:t>
            </w:r>
          </w:p>
        </w:tc>
        <w:tc>
          <w:tcPr>
            <w:tcW w:w="748" w:type="pct"/>
            <w:vAlign w:val="center"/>
          </w:tcPr>
          <w:p w14:paraId="5C58988B">
            <w:pPr>
              <w:spacing w:line="36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749" w:type="pct"/>
            <w:shd w:val="clear" w:color="auto" w:fill="auto"/>
            <w:vAlign w:val="center"/>
          </w:tcPr>
          <w:p w14:paraId="6EF150DB">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default" w:ascii="Times New Roman" w:hAnsi="Times New Roman" w:eastAsia="宋体" w:cs="Times New Roman"/>
                <w:b w:val="0"/>
                <w:bCs w:val="0"/>
                <w:color w:val="auto"/>
                <w:spacing w:val="0"/>
                <w:kern w:val="2"/>
                <w:sz w:val="21"/>
                <w:szCs w:val="21"/>
                <w:highlight w:val="none"/>
                <w:vertAlign w:val="baseline"/>
                <w:lang w:val="en-US" w:eastAsia="zh-CN" w:bidi="ar-SA"/>
              </w:rPr>
              <w:t>378</w:t>
            </w:r>
          </w:p>
        </w:tc>
        <w:tc>
          <w:tcPr>
            <w:tcW w:w="751" w:type="pct"/>
            <w:shd w:val="clear" w:color="auto" w:fill="auto"/>
            <w:vAlign w:val="center"/>
          </w:tcPr>
          <w:p w14:paraId="1F843AAB">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default" w:ascii="Times New Roman" w:hAnsi="Times New Roman" w:eastAsia="宋体" w:cs="Times New Roman"/>
                <w:b w:val="0"/>
                <w:bCs w:val="0"/>
                <w:color w:val="auto"/>
                <w:spacing w:val="0"/>
                <w:kern w:val="2"/>
                <w:sz w:val="21"/>
                <w:szCs w:val="21"/>
                <w:highlight w:val="none"/>
                <w:vertAlign w:val="baseline"/>
                <w:lang w:val="en-US" w:eastAsia="zh-CN" w:bidi="ar-SA"/>
              </w:rPr>
              <w:t>5.81</w:t>
            </w:r>
          </w:p>
        </w:tc>
        <w:tc>
          <w:tcPr>
            <w:tcW w:w="638" w:type="pct"/>
            <w:vMerge w:val="continue"/>
            <w:vAlign w:val="center"/>
          </w:tcPr>
          <w:p w14:paraId="7E4FF7A6">
            <w:pPr>
              <w:spacing w:line="360" w:lineRule="exact"/>
              <w:ind w:firstLine="0" w:firstLineChars="0"/>
              <w:jc w:val="center"/>
              <w:rPr>
                <w:rFonts w:hint="default" w:ascii="Times New Roman" w:hAnsi="Times New Roman" w:cs="Times New Roman"/>
                <w:color w:val="auto"/>
                <w:sz w:val="21"/>
                <w:szCs w:val="21"/>
                <w:highlight w:val="none"/>
                <w:lang w:val="en-US" w:eastAsia="zh-CN"/>
              </w:rPr>
            </w:pPr>
          </w:p>
        </w:tc>
        <w:tc>
          <w:tcPr>
            <w:tcW w:w="613" w:type="pct"/>
            <w:vMerge w:val="continue"/>
            <w:vAlign w:val="center"/>
          </w:tcPr>
          <w:p w14:paraId="06C99338">
            <w:pPr>
              <w:spacing w:line="360" w:lineRule="exact"/>
              <w:ind w:firstLine="0" w:firstLineChars="0"/>
              <w:jc w:val="center"/>
              <w:rPr>
                <w:rFonts w:hint="default" w:ascii="Times New Roman" w:hAnsi="Times New Roman" w:cs="Times New Roman"/>
                <w:color w:val="auto"/>
                <w:sz w:val="21"/>
                <w:szCs w:val="21"/>
                <w:highlight w:val="none"/>
                <w:lang w:val="en-US" w:eastAsia="zh-CN"/>
              </w:rPr>
            </w:pPr>
          </w:p>
        </w:tc>
      </w:tr>
      <w:tr w14:paraId="07F4A1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52" w:hRule="atLeast"/>
          <w:jc w:val="center"/>
        </w:trPr>
        <w:tc>
          <w:tcPr>
            <w:tcW w:w="282" w:type="pct"/>
            <w:vMerge w:val="continue"/>
            <w:vAlign w:val="center"/>
          </w:tcPr>
          <w:p w14:paraId="5010F27E">
            <w:pPr>
              <w:spacing w:line="360" w:lineRule="exact"/>
              <w:ind w:firstLine="0" w:firstLineChars="0"/>
              <w:jc w:val="center"/>
              <w:rPr>
                <w:rFonts w:hint="default" w:ascii="Times New Roman" w:hAnsi="Times New Roman" w:cs="Times New Roman"/>
                <w:color w:val="auto"/>
                <w:sz w:val="21"/>
                <w:szCs w:val="21"/>
                <w:highlight w:val="none"/>
              </w:rPr>
            </w:pPr>
          </w:p>
        </w:tc>
        <w:tc>
          <w:tcPr>
            <w:tcW w:w="468" w:type="pct"/>
            <w:gridSpan w:val="2"/>
            <w:vMerge w:val="continue"/>
            <w:vAlign w:val="center"/>
          </w:tcPr>
          <w:p w14:paraId="26C1150B">
            <w:pPr>
              <w:spacing w:line="360" w:lineRule="exact"/>
              <w:ind w:firstLine="0" w:firstLineChars="0"/>
              <w:jc w:val="center"/>
              <w:rPr>
                <w:rFonts w:hint="default" w:ascii="Times New Roman" w:hAnsi="Times New Roman" w:cs="Times New Roman"/>
                <w:color w:val="auto"/>
                <w:sz w:val="21"/>
                <w:szCs w:val="21"/>
                <w:highlight w:val="none"/>
              </w:rPr>
            </w:pPr>
          </w:p>
        </w:tc>
        <w:tc>
          <w:tcPr>
            <w:tcW w:w="748" w:type="pct"/>
            <w:vAlign w:val="center"/>
          </w:tcPr>
          <w:p w14:paraId="5A774FAE">
            <w:pPr>
              <w:spacing w:line="36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氮氧化物</w:t>
            </w:r>
          </w:p>
        </w:tc>
        <w:tc>
          <w:tcPr>
            <w:tcW w:w="748" w:type="pct"/>
            <w:vAlign w:val="center"/>
          </w:tcPr>
          <w:p w14:paraId="578474F5">
            <w:pPr>
              <w:spacing w:line="36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749" w:type="pct"/>
            <w:shd w:val="clear" w:color="auto" w:fill="auto"/>
            <w:vAlign w:val="center"/>
          </w:tcPr>
          <w:p w14:paraId="25C19A10">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default" w:ascii="Times New Roman" w:hAnsi="Times New Roman" w:eastAsia="宋体" w:cs="Times New Roman"/>
                <w:b w:val="0"/>
                <w:bCs w:val="0"/>
                <w:color w:val="auto"/>
                <w:spacing w:val="0"/>
                <w:kern w:val="2"/>
                <w:sz w:val="21"/>
                <w:szCs w:val="21"/>
                <w:highlight w:val="none"/>
                <w:vertAlign w:val="baseline"/>
                <w:lang w:val="en-US" w:eastAsia="zh-CN" w:bidi="ar-SA"/>
              </w:rPr>
              <w:t>287</w:t>
            </w:r>
          </w:p>
        </w:tc>
        <w:tc>
          <w:tcPr>
            <w:tcW w:w="751" w:type="pct"/>
            <w:shd w:val="clear" w:color="auto" w:fill="auto"/>
            <w:vAlign w:val="center"/>
          </w:tcPr>
          <w:p w14:paraId="3663FFA5">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default" w:ascii="Times New Roman" w:hAnsi="Times New Roman" w:eastAsia="宋体" w:cs="Times New Roman"/>
                <w:b w:val="0"/>
                <w:bCs w:val="0"/>
                <w:color w:val="auto"/>
                <w:spacing w:val="0"/>
                <w:kern w:val="2"/>
                <w:sz w:val="21"/>
                <w:szCs w:val="21"/>
                <w:highlight w:val="none"/>
                <w:vertAlign w:val="baseline"/>
                <w:lang w:val="en-US" w:eastAsia="zh-CN" w:bidi="ar-SA"/>
              </w:rPr>
              <w:t>4.41</w:t>
            </w:r>
          </w:p>
        </w:tc>
        <w:tc>
          <w:tcPr>
            <w:tcW w:w="638" w:type="pct"/>
            <w:vMerge w:val="continue"/>
            <w:vAlign w:val="center"/>
          </w:tcPr>
          <w:p w14:paraId="6C20B9B4">
            <w:pPr>
              <w:spacing w:line="360" w:lineRule="exact"/>
              <w:ind w:firstLine="0" w:firstLineChars="0"/>
              <w:jc w:val="center"/>
              <w:rPr>
                <w:rFonts w:hint="default" w:ascii="Times New Roman" w:hAnsi="Times New Roman" w:cs="Times New Roman"/>
                <w:color w:val="auto"/>
                <w:sz w:val="21"/>
                <w:szCs w:val="21"/>
                <w:highlight w:val="none"/>
                <w:lang w:val="en-US" w:eastAsia="zh-CN"/>
              </w:rPr>
            </w:pPr>
          </w:p>
        </w:tc>
        <w:tc>
          <w:tcPr>
            <w:tcW w:w="613" w:type="pct"/>
            <w:vMerge w:val="continue"/>
            <w:vAlign w:val="center"/>
          </w:tcPr>
          <w:p w14:paraId="457D3608">
            <w:pPr>
              <w:spacing w:line="360" w:lineRule="exact"/>
              <w:ind w:firstLine="0" w:firstLineChars="0"/>
              <w:jc w:val="center"/>
              <w:rPr>
                <w:rFonts w:hint="default" w:ascii="Times New Roman" w:hAnsi="Times New Roman" w:cs="Times New Roman"/>
                <w:color w:val="auto"/>
                <w:sz w:val="21"/>
                <w:szCs w:val="21"/>
                <w:highlight w:val="none"/>
                <w:lang w:val="en-US" w:eastAsia="zh-CN"/>
              </w:rPr>
            </w:pPr>
          </w:p>
        </w:tc>
      </w:tr>
      <w:tr w14:paraId="41F07D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52" w:hRule="atLeast"/>
          <w:jc w:val="center"/>
        </w:trPr>
        <w:tc>
          <w:tcPr>
            <w:tcW w:w="282" w:type="pct"/>
            <w:vMerge w:val="continue"/>
            <w:vAlign w:val="center"/>
          </w:tcPr>
          <w:p w14:paraId="30007F56">
            <w:pPr>
              <w:spacing w:line="360" w:lineRule="exact"/>
              <w:ind w:firstLine="0" w:firstLineChars="0"/>
              <w:jc w:val="center"/>
              <w:rPr>
                <w:rFonts w:hint="default" w:ascii="Times New Roman" w:hAnsi="Times New Roman" w:cs="Times New Roman"/>
                <w:color w:val="auto"/>
                <w:sz w:val="21"/>
                <w:szCs w:val="21"/>
                <w:highlight w:val="none"/>
              </w:rPr>
            </w:pPr>
          </w:p>
        </w:tc>
        <w:tc>
          <w:tcPr>
            <w:tcW w:w="468" w:type="pct"/>
            <w:gridSpan w:val="2"/>
            <w:vMerge w:val="continue"/>
            <w:vAlign w:val="center"/>
          </w:tcPr>
          <w:p w14:paraId="4AD040D2">
            <w:pPr>
              <w:spacing w:line="360" w:lineRule="exact"/>
              <w:ind w:firstLine="0" w:firstLineChars="0"/>
              <w:jc w:val="center"/>
              <w:rPr>
                <w:rFonts w:hint="default" w:ascii="Times New Roman" w:hAnsi="Times New Roman" w:cs="Times New Roman"/>
                <w:color w:val="auto"/>
                <w:sz w:val="21"/>
                <w:szCs w:val="21"/>
                <w:highlight w:val="none"/>
              </w:rPr>
            </w:pPr>
          </w:p>
        </w:tc>
        <w:tc>
          <w:tcPr>
            <w:tcW w:w="748" w:type="pct"/>
            <w:vAlign w:val="center"/>
          </w:tcPr>
          <w:p w14:paraId="27A24AB3">
            <w:pPr>
              <w:spacing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pacing w:val="0"/>
                <w:kern w:val="2"/>
                <w:sz w:val="21"/>
                <w:szCs w:val="21"/>
                <w:highlight w:val="none"/>
                <w:vertAlign w:val="baseline"/>
                <w:lang w:val="en-US" w:eastAsia="zh-CN" w:bidi="ar-SA"/>
              </w:rPr>
              <w:t>汞及其化合物</w:t>
            </w:r>
          </w:p>
        </w:tc>
        <w:tc>
          <w:tcPr>
            <w:tcW w:w="748" w:type="pct"/>
            <w:vAlign w:val="center"/>
          </w:tcPr>
          <w:p w14:paraId="54637A6B">
            <w:pPr>
              <w:spacing w:line="36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749" w:type="pct"/>
            <w:shd w:val="clear" w:color="auto" w:fill="auto"/>
            <w:vAlign w:val="center"/>
          </w:tcPr>
          <w:p w14:paraId="74630E2B">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0.0166</w:t>
            </w:r>
          </w:p>
        </w:tc>
        <w:tc>
          <w:tcPr>
            <w:tcW w:w="751" w:type="pct"/>
            <w:shd w:val="clear" w:color="auto" w:fill="auto"/>
            <w:vAlign w:val="center"/>
          </w:tcPr>
          <w:p w14:paraId="0350B7E9">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
              </w:rPr>
              <w:t>2.56×10</w:t>
            </w:r>
            <w:r>
              <w:rPr>
                <w:rFonts w:hint="default" w:ascii="Times New Roman" w:hAnsi="Times New Roman" w:eastAsia="宋体" w:cs="Times New Roman"/>
                <w:color w:val="auto"/>
                <w:kern w:val="0"/>
                <w:sz w:val="21"/>
                <w:szCs w:val="21"/>
                <w:highlight w:val="none"/>
                <w:vertAlign w:val="superscript"/>
                <w:lang w:val="en-US" w:eastAsia="zh-CN" w:bidi="ar"/>
              </w:rPr>
              <w:t>-4</w:t>
            </w:r>
          </w:p>
        </w:tc>
        <w:tc>
          <w:tcPr>
            <w:tcW w:w="638" w:type="pct"/>
            <w:vMerge w:val="continue"/>
            <w:vAlign w:val="center"/>
          </w:tcPr>
          <w:p w14:paraId="13CEA73E">
            <w:pPr>
              <w:spacing w:line="360" w:lineRule="exact"/>
              <w:ind w:firstLine="0" w:firstLineChars="0"/>
              <w:jc w:val="center"/>
              <w:rPr>
                <w:rFonts w:hint="default" w:ascii="Times New Roman" w:hAnsi="Times New Roman" w:cs="Times New Roman"/>
                <w:color w:val="auto"/>
                <w:sz w:val="21"/>
                <w:szCs w:val="21"/>
                <w:highlight w:val="none"/>
                <w:lang w:val="en-US" w:eastAsia="zh-CN"/>
              </w:rPr>
            </w:pPr>
          </w:p>
        </w:tc>
        <w:tc>
          <w:tcPr>
            <w:tcW w:w="613" w:type="pct"/>
            <w:vMerge w:val="continue"/>
            <w:vAlign w:val="center"/>
          </w:tcPr>
          <w:p w14:paraId="321B0302">
            <w:pPr>
              <w:spacing w:line="360" w:lineRule="exact"/>
              <w:ind w:firstLine="0" w:firstLineChars="0"/>
              <w:jc w:val="center"/>
              <w:rPr>
                <w:rFonts w:hint="default" w:ascii="Times New Roman" w:hAnsi="Times New Roman" w:cs="Times New Roman"/>
                <w:color w:val="auto"/>
                <w:sz w:val="21"/>
                <w:szCs w:val="21"/>
                <w:highlight w:val="none"/>
                <w:lang w:val="en-US" w:eastAsia="zh-CN"/>
              </w:rPr>
            </w:pPr>
          </w:p>
        </w:tc>
      </w:tr>
    </w:tbl>
    <w:p w14:paraId="227521CF">
      <w:pPr>
        <w:pStyle w:val="3"/>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清洁生产分析</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14:paraId="4994C3F4">
      <w:pPr>
        <w:pStyle w:val="32"/>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清洁生产是指不断采取改进设计、使用清洁的能源和原料、采用先进的工艺技术与合理的综合利用等措施，从源头削减污染，提高资源利用率，减少或者避免生产、服务和产品使用过程中污染物的产生和排放，以减轻或者消除对人类健康和环境的危害。《中华人民共和国清洁生产促进法》第十八条要求</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新建、改建和</w:t>
      </w:r>
      <w:r>
        <w:rPr>
          <w:rFonts w:hint="default" w:ascii="Times New Roman" w:hAnsi="Times New Roman" w:cs="Times New Roman"/>
          <w:color w:val="auto"/>
          <w:sz w:val="24"/>
          <w:highlight w:val="none"/>
          <w:lang w:eastAsia="zh-CN"/>
        </w:rPr>
        <w:t>新建</w:t>
      </w:r>
      <w:r>
        <w:rPr>
          <w:rFonts w:hint="default" w:ascii="Times New Roman" w:hAnsi="Times New Roman" w:cs="Times New Roman"/>
          <w:color w:val="auto"/>
          <w:sz w:val="24"/>
          <w:highlight w:val="none"/>
        </w:rPr>
        <w:t>项目应当进行环境影响评价，对原料使用、资源消耗、资源综合利用以及处置等进行分析论证。优先采用资源利用率高，污染物产生量少的清洁生产技术、工艺和设备</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w:t>
      </w:r>
    </w:p>
    <w:p w14:paraId="316B03C9">
      <w:pPr>
        <w:pStyle w:val="4"/>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de-DE" w:eastAsia="zh-CN"/>
        </w:rPr>
        <w:t>项目清洁生产水平分析</w:t>
      </w:r>
    </w:p>
    <w:p w14:paraId="0A4611BC">
      <w:pPr>
        <w:pStyle w:val="68"/>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snapToGrid/>
          <w:color w:val="auto"/>
          <w:kern w:val="2"/>
          <w:sz w:val="24"/>
          <w:szCs w:val="24"/>
          <w:highlight w:val="none"/>
          <w:lang w:val="en-US" w:eastAsia="zh-CN" w:bidi="ar-SA"/>
        </w:rPr>
      </w:pPr>
      <w:r>
        <w:rPr>
          <w:rFonts w:hint="default" w:ascii="Times New Roman" w:hAnsi="Times New Roman" w:eastAsia="宋体" w:cs="Times New Roman"/>
          <w:snapToGrid/>
          <w:color w:val="auto"/>
          <w:kern w:val="2"/>
          <w:sz w:val="24"/>
          <w:szCs w:val="24"/>
          <w:highlight w:val="none"/>
          <w:lang w:val="en-US" w:eastAsia="zh-CN" w:bidi="ar-SA"/>
        </w:rPr>
        <w:t>本工程属于新建项目，属于非金属矿选矿项目。结合清洁生产相关指标，分析如下：</w:t>
      </w:r>
    </w:p>
    <w:p w14:paraId="6FC24D4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（1）生产工艺及装备指标</w:t>
      </w:r>
    </w:p>
    <w:p w14:paraId="1E5F080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本项目选矿工艺采取一次粗选、三次扫选、七次精选的浮选工艺，可满足</w:t>
      </w:r>
      <w:r>
        <w:rPr>
          <w:rFonts w:hint="default" w:ascii="Times New Roman" w:hAnsi="Times New Roman" w:cs="Times New Roman"/>
          <w:color w:val="auto"/>
          <w:szCs w:val="28"/>
          <w:highlight w:val="none"/>
          <w:lang w:val="en-US" w:eastAsia="zh-CN"/>
        </w:rPr>
        <w:t>94%的</w:t>
      </w:r>
      <w:r>
        <w:rPr>
          <w:rFonts w:hint="default" w:ascii="Times New Roman" w:hAnsi="Times New Roman" w:cs="Times New Roman"/>
          <w:color w:val="auto"/>
          <w:szCs w:val="28"/>
          <w:highlight w:val="none"/>
        </w:rPr>
        <w:t>CaF</w:t>
      </w:r>
      <w:r>
        <w:rPr>
          <w:rFonts w:hint="default" w:ascii="Times New Roman" w:hAnsi="Times New Roman" w:cs="Times New Roman"/>
          <w:color w:val="auto"/>
          <w:szCs w:val="28"/>
          <w:highlight w:val="none"/>
          <w:vertAlign w:val="subscript"/>
        </w:rPr>
        <w:t>2</w:t>
      </w:r>
      <w:r>
        <w:rPr>
          <w:rFonts w:hint="default" w:ascii="Times New Roman" w:hAnsi="Times New Roman" w:cs="Times New Roman"/>
          <w:color w:val="auto"/>
          <w:szCs w:val="28"/>
          <w:highlight w:val="none"/>
        </w:rPr>
        <w:t>品位</w:t>
      </w:r>
      <w:r>
        <w:rPr>
          <w:rFonts w:hint="default" w:ascii="Times New Roman" w:hAnsi="Times New Roman" w:cs="Times New Roman"/>
          <w:color w:val="auto"/>
          <w:szCs w:val="28"/>
          <w:highlight w:val="none"/>
          <w:lang w:val="en-US" w:eastAsia="zh-CN"/>
        </w:rPr>
        <w:t>、</w:t>
      </w:r>
      <w:r>
        <w:rPr>
          <w:rFonts w:hint="default" w:ascii="Times New Roman" w:hAnsi="Times New Roman" w:cs="Times New Roman"/>
          <w:color w:val="auto"/>
          <w:sz w:val="24"/>
          <w:szCs w:val="24"/>
          <w:highlight w:val="none"/>
          <w:lang w:eastAsia="zh-CN"/>
        </w:rPr>
        <w:t>回收率</w:t>
      </w:r>
      <w:r>
        <w:rPr>
          <w:rFonts w:hint="default" w:ascii="Times New Roman" w:hAnsi="Times New Roman" w:cs="Times New Roman"/>
          <w:color w:val="auto"/>
          <w:sz w:val="24"/>
          <w:szCs w:val="24"/>
          <w:highlight w:val="none"/>
          <w:lang w:val="en-US" w:eastAsia="zh-CN"/>
        </w:rPr>
        <w:t>80%的设定要求</w:t>
      </w:r>
      <w:r>
        <w:rPr>
          <w:rFonts w:hint="default" w:ascii="Times New Roman" w:hAnsi="Times New Roman" w:cs="Times New Roman"/>
          <w:color w:val="auto"/>
          <w:sz w:val="24"/>
          <w:szCs w:val="24"/>
          <w:highlight w:val="none"/>
          <w:lang w:eastAsia="zh-CN"/>
        </w:rPr>
        <w:t>。本项目选矿厂</w:t>
      </w:r>
      <w:r>
        <w:rPr>
          <w:rFonts w:hint="default" w:ascii="Times New Roman" w:hAnsi="Times New Roman" w:cs="Times New Roman"/>
          <w:color w:val="auto"/>
          <w:sz w:val="24"/>
          <w:szCs w:val="24"/>
          <w:highlight w:val="none"/>
        </w:rPr>
        <w:t>主要生产设备大部分为国产定型设备，</w:t>
      </w:r>
      <w:r>
        <w:rPr>
          <w:rFonts w:hint="default" w:ascii="Times New Roman" w:hAnsi="Times New Roman" w:cs="Times New Roman"/>
          <w:color w:val="auto"/>
          <w:sz w:val="24"/>
          <w:szCs w:val="24"/>
          <w:highlight w:val="none"/>
          <w:lang w:eastAsia="zh-CN"/>
        </w:rPr>
        <w:t>以</w:t>
      </w:r>
      <w:r>
        <w:rPr>
          <w:rFonts w:hint="default" w:ascii="Times New Roman" w:hAnsi="Times New Roman" w:cs="Times New Roman"/>
          <w:color w:val="auto"/>
          <w:sz w:val="24"/>
          <w:szCs w:val="24"/>
          <w:highlight w:val="none"/>
        </w:rPr>
        <w:t>及</w:t>
      </w:r>
      <w:r>
        <w:rPr>
          <w:rFonts w:hint="default" w:ascii="Times New Roman" w:hAnsi="Times New Roman" w:cs="Times New Roman"/>
          <w:color w:val="auto"/>
          <w:sz w:val="24"/>
          <w:szCs w:val="24"/>
          <w:highlight w:val="none"/>
          <w:lang w:eastAsia="zh-CN"/>
        </w:rPr>
        <w:t>选矿厂选矿</w:t>
      </w:r>
      <w:r>
        <w:rPr>
          <w:rFonts w:hint="default" w:ascii="Times New Roman" w:hAnsi="Times New Roman" w:cs="Times New Roman"/>
          <w:color w:val="auto"/>
          <w:sz w:val="24"/>
          <w:szCs w:val="24"/>
          <w:highlight w:val="none"/>
        </w:rPr>
        <w:t>通用设备，主要生产设备无国家明令淘汰的项目。</w:t>
      </w:r>
      <w:r>
        <w:rPr>
          <w:rFonts w:hint="default" w:ascii="Times New Roman" w:hAnsi="Times New Roman" w:cs="Times New Roman"/>
          <w:color w:val="auto"/>
          <w:sz w:val="24"/>
          <w:szCs w:val="24"/>
          <w:highlight w:val="none"/>
          <w:lang w:eastAsia="zh-CN"/>
        </w:rPr>
        <w:t>选矿厂</w:t>
      </w:r>
      <w:r>
        <w:rPr>
          <w:rFonts w:hint="default" w:ascii="Times New Roman" w:hAnsi="Times New Roman" w:cs="Times New Roman"/>
          <w:color w:val="auto"/>
          <w:sz w:val="24"/>
          <w:szCs w:val="24"/>
          <w:highlight w:val="none"/>
        </w:rPr>
        <w:t>装备水平</w:t>
      </w:r>
      <w:r>
        <w:rPr>
          <w:rFonts w:hint="default" w:ascii="Times New Roman" w:hAnsi="Times New Roman" w:cs="Times New Roman"/>
          <w:color w:val="auto"/>
          <w:sz w:val="24"/>
          <w:szCs w:val="24"/>
          <w:highlight w:val="none"/>
          <w:lang w:eastAsia="zh-CN"/>
        </w:rPr>
        <w:t>为国内同行业水平</w:t>
      </w:r>
      <w:r>
        <w:rPr>
          <w:rFonts w:hint="default" w:ascii="Times New Roman" w:hAnsi="Times New Roman" w:cs="Times New Roman"/>
          <w:color w:val="auto"/>
          <w:sz w:val="24"/>
          <w:szCs w:val="24"/>
          <w:highlight w:val="none"/>
        </w:rPr>
        <w:t>，均达到国内清洁生产</w:t>
      </w:r>
      <w:r>
        <w:rPr>
          <w:rFonts w:hint="default" w:ascii="Times New Roman" w:hAnsi="Times New Roman" w:cs="Times New Roman"/>
          <w:color w:val="auto"/>
          <w:sz w:val="24"/>
          <w:szCs w:val="24"/>
          <w:highlight w:val="none"/>
          <w:lang w:eastAsia="zh-CN"/>
        </w:rPr>
        <w:t>先进</w:t>
      </w:r>
      <w:r>
        <w:rPr>
          <w:rFonts w:hint="default" w:ascii="Times New Roman" w:hAnsi="Times New Roman" w:cs="Times New Roman"/>
          <w:color w:val="auto"/>
          <w:sz w:val="24"/>
          <w:szCs w:val="24"/>
          <w:highlight w:val="none"/>
        </w:rPr>
        <w:t>水平</w:t>
      </w:r>
      <w:r>
        <w:rPr>
          <w:rFonts w:hint="default" w:ascii="Times New Roman" w:hAnsi="Times New Roman" w:cs="Times New Roman"/>
          <w:color w:val="auto"/>
          <w:sz w:val="24"/>
          <w:szCs w:val="24"/>
          <w:highlight w:val="none"/>
          <w:lang w:eastAsia="zh-CN"/>
        </w:rPr>
        <w:t>，</w:t>
      </w:r>
      <w:r>
        <w:rPr>
          <w:rFonts w:hint="default" w:ascii="Times New Roman" w:hAnsi="Times New Roman" w:eastAsia="Arial" w:cs="Times New Roman"/>
          <w:i w:val="0"/>
          <w:iCs w:val="0"/>
          <w:caps w:val="0"/>
          <w:color w:val="auto"/>
          <w:spacing w:val="0"/>
          <w:sz w:val="24"/>
          <w:szCs w:val="24"/>
          <w:highlight w:val="none"/>
          <w:shd w:val="clear" w:fill="FFFFFF"/>
        </w:rPr>
        <w:t>实现选矿工艺机械化、自动化、智能化</w:t>
      </w:r>
      <w:r>
        <w:rPr>
          <w:rFonts w:hint="default" w:ascii="Times New Roman" w:hAnsi="Times New Roman" w:eastAsia="宋体" w:cs="Times New Roman"/>
          <w:i w:val="0"/>
          <w:iCs w:val="0"/>
          <w:caps w:val="0"/>
          <w:color w:val="auto"/>
          <w:spacing w:val="0"/>
          <w:sz w:val="24"/>
          <w:szCs w:val="24"/>
          <w:highlight w:val="none"/>
          <w:shd w:val="clear" w:fill="FFFFFF"/>
          <w:lang w:eastAsia="zh-CN"/>
        </w:rPr>
        <w:t>，并</w:t>
      </w:r>
      <w:r>
        <w:rPr>
          <w:rFonts w:hint="default" w:ascii="Times New Roman" w:hAnsi="Times New Roman" w:eastAsia="Arial" w:cs="Times New Roman"/>
          <w:i w:val="0"/>
          <w:iCs w:val="0"/>
          <w:caps w:val="0"/>
          <w:color w:val="auto"/>
          <w:spacing w:val="0"/>
          <w:sz w:val="24"/>
          <w:szCs w:val="24"/>
          <w:highlight w:val="none"/>
          <w:shd w:val="clear" w:fill="FFFFFF"/>
        </w:rPr>
        <w:t>建立安全监测监控系统，保障安全生产</w:t>
      </w:r>
      <w:r>
        <w:rPr>
          <w:rFonts w:hint="default" w:ascii="Times New Roman" w:hAnsi="Times New Roman" w:cs="Times New Roman"/>
          <w:color w:val="auto"/>
          <w:sz w:val="24"/>
          <w:szCs w:val="24"/>
          <w:highlight w:val="none"/>
          <w:lang w:eastAsia="zh-CN"/>
        </w:rPr>
        <w:t>。</w:t>
      </w:r>
    </w:p>
    <w:p w14:paraId="140E4C2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企业严控粉尘无组织排放，优先采用不产生粉尘无组织排放的工艺和设备，磨矿和选矿采取湿式磨选。对存在粉尘无组织排放的工艺和设备配套采取防尘措施。</w:t>
      </w:r>
    </w:p>
    <w:p w14:paraId="660674D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建设单位积极建设清洁生产，在选购设备时，采用国际先进的、效率较高的浮选设备，各产尘点配备袋式除尘器，产噪声设备采取减震隔声措施，使清洁生产达到国内先进水平。</w:t>
      </w:r>
    </w:p>
    <w:p w14:paraId="27CF974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（2）资源利用指标</w:t>
      </w:r>
    </w:p>
    <w:p w14:paraId="1D45AD9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 1 \* GB3 \* MERGEFORMAT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highlight w:val="none"/>
        </w:rPr>
        <w:t>①</w:t>
      </w:r>
      <w:r>
        <w:rPr>
          <w:rFonts w:hint="default" w:ascii="Times New Roman" w:hAnsi="Times New Roman" w:cs="Times New Roman"/>
          <w:color w:val="auto"/>
          <w:sz w:val="24"/>
          <w:szCs w:val="24"/>
          <w:highlight w:val="none"/>
        </w:rPr>
        <w:fldChar w:fldCharType="end"/>
      </w:r>
      <w:r>
        <w:rPr>
          <w:rFonts w:hint="default" w:ascii="Times New Roman" w:hAnsi="Times New Roman" w:cs="Times New Roman"/>
          <w:color w:val="auto"/>
          <w:sz w:val="24"/>
          <w:szCs w:val="24"/>
          <w:highlight w:val="none"/>
        </w:rPr>
        <w:t>回采率</w:t>
      </w:r>
    </w:p>
    <w:p w14:paraId="23AB4F6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选矿厂设计规模为年处理原矿石</w:t>
      </w:r>
      <w:r>
        <w:rPr>
          <w:rFonts w:hint="default" w:ascii="Times New Roman" w:hAnsi="Times New Roman" w:cs="Times New Roman"/>
          <w:color w:val="auto"/>
          <w:sz w:val="24"/>
          <w:szCs w:val="24"/>
          <w:highlight w:val="none"/>
          <w:lang w:val="en-US" w:eastAsia="zh-CN"/>
        </w:rPr>
        <w:t>60</w:t>
      </w:r>
      <w:r>
        <w:rPr>
          <w:rFonts w:hint="default" w:ascii="Times New Roman" w:hAnsi="Times New Roman" w:cs="Times New Roman"/>
          <w:color w:val="auto"/>
          <w:sz w:val="24"/>
          <w:szCs w:val="24"/>
          <w:highlight w:val="none"/>
        </w:rPr>
        <w:t>万t</w:t>
      </w:r>
      <w:r>
        <w:rPr>
          <w:rFonts w:hint="default" w:ascii="Times New Roman" w:hAnsi="Times New Roman" w:cs="Times New Roman"/>
          <w:color w:val="auto"/>
          <w:sz w:val="24"/>
          <w:szCs w:val="24"/>
          <w:highlight w:val="none"/>
          <w:lang w:eastAsia="zh-CN"/>
        </w:rPr>
        <w:t>，属于较难选矿石，采取浮选工艺选矿</w:t>
      </w:r>
      <w:r>
        <w:rPr>
          <w:rFonts w:hint="default" w:ascii="Times New Roman" w:hAnsi="Times New Roman" w:cs="Times New Roman"/>
          <w:color w:val="auto"/>
          <w:sz w:val="24"/>
          <w:szCs w:val="24"/>
          <w:highlight w:val="none"/>
        </w:rPr>
        <w:t>，回</w:t>
      </w:r>
      <w:r>
        <w:rPr>
          <w:rFonts w:hint="default" w:ascii="Times New Roman" w:hAnsi="Times New Roman" w:cs="Times New Roman"/>
          <w:color w:val="auto"/>
          <w:sz w:val="24"/>
          <w:szCs w:val="24"/>
          <w:highlight w:val="none"/>
          <w:lang w:eastAsia="zh-CN"/>
        </w:rPr>
        <w:t>收</w:t>
      </w:r>
      <w:r>
        <w:rPr>
          <w:rFonts w:hint="default" w:ascii="Times New Roman" w:hAnsi="Times New Roman" w:cs="Times New Roman"/>
          <w:color w:val="auto"/>
          <w:sz w:val="24"/>
          <w:szCs w:val="24"/>
          <w:highlight w:val="none"/>
        </w:rPr>
        <w:t>率</w:t>
      </w:r>
      <w:r>
        <w:rPr>
          <w:rFonts w:hint="default" w:ascii="Times New Roman" w:hAnsi="Times New Roman" w:cs="Times New Roman"/>
          <w:color w:val="auto"/>
          <w:sz w:val="24"/>
          <w:szCs w:val="24"/>
          <w:highlight w:val="none"/>
          <w:lang w:val="en-US" w:eastAsia="zh-CN"/>
        </w:rPr>
        <w:t>83.32%，大于</w:t>
      </w:r>
      <w:r>
        <w:rPr>
          <w:rFonts w:hint="default" w:ascii="Times New Roman" w:hAnsi="Times New Roman" w:eastAsia="宋体" w:cs="Times New Roman"/>
          <w:snapToGrid/>
          <w:color w:val="auto"/>
          <w:kern w:val="2"/>
          <w:sz w:val="24"/>
          <w:szCs w:val="24"/>
          <w:highlight w:val="none"/>
          <w:lang w:val="en-US" w:eastAsia="zh-CN" w:bidi="ar-SA"/>
        </w:rPr>
        <w:t>行业规范要求的75%</w:t>
      </w:r>
      <w:r>
        <w:rPr>
          <w:rFonts w:hint="default" w:ascii="Times New Roman" w:hAnsi="Times New Roman" w:cs="Times New Roman"/>
          <w:color w:val="auto"/>
          <w:sz w:val="24"/>
          <w:szCs w:val="24"/>
          <w:highlight w:val="none"/>
        </w:rPr>
        <w:t>，清洁生产水平较高，均达到国内清洁生产先进水平，资源利用率高。</w:t>
      </w:r>
    </w:p>
    <w:p w14:paraId="3504658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fldChar w:fldCharType="begin"/>
      </w:r>
      <w:r>
        <w:rPr>
          <w:rFonts w:hint="default" w:ascii="Times New Roman" w:hAnsi="Times New Roman" w:cs="Times New Roman"/>
          <w:color w:val="auto"/>
          <w:sz w:val="24"/>
          <w:szCs w:val="24"/>
          <w:highlight w:val="none"/>
          <w:lang w:val="en-US" w:eastAsia="zh-CN"/>
        </w:rPr>
        <w:instrText xml:space="preserve"> = 2 \* GB3 \* MERGEFORMAT </w:instrText>
      </w:r>
      <w:r>
        <w:rPr>
          <w:rFonts w:hint="default" w:ascii="Times New Roman" w:hAnsi="Times New Roman" w:cs="Times New Roman"/>
          <w:color w:val="auto"/>
          <w:sz w:val="24"/>
          <w:szCs w:val="24"/>
          <w:highlight w:val="none"/>
          <w:lang w:val="en-US" w:eastAsia="zh-CN"/>
        </w:rPr>
        <w:fldChar w:fldCharType="separate"/>
      </w:r>
      <w:r>
        <w:rPr>
          <w:rFonts w:hint="default" w:ascii="Times New Roman" w:hAnsi="Times New Roman" w:cs="Times New Roman"/>
          <w:color w:val="auto"/>
          <w:highlight w:val="none"/>
        </w:rPr>
        <w:t>②</w:t>
      </w:r>
      <w:r>
        <w:rPr>
          <w:rFonts w:hint="default" w:ascii="Times New Roman" w:hAnsi="Times New Roman" w:cs="Times New Roman"/>
          <w:color w:val="auto"/>
          <w:sz w:val="24"/>
          <w:szCs w:val="24"/>
          <w:highlight w:val="none"/>
          <w:lang w:val="en-US" w:eastAsia="zh-CN"/>
        </w:rPr>
        <w:fldChar w:fldCharType="end"/>
      </w:r>
      <w:r>
        <w:rPr>
          <w:rFonts w:hint="default" w:ascii="Times New Roman" w:hAnsi="Times New Roman" w:cs="Times New Roman"/>
          <w:color w:val="auto"/>
          <w:sz w:val="24"/>
          <w:szCs w:val="24"/>
          <w:highlight w:val="none"/>
        </w:rPr>
        <w:t>耗电水平</w:t>
      </w:r>
    </w:p>
    <w:p w14:paraId="7D4594C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本项目选矿工序综合电耗折合原矿为</w:t>
      </w:r>
      <w:r>
        <w:rPr>
          <w:rFonts w:hint="default" w:ascii="Times New Roman" w:hAnsi="Times New Roman" w:cs="Times New Roman"/>
          <w:color w:val="auto"/>
          <w:sz w:val="24"/>
          <w:szCs w:val="24"/>
          <w:highlight w:val="none"/>
          <w:lang w:val="en-US" w:eastAsia="zh-CN"/>
        </w:rPr>
        <w:t>44.49</w:t>
      </w:r>
      <w:r>
        <w:rPr>
          <w:rFonts w:hint="default" w:ascii="Times New Roman" w:hAnsi="Times New Roman" w:cs="Times New Roman"/>
          <w:color w:val="auto"/>
          <w:sz w:val="24"/>
          <w:szCs w:val="24"/>
          <w:highlight w:val="none"/>
          <w:lang w:eastAsia="zh-CN"/>
        </w:rPr>
        <w:t>kW·h/t原矿，折合精矿为</w:t>
      </w:r>
      <w:r>
        <w:rPr>
          <w:rFonts w:hint="default" w:ascii="Times New Roman" w:hAnsi="Times New Roman" w:cs="Times New Roman"/>
          <w:color w:val="auto"/>
          <w:sz w:val="24"/>
          <w:szCs w:val="24"/>
          <w:highlight w:val="none"/>
          <w:lang w:val="en-US" w:eastAsia="zh-CN"/>
        </w:rPr>
        <w:t>53.40</w:t>
      </w:r>
      <w:r>
        <w:rPr>
          <w:rFonts w:hint="default" w:ascii="Times New Roman" w:hAnsi="Times New Roman" w:cs="Times New Roman"/>
          <w:color w:val="auto"/>
          <w:sz w:val="24"/>
          <w:szCs w:val="24"/>
          <w:highlight w:val="none"/>
          <w:lang w:eastAsia="zh-CN"/>
        </w:rPr>
        <w:t>kW·h/t精矿，低于</w:t>
      </w:r>
      <w:r>
        <w:rPr>
          <w:rFonts w:hint="default" w:ascii="Times New Roman" w:hAnsi="Times New Roman" w:eastAsia="宋体" w:cs="Times New Roman"/>
          <w:snapToGrid/>
          <w:color w:val="auto"/>
          <w:kern w:val="2"/>
          <w:sz w:val="24"/>
          <w:szCs w:val="24"/>
          <w:highlight w:val="none"/>
          <w:lang w:val="en-US" w:eastAsia="zh-CN" w:bidi="ar-SA"/>
        </w:rPr>
        <w:t>行业规范要求的150k</w:t>
      </w:r>
      <w:r>
        <w:rPr>
          <w:rFonts w:hint="default" w:ascii="Times New Roman" w:hAnsi="Times New Roman" w:cs="Times New Roman"/>
          <w:color w:val="auto"/>
          <w:sz w:val="24"/>
          <w:szCs w:val="24"/>
          <w:highlight w:val="none"/>
          <w:lang w:eastAsia="zh-CN"/>
        </w:rPr>
        <w:t>W·h/t精矿，可</w:t>
      </w:r>
      <w:r>
        <w:rPr>
          <w:rFonts w:hint="default" w:ascii="Times New Roman" w:hAnsi="Times New Roman" w:cs="Times New Roman"/>
          <w:color w:val="auto"/>
          <w:sz w:val="24"/>
          <w:szCs w:val="24"/>
          <w:highlight w:val="none"/>
        </w:rPr>
        <w:t>达到国内清洁生产</w:t>
      </w:r>
      <w:r>
        <w:rPr>
          <w:rFonts w:hint="default" w:ascii="Times New Roman" w:hAnsi="Times New Roman" w:cs="Times New Roman"/>
          <w:color w:val="auto"/>
          <w:sz w:val="24"/>
          <w:szCs w:val="24"/>
          <w:highlight w:val="none"/>
          <w:lang w:val="en-US" w:eastAsia="zh-CN"/>
        </w:rPr>
        <w:t>先进</w:t>
      </w:r>
      <w:r>
        <w:rPr>
          <w:rFonts w:hint="default" w:ascii="Times New Roman" w:hAnsi="Times New Roman" w:cs="Times New Roman"/>
          <w:color w:val="auto"/>
          <w:sz w:val="24"/>
          <w:szCs w:val="24"/>
          <w:highlight w:val="none"/>
        </w:rPr>
        <w:t>水平。</w:t>
      </w:r>
    </w:p>
    <w:p w14:paraId="4E65475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（3）废物回收利用指标</w:t>
      </w:r>
    </w:p>
    <w:p w14:paraId="3506205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本项目在废物回收利用方面遵循“减量化、资源化、无害化”原则，各类固体废物均得到妥善处置，并最大限度实现资源回收利用。</w:t>
      </w:r>
    </w:p>
    <w:p w14:paraId="7E2E84A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①选矿废水：选矿废水全部经尾矿库澄清后通过回水系统返回选矿生产工序，循环利用率达100%，实现废水“闭路循环”，有效节约水资源。</w:t>
      </w:r>
    </w:p>
    <w:p w14:paraId="4A81814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②尾矿：选矿产生的尾矿（干基量46.62万t/a）属于第Ⅰ类一般工业固体废物，全部排入按规范设计的新建尾矿库进行湿式堆存。尾矿库采取全库区HDPE土工膜防渗及排洪、回水系统，符合环保要求。</w:t>
      </w:r>
    </w:p>
    <w:p w14:paraId="0BDD68F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③除尘灰：破碎、筛分工序袋式除尘器收集的除尘灰产生量约</w:t>
      </w:r>
      <w:r>
        <w:rPr>
          <w:rFonts w:hint="eastAsia" w:ascii="Times New Roman" w:hAnsi="Times New Roman" w:cs="Times New Roman"/>
          <w:color w:val="auto"/>
          <w:sz w:val="24"/>
          <w:szCs w:val="24"/>
          <w:highlight w:val="none"/>
          <w:lang w:val="en-US" w:eastAsia="zh-CN"/>
        </w:rPr>
        <w:t>25.84</w:t>
      </w:r>
      <w:r>
        <w:rPr>
          <w:rFonts w:hint="default" w:ascii="Times New Roman" w:hAnsi="Times New Roman" w:cs="Times New Roman"/>
          <w:color w:val="auto"/>
          <w:sz w:val="24"/>
          <w:szCs w:val="24"/>
          <w:highlight w:val="none"/>
        </w:rPr>
        <w:t>t/a，全部回用于选矿生产，实现资源回收；燃煤锅炉袋式除尘器收集的除尘灰（约132.85t/a）属于一般工业固体废物，外售</w:t>
      </w:r>
      <w:r>
        <w:rPr>
          <w:rFonts w:hint="eastAsia" w:ascii="Times New Roman" w:hAnsi="Times New Roman" w:cs="Times New Roman"/>
          <w:color w:val="auto"/>
          <w:sz w:val="24"/>
          <w:szCs w:val="24"/>
          <w:highlight w:val="none"/>
          <w:lang w:val="en-US" w:eastAsia="zh-CN"/>
        </w:rPr>
        <w:t>至</w:t>
      </w:r>
      <w:r>
        <w:rPr>
          <w:rFonts w:hint="default" w:ascii="Times New Roman" w:hAnsi="Times New Roman" w:cs="Times New Roman"/>
          <w:color w:val="auto"/>
          <w:sz w:val="24"/>
          <w:szCs w:val="24"/>
          <w:highlight w:val="none"/>
        </w:rPr>
        <w:t>建材企业（水泥厂、制砖厂）作为原料综合利用，不外排。</w:t>
      </w:r>
    </w:p>
    <w:p w14:paraId="1AFFFE9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④废包装物：原辅料（油酸、水玻璃等）产生的废包装桶约0.6t/a，由生产厂家直接回收。</w:t>
      </w:r>
    </w:p>
    <w:p w14:paraId="2757BAD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⑤废离子交换树脂：锅炉软化水系统产生的废离子交换树脂约0.2t/3a，不属于危险废物，由厂家更换时回收处置。</w:t>
      </w:r>
    </w:p>
    <w:p w14:paraId="42BDEC0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⑥沉淀池底泥：选矿循环水池及尾矿回水池底泥产生量约120t/a，主要成分为矿泥，定期清理后返回选矿生产工序，实现物料再利用。</w:t>
      </w:r>
    </w:p>
    <w:p w14:paraId="7BF1767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⑦废布袋：袋式除尘器更换产生的废布袋约0.5t/a，属于一般工业固体废物，集中收集后定期拉运至就近的一般工业固体废物填埋场进行处置。</w:t>
      </w:r>
    </w:p>
    <w:p w14:paraId="3DB658B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⑧脱硫石膏：燃煤锅炉水膜脱硫除尘设施产生的脱硫石膏约50t/a（含水率约10%），属于一般工业固体废物，定期外售给建材企业或水泥厂作为水泥缓凝剂或石膏建材原料，实现综合利用。</w:t>
      </w:r>
    </w:p>
    <w:p w14:paraId="11D5CFB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⑨危险废物：设备维护产生的废机油及废油桶，分类暂存于规范建设的危废贮存点，定期委托有资质的危险废物处置单位进行安全处置，转移过程严格执行危险废物转移联单制度。</w:t>
      </w:r>
    </w:p>
    <w:p w14:paraId="6D1114B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⑩生活垃圾：产生量约21.6t/a，集中收集后定期清运至雅满苏镇垃圾转运站，由环卫部门统一处置。</w:t>
      </w:r>
    </w:p>
    <w:p w14:paraId="2A0EF3B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本</w:t>
      </w:r>
      <w:r>
        <w:rPr>
          <w:rFonts w:hint="default" w:ascii="Times New Roman" w:hAnsi="Times New Roman" w:cs="Times New Roman"/>
          <w:color w:val="auto"/>
          <w:sz w:val="24"/>
          <w:szCs w:val="24"/>
          <w:highlight w:val="none"/>
        </w:rPr>
        <w:t>项目</w:t>
      </w:r>
      <w:r>
        <w:rPr>
          <w:rFonts w:hint="default" w:ascii="Times New Roman" w:hAnsi="Times New Roman" w:cs="Times New Roman"/>
          <w:color w:val="auto"/>
          <w:sz w:val="24"/>
          <w:szCs w:val="24"/>
          <w:highlight w:val="none"/>
          <w:lang w:eastAsia="zh-CN"/>
        </w:rPr>
        <w:t>选矿废</w:t>
      </w:r>
      <w:r>
        <w:rPr>
          <w:rFonts w:hint="default" w:ascii="Times New Roman" w:hAnsi="Times New Roman" w:cs="Times New Roman"/>
          <w:color w:val="auto"/>
          <w:sz w:val="24"/>
          <w:szCs w:val="24"/>
          <w:highlight w:val="none"/>
        </w:rPr>
        <w:t>水</w:t>
      </w:r>
      <w:r>
        <w:rPr>
          <w:rFonts w:hint="default" w:ascii="Times New Roman" w:hAnsi="Times New Roman" w:cs="Times New Roman"/>
          <w:color w:val="auto"/>
          <w:sz w:val="24"/>
          <w:szCs w:val="24"/>
          <w:highlight w:val="none"/>
          <w:lang w:eastAsia="zh-CN"/>
        </w:rPr>
        <w:t>全部循环利用</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highlight w:val="none"/>
          <w:lang w:bidi="ar"/>
        </w:rPr>
        <w:t>生活污水</w:t>
      </w:r>
      <w:r>
        <w:rPr>
          <w:rFonts w:hint="default" w:ascii="Times New Roman" w:hAnsi="Times New Roman" w:cs="Times New Roman"/>
          <w:color w:val="auto"/>
          <w:sz w:val="24"/>
          <w:highlight w:val="none"/>
          <w:lang w:eastAsia="zh-CN" w:bidi="ar"/>
        </w:rPr>
        <w:t>排入化粪池定期清运至哈密市污水处理厂。</w:t>
      </w:r>
      <w:r>
        <w:rPr>
          <w:rFonts w:hint="default" w:ascii="Times New Roman" w:hAnsi="Times New Roman" w:cs="Times New Roman"/>
          <w:color w:val="auto"/>
          <w:sz w:val="24"/>
          <w:szCs w:val="24"/>
          <w:highlight w:val="none"/>
        </w:rPr>
        <w:t>综上，本项目各类废物均得到合理处置或资源化利用，废物回收利用指标达到国内清洁生产先进水平。</w:t>
      </w:r>
    </w:p>
    <w:p w14:paraId="4D129DC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（4）环境管理要求指标</w:t>
      </w:r>
    </w:p>
    <w:p w14:paraId="1BC47CF5">
      <w:pPr>
        <w:pStyle w:val="32"/>
        <w:keepNext w:val="0"/>
        <w:keepLines w:val="0"/>
        <w:pageBreakBefore w:val="0"/>
        <w:widowControl w:val="0"/>
        <w:kinsoku/>
        <w:wordWrap/>
        <w:overflowPunct w:val="0"/>
        <w:topLinePunct/>
        <w:autoSpaceDE/>
        <w:autoSpaceDN/>
        <w:bidi w:val="0"/>
        <w:adjustRightInd/>
        <w:snapToGrid/>
        <w:spacing w:after="0"/>
        <w:ind w:left="0" w:leftChars="0" w:firstLine="48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本项目在采取有效污染防治措施后，污染物排放符合国家和地方</w:t>
      </w:r>
      <w:r>
        <w:rPr>
          <w:rFonts w:hint="default" w:ascii="Times New Roman" w:hAnsi="Times New Roman" w:cs="Times New Roman"/>
          <w:color w:val="auto"/>
          <w:sz w:val="24"/>
          <w:szCs w:val="24"/>
          <w:highlight w:val="none"/>
          <w:lang w:val="en-US" w:eastAsia="zh-CN"/>
        </w:rPr>
        <w:t>有关要求及标准的规定。</w:t>
      </w:r>
    </w:p>
    <w:p w14:paraId="5610AE42">
      <w:pPr>
        <w:pStyle w:val="32"/>
        <w:keepNext w:val="0"/>
        <w:keepLines w:val="0"/>
        <w:pageBreakBefore w:val="0"/>
        <w:widowControl w:val="0"/>
        <w:kinsoku/>
        <w:wordWrap/>
        <w:overflowPunct w:val="0"/>
        <w:topLinePunct/>
        <w:autoSpaceDE/>
        <w:autoSpaceDN/>
        <w:bidi w:val="0"/>
        <w:adjustRightInd/>
        <w:snapToGrid/>
        <w:spacing w:after="0"/>
        <w:ind w:left="0" w:leftChars="0" w:firstLine="48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szCs w:val="24"/>
          <w:highlight w:val="none"/>
          <w:lang w:eastAsia="zh-CN"/>
        </w:rPr>
        <w:t>选矿厂</w:t>
      </w:r>
      <w:r>
        <w:rPr>
          <w:rFonts w:hint="default" w:ascii="Times New Roman" w:hAnsi="Times New Roman" w:cs="Times New Roman"/>
          <w:color w:val="auto"/>
          <w:sz w:val="24"/>
          <w:szCs w:val="24"/>
          <w:highlight w:val="none"/>
          <w:lang w:val="en-US" w:eastAsia="zh-CN"/>
        </w:rPr>
        <w:t>应</w:t>
      </w:r>
      <w:r>
        <w:rPr>
          <w:rFonts w:hint="default" w:ascii="Times New Roman" w:hAnsi="Times New Roman" w:cs="Times New Roman"/>
          <w:color w:val="auto"/>
          <w:sz w:val="24"/>
          <w:szCs w:val="24"/>
          <w:highlight w:val="none"/>
        </w:rPr>
        <w:t>建立完整的环境管理体系，</w:t>
      </w:r>
      <w:r>
        <w:rPr>
          <w:rFonts w:hint="default" w:ascii="Times New Roman" w:hAnsi="Times New Roman" w:cs="Times New Roman"/>
          <w:color w:val="auto"/>
          <w:sz w:val="24"/>
          <w:szCs w:val="24"/>
          <w:highlight w:val="none"/>
          <w:lang w:eastAsia="zh-CN"/>
        </w:rPr>
        <w:t>建立</w:t>
      </w:r>
      <w:r>
        <w:rPr>
          <w:rFonts w:hint="default" w:ascii="Times New Roman" w:hAnsi="Times New Roman" w:cs="Times New Roman"/>
          <w:color w:val="auto"/>
          <w:sz w:val="24"/>
          <w:szCs w:val="24"/>
          <w:highlight w:val="none"/>
        </w:rPr>
        <w:t>以</w:t>
      </w:r>
      <w:r>
        <w:rPr>
          <w:rFonts w:hint="default" w:ascii="Times New Roman" w:hAnsi="Times New Roman" w:cs="Times New Roman"/>
          <w:color w:val="auto"/>
          <w:sz w:val="24"/>
          <w:szCs w:val="24"/>
          <w:highlight w:val="none"/>
          <w:lang w:eastAsia="zh-CN"/>
        </w:rPr>
        <w:t>厂</w:t>
      </w:r>
      <w:r>
        <w:rPr>
          <w:rFonts w:hint="default" w:ascii="Times New Roman" w:hAnsi="Times New Roman" w:cs="Times New Roman"/>
          <w:color w:val="auto"/>
          <w:sz w:val="24"/>
          <w:szCs w:val="24"/>
          <w:highlight w:val="none"/>
        </w:rPr>
        <w:t>长为负责人的整套环境管理体系，设置</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名兼职环境管理人员，随时监督</w:t>
      </w:r>
      <w:r>
        <w:rPr>
          <w:rFonts w:hint="default" w:ascii="Times New Roman" w:hAnsi="Times New Roman" w:cs="Times New Roman"/>
          <w:color w:val="auto"/>
          <w:sz w:val="24"/>
          <w:szCs w:val="24"/>
          <w:highlight w:val="none"/>
          <w:lang w:eastAsia="zh-CN"/>
        </w:rPr>
        <w:t>厂</w:t>
      </w:r>
      <w:r>
        <w:rPr>
          <w:rFonts w:hint="default" w:ascii="Times New Roman" w:hAnsi="Times New Roman" w:cs="Times New Roman"/>
          <w:color w:val="auto"/>
          <w:sz w:val="24"/>
          <w:szCs w:val="24"/>
          <w:highlight w:val="none"/>
        </w:rPr>
        <w:t>区环境保护措施落实情况，随时向</w:t>
      </w:r>
      <w:r>
        <w:rPr>
          <w:rFonts w:hint="default" w:ascii="Times New Roman" w:hAnsi="Times New Roman" w:cs="Times New Roman"/>
          <w:color w:val="auto"/>
          <w:sz w:val="24"/>
          <w:szCs w:val="24"/>
          <w:highlight w:val="none"/>
          <w:lang w:eastAsia="zh-CN"/>
        </w:rPr>
        <w:t>厂</w:t>
      </w:r>
      <w:r>
        <w:rPr>
          <w:rFonts w:hint="default" w:ascii="Times New Roman" w:hAnsi="Times New Roman" w:cs="Times New Roman"/>
          <w:color w:val="auto"/>
          <w:sz w:val="24"/>
          <w:szCs w:val="24"/>
          <w:highlight w:val="none"/>
        </w:rPr>
        <w:t>长</w:t>
      </w:r>
      <w:r>
        <w:rPr>
          <w:rFonts w:hint="default" w:ascii="Times New Roman" w:hAnsi="Times New Roman" w:cs="Times New Roman"/>
          <w:color w:val="auto"/>
          <w:sz w:val="24"/>
          <w:szCs w:val="24"/>
          <w:highlight w:val="none"/>
          <w:lang w:eastAsia="zh-CN"/>
        </w:rPr>
        <w:t>汇</w:t>
      </w:r>
      <w:r>
        <w:rPr>
          <w:rFonts w:hint="default" w:ascii="Times New Roman" w:hAnsi="Times New Roman" w:cs="Times New Roman"/>
          <w:color w:val="auto"/>
          <w:sz w:val="24"/>
          <w:szCs w:val="24"/>
          <w:highlight w:val="none"/>
        </w:rPr>
        <w:t>报环保工作情况，保证</w:t>
      </w:r>
      <w:r>
        <w:rPr>
          <w:rFonts w:hint="default" w:ascii="Times New Roman" w:hAnsi="Times New Roman" w:cs="Times New Roman"/>
          <w:color w:val="auto"/>
          <w:sz w:val="24"/>
          <w:szCs w:val="24"/>
          <w:highlight w:val="none"/>
          <w:lang w:eastAsia="zh-CN"/>
        </w:rPr>
        <w:t>厂</w:t>
      </w:r>
      <w:r>
        <w:rPr>
          <w:rFonts w:hint="default" w:ascii="Times New Roman" w:hAnsi="Times New Roman" w:cs="Times New Roman"/>
          <w:color w:val="auto"/>
          <w:sz w:val="24"/>
          <w:szCs w:val="24"/>
          <w:highlight w:val="none"/>
        </w:rPr>
        <w:t>区环保工作的顺利开展和持续</w:t>
      </w:r>
      <w:r>
        <w:rPr>
          <w:rFonts w:hint="default" w:ascii="Times New Roman" w:hAnsi="Times New Roman" w:cs="Times New Roman"/>
          <w:color w:val="auto"/>
          <w:sz w:val="24"/>
          <w:szCs w:val="24"/>
          <w:highlight w:val="none"/>
          <w:lang w:eastAsia="zh-CN"/>
        </w:rPr>
        <w:t>，可</w:t>
      </w:r>
      <w:r>
        <w:rPr>
          <w:rFonts w:hint="default" w:ascii="Times New Roman" w:hAnsi="Times New Roman" w:cs="Times New Roman"/>
          <w:color w:val="auto"/>
          <w:sz w:val="24"/>
          <w:szCs w:val="24"/>
          <w:highlight w:val="none"/>
        </w:rPr>
        <w:t>达到国内清洁生产</w:t>
      </w:r>
      <w:r>
        <w:rPr>
          <w:rFonts w:hint="default" w:ascii="Times New Roman" w:hAnsi="Times New Roman" w:cs="Times New Roman"/>
          <w:color w:val="auto"/>
          <w:sz w:val="24"/>
          <w:szCs w:val="24"/>
          <w:highlight w:val="none"/>
          <w:lang w:val="en-US" w:eastAsia="zh-CN"/>
        </w:rPr>
        <w:t>先进</w:t>
      </w:r>
      <w:r>
        <w:rPr>
          <w:rFonts w:hint="default" w:ascii="Times New Roman" w:hAnsi="Times New Roman" w:cs="Times New Roman"/>
          <w:color w:val="auto"/>
          <w:sz w:val="24"/>
          <w:szCs w:val="24"/>
          <w:highlight w:val="none"/>
        </w:rPr>
        <w:t>水平。</w:t>
      </w:r>
    </w:p>
    <w:p w14:paraId="07DD531B">
      <w:pPr>
        <w:pStyle w:val="4"/>
        <w:rPr>
          <w:rFonts w:hint="default" w:ascii="Times New Roman" w:hAnsi="Times New Roman" w:cs="Times New Roman"/>
          <w:color w:val="auto"/>
          <w:highlight w:val="none"/>
        </w:rPr>
      </w:pPr>
      <w:bookmarkStart w:id="501" w:name="_Toc11882"/>
      <w:bookmarkStart w:id="502" w:name="_Toc735"/>
      <w:bookmarkStart w:id="503" w:name="_Toc14284"/>
      <w:bookmarkStart w:id="504" w:name="_Toc23425"/>
      <w:bookmarkStart w:id="505" w:name="_Toc22925"/>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w:t>
      </w:r>
      <w:bookmarkEnd w:id="501"/>
      <w:bookmarkEnd w:id="502"/>
      <w:bookmarkEnd w:id="503"/>
      <w:bookmarkEnd w:id="504"/>
      <w:bookmarkEnd w:id="505"/>
      <w:r>
        <w:rPr>
          <w:rFonts w:hint="default" w:ascii="Times New Roman" w:hAnsi="Times New Roman" w:cs="Times New Roman"/>
          <w:color w:val="auto"/>
          <w:highlight w:val="none"/>
          <w:lang w:val="en-US" w:eastAsia="zh-CN"/>
        </w:rPr>
        <w:t>清洁生产的措施和建议</w:t>
      </w:r>
    </w:p>
    <w:p w14:paraId="6123B9C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清洁生产审计的原则，我们对拟建项目生产全过程从工艺装备要求、资源能源利用指标、废物回收利用指标和环境管理要求四个重要环节进行了初步的清洁生产预审计，根据预评价结果，对其中一些环节的清洁生产潜力提出建议：</w:t>
      </w:r>
    </w:p>
    <w:p w14:paraId="221560E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bidi="ar"/>
        </w:rPr>
        <w:t>（1）采用先进的工艺设备、先进的</w:t>
      </w:r>
      <w:r>
        <w:rPr>
          <w:rFonts w:hint="default" w:ascii="Times New Roman" w:hAnsi="Times New Roman" w:cs="Times New Roman"/>
          <w:color w:val="auto"/>
          <w:sz w:val="24"/>
          <w:szCs w:val="24"/>
          <w:highlight w:val="none"/>
          <w:lang w:eastAsia="zh-CN" w:bidi="ar"/>
        </w:rPr>
        <w:t>选矿</w:t>
      </w:r>
      <w:r>
        <w:rPr>
          <w:rFonts w:hint="default" w:ascii="Times New Roman" w:hAnsi="Times New Roman" w:cs="Times New Roman"/>
          <w:color w:val="auto"/>
          <w:sz w:val="24"/>
          <w:szCs w:val="24"/>
          <w:highlight w:val="none"/>
          <w:lang w:bidi="ar"/>
        </w:rPr>
        <w:t>工艺，提高资源回</w:t>
      </w:r>
      <w:r>
        <w:rPr>
          <w:rFonts w:hint="default" w:ascii="Times New Roman" w:hAnsi="Times New Roman" w:cs="Times New Roman"/>
          <w:color w:val="auto"/>
          <w:sz w:val="24"/>
          <w:szCs w:val="24"/>
          <w:highlight w:val="none"/>
          <w:lang w:eastAsia="zh-CN" w:bidi="ar"/>
        </w:rPr>
        <w:t>收</w:t>
      </w:r>
      <w:r>
        <w:rPr>
          <w:rFonts w:hint="default" w:ascii="Times New Roman" w:hAnsi="Times New Roman" w:cs="Times New Roman"/>
          <w:color w:val="auto"/>
          <w:sz w:val="24"/>
          <w:szCs w:val="24"/>
          <w:highlight w:val="none"/>
          <w:lang w:bidi="ar"/>
        </w:rPr>
        <w:t>率和劳动生产率。</w:t>
      </w:r>
    </w:p>
    <w:p w14:paraId="5CBAD02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bidi="ar"/>
        </w:rPr>
        <w:t>（2）根据矿</w:t>
      </w:r>
      <w:r>
        <w:rPr>
          <w:rFonts w:hint="default" w:ascii="Times New Roman" w:hAnsi="Times New Roman" w:cs="Times New Roman"/>
          <w:color w:val="auto"/>
          <w:sz w:val="24"/>
          <w:szCs w:val="24"/>
          <w:highlight w:val="none"/>
          <w:lang w:eastAsia="zh-CN" w:bidi="ar"/>
        </w:rPr>
        <w:t>石结构成分</w:t>
      </w:r>
      <w:r>
        <w:rPr>
          <w:rFonts w:hint="default" w:ascii="Times New Roman" w:hAnsi="Times New Roman" w:cs="Times New Roman"/>
          <w:color w:val="auto"/>
          <w:sz w:val="24"/>
          <w:szCs w:val="24"/>
          <w:highlight w:val="none"/>
          <w:lang w:bidi="ar"/>
        </w:rPr>
        <w:t>和</w:t>
      </w:r>
      <w:r>
        <w:rPr>
          <w:rFonts w:hint="default" w:ascii="Times New Roman" w:hAnsi="Times New Roman" w:cs="Times New Roman"/>
          <w:color w:val="auto"/>
          <w:sz w:val="24"/>
          <w:szCs w:val="24"/>
          <w:highlight w:val="none"/>
          <w:lang w:eastAsia="zh-CN" w:bidi="ar"/>
        </w:rPr>
        <w:t>选矿</w:t>
      </w:r>
      <w:r>
        <w:rPr>
          <w:rFonts w:hint="default" w:ascii="Times New Roman" w:hAnsi="Times New Roman" w:cs="Times New Roman"/>
          <w:color w:val="auto"/>
          <w:sz w:val="24"/>
          <w:szCs w:val="24"/>
          <w:highlight w:val="none"/>
          <w:lang w:bidi="ar"/>
        </w:rPr>
        <w:t>工艺特点，选择恰当的</w:t>
      </w:r>
      <w:r>
        <w:rPr>
          <w:rFonts w:hint="default" w:ascii="Times New Roman" w:hAnsi="Times New Roman" w:cs="Times New Roman"/>
          <w:color w:val="auto"/>
          <w:sz w:val="24"/>
          <w:szCs w:val="24"/>
          <w:highlight w:val="none"/>
          <w:lang w:eastAsia="zh-CN" w:bidi="ar"/>
        </w:rPr>
        <w:t>选</w:t>
      </w:r>
      <w:r>
        <w:rPr>
          <w:rFonts w:hint="default" w:ascii="Times New Roman" w:hAnsi="Times New Roman" w:cs="Times New Roman"/>
          <w:color w:val="auto"/>
          <w:sz w:val="24"/>
          <w:szCs w:val="24"/>
          <w:highlight w:val="none"/>
          <w:lang w:bidi="ar"/>
        </w:rPr>
        <w:t>矿方法，提高回</w:t>
      </w:r>
      <w:r>
        <w:rPr>
          <w:rFonts w:hint="default" w:ascii="Times New Roman" w:hAnsi="Times New Roman" w:cs="Times New Roman"/>
          <w:color w:val="auto"/>
          <w:sz w:val="24"/>
          <w:szCs w:val="24"/>
          <w:highlight w:val="none"/>
          <w:lang w:eastAsia="zh-CN" w:bidi="ar"/>
        </w:rPr>
        <w:t>收</w:t>
      </w:r>
      <w:r>
        <w:rPr>
          <w:rFonts w:hint="default" w:ascii="Times New Roman" w:hAnsi="Times New Roman" w:cs="Times New Roman"/>
          <w:color w:val="auto"/>
          <w:sz w:val="24"/>
          <w:szCs w:val="24"/>
          <w:highlight w:val="none"/>
          <w:lang w:bidi="ar"/>
        </w:rPr>
        <w:t>率，尽可能地减少</w:t>
      </w:r>
      <w:r>
        <w:rPr>
          <w:rFonts w:hint="default" w:ascii="Times New Roman" w:hAnsi="Times New Roman" w:cs="Times New Roman"/>
          <w:color w:val="auto"/>
          <w:sz w:val="24"/>
          <w:szCs w:val="24"/>
          <w:highlight w:val="none"/>
          <w:lang w:eastAsia="zh-CN" w:bidi="ar"/>
        </w:rPr>
        <w:t>尾矿</w:t>
      </w:r>
      <w:r>
        <w:rPr>
          <w:rFonts w:hint="default" w:ascii="Times New Roman" w:hAnsi="Times New Roman" w:cs="Times New Roman"/>
          <w:color w:val="auto"/>
          <w:sz w:val="24"/>
          <w:szCs w:val="24"/>
          <w:highlight w:val="none"/>
          <w:lang w:bidi="ar"/>
        </w:rPr>
        <w:t>产生量。</w:t>
      </w:r>
    </w:p>
    <w:p w14:paraId="3CF6E64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bidi="ar"/>
        </w:rPr>
        <w:t>（3）各岗位操作规程和设备检修制度完善，设有专人严格监督执行情况，设备运转完好连续，对生产过程中产生的粉尘有相应的控制措施，并满足规定要求。</w:t>
      </w:r>
    </w:p>
    <w:p w14:paraId="7D9B02E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bidi="ar"/>
        </w:rPr>
        <w:t>（4）落实固体废物防治措施，</w:t>
      </w:r>
      <w:r>
        <w:rPr>
          <w:rFonts w:hint="default" w:ascii="Times New Roman" w:hAnsi="Times New Roman" w:cs="Times New Roman"/>
          <w:color w:val="auto"/>
          <w:sz w:val="24"/>
          <w:szCs w:val="24"/>
          <w:highlight w:val="none"/>
          <w:lang w:eastAsia="zh-CN" w:bidi="ar"/>
        </w:rPr>
        <w:t>选矿</w:t>
      </w:r>
      <w:r>
        <w:rPr>
          <w:rFonts w:hint="default" w:ascii="Times New Roman" w:hAnsi="Times New Roman" w:cs="Times New Roman"/>
          <w:color w:val="auto"/>
          <w:sz w:val="24"/>
          <w:szCs w:val="24"/>
          <w:highlight w:val="none"/>
          <w:lang w:bidi="ar"/>
        </w:rPr>
        <w:t>产生的</w:t>
      </w:r>
      <w:r>
        <w:rPr>
          <w:rFonts w:hint="default" w:ascii="Times New Roman" w:hAnsi="Times New Roman" w:cs="Times New Roman"/>
          <w:color w:val="auto"/>
          <w:sz w:val="24"/>
          <w:szCs w:val="24"/>
          <w:highlight w:val="none"/>
          <w:lang w:eastAsia="zh-CN" w:bidi="ar"/>
        </w:rPr>
        <w:t>尾矿</w:t>
      </w:r>
      <w:r>
        <w:rPr>
          <w:rFonts w:hint="default" w:ascii="Times New Roman" w:hAnsi="Times New Roman" w:cs="Times New Roman"/>
          <w:color w:val="auto"/>
          <w:sz w:val="24"/>
          <w:szCs w:val="24"/>
          <w:highlight w:val="none"/>
          <w:lang w:bidi="ar"/>
        </w:rPr>
        <w:t>全部排入规划的</w:t>
      </w:r>
      <w:r>
        <w:rPr>
          <w:rFonts w:hint="default" w:ascii="Times New Roman" w:hAnsi="Times New Roman" w:cs="Times New Roman"/>
          <w:color w:val="auto"/>
          <w:sz w:val="24"/>
          <w:szCs w:val="24"/>
          <w:highlight w:val="none"/>
          <w:lang w:eastAsia="zh-CN" w:bidi="ar"/>
        </w:rPr>
        <w:t>尾矿库，</w:t>
      </w:r>
      <w:r>
        <w:rPr>
          <w:rFonts w:hint="default" w:ascii="Times New Roman" w:hAnsi="Times New Roman" w:cs="Times New Roman"/>
          <w:color w:val="auto"/>
          <w:sz w:val="24"/>
          <w:szCs w:val="24"/>
          <w:highlight w:val="none"/>
          <w:lang w:bidi="ar"/>
        </w:rPr>
        <w:t>做好</w:t>
      </w:r>
      <w:r>
        <w:rPr>
          <w:rFonts w:hint="default" w:ascii="Times New Roman" w:hAnsi="Times New Roman" w:cs="Times New Roman"/>
          <w:color w:val="auto"/>
          <w:sz w:val="24"/>
          <w:szCs w:val="24"/>
          <w:highlight w:val="none"/>
          <w:lang w:eastAsia="zh-CN" w:bidi="ar"/>
        </w:rPr>
        <w:t>尾矿库</w:t>
      </w:r>
      <w:r>
        <w:rPr>
          <w:rFonts w:hint="default" w:ascii="Times New Roman" w:hAnsi="Times New Roman" w:cs="Times New Roman"/>
          <w:color w:val="auto"/>
          <w:sz w:val="24"/>
          <w:szCs w:val="24"/>
          <w:highlight w:val="none"/>
          <w:lang w:bidi="ar"/>
        </w:rPr>
        <w:t>的管理。</w:t>
      </w:r>
    </w:p>
    <w:p w14:paraId="212BDE1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highlight w:val="none"/>
          <w:lang w:bidi="ar"/>
        </w:rPr>
      </w:pPr>
      <w:r>
        <w:rPr>
          <w:rFonts w:hint="default" w:ascii="Times New Roman" w:hAnsi="Times New Roman" w:cs="Times New Roman"/>
          <w:color w:val="auto"/>
          <w:sz w:val="24"/>
          <w:szCs w:val="24"/>
          <w:highlight w:val="none"/>
          <w:lang w:bidi="ar"/>
        </w:rPr>
        <w:t>（5）提高设备生产率，对主要工作岗位进行节能培训，提高操作水平，建立完善</w:t>
      </w:r>
      <w:r>
        <w:rPr>
          <w:rFonts w:hint="eastAsia" w:cs="Times New Roman"/>
          <w:color w:val="auto"/>
          <w:sz w:val="24"/>
          <w:szCs w:val="24"/>
          <w:highlight w:val="none"/>
          <w:lang w:eastAsia="zh-CN" w:bidi="ar"/>
        </w:rPr>
        <w:t>节能</w:t>
      </w:r>
      <w:r>
        <w:rPr>
          <w:rFonts w:hint="default" w:ascii="Times New Roman" w:hAnsi="Times New Roman" w:cs="Times New Roman"/>
          <w:color w:val="auto"/>
          <w:sz w:val="24"/>
          <w:szCs w:val="24"/>
          <w:highlight w:val="none"/>
          <w:lang w:bidi="ar"/>
        </w:rPr>
        <w:t>奖惩制度。</w:t>
      </w:r>
    </w:p>
    <w:p w14:paraId="04D306E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bCs/>
          <w:color w:val="auto"/>
          <w:szCs w:val="24"/>
          <w:highlight w:val="none"/>
        </w:rPr>
      </w:pPr>
      <w:r>
        <w:rPr>
          <w:rFonts w:hint="default" w:ascii="Times New Roman" w:hAnsi="Times New Roman" w:eastAsia="宋体" w:cs="Times New Roman"/>
          <w:color w:val="auto"/>
          <w:sz w:val="24"/>
          <w:szCs w:val="24"/>
          <w:highlight w:val="none"/>
          <w:lang w:bidi="ar"/>
        </w:rPr>
        <w:t>（6）清洁生产涉及</w:t>
      </w:r>
      <w:r>
        <w:rPr>
          <w:rFonts w:hint="default" w:ascii="Times New Roman" w:hAnsi="Times New Roman" w:cs="Times New Roman"/>
          <w:color w:val="auto"/>
          <w:sz w:val="24"/>
          <w:szCs w:val="24"/>
          <w:highlight w:val="none"/>
          <w:lang w:eastAsia="zh-CN" w:bidi="ar"/>
        </w:rPr>
        <w:t>建设单位</w:t>
      </w:r>
      <w:r>
        <w:rPr>
          <w:rFonts w:hint="default" w:ascii="Times New Roman" w:hAnsi="Times New Roman" w:eastAsia="宋体" w:cs="Times New Roman"/>
          <w:color w:val="auto"/>
          <w:sz w:val="24"/>
          <w:szCs w:val="24"/>
          <w:highlight w:val="none"/>
          <w:lang w:bidi="ar"/>
        </w:rPr>
        <w:t>生产、技术和管理的各个方面，需要全员参与，建议在全公司开展全员节能、降耗、减污、增效等清洁生产合理化建议活动，并制订切实可行的激励手段，鼓励员工提出合理化建议，组织力量研究、实施职工的合理化建议，争取尽快取得清洁生产成效，同时对职工进行清洁生产宣传教育和操作培训，</w:t>
      </w:r>
      <w:r>
        <w:rPr>
          <w:rFonts w:hint="eastAsia" w:cs="Times New Roman"/>
          <w:color w:val="auto"/>
          <w:sz w:val="24"/>
          <w:szCs w:val="24"/>
          <w:highlight w:val="none"/>
          <w:lang w:eastAsia="zh-CN" w:bidi="ar"/>
        </w:rPr>
        <w:t>增强</w:t>
      </w:r>
      <w:r>
        <w:rPr>
          <w:rFonts w:hint="default" w:ascii="Times New Roman" w:hAnsi="Times New Roman" w:eastAsia="宋体" w:cs="Times New Roman"/>
          <w:color w:val="auto"/>
          <w:sz w:val="24"/>
          <w:szCs w:val="24"/>
          <w:highlight w:val="none"/>
          <w:lang w:bidi="ar"/>
        </w:rPr>
        <w:t>员工的清洁生产意识和操作水平。</w:t>
      </w:r>
    </w:p>
    <w:p w14:paraId="3BC19D13">
      <w:pPr>
        <w:pStyle w:val="43"/>
        <w:overflowPunct w:val="0"/>
        <w:topLinePunct/>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企业严格执行环保</w:t>
      </w:r>
      <w:r>
        <w:rPr>
          <w:rFonts w:hint="eastAsia" w:cs="Times New Roman"/>
          <w:color w:val="auto"/>
          <w:kern w:val="0"/>
          <w:highlight w:val="none"/>
          <w:lang w:eastAsia="zh-CN"/>
        </w:rPr>
        <w:t>“</w:t>
      </w:r>
      <w:r>
        <w:rPr>
          <w:rFonts w:hint="default" w:ascii="Times New Roman" w:hAnsi="Times New Roman" w:cs="Times New Roman"/>
          <w:color w:val="auto"/>
          <w:kern w:val="0"/>
          <w:highlight w:val="none"/>
        </w:rPr>
        <w:t>三同时</w:t>
      </w:r>
      <w:r>
        <w:rPr>
          <w:rFonts w:hint="eastAsia" w:cs="Times New Roman"/>
          <w:color w:val="auto"/>
          <w:kern w:val="0"/>
          <w:highlight w:val="none"/>
          <w:lang w:eastAsia="zh-CN"/>
        </w:rPr>
        <w:t>”</w:t>
      </w:r>
      <w:r>
        <w:rPr>
          <w:rFonts w:hint="default" w:ascii="Times New Roman" w:hAnsi="Times New Roman" w:cs="Times New Roman"/>
          <w:color w:val="auto"/>
          <w:kern w:val="0"/>
          <w:highlight w:val="none"/>
        </w:rPr>
        <w:t>制度，切实加强建设项目环境影响评价，可有效地控制新增污染，提高企业的清洁生产水平。企业在采取报告书中提出的相关改进措施后清洁生产水平可达二级水平，为国内清洁生产先进水平，符合清洁生产要求。</w:t>
      </w:r>
    </w:p>
    <w:p w14:paraId="7634CAF7">
      <w:pPr>
        <w:pStyle w:val="3"/>
        <w:rPr>
          <w:rFonts w:hint="default" w:ascii="Times New Roman" w:hAnsi="Times New Roman" w:cs="Times New Roman"/>
          <w:color w:val="auto"/>
          <w:highlight w:val="none"/>
        </w:rPr>
      </w:pPr>
      <w:bookmarkStart w:id="506" w:name="_Toc27931"/>
      <w:bookmarkStart w:id="507" w:name="_Toc8540"/>
      <w:bookmarkStart w:id="508" w:name="_Toc5893"/>
      <w:bookmarkStart w:id="509" w:name="_Toc20715"/>
      <w:bookmarkStart w:id="510" w:name="_Toc107414658"/>
      <w:bookmarkStart w:id="511" w:name="_Toc107413891"/>
      <w:bookmarkStart w:id="512" w:name="_Toc17387"/>
      <w:r>
        <w:rPr>
          <w:rFonts w:hint="default" w:ascii="Times New Roman" w:hAnsi="Times New Roman" w:cs="Times New Roman"/>
          <w:color w:val="auto"/>
          <w:highlight w:val="none"/>
        </w:rPr>
        <w:t>3.</w:t>
      </w:r>
      <w:bookmarkEnd w:id="506"/>
      <w:r>
        <w:rPr>
          <w:rFonts w:hint="default" w:ascii="Times New Roman" w:hAnsi="Times New Roman" w:cs="Times New Roman"/>
          <w:color w:val="auto"/>
          <w:highlight w:val="none"/>
          <w:lang w:val="en-US" w:eastAsia="zh-CN"/>
        </w:rPr>
        <w:t>5</w:t>
      </w:r>
      <w:bookmarkEnd w:id="507"/>
      <w:bookmarkEnd w:id="508"/>
      <w:bookmarkEnd w:id="509"/>
      <w:bookmarkEnd w:id="510"/>
      <w:bookmarkEnd w:id="511"/>
      <w:r>
        <w:rPr>
          <w:rFonts w:hint="default" w:ascii="Times New Roman" w:hAnsi="Times New Roman" w:cs="Times New Roman"/>
          <w:color w:val="auto"/>
          <w:highlight w:val="none"/>
          <w:lang w:val="en-US" w:eastAsia="zh-CN"/>
        </w:rPr>
        <w:t>运营期污染物排放情况汇总</w:t>
      </w:r>
      <w:bookmarkEnd w:id="512"/>
    </w:p>
    <w:p w14:paraId="5ABD7EC3">
      <w:pPr>
        <w:pStyle w:val="43"/>
        <w:overflowPunct w:val="0"/>
        <w:topLinePunct/>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lang w:eastAsia="zh-CN"/>
        </w:rPr>
        <w:t>本工程</w:t>
      </w:r>
      <w:r>
        <w:rPr>
          <w:rFonts w:hint="default" w:ascii="Times New Roman" w:hAnsi="Times New Roman" w:cs="Times New Roman"/>
          <w:color w:val="auto"/>
          <w:kern w:val="0"/>
          <w:highlight w:val="none"/>
        </w:rPr>
        <w:t>污染物排放情况汇总见</w:t>
      </w:r>
      <w:r>
        <w:rPr>
          <w:rFonts w:hint="default" w:ascii="Times New Roman" w:hAnsi="Times New Roman" w:cs="Times New Roman"/>
          <w:color w:val="auto"/>
          <w:kern w:val="0"/>
          <w:highlight w:val="none"/>
          <w:lang w:eastAsia="zh-CN"/>
        </w:rPr>
        <w:t>下</w:t>
      </w:r>
      <w:r>
        <w:rPr>
          <w:rFonts w:hint="default" w:ascii="Times New Roman" w:hAnsi="Times New Roman" w:cs="Times New Roman"/>
          <w:color w:val="auto"/>
          <w:kern w:val="0"/>
          <w:highlight w:val="none"/>
        </w:rPr>
        <w:t>表。</w:t>
      </w:r>
    </w:p>
    <w:p w14:paraId="13120D6B">
      <w:pPr>
        <w:ind w:firstLine="0" w:firstLineChars="0"/>
        <w:jc w:val="center"/>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表3.</w:t>
      </w:r>
      <w:r>
        <w:rPr>
          <w:rFonts w:hint="default" w:ascii="Times New Roman" w:hAnsi="Times New Roman" w:cs="Times New Roman"/>
          <w:b/>
          <w:color w:val="auto"/>
          <w:kern w:val="0"/>
          <w:highlight w:val="none"/>
          <w:lang w:val="en-US" w:eastAsia="zh-CN"/>
        </w:rPr>
        <w:t>5</w:t>
      </w:r>
      <w:r>
        <w:rPr>
          <w:rFonts w:hint="default" w:ascii="Times New Roman" w:hAnsi="Times New Roman" w:cs="Times New Roman"/>
          <w:b/>
          <w:color w:val="auto"/>
          <w:kern w:val="0"/>
          <w:highlight w:val="none"/>
        </w:rPr>
        <w:t xml:space="preserve">-1    </w:t>
      </w:r>
      <w:r>
        <w:rPr>
          <w:rFonts w:hint="default" w:ascii="Times New Roman" w:hAnsi="Times New Roman" w:cs="Times New Roman"/>
          <w:b/>
          <w:color w:val="auto"/>
          <w:kern w:val="0"/>
          <w:highlight w:val="none"/>
          <w:lang w:eastAsia="zh-CN"/>
        </w:rPr>
        <w:t>本工程</w:t>
      </w:r>
      <w:r>
        <w:rPr>
          <w:rFonts w:hint="default" w:ascii="Times New Roman" w:hAnsi="Times New Roman" w:cs="Times New Roman"/>
          <w:b/>
          <w:color w:val="auto"/>
          <w:kern w:val="0"/>
          <w:highlight w:val="none"/>
        </w:rPr>
        <w:t>污染物排放情况汇总</w:t>
      </w:r>
    </w:p>
    <w:tbl>
      <w:tblPr>
        <w:tblStyle w:val="33"/>
        <w:tblW w:w="501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86"/>
        <w:gridCol w:w="844"/>
        <w:gridCol w:w="171"/>
        <w:gridCol w:w="1685"/>
        <w:gridCol w:w="1705"/>
        <w:gridCol w:w="2102"/>
        <w:gridCol w:w="1924"/>
      </w:tblGrid>
      <w:tr w14:paraId="7930C7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blHeader/>
          <w:jc w:val="center"/>
        </w:trPr>
        <w:tc>
          <w:tcPr>
            <w:tcW w:w="793" w:type="pct"/>
            <w:gridSpan w:val="2"/>
            <w:tcBorders>
              <w:tl2br w:val="nil"/>
              <w:tr2bl w:val="nil"/>
            </w:tcBorders>
            <w:shd w:val="clear" w:color="auto" w:fill="auto"/>
            <w:vAlign w:val="center"/>
          </w:tcPr>
          <w:p w14:paraId="40C90FC7">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类别</w:t>
            </w:r>
          </w:p>
        </w:tc>
        <w:tc>
          <w:tcPr>
            <w:tcW w:w="1029" w:type="pct"/>
            <w:gridSpan w:val="2"/>
            <w:tcBorders>
              <w:tl2br w:val="nil"/>
              <w:tr2bl w:val="nil"/>
            </w:tcBorders>
            <w:shd w:val="clear" w:color="auto" w:fill="auto"/>
            <w:vAlign w:val="center"/>
          </w:tcPr>
          <w:p w14:paraId="259D9E7F">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污染源</w:t>
            </w:r>
          </w:p>
        </w:tc>
        <w:tc>
          <w:tcPr>
            <w:tcW w:w="944" w:type="pct"/>
            <w:tcBorders>
              <w:tl2br w:val="nil"/>
              <w:tr2bl w:val="nil"/>
            </w:tcBorders>
            <w:shd w:val="clear" w:color="auto" w:fill="auto"/>
            <w:vAlign w:val="center"/>
          </w:tcPr>
          <w:p w14:paraId="37F8E51D">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污染物名称</w:t>
            </w:r>
          </w:p>
        </w:tc>
        <w:tc>
          <w:tcPr>
            <w:tcW w:w="1165" w:type="pct"/>
            <w:tcBorders>
              <w:tl2br w:val="nil"/>
              <w:tr2bl w:val="nil"/>
            </w:tcBorders>
            <w:shd w:val="clear" w:color="auto" w:fill="auto"/>
            <w:vAlign w:val="center"/>
          </w:tcPr>
          <w:p w14:paraId="7CE6DC4E">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eastAsia="zh-CN"/>
              </w:rPr>
              <w:t>产生</w:t>
            </w:r>
            <w:r>
              <w:rPr>
                <w:rFonts w:hint="default" w:ascii="Times New Roman" w:hAnsi="Times New Roman" w:cs="Times New Roman"/>
                <w:b/>
                <w:bCs/>
                <w:color w:val="auto"/>
                <w:sz w:val="21"/>
                <w:szCs w:val="21"/>
                <w:highlight w:val="none"/>
              </w:rPr>
              <w:t>量</w:t>
            </w:r>
          </w:p>
        </w:tc>
        <w:tc>
          <w:tcPr>
            <w:tcW w:w="1066" w:type="pct"/>
            <w:tcBorders>
              <w:tl2br w:val="nil"/>
              <w:tr2bl w:val="nil"/>
            </w:tcBorders>
            <w:shd w:val="clear" w:color="auto" w:fill="auto"/>
            <w:vAlign w:val="center"/>
          </w:tcPr>
          <w:p w14:paraId="4BDA90EE">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排放量</w:t>
            </w:r>
          </w:p>
        </w:tc>
      </w:tr>
      <w:tr w14:paraId="56A108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restart"/>
            <w:tcBorders>
              <w:tl2br w:val="nil"/>
              <w:tr2bl w:val="nil"/>
            </w:tcBorders>
            <w:shd w:val="clear" w:color="auto" w:fill="auto"/>
            <w:vAlign w:val="center"/>
          </w:tcPr>
          <w:p w14:paraId="186A1ED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468" w:type="pct"/>
            <w:vMerge w:val="restart"/>
            <w:tcBorders>
              <w:tl2br w:val="nil"/>
              <w:tr2bl w:val="nil"/>
            </w:tcBorders>
            <w:shd w:val="clear" w:color="auto" w:fill="auto"/>
            <w:vAlign w:val="center"/>
          </w:tcPr>
          <w:p w14:paraId="0B3330B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有组织</w:t>
            </w:r>
          </w:p>
        </w:tc>
        <w:tc>
          <w:tcPr>
            <w:tcW w:w="1029" w:type="pct"/>
            <w:gridSpan w:val="2"/>
            <w:vMerge w:val="restart"/>
            <w:tcBorders>
              <w:tl2br w:val="nil"/>
              <w:tr2bl w:val="nil"/>
            </w:tcBorders>
            <w:shd w:val="clear" w:color="auto" w:fill="auto"/>
            <w:vAlign w:val="center"/>
          </w:tcPr>
          <w:p w14:paraId="04C8A6F6">
            <w:pPr>
              <w:spacing w:line="360" w:lineRule="exact"/>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破碎工段</w:t>
            </w:r>
            <w:r>
              <w:rPr>
                <w:rFonts w:hint="default" w:ascii="Times New Roman" w:hAnsi="Times New Roman" w:cs="Times New Roman"/>
                <w:color w:val="auto"/>
                <w:sz w:val="21"/>
                <w:szCs w:val="21"/>
                <w:highlight w:val="none"/>
              </w:rPr>
              <w:t>排气筒</w:t>
            </w:r>
          </w:p>
        </w:tc>
        <w:tc>
          <w:tcPr>
            <w:tcW w:w="944" w:type="pct"/>
            <w:tcBorders>
              <w:tl2br w:val="nil"/>
              <w:tr2bl w:val="nil"/>
            </w:tcBorders>
            <w:shd w:val="clear" w:color="auto" w:fill="auto"/>
            <w:vAlign w:val="center"/>
          </w:tcPr>
          <w:p w14:paraId="49787BD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2102" w:type="dxa"/>
            <w:tcBorders>
              <w:tl2br w:val="nil"/>
              <w:tr2bl w:val="nil"/>
            </w:tcBorders>
            <w:shd w:val="clear" w:color="auto" w:fill="auto"/>
            <w:vAlign w:val="center"/>
          </w:tcPr>
          <w:p w14:paraId="6342EBB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color w:val="auto"/>
                <w:sz w:val="21"/>
                <w:szCs w:val="21"/>
                <w:highlight w:val="none"/>
              </w:rPr>
              <w:t>18.43t/a</w:t>
            </w:r>
          </w:p>
        </w:tc>
        <w:tc>
          <w:tcPr>
            <w:tcW w:w="1924" w:type="dxa"/>
            <w:tcBorders>
              <w:tl2br w:val="nil"/>
              <w:tr2bl w:val="nil"/>
            </w:tcBorders>
            <w:shd w:val="clear" w:color="auto" w:fill="auto"/>
            <w:vAlign w:val="center"/>
          </w:tcPr>
          <w:p w14:paraId="22C92BE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0.166t/a</w:t>
            </w:r>
          </w:p>
        </w:tc>
      </w:tr>
      <w:tr w14:paraId="37CAE9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continue"/>
            <w:tcBorders>
              <w:tl2br w:val="nil"/>
              <w:tr2bl w:val="nil"/>
            </w:tcBorders>
            <w:shd w:val="clear" w:color="auto" w:fill="auto"/>
            <w:vAlign w:val="center"/>
          </w:tcPr>
          <w:p w14:paraId="71BE4AFE">
            <w:pPr>
              <w:spacing w:line="360" w:lineRule="exact"/>
              <w:ind w:firstLine="0" w:firstLineChars="0"/>
              <w:jc w:val="center"/>
              <w:rPr>
                <w:rFonts w:hint="default" w:ascii="Times New Roman" w:hAnsi="Times New Roman" w:cs="Times New Roman"/>
                <w:color w:val="auto"/>
                <w:sz w:val="21"/>
                <w:szCs w:val="21"/>
                <w:highlight w:val="none"/>
              </w:rPr>
            </w:pPr>
          </w:p>
        </w:tc>
        <w:tc>
          <w:tcPr>
            <w:tcW w:w="468" w:type="pct"/>
            <w:vMerge w:val="continue"/>
            <w:tcBorders>
              <w:tl2br w:val="nil"/>
              <w:tr2bl w:val="nil"/>
            </w:tcBorders>
            <w:shd w:val="clear" w:color="auto" w:fill="auto"/>
            <w:vAlign w:val="center"/>
          </w:tcPr>
          <w:p w14:paraId="4040EB6E">
            <w:pPr>
              <w:spacing w:line="360" w:lineRule="exact"/>
              <w:ind w:firstLine="0" w:firstLineChars="0"/>
              <w:jc w:val="center"/>
              <w:rPr>
                <w:rFonts w:hint="default" w:ascii="Times New Roman" w:hAnsi="Times New Roman" w:cs="Times New Roman"/>
                <w:color w:val="auto"/>
                <w:sz w:val="21"/>
                <w:szCs w:val="21"/>
                <w:highlight w:val="none"/>
              </w:rPr>
            </w:pPr>
          </w:p>
        </w:tc>
        <w:tc>
          <w:tcPr>
            <w:tcW w:w="1029" w:type="pct"/>
            <w:gridSpan w:val="2"/>
            <w:vMerge w:val="continue"/>
            <w:tcBorders>
              <w:tl2br w:val="nil"/>
              <w:tr2bl w:val="nil"/>
            </w:tcBorders>
            <w:shd w:val="clear" w:color="auto" w:fill="auto"/>
            <w:vAlign w:val="center"/>
          </w:tcPr>
          <w:p w14:paraId="3C8D2D61">
            <w:pPr>
              <w:spacing w:line="360" w:lineRule="exact"/>
              <w:ind w:firstLine="0" w:firstLineChars="0"/>
              <w:jc w:val="center"/>
              <w:rPr>
                <w:rFonts w:hint="default" w:ascii="Times New Roman" w:hAnsi="Times New Roman" w:cs="Times New Roman"/>
                <w:color w:val="auto"/>
                <w:sz w:val="21"/>
                <w:szCs w:val="21"/>
                <w:highlight w:val="none"/>
                <w:lang w:eastAsia="zh-CN"/>
              </w:rPr>
            </w:pPr>
          </w:p>
        </w:tc>
        <w:tc>
          <w:tcPr>
            <w:tcW w:w="944" w:type="pct"/>
            <w:tcBorders>
              <w:tl2br w:val="nil"/>
              <w:tr2bl w:val="nil"/>
            </w:tcBorders>
            <w:shd w:val="clear" w:color="auto" w:fill="auto"/>
            <w:vAlign w:val="center"/>
          </w:tcPr>
          <w:p w14:paraId="2C7E8E05">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氟化物</w:t>
            </w:r>
          </w:p>
        </w:tc>
        <w:tc>
          <w:tcPr>
            <w:tcW w:w="2102" w:type="dxa"/>
            <w:tcBorders>
              <w:tl2br w:val="nil"/>
              <w:tr2bl w:val="nil"/>
            </w:tcBorders>
            <w:shd w:val="clear" w:color="auto" w:fill="auto"/>
            <w:vAlign w:val="center"/>
          </w:tcPr>
          <w:p w14:paraId="39EF022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2.313t/a</w:t>
            </w:r>
          </w:p>
        </w:tc>
        <w:tc>
          <w:tcPr>
            <w:tcW w:w="1924" w:type="dxa"/>
            <w:tcBorders>
              <w:tl2br w:val="nil"/>
              <w:tr2bl w:val="nil"/>
            </w:tcBorders>
            <w:shd w:val="clear" w:color="auto" w:fill="auto"/>
            <w:vAlign w:val="center"/>
          </w:tcPr>
          <w:p w14:paraId="25DCF3A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0.0208t/a</w:t>
            </w:r>
          </w:p>
        </w:tc>
      </w:tr>
      <w:tr w14:paraId="5070C9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continue"/>
            <w:tcBorders>
              <w:tl2br w:val="nil"/>
              <w:tr2bl w:val="nil"/>
            </w:tcBorders>
            <w:shd w:val="clear" w:color="auto" w:fill="auto"/>
            <w:vAlign w:val="center"/>
          </w:tcPr>
          <w:p w14:paraId="7D087027">
            <w:pPr>
              <w:spacing w:line="360" w:lineRule="exact"/>
              <w:ind w:firstLine="0" w:firstLineChars="0"/>
              <w:jc w:val="center"/>
              <w:rPr>
                <w:rFonts w:hint="default" w:ascii="Times New Roman" w:hAnsi="Times New Roman" w:cs="Times New Roman"/>
                <w:color w:val="auto"/>
                <w:sz w:val="21"/>
                <w:szCs w:val="21"/>
                <w:highlight w:val="none"/>
              </w:rPr>
            </w:pPr>
          </w:p>
        </w:tc>
        <w:tc>
          <w:tcPr>
            <w:tcW w:w="468" w:type="pct"/>
            <w:vMerge w:val="continue"/>
            <w:tcBorders>
              <w:tl2br w:val="nil"/>
              <w:tr2bl w:val="nil"/>
            </w:tcBorders>
            <w:shd w:val="clear" w:color="auto" w:fill="auto"/>
            <w:vAlign w:val="center"/>
          </w:tcPr>
          <w:p w14:paraId="5E23C503">
            <w:pPr>
              <w:spacing w:line="360" w:lineRule="exact"/>
              <w:ind w:firstLine="0" w:firstLineChars="0"/>
              <w:jc w:val="center"/>
              <w:rPr>
                <w:rFonts w:hint="default" w:ascii="Times New Roman" w:hAnsi="Times New Roman" w:cs="Times New Roman"/>
                <w:color w:val="auto"/>
                <w:sz w:val="21"/>
                <w:szCs w:val="21"/>
                <w:highlight w:val="none"/>
              </w:rPr>
            </w:pPr>
          </w:p>
        </w:tc>
        <w:tc>
          <w:tcPr>
            <w:tcW w:w="1029" w:type="pct"/>
            <w:gridSpan w:val="2"/>
            <w:vMerge w:val="restart"/>
            <w:tcBorders>
              <w:tl2br w:val="nil"/>
              <w:tr2bl w:val="nil"/>
            </w:tcBorders>
            <w:shd w:val="clear" w:color="auto" w:fill="auto"/>
            <w:vAlign w:val="center"/>
          </w:tcPr>
          <w:p w14:paraId="07F7CCAC">
            <w:pPr>
              <w:spacing w:line="360" w:lineRule="exact"/>
              <w:ind w:firstLine="0" w:firstLineChars="0"/>
              <w:jc w:val="center"/>
              <w:rPr>
                <w:rFonts w:hint="default" w:ascii="Times New Roman" w:hAnsi="Times New Roman" w:cs="Times New Roman"/>
                <w:color w:val="auto"/>
                <w:sz w:val="21"/>
                <w:szCs w:val="21"/>
                <w:highlight w:val="none"/>
                <w:lang w:eastAsia="zh-CN"/>
              </w:rPr>
            </w:pPr>
            <w:r>
              <w:rPr>
                <w:rFonts w:hint="eastAsia" w:cs="Times New Roman"/>
                <w:color w:val="auto"/>
                <w:sz w:val="21"/>
                <w:szCs w:val="21"/>
                <w:highlight w:val="none"/>
                <w:lang w:val="en-US" w:eastAsia="zh-CN"/>
              </w:rPr>
              <w:t>筛分工段</w:t>
            </w:r>
            <w:r>
              <w:rPr>
                <w:rFonts w:hint="default" w:ascii="Times New Roman" w:hAnsi="Times New Roman" w:cs="Times New Roman"/>
                <w:color w:val="auto"/>
                <w:sz w:val="21"/>
                <w:szCs w:val="21"/>
                <w:highlight w:val="none"/>
              </w:rPr>
              <w:t>排气筒</w:t>
            </w:r>
          </w:p>
        </w:tc>
        <w:tc>
          <w:tcPr>
            <w:tcW w:w="944" w:type="pct"/>
            <w:tcBorders>
              <w:tl2br w:val="nil"/>
              <w:tr2bl w:val="nil"/>
            </w:tcBorders>
            <w:shd w:val="clear" w:color="auto" w:fill="auto"/>
            <w:vAlign w:val="center"/>
          </w:tcPr>
          <w:p w14:paraId="351DD43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2102" w:type="dxa"/>
            <w:tcBorders>
              <w:tl2br w:val="nil"/>
              <w:tr2bl w:val="nil"/>
            </w:tcBorders>
            <w:shd w:val="clear" w:color="auto" w:fill="auto"/>
            <w:vAlign w:val="center"/>
          </w:tcPr>
          <w:p w14:paraId="621334F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240.01t/a</w:t>
            </w:r>
          </w:p>
        </w:tc>
        <w:tc>
          <w:tcPr>
            <w:tcW w:w="1924" w:type="dxa"/>
            <w:tcBorders>
              <w:tl2br w:val="nil"/>
              <w:tr2bl w:val="nil"/>
            </w:tcBorders>
            <w:shd w:val="clear" w:color="auto" w:fill="auto"/>
            <w:vAlign w:val="center"/>
          </w:tcPr>
          <w:p w14:paraId="028628C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2.16t/a</w:t>
            </w:r>
          </w:p>
        </w:tc>
      </w:tr>
      <w:tr w14:paraId="53BA14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continue"/>
            <w:tcBorders>
              <w:tl2br w:val="nil"/>
              <w:tr2bl w:val="nil"/>
            </w:tcBorders>
            <w:shd w:val="clear" w:color="auto" w:fill="auto"/>
            <w:vAlign w:val="center"/>
          </w:tcPr>
          <w:p w14:paraId="0D91D958">
            <w:pPr>
              <w:spacing w:line="360" w:lineRule="exact"/>
              <w:ind w:firstLine="0" w:firstLineChars="0"/>
              <w:jc w:val="center"/>
              <w:rPr>
                <w:rFonts w:hint="default" w:ascii="Times New Roman" w:hAnsi="Times New Roman" w:cs="Times New Roman"/>
                <w:color w:val="auto"/>
                <w:sz w:val="21"/>
                <w:szCs w:val="21"/>
                <w:highlight w:val="none"/>
              </w:rPr>
            </w:pPr>
          </w:p>
        </w:tc>
        <w:tc>
          <w:tcPr>
            <w:tcW w:w="468" w:type="pct"/>
            <w:vMerge w:val="continue"/>
            <w:tcBorders>
              <w:tl2br w:val="nil"/>
              <w:tr2bl w:val="nil"/>
            </w:tcBorders>
            <w:shd w:val="clear" w:color="auto" w:fill="auto"/>
            <w:vAlign w:val="center"/>
          </w:tcPr>
          <w:p w14:paraId="00B63AEB">
            <w:pPr>
              <w:spacing w:line="360" w:lineRule="exact"/>
              <w:ind w:firstLine="0" w:firstLineChars="0"/>
              <w:jc w:val="center"/>
              <w:rPr>
                <w:rFonts w:hint="default" w:ascii="Times New Roman" w:hAnsi="Times New Roman" w:cs="Times New Roman"/>
                <w:color w:val="auto"/>
                <w:sz w:val="21"/>
                <w:szCs w:val="21"/>
                <w:highlight w:val="none"/>
              </w:rPr>
            </w:pPr>
          </w:p>
        </w:tc>
        <w:tc>
          <w:tcPr>
            <w:tcW w:w="1029" w:type="pct"/>
            <w:gridSpan w:val="2"/>
            <w:vMerge w:val="continue"/>
            <w:tcBorders>
              <w:tl2br w:val="nil"/>
              <w:tr2bl w:val="nil"/>
            </w:tcBorders>
            <w:shd w:val="clear" w:color="auto" w:fill="auto"/>
            <w:vAlign w:val="center"/>
          </w:tcPr>
          <w:p w14:paraId="538148BD">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p>
        </w:tc>
        <w:tc>
          <w:tcPr>
            <w:tcW w:w="944" w:type="pct"/>
            <w:tcBorders>
              <w:tl2br w:val="nil"/>
              <w:tr2bl w:val="nil"/>
            </w:tcBorders>
            <w:shd w:val="clear" w:color="auto" w:fill="auto"/>
            <w:vAlign w:val="center"/>
          </w:tcPr>
          <w:p w14:paraId="521473D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氟化物</w:t>
            </w:r>
          </w:p>
        </w:tc>
        <w:tc>
          <w:tcPr>
            <w:tcW w:w="2102" w:type="dxa"/>
            <w:tcBorders>
              <w:tl2br w:val="nil"/>
              <w:tr2bl w:val="nil"/>
            </w:tcBorders>
            <w:shd w:val="clear" w:color="auto" w:fill="auto"/>
            <w:vAlign w:val="center"/>
          </w:tcPr>
          <w:p w14:paraId="4CAEA85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30.12t/a</w:t>
            </w:r>
          </w:p>
        </w:tc>
        <w:tc>
          <w:tcPr>
            <w:tcW w:w="1924" w:type="dxa"/>
            <w:tcBorders>
              <w:tl2br w:val="nil"/>
              <w:tr2bl w:val="nil"/>
            </w:tcBorders>
            <w:shd w:val="clear" w:color="auto" w:fill="auto"/>
            <w:vAlign w:val="center"/>
          </w:tcPr>
          <w:p w14:paraId="78B6CD5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0.271t/a</w:t>
            </w:r>
          </w:p>
        </w:tc>
      </w:tr>
      <w:tr w14:paraId="6DDC98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continue"/>
            <w:tcBorders>
              <w:tl2br w:val="nil"/>
              <w:tr2bl w:val="nil"/>
            </w:tcBorders>
            <w:shd w:val="clear" w:color="auto" w:fill="auto"/>
            <w:vAlign w:val="center"/>
          </w:tcPr>
          <w:p w14:paraId="1411D706">
            <w:pPr>
              <w:spacing w:line="360" w:lineRule="exact"/>
              <w:ind w:firstLine="0" w:firstLineChars="0"/>
              <w:jc w:val="center"/>
              <w:rPr>
                <w:rFonts w:hint="default" w:ascii="Times New Roman" w:hAnsi="Times New Roman" w:cs="Times New Roman"/>
                <w:color w:val="auto"/>
                <w:sz w:val="21"/>
                <w:szCs w:val="21"/>
                <w:highlight w:val="none"/>
              </w:rPr>
            </w:pPr>
          </w:p>
        </w:tc>
        <w:tc>
          <w:tcPr>
            <w:tcW w:w="468" w:type="pct"/>
            <w:vMerge w:val="continue"/>
            <w:tcBorders>
              <w:tl2br w:val="nil"/>
              <w:tr2bl w:val="nil"/>
            </w:tcBorders>
            <w:shd w:val="clear" w:color="auto" w:fill="auto"/>
            <w:vAlign w:val="center"/>
          </w:tcPr>
          <w:p w14:paraId="3ED03442">
            <w:pPr>
              <w:spacing w:line="360" w:lineRule="exact"/>
              <w:ind w:firstLine="0" w:firstLineChars="0"/>
              <w:jc w:val="center"/>
              <w:rPr>
                <w:rFonts w:hint="default" w:ascii="Times New Roman" w:hAnsi="Times New Roman" w:cs="Times New Roman"/>
                <w:color w:val="auto"/>
                <w:sz w:val="21"/>
                <w:szCs w:val="21"/>
                <w:highlight w:val="none"/>
              </w:rPr>
            </w:pPr>
          </w:p>
        </w:tc>
        <w:tc>
          <w:tcPr>
            <w:tcW w:w="1029" w:type="pct"/>
            <w:gridSpan w:val="2"/>
            <w:vMerge w:val="restart"/>
            <w:tcBorders>
              <w:tl2br w:val="nil"/>
              <w:tr2bl w:val="nil"/>
            </w:tcBorders>
            <w:shd w:val="clear" w:color="auto" w:fill="auto"/>
            <w:vAlign w:val="center"/>
          </w:tcPr>
          <w:p w14:paraId="2FCD65F4">
            <w:pPr>
              <w:spacing w:line="360" w:lineRule="exact"/>
              <w:ind w:firstLine="0" w:firstLineChars="0"/>
              <w:jc w:val="center"/>
              <w:rPr>
                <w:rFonts w:hint="default" w:ascii="Times New Roman" w:hAnsi="Times New Roman" w:cs="Times New Roman"/>
                <w:color w:val="auto"/>
                <w:sz w:val="21"/>
                <w:szCs w:val="21"/>
                <w:highlight w:val="none"/>
                <w:lang w:eastAsia="zh-CN"/>
              </w:rPr>
            </w:pPr>
            <w:r>
              <w:rPr>
                <w:rFonts w:hint="eastAsia" w:cs="Times New Roman"/>
                <w:color w:val="auto"/>
                <w:sz w:val="21"/>
                <w:szCs w:val="21"/>
                <w:highlight w:val="none"/>
                <w:lang w:val="en-US" w:eastAsia="zh-CN"/>
              </w:rPr>
              <w:t>燃煤锅炉</w:t>
            </w:r>
            <w:r>
              <w:rPr>
                <w:rFonts w:hint="default" w:ascii="Times New Roman" w:hAnsi="Times New Roman" w:cs="Times New Roman"/>
                <w:color w:val="auto"/>
                <w:sz w:val="21"/>
                <w:szCs w:val="21"/>
                <w:highlight w:val="none"/>
              </w:rPr>
              <w:t>排气筒</w:t>
            </w:r>
          </w:p>
        </w:tc>
        <w:tc>
          <w:tcPr>
            <w:tcW w:w="944" w:type="pct"/>
            <w:tcBorders>
              <w:tl2br w:val="nil"/>
              <w:tr2bl w:val="nil"/>
            </w:tcBorders>
            <w:shd w:val="clear" w:color="auto" w:fill="auto"/>
            <w:vAlign w:val="center"/>
          </w:tcPr>
          <w:p w14:paraId="30C5D7CB">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pacing w:val="0"/>
                <w:kern w:val="2"/>
                <w:sz w:val="21"/>
                <w:szCs w:val="21"/>
                <w:highlight w:val="none"/>
                <w:vertAlign w:val="baseline"/>
                <w:lang w:val="en-US" w:eastAsia="zh-CN" w:bidi="ar-SA"/>
              </w:rPr>
              <w:t>颗粒物</w:t>
            </w:r>
          </w:p>
        </w:tc>
        <w:tc>
          <w:tcPr>
            <w:tcW w:w="1165" w:type="pct"/>
            <w:tcBorders>
              <w:tl2br w:val="nil"/>
              <w:tr2bl w:val="nil"/>
            </w:tcBorders>
            <w:shd w:val="clear" w:color="auto" w:fill="auto"/>
            <w:vAlign w:val="center"/>
          </w:tcPr>
          <w:p w14:paraId="25023A6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rPr>
            </w:pPr>
            <w:r>
              <w:rPr>
                <w:rFonts w:hint="eastAsia" w:ascii="Times New Roman" w:hAnsi="Times New Roman" w:eastAsia="宋体" w:cs="Times New Roman"/>
                <w:color w:val="auto"/>
                <w:sz w:val="21"/>
                <w:szCs w:val="21"/>
                <w:highlight w:val="none"/>
              </w:rPr>
              <w:t>134.19t/a</w:t>
            </w:r>
          </w:p>
        </w:tc>
        <w:tc>
          <w:tcPr>
            <w:tcW w:w="1066" w:type="pct"/>
            <w:tcBorders>
              <w:tl2br w:val="nil"/>
              <w:tr2bl w:val="nil"/>
            </w:tcBorders>
            <w:shd w:val="clear" w:color="auto" w:fill="auto"/>
            <w:vAlign w:val="center"/>
          </w:tcPr>
          <w:p w14:paraId="6A71A8F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rPr>
            </w:pPr>
            <w:r>
              <w:rPr>
                <w:rFonts w:hint="eastAsia" w:ascii="Times New Roman" w:hAnsi="Times New Roman" w:eastAsia="宋体" w:cs="Times New Roman"/>
                <w:color w:val="auto"/>
                <w:sz w:val="21"/>
                <w:szCs w:val="21"/>
                <w:highlight w:val="none"/>
              </w:rPr>
              <w:t>1.342t/a</w:t>
            </w:r>
          </w:p>
        </w:tc>
      </w:tr>
      <w:tr w14:paraId="40D2A2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continue"/>
            <w:tcBorders>
              <w:tl2br w:val="nil"/>
              <w:tr2bl w:val="nil"/>
            </w:tcBorders>
            <w:shd w:val="clear" w:color="auto" w:fill="auto"/>
            <w:vAlign w:val="center"/>
          </w:tcPr>
          <w:p w14:paraId="3845F3C2">
            <w:pPr>
              <w:spacing w:line="360" w:lineRule="exact"/>
              <w:ind w:firstLine="0" w:firstLineChars="0"/>
              <w:jc w:val="center"/>
              <w:rPr>
                <w:rFonts w:hint="default" w:ascii="Times New Roman" w:hAnsi="Times New Roman" w:cs="Times New Roman"/>
                <w:color w:val="auto"/>
                <w:sz w:val="21"/>
                <w:szCs w:val="21"/>
                <w:highlight w:val="none"/>
              </w:rPr>
            </w:pPr>
          </w:p>
        </w:tc>
        <w:tc>
          <w:tcPr>
            <w:tcW w:w="468" w:type="pct"/>
            <w:vMerge w:val="continue"/>
            <w:tcBorders>
              <w:tl2br w:val="nil"/>
              <w:tr2bl w:val="nil"/>
            </w:tcBorders>
            <w:shd w:val="clear" w:color="auto" w:fill="auto"/>
            <w:vAlign w:val="center"/>
          </w:tcPr>
          <w:p w14:paraId="6B887DCE">
            <w:pPr>
              <w:spacing w:line="360" w:lineRule="exact"/>
              <w:ind w:firstLine="0" w:firstLineChars="0"/>
              <w:jc w:val="center"/>
              <w:rPr>
                <w:rFonts w:hint="default" w:ascii="Times New Roman" w:hAnsi="Times New Roman" w:cs="Times New Roman"/>
                <w:color w:val="auto"/>
                <w:sz w:val="21"/>
                <w:szCs w:val="21"/>
                <w:highlight w:val="none"/>
              </w:rPr>
            </w:pPr>
          </w:p>
        </w:tc>
        <w:tc>
          <w:tcPr>
            <w:tcW w:w="1029" w:type="pct"/>
            <w:gridSpan w:val="2"/>
            <w:vMerge w:val="continue"/>
            <w:tcBorders>
              <w:tl2br w:val="nil"/>
              <w:tr2bl w:val="nil"/>
            </w:tcBorders>
            <w:shd w:val="clear" w:color="auto" w:fill="auto"/>
            <w:vAlign w:val="center"/>
          </w:tcPr>
          <w:p w14:paraId="21B48625">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p>
        </w:tc>
        <w:tc>
          <w:tcPr>
            <w:tcW w:w="944" w:type="pct"/>
            <w:tcBorders>
              <w:tl2br w:val="nil"/>
              <w:tr2bl w:val="nil"/>
            </w:tcBorders>
            <w:shd w:val="clear" w:color="auto" w:fill="auto"/>
            <w:vAlign w:val="center"/>
          </w:tcPr>
          <w:p w14:paraId="34D75A58">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pacing w:val="0"/>
                <w:kern w:val="2"/>
                <w:sz w:val="21"/>
                <w:szCs w:val="21"/>
                <w:highlight w:val="none"/>
                <w:vertAlign w:val="baseline"/>
                <w:lang w:val="en-US" w:eastAsia="zh-CN" w:bidi="ar-SA"/>
              </w:rPr>
              <w:t>二氧化硫</w:t>
            </w:r>
          </w:p>
        </w:tc>
        <w:tc>
          <w:tcPr>
            <w:tcW w:w="1165" w:type="pct"/>
            <w:tcBorders>
              <w:tl2br w:val="nil"/>
              <w:tr2bl w:val="nil"/>
            </w:tcBorders>
            <w:shd w:val="clear" w:color="auto" w:fill="auto"/>
            <w:vAlign w:val="center"/>
          </w:tcPr>
          <w:p w14:paraId="2E3934C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eastAsia" w:ascii="Times New Roman" w:hAnsi="Times New Roman" w:eastAsia="宋体" w:cs="Times New Roman"/>
                <w:color w:val="auto"/>
                <w:sz w:val="21"/>
                <w:szCs w:val="21"/>
                <w:highlight w:val="none"/>
              </w:rPr>
              <w:t>20.93t/a</w:t>
            </w:r>
          </w:p>
        </w:tc>
        <w:tc>
          <w:tcPr>
            <w:tcW w:w="1066" w:type="pct"/>
            <w:tcBorders>
              <w:tl2br w:val="nil"/>
              <w:tr2bl w:val="nil"/>
            </w:tcBorders>
            <w:shd w:val="clear" w:color="auto" w:fill="auto"/>
            <w:vAlign w:val="center"/>
          </w:tcPr>
          <w:p w14:paraId="1193631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eastAsia" w:ascii="Times New Roman" w:hAnsi="Times New Roman" w:eastAsia="宋体" w:cs="Times New Roman"/>
                <w:color w:val="auto"/>
                <w:sz w:val="21"/>
                <w:szCs w:val="21"/>
                <w:highlight w:val="none"/>
              </w:rPr>
              <w:t>2.093t/a</w:t>
            </w:r>
          </w:p>
        </w:tc>
      </w:tr>
      <w:tr w14:paraId="64E889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continue"/>
            <w:tcBorders>
              <w:tl2br w:val="nil"/>
              <w:tr2bl w:val="nil"/>
            </w:tcBorders>
            <w:shd w:val="clear" w:color="auto" w:fill="auto"/>
            <w:vAlign w:val="center"/>
          </w:tcPr>
          <w:p w14:paraId="04E2566C">
            <w:pPr>
              <w:spacing w:line="360" w:lineRule="exact"/>
              <w:ind w:firstLine="0" w:firstLineChars="0"/>
              <w:jc w:val="center"/>
              <w:rPr>
                <w:rFonts w:hint="default" w:ascii="Times New Roman" w:hAnsi="Times New Roman" w:cs="Times New Roman"/>
                <w:color w:val="auto"/>
                <w:sz w:val="21"/>
                <w:szCs w:val="21"/>
                <w:highlight w:val="none"/>
              </w:rPr>
            </w:pPr>
          </w:p>
        </w:tc>
        <w:tc>
          <w:tcPr>
            <w:tcW w:w="468" w:type="pct"/>
            <w:vMerge w:val="continue"/>
            <w:tcBorders>
              <w:tl2br w:val="nil"/>
              <w:tr2bl w:val="nil"/>
            </w:tcBorders>
            <w:shd w:val="clear" w:color="auto" w:fill="auto"/>
            <w:vAlign w:val="center"/>
          </w:tcPr>
          <w:p w14:paraId="69B8FAA0">
            <w:pPr>
              <w:spacing w:line="360" w:lineRule="exact"/>
              <w:ind w:firstLine="0" w:firstLineChars="0"/>
              <w:jc w:val="center"/>
              <w:rPr>
                <w:rFonts w:hint="default" w:ascii="Times New Roman" w:hAnsi="Times New Roman" w:cs="Times New Roman"/>
                <w:color w:val="auto"/>
                <w:sz w:val="21"/>
                <w:szCs w:val="21"/>
                <w:highlight w:val="none"/>
              </w:rPr>
            </w:pPr>
          </w:p>
        </w:tc>
        <w:tc>
          <w:tcPr>
            <w:tcW w:w="1029" w:type="pct"/>
            <w:gridSpan w:val="2"/>
            <w:vMerge w:val="continue"/>
            <w:tcBorders>
              <w:tl2br w:val="nil"/>
              <w:tr2bl w:val="nil"/>
            </w:tcBorders>
            <w:shd w:val="clear" w:color="auto" w:fill="auto"/>
            <w:vAlign w:val="center"/>
          </w:tcPr>
          <w:p w14:paraId="378BAE9A">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p>
        </w:tc>
        <w:tc>
          <w:tcPr>
            <w:tcW w:w="944" w:type="pct"/>
            <w:tcBorders>
              <w:tl2br w:val="nil"/>
              <w:tr2bl w:val="nil"/>
            </w:tcBorders>
            <w:shd w:val="clear" w:color="auto" w:fill="auto"/>
            <w:vAlign w:val="center"/>
          </w:tcPr>
          <w:p w14:paraId="75B28BF2">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pacing w:val="0"/>
                <w:kern w:val="2"/>
                <w:sz w:val="21"/>
                <w:szCs w:val="21"/>
                <w:highlight w:val="none"/>
                <w:vertAlign w:val="baseline"/>
                <w:lang w:val="en-US" w:eastAsia="zh-CN" w:bidi="ar-SA"/>
              </w:rPr>
              <w:t>氮氧化物</w:t>
            </w:r>
          </w:p>
        </w:tc>
        <w:tc>
          <w:tcPr>
            <w:tcW w:w="1165" w:type="pct"/>
            <w:tcBorders>
              <w:tl2br w:val="nil"/>
              <w:tr2bl w:val="nil"/>
            </w:tcBorders>
            <w:shd w:val="clear" w:color="auto" w:fill="auto"/>
            <w:vAlign w:val="center"/>
          </w:tcPr>
          <w:p w14:paraId="6E1C3B2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eastAsia" w:ascii="Times New Roman" w:hAnsi="Times New Roman" w:eastAsia="宋体" w:cs="Times New Roman"/>
                <w:color w:val="auto"/>
                <w:sz w:val="21"/>
                <w:szCs w:val="21"/>
                <w:highlight w:val="none"/>
              </w:rPr>
              <w:t>15.88t/a</w:t>
            </w:r>
          </w:p>
        </w:tc>
        <w:tc>
          <w:tcPr>
            <w:tcW w:w="1066" w:type="pct"/>
            <w:tcBorders>
              <w:tl2br w:val="nil"/>
              <w:tr2bl w:val="nil"/>
            </w:tcBorders>
            <w:shd w:val="clear" w:color="auto" w:fill="auto"/>
            <w:vAlign w:val="center"/>
          </w:tcPr>
          <w:p w14:paraId="09185B9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eastAsia" w:ascii="Times New Roman" w:hAnsi="Times New Roman" w:eastAsia="宋体" w:cs="Times New Roman"/>
                <w:color w:val="auto"/>
                <w:sz w:val="21"/>
                <w:szCs w:val="21"/>
                <w:highlight w:val="none"/>
              </w:rPr>
              <w:t>11.113t/a</w:t>
            </w:r>
          </w:p>
        </w:tc>
      </w:tr>
      <w:tr w14:paraId="307C5E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continue"/>
            <w:tcBorders>
              <w:tl2br w:val="nil"/>
              <w:tr2bl w:val="nil"/>
            </w:tcBorders>
            <w:shd w:val="clear" w:color="auto" w:fill="auto"/>
            <w:vAlign w:val="center"/>
          </w:tcPr>
          <w:p w14:paraId="38D75598">
            <w:pPr>
              <w:spacing w:line="360" w:lineRule="exact"/>
              <w:ind w:firstLine="0" w:firstLineChars="0"/>
              <w:jc w:val="center"/>
              <w:rPr>
                <w:rFonts w:hint="default" w:ascii="Times New Roman" w:hAnsi="Times New Roman" w:cs="Times New Roman"/>
                <w:color w:val="auto"/>
                <w:sz w:val="21"/>
                <w:szCs w:val="21"/>
                <w:highlight w:val="none"/>
              </w:rPr>
            </w:pPr>
          </w:p>
        </w:tc>
        <w:tc>
          <w:tcPr>
            <w:tcW w:w="468" w:type="pct"/>
            <w:vMerge w:val="continue"/>
            <w:tcBorders>
              <w:tl2br w:val="nil"/>
              <w:tr2bl w:val="nil"/>
            </w:tcBorders>
            <w:shd w:val="clear" w:color="auto" w:fill="auto"/>
            <w:vAlign w:val="center"/>
          </w:tcPr>
          <w:p w14:paraId="64E01346">
            <w:pPr>
              <w:spacing w:line="360" w:lineRule="exact"/>
              <w:ind w:firstLine="0" w:firstLineChars="0"/>
              <w:jc w:val="center"/>
              <w:rPr>
                <w:rFonts w:hint="default" w:ascii="Times New Roman" w:hAnsi="Times New Roman" w:cs="Times New Roman"/>
                <w:color w:val="auto"/>
                <w:sz w:val="21"/>
                <w:szCs w:val="21"/>
                <w:highlight w:val="none"/>
              </w:rPr>
            </w:pPr>
          </w:p>
        </w:tc>
        <w:tc>
          <w:tcPr>
            <w:tcW w:w="1029" w:type="pct"/>
            <w:gridSpan w:val="2"/>
            <w:vMerge w:val="continue"/>
            <w:tcBorders>
              <w:tl2br w:val="nil"/>
              <w:tr2bl w:val="nil"/>
            </w:tcBorders>
            <w:shd w:val="clear" w:color="auto" w:fill="auto"/>
            <w:vAlign w:val="center"/>
          </w:tcPr>
          <w:p w14:paraId="2D2B5CDE">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p>
        </w:tc>
        <w:tc>
          <w:tcPr>
            <w:tcW w:w="944" w:type="pct"/>
            <w:tcBorders>
              <w:tl2br w:val="nil"/>
              <w:tr2bl w:val="nil"/>
            </w:tcBorders>
            <w:shd w:val="clear" w:color="auto" w:fill="auto"/>
            <w:vAlign w:val="center"/>
          </w:tcPr>
          <w:p w14:paraId="5605016B">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pacing w:val="0"/>
                <w:kern w:val="2"/>
                <w:sz w:val="21"/>
                <w:szCs w:val="21"/>
                <w:highlight w:val="none"/>
                <w:vertAlign w:val="baseline"/>
                <w:lang w:val="en-US" w:eastAsia="zh-CN" w:bidi="ar-SA"/>
              </w:rPr>
              <w:t>汞及其化合物</w:t>
            </w:r>
          </w:p>
        </w:tc>
        <w:tc>
          <w:tcPr>
            <w:tcW w:w="1165" w:type="pct"/>
            <w:tcBorders>
              <w:tl2br w:val="nil"/>
              <w:tr2bl w:val="nil"/>
            </w:tcBorders>
            <w:shd w:val="clear" w:color="auto" w:fill="auto"/>
            <w:vAlign w:val="center"/>
          </w:tcPr>
          <w:p w14:paraId="1CC21CC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eastAsia" w:ascii="Times New Roman" w:hAnsi="Times New Roman" w:eastAsia="宋体" w:cs="Times New Roman"/>
                <w:color w:val="auto"/>
                <w:sz w:val="21"/>
                <w:szCs w:val="21"/>
                <w:highlight w:val="none"/>
              </w:rPr>
              <w:t>9.21</w:t>
            </w: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vertAlign w:val="superscript"/>
                <w:lang w:val="en-US" w:eastAsia="zh-CN"/>
              </w:rPr>
              <w:t>-4</w:t>
            </w:r>
            <w:r>
              <w:rPr>
                <w:rFonts w:hint="eastAsia" w:ascii="Times New Roman" w:hAnsi="Times New Roman" w:eastAsia="宋体" w:cs="Times New Roman"/>
                <w:color w:val="auto"/>
                <w:sz w:val="21"/>
                <w:szCs w:val="21"/>
                <w:highlight w:val="none"/>
              </w:rPr>
              <w:t>t/a</w:t>
            </w:r>
          </w:p>
        </w:tc>
        <w:tc>
          <w:tcPr>
            <w:tcW w:w="1066" w:type="pct"/>
            <w:tcBorders>
              <w:tl2br w:val="nil"/>
              <w:tr2bl w:val="nil"/>
            </w:tcBorders>
            <w:shd w:val="clear" w:color="auto" w:fill="auto"/>
            <w:vAlign w:val="center"/>
          </w:tcPr>
          <w:p w14:paraId="1577123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rPr>
            </w:pPr>
            <w:r>
              <w:rPr>
                <w:rFonts w:hint="eastAsia" w:ascii="Times New Roman" w:hAnsi="Times New Roman" w:eastAsia="宋体" w:cs="Times New Roman"/>
                <w:color w:val="auto"/>
                <w:sz w:val="21"/>
                <w:szCs w:val="21"/>
                <w:highlight w:val="none"/>
              </w:rPr>
              <w:t>2.76</w:t>
            </w: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vertAlign w:val="superscript"/>
                <w:lang w:val="en-US" w:eastAsia="zh-CN"/>
              </w:rPr>
              <w:t>-4</w:t>
            </w:r>
            <w:r>
              <w:rPr>
                <w:rFonts w:hint="eastAsia" w:ascii="Times New Roman" w:hAnsi="Times New Roman" w:eastAsia="宋体" w:cs="Times New Roman"/>
                <w:color w:val="auto"/>
                <w:sz w:val="21"/>
                <w:szCs w:val="21"/>
                <w:highlight w:val="none"/>
              </w:rPr>
              <w:t>t/a</w:t>
            </w:r>
          </w:p>
        </w:tc>
      </w:tr>
      <w:tr w14:paraId="65CE17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continue"/>
            <w:tcBorders>
              <w:tl2br w:val="nil"/>
              <w:tr2bl w:val="nil"/>
            </w:tcBorders>
            <w:shd w:val="clear" w:color="auto" w:fill="auto"/>
            <w:vAlign w:val="center"/>
          </w:tcPr>
          <w:p w14:paraId="3B3E041E">
            <w:pPr>
              <w:spacing w:line="360" w:lineRule="exact"/>
              <w:ind w:firstLine="0" w:firstLineChars="0"/>
              <w:jc w:val="center"/>
              <w:rPr>
                <w:rFonts w:hint="default" w:ascii="Times New Roman" w:hAnsi="Times New Roman" w:cs="Times New Roman"/>
                <w:color w:val="auto"/>
                <w:sz w:val="21"/>
                <w:szCs w:val="21"/>
                <w:highlight w:val="none"/>
              </w:rPr>
            </w:pPr>
          </w:p>
        </w:tc>
        <w:tc>
          <w:tcPr>
            <w:tcW w:w="468" w:type="pct"/>
            <w:vMerge w:val="restart"/>
            <w:tcBorders>
              <w:tl2br w:val="nil"/>
              <w:tr2bl w:val="nil"/>
            </w:tcBorders>
            <w:shd w:val="clear" w:color="auto" w:fill="auto"/>
            <w:vAlign w:val="center"/>
          </w:tcPr>
          <w:p w14:paraId="2FA6FF6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无组织</w:t>
            </w:r>
          </w:p>
        </w:tc>
        <w:tc>
          <w:tcPr>
            <w:tcW w:w="1029" w:type="pct"/>
            <w:gridSpan w:val="2"/>
            <w:vMerge w:val="restart"/>
            <w:tcBorders>
              <w:tl2br w:val="nil"/>
              <w:tr2bl w:val="nil"/>
            </w:tcBorders>
            <w:shd w:val="clear" w:color="auto" w:fill="auto"/>
            <w:vAlign w:val="center"/>
          </w:tcPr>
          <w:p w14:paraId="17C81499">
            <w:pPr>
              <w:spacing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破碎筛分及</w:t>
            </w:r>
          </w:p>
          <w:p w14:paraId="62B4CC6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转运粉尘</w:t>
            </w:r>
          </w:p>
        </w:tc>
        <w:tc>
          <w:tcPr>
            <w:tcW w:w="944" w:type="pct"/>
            <w:tcBorders>
              <w:tl2br w:val="nil"/>
              <w:tr2bl w:val="nil"/>
            </w:tcBorders>
            <w:shd w:val="clear" w:color="auto" w:fill="auto"/>
            <w:vAlign w:val="center"/>
          </w:tcPr>
          <w:p w14:paraId="4E79088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1165" w:type="pct"/>
            <w:tcBorders>
              <w:tl2br w:val="nil"/>
              <w:tr2bl w:val="nil"/>
            </w:tcBorders>
            <w:shd w:val="clear" w:color="auto" w:fill="auto"/>
            <w:vAlign w:val="center"/>
          </w:tcPr>
          <w:p w14:paraId="2A59979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rPr>
            </w:pPr>
            <w:r>
              <w:rPr>
                <w:rFonts w:hint="eastAsia" w:cs="Times New Roman"/>
                <w:color w:val="auto"/>
                <w:sz w:val="21"/>
                <w:szCs w:val="21"/>
                <w:highlight w:val="none"/>
                <w:lang w:val="en-US" w:eastAsia="zh-CN"/>
              </w:rPr>
              <w:t>25.84</w:t>
            </w:r>
            <w:r>
              <w:rPr>
                <w:rFonts w:hint="eastAsia" w:ascii="Times New Roman" w:hAnsi="Times New Roman" w:eastAsia="宋体" w:cs="Times New Roman"/>
                <w:color w:val="auto"/>
                <w:sz w:val="21"/>
                <w:szCs w:val="21"/>
                <w:highlight w:val="none"/>
              </w:rPr>
              <w:t>t/a</w:t>
            </w:r>
          </w:p>
        </w:tc>
        <w:tc>
          <w:tcPr>
            <w:tcW w:w="1066" w:type="pct"/>
            <w:tcBorders>
              <w:tl2br w:val="nil"/>
              <w:tr2bl w:val="nil"/>
            </w:tcBorders>
            <w:shd w:val="clear" w:color="auto" w:fill="auto"/>
            <w:vAlign w:val="center"/>
          </w:tcPr>
          <w:p w14:paraId="0A328BA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rPr>
            </w:pPr>
            <w:r>
              <w:rPr>
                <w:rFonts w:hint="eastAsia" w:cs="Times New Roman"/>
                <w:color w:val="auto"/>
                <w:sz w:val="21"/>
                <w:szCs w:val="21"/>
                <w:highlight w:val="none"/>
                <w:lang w:val="en-US" w:eastAsia="zh-CN"/>
              </w:rPr>
              <w:t>2.58</w:t>
            </w:r>
            <w:r>
              <w:rPr>
                <w:rFonts w:hint="eastAsia" w:ascii="Times New Roman" w:hAnsi="Times New Roman" w:eastAsia="宋体" w:cs="Times New Roman"/>
                <w:color w:val="auto"/>
                <w:sz w:val="21"/>
                <w:szCs w:val="21"/>
                <w:highlight w:val="none"/>
              </w:rPr>
              <w:t>t/a</w:t>
            </w:r>
          </w:p>
        </w:tc>
      </w:tr>
      <w:tr w14:paraId="078801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continue"/>
            <w:tcBorders>
              <w:tl2br w:val="nil"/>
              <w:tr2bl w:val="nil"/>
            </w:tcBorders>
            <w:shd w:val="clear" w:color="auto" w:fill="auto"/>
            <w:vAlign w:val="center"/>
          </w:tcPr>
          <w:p w14:paraId="75CD581C">
            <w:pPr>
              <w:spacing w:line="360" w:lineRule="exact"/>
              <w:ind w:firstLine="0" w:firstLineChars="0"/>
              <w:jc w:val="center"/>
              <w:rPr>
                <w:rFonts w:hint="default" w:ascii="Times New Roman" w:hAnsi="Times New Roman" w:cs="Times New Roman"/>
                <w:color w:val="auto"/>
                <w:sz w:val="21"/>
                <w:szCs w:val="21"/>
                <w:highlight w:val="none"/>
              </w:rPr>
            </w:pPr>
          </w:p>
        </w:tc>
        <w:tc>
          <w:tcPr>
            <w:tcW w:w="468" w:type="pct"/>
            <w:vMerge w:val="continue"/>
            <w:tcBorders>
              <w:tl2br w:val="nil"/>
              <w:tr2bl w:val="nil"/>
            </w:tcBorders>
            <w:shd w:val="clear" w:color="auto" w:fill="auto"/>
            <w:vAlign w:val="center"/>
          </w:tcPr>
          <w:p w14:paraId="76C3C9CD">
            <w:pPr>
              <w:spacing w:line="360" w:lineRule="exact"/>
              <w:ind w:firstLine="0" w:firstLineChars="0"/>
              <w:jc w:val="center"/>
              <w:rPr>
                <w:rFonts w:hint="default" w:ascii="Times New Roman" w:hAnsi="Times New Roman" w:cs="Times New Roman"/>
                <w:color w:val="auto"/>
                <w:sz w:val="21"/>
                <w:szCs w:val="21"/>
                <w:highlight w:val="none"/>
              </w:rPr>
            </w:pPr>
          </w:p>
        </w:tc>
        <w:tc>
          <w:tcPr>
            <w:tcW w:w="1029" w:type="pct"/>
            <w:gridSpan w:val="2"/>
            <w:vMerge w:val="continue"/>
            <w:tcBorders>
              <w:tl2br w:val="nil"/>
              <w:tr2bl w:val="nil"/>
            </w:tcBorders>
            <w:shd w:val="clear" w:color="auto" w:fill="auto"/>
            <w:vAlign w:val="center"/>
          </w:tcPr>
          <w:p w14:paraId="78DCB0DE">
            <w:pPr>
              <w:spacing w:line="360" w:lineRule="exact"/>
              <w:ind w:firstLine="0" w:firstLineChars="0"/>
              <w:jc w:val="center"/>
              <w:rPr>
                <w:rFonts w:hint="default" w:ascii="Times New Roman" w:hAnsi="Times New Roman" w:cs="Times New Roman"/>
                <w:color w:val="auto"/>
                <w:sz w:val="21"/>
                <w:szCs w:val="21"/>
                <w:highlight w:val="none"/>
                <w:lang w:eastAsia="zh-CN"/>
              </w:rPr>
            </w:pPr>
          </w:p>
        </w:tc>
        <w:tc>
          <w:tcPr>
            <w:tcW w:w="944" w:type="pct"/>
            <w:tcBorders>
              <w:tl2br w:val="nil"/>
              <w:tr2bl w:val="nil"/>
            </w:tcBorders>
            <w:shd w:val="clear" w:color="auto" w:fill="auto"/>
            <w:vAlign w:val="center"/>
          </w:tcPr>
          <w:p w14:paraId="71542C2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氟化物</w:t>
            </w:r>
          </w:p>
        </w:tc>
        <w:tc>
          <w:tcPr>
            <w:tcW w:w="1165" w:type="pct"/>
            <w:tcBorders>
              <w:tl2br w:val="nil"/>
              <w:tr2bl w:val="nil"/>
            </w:tcBorders>
            <w:shd w:val="clear" w:color="auto" w:fill="auto"/>
            <w:vAlign w:val="center"/>
          </w:tcPr>
          <w:p w14:paraId="5443248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eastAsia" w:cs="Times New Roman"/>
                <w:color w:val="auto"/>
                <w:sz w:val="21"/>
                <w:szCs w:val="21"/>
                <w:highlight w:val="none"/>
                <w:lang w:val="en-US" w:eastAsia="zh-CN"/>
              </w:rPr>
              <w:t>3.24</w:t>
            </w:r>
            <w:r>
              <w:rPr>
                <w:rFonts w:hint="eastAsia" w:ascii="Times New Roman" w:hAnsi="Times New Roman" w:eastAsia="宋体" w:cs="Times New Roman"/>
                <w:color w:val="auto"/>
                <w:sz w:val="21"/>
                <w:szCs w:val="21"/>
                <w:highlight w:val="none"/>
              </w:rPr>
              <w:t>t/a</w:t>
            </w:r>
          </w:p>
        </w:tc>
        <w:tc>
          <w:tcPr>
            <w:tcW w:w="1066" w:type="pct"/>
            <w:tcBorders>
              <w:tl2br w:val="nil"/>
              <w:tr2bl w:val="nil"/>
            </w:tcBorders>
            <w:shd w:val="clear" w:color="auto" w:fill="auto"/>
            <w:vAlign w:val="center"/>
          </w:tcPr>
          <w:p w14:paraId="68889FD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eastAsia" w:cs="Times New Roman"/>
                <w:color w:val="auto"/>
                <w:sz w:val="21"/>
                <w:szCs w:val="21"/>
                <w:highlight w:val="none"/>
                <w:lang w:val="en-US" w:eastAsia="zh-CN"/>
              </w:rPr>
              <w:t>0.32</w:t>
            </w:r>
            <w:r>
              <w:rPr>
                <w:rFonts w:hint="eastAsia" w:ascii="Times New Roman" w:hAnsi="Times New Roman" w:eastAsia="宋体" w:cs="Times New Roman"/>
                <w:color w:val="auto"/>
                <w:sz w:val="21"/>
                <w:szCs w:val="21"/>
                <w:highlight w:val="none"/>
              </w:rPr>
              <w:t>t/a</w:t>
            </w:r>
          </w:p>
        </w:tc>
      </w:tr>
      <w:tr w14:paraId="3BB52D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continue"/>
            <w:tcBorders>
              <w:tl2br w:val="nil"/>
              <w:tr2bl w:val="nil"/>
            </w:tcBorders>
            <w:shd w:val="clear" w:color="auto" w:fill="auto"/>
            <w:vAlign w:val="center"/>
          </w:tcPr>
          <w:p w14:paraId="5F326BDB">
            <w:pPr>
              <w:spacing w:line="360" w:lineRule="exact"/>
              <w:ind w:firstLine="0" w:firstLineChars="0"/>
              <w:jc w:val="center"/>
              <w:rPr>
                <w:rFonts w:hint="default" w:ascii="Times New Roman" w:hAnsi="Times New Roman" w:cs="Times New Roman"/>
                <w:color w:val="auto"/>
                <w:sz w:val="21"/>
                <w:szCs w:val="21"/>
                <w:highlight w:val="none"/>
              </w:rPr>
            </w:pPr>
          </w:p>
        </w:tc>
        <w:tc>
          <w:tcPr>
            <w:tcW w:w="468" w:type="pct"/>
            <w:vMerge w:val="continue"/>
            <w:tcBorders>
              <w:tl2br w:val="nil"/>
              <w:tr2bl w:val="nil"/>
            </w:tcBorders>
            <w:shd w:val="clear" w:color="auto" w:fill="auto"/>
            <w:vAlign w:val="center"/>
          </w:tcPr>
          <w:p w14:paraId="06B564FB">
            <w:pPr>
              <w:spacing w:line="360" w:lineRule="exact"/>
              <w:ind w:firstLine="0" w:firstLineChars="0"/>
              <w:jc w:val="center"/>
              <w:rPr>
                <w:rFonts w:hint="default" w:ascii="Times New Roman" w:hAnsi="Times New Roman" w:cs="Times New Roman"/>
                <w:color w:val="auto"/>
                <w:sz w:val="21"/>
                <w:szCs w:val="21"/>
                <w:highlight w:val="none"/>
              </w:rPr>
            </w:pPr>
          </w:p>
        </w:tc>
        <w:tc>
          <w:tcPr>
            <w:tcW w:w="1029" w:type="pct"/>
            <w:gridSpan w:val="2"/>
            <w:tcBorders>
              <w:tl2br w:val="nil"/>
              <w:tr2bl w:val="nil"/>
            </w:tcBorders>
            <w:shd w:val="clear" w:color="auto" w:fill="auto"/>
            <w:vAlign w:val="center"/>
          </w:tcPr>
          <w:p w14:paraId="36D0CEF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尾矿库</w:t>
            </w:r>
          </w:p>
        </w:tc>
        <w:tc>
          <w:tcPr>
            <w:tcW w:w="944" w:type="pct"/>
            <w:tcBorders>
              <w:tl2br w:val="nil"/>
              <w:tr2bl w:val="nil"/>
            </w:tcBorders>
            <w:shd w:val="clear" w:color="auto" w:fill="auto"/>
            <w:vAlign w:val="center"/>
          </w:tcPr>
          <w:p w14:paraId="6CA352E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1165" w:type="pct"/>
            <w:tcBorders>
              <w:tl2br w:val="nil"/>
              <w:tr2bl w:val="nil"/>
            </w:tcBorders>
            <w:shd w:val="clear" w:color="auto" w:fill="auto"/>
            <w:vAlign w:val="center"/>
          </w:tcPr>
          <w:p w14:paraId="493E1D8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rPr>
            </w:pPr>
            <w:r>
              <w:rPr>
                <w:rFonts w:hint="eastAsia" w:cs="Times New Roman"/>
                <w:color w:val="auto"/>
                <w:sz w:val="21"/>
                <w:szCs w:val="21"/>
                <w:highlight w:val="none"/>
                <w:lang w:val="en-US" w:eastAsia="zh-CN"/>
              </w:rPr>
              <w:t>0.0044</w:t>
            </w:r>
            <w:r>
              <w:rPr>
                <w:rFonts w:hint="eastAsia" w:ascii="Times New Roman" w:hAnsi="Times New Roman" w:eastAsia="宋体" w:cs="Times New Roman"/>
                <w:color w:val="auto"/>
                <w:sz w:val="21"/>
                <w:szCs w:val="21"/>
                <w:highlight w:val="none"/>
              </w:rPr>
              <w:t>t/a</w:t>
            </w:r>
          </w:p>
        </w:tc>
        <w:tc>
          <w:tcPr>
            <w:tcW w:w="1066" w:type="pct"/>
            <w:tcBorders>
              <w:tl2br w:val="nil"/>
              <w:tr2bl w:val="nil"/>
            </w:tcBorders>
            <w:shd w:val="clear" w:color="auto" w:fill="auto"/>
            <w:vAlign w:val="center"/>
          </w:tcPr>
          <w:p w14:paraId="33E3E6A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rPr>
            </w:pPr>
            <w:r>
              <w:rPr>
                <w:rFonts w:hint="eastAsia" w:cs="Times New Roman"/>
                <w:color w:val="auto"/>
                <w:sz w:val="21"/>
                <w:szCs w:val="21"/>
                <w:highlight w:val="none"/>
                <w:lang w:val="en-US" w:eastAsia="zh-CN"/>
              </w:rPr>
              <w:t>0.0044</w:t>
            </w:r>
            <w:r>
              <w:rPr>
                <w:rFonts w:hint="eastAsia" w:ascii="Times New Roman" w:hAnsi="Times New Roman" w:eastAsia="宋体" w:cs="Times New Roman"/>
                <w:color w:val="auto"/>
                <w:sz w:val="21"/>
                <w:szCs w:val="21"/>
                <w:highlight w:val="none"/>
              </w:rPr>
              <w:t>t/a</w:t>
            </w:r>
          </w:p>
        </w:tc>
      </w:tr>
      <w:tr w14:paraId="2CCD2C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continue"/>
            <w:tcBorders>
              <w:tl2br w:val="nil"/>
              <w:tr2bl w:val="nil"/>
            </w:tcBorders>
            <w:shd w:val="clear" w:color="auto" w:fill="auto"/>
            <w:vAlign w:val="center"/>
          </w:tcPr>
          <w:p w14:paraId="6B6FE11D">
            <w:pPr>
              <w:spacing w:line="360" w:lineRule="exact"/>
              <w:ind w:firstLine="0" w:firstLineChars="0"/>
              <w:jc w:val="center"/>
              <w:rPr>
                <w:rFonts w:hint="default" w:ascii="Times New Roman" w:hAnsi="Times New Roman" w:cs="Times New Roman"/>
                <w:color w:val="auto"/>
                <w:sz w:val="21"/>
                <w:szCs w:val="21"/>
                <w:highlight w:val="none"/>
              </w:rPr>
            </w:pPr>
          </w:p>
        </w:tc>
        <w:tc>
          <w:tcPr>
            <w:tcW w:w="468" w:type="pct"/>
            <w:vMerge w:val="continue"/>
            <w:tcBorders>
              <w:tl2br w:val="nil"/>
              <w:tr2bl w:val="nil"/>
            </w:tcBorders>
            <w:shd w:val="clear" w:color="auto" w:fill="auto"/>
            <w:vAlign w:val="center"/>
          </w:tcPr>
          <w:p w14:paraId="7FD5C43F">
            <w:pPr>
              <w:spacing w:line="360" w:lineRule="exact"/>
              <w:ind w:firstLine="0" w:firstLineChars="0"/>
              <w:jc w:val="center"/>
              <w:rPr>
                <w:rFonts w:hint="default" w:ascii="Times New Roman" w:hAnsi="Times New Roman" w:cs="Times New Roman"/>
                <w:color w:val="auto"/>
                <w:sz w:val="21"/>
                <w:szCs w:val="21"/>
                <w:highlight w:val="none"/>
              </w:rPr>
            </w:pPr>
          </w:p>
        </w:tc>
        <w:tc>
          <w:tcPr>
            <w:tcW w:w="1029" w:type="pct"/>
            <w:gridSpan w:val="2"/>
            <w:tcBorders>
              <w:tl2br w:val="nil"/>
              <w:tr2bl w:val="nil"/>
            </w:tcBorders>
            <w:shd w:val="clear" w:color="auto" w:fill="auto"/>
            <w:vAlign w:val="center"/>
          </w:tcPr>
          <w:p w14:paraId="5D4342A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道路扬尘</w:t>
            </w:r>
          </w:p>
        </w:tc>
        <w:tc>
          <w:tcPr>
            <w:tcW w:w="944" w:type="pct"/>
            <w:tcBorders>
              <w:tl2br w:val="nil"/>
              <w:tr2bl w:val="nil"/>
            </w:tcBorders>
            <w:shd w:val="clear" w:color="auto" w:fill="auto"/>
            <w:vAlign w:val="center"/>
          </w:tcPr>
          <w:p w14:paraId="7602260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1165" w:type="pct"/>
            <w:tcBorders>
              <w:tl2br w:val="nil"/>
              <w:tr2bl w:val="nil"/>
            </w:tcBorders>
            <w:shd w:val="clear" w:color="auto" w:fill="auto"/>
            <w:vAlign w:val="center"/>
          </w:tcPr>
          <w:p w14:paraId="52CECA3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rPr>
            </w:pPr>
            <w:r>
              <w:rPr>
                <w:rFonts w:hint="eastAsia" w:cs="Times New Roman"/>
                <w:color w:val="auto"/>
                <w:sz w:val="21"/>
                <w:szCs w:val="21"/>
                <w:highlight w:val="none"/>
                <w:lang w:val="en-US" w:eastAsia="zh-CN"/>
              </w:rPr>
              <w:t>12.63</w:t>
            </w:r>
            <w:r>
              <w:rPr>
                <w:rFonts w:hint="eastAsia" w:ascii="Times New Roman" w:hAnsi="Times New Roman" w:eastAsia="宋体" w:cs="Times New Roman"/>
                <w:color w:val="auto"/>
                <w:sz w:val="21"/>
                <w:szCs w:val="21"/>
                <w:highlight w:val="none"/>
              </w:rPr>
              <w:t>t/a</w:t>
            </w:r>
          </w:p>
        </w:tc>
        <w:tc>
          <w:tcPr>
            <w:tcW w:w="1066" w:type="pct"/>
            <w:tcBorders>
              <w:tl2br w:val="nil"/>
              <w:tr2bl w:val="nil"/>
            </w:tcBorders>
            <w:shd w:val="clear" w:color="auto" w:fill="auto"/>
            <w:vAlign w:val="center"/>
          </w:tcPr>
          <w:p w14:paraId="4974E28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rPr>
            </w:pPr>
            <w:r>
              <w:rPr>
                <w:rFonts w:hint="eastAsia" w:cs="Times New Roman"/>
                <w:color w:val="auto"/>
                <w:sz w:val="21"/>
                <w:szCs w:val="21"/>
                <w:highlight w:val="none"/>
                <w:lang w:val="en-US" w:eastAsia="zh-CN"/>
              </w:rPr>
              <w:t>2.53</w:t>
            </w:r>
            <w:r>
              <w:rPr>
                <w:rFonts w:hint="eastAsia" w:ascii="Times New Roman" w:hAnsi="Times New Roman" w:eastAsia="宋体" w:cs="Times New Roman"/>
                <w:color w:val="auto"/>
                <w:sz w:val="21"/>
                <w:szCs w:val="21"/>
                <w:highlight w:val="none"/>
              </w:rPr>
              <w:t>t/a</w:t>
            </w:r>
          </w:p>
        </w:tc>
      </w:tr>
      <w:tr w14:paraId="71CE8B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continue"/>
            <w:tcBorders>
              <w:tl2br w:val="nil"/>
              <w:tr2bl w:val="nil"/>
            </w:tcBorders>
            <w:shd w:val="clear" w:color="auto" w:fill="auto"/>
            <w:vAlign w:val="center"/>
          </w:tcPr>
          <w:p w14:paraId="2B0B8A7D">
            <w:pPr>
              <w:spacing w:line="360" w:lineRule="exact"/>
              <w:ind w:firstLine="0" w:firstLineChars="0"/>
              <w:jc w:val="center"/>
              <w:rPr>
                <w:rFonts w:hint="default" w:ascii="Times New Roman" w:hAnsi="Times New Roman" w:cs="Times New Roman"/>
                <w:color w:val="auto"/>
                <w:sz w:val="21"/>
                <w:szCs w:val="21"/>
                <w:highlight w:val="none"/>
              </w:rPr>
            </w:pPr>
          </w:p>
        </w:tc>
        <w:tc>
          <w:tcPr>
            <w:tcW w:w="468" w:type="pct"/>
            <w:vMerge w:val="continue"/>
            <w:tcBorders>
              <w:tl2br w:val="nil"/>
              <w:tr2bl w:val="nil"/>
            </w:tcBorders>
            <w:shd w:val="clear" w:color="auto" w:fill="auto"/>
            <w:vAlign w:val="center"/>
          </w:tcPr>
          <w:p w14:paraId="7ED17769">
            <w:pPr>
              <w:spacing w:line="360" w:lineRule="exact"/>
              <w:ind w:firstLine="0" w:firstLineChars="0"/>
              <w:jc w:val="center"/>
              <w:rPr>
                <w:rFonts w:hint="default" w:ascii="Times New Roman" w:hAnsi="Times New Roman" w:cs="Times New Roman"/>
                <w:color w:val="auto"/>
                <w:sz w:val="21"/>
                <w:szCs w:val="21"/>
                <w:highlight w:val="none"/>
              </w:rPr>
            </w:pPr>
          </w:p>
        </w:tc>
        <w:tc>
          <w:tcPr>
            <w:tcW w:w="1029" w:type="pct"/>
            <w:gridSpan w:val="2"/>
            <w:vMerge w:val="restart"/>
            <w:tcBorders>
              <w:tl2br w:val="nil"/>
              <w:tr2bl w:val="nil"/>
            </w:tcBorders>
            <w:shd w:val="clear" w:color="auto" w:fill="auto"/>
            <w:vAlign w:val="center"/>
          </w:tcPr>
          <w:p w14:paraId="7E71E8E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汽车尾气</w:t>
            </w:r>
          </w:p>
        </w:tc>
        <w:tc>
          <w:tcPr>
            <w:tcW w:w="944" w:type="pct"/>
            <w:tcBorders>
              <w:tl2br w:val="nil"/>
              <w:tr2bl w:val="nil"/>
            </w:tcBorders>
            <w:shd w:val="clear" w:color="auto" w:fill="auto"/>
            <w:vAlign w:val="center"/>
          </w:tcPr>
          <w:p w14:paraId="1F1DAA7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w:t>
            </w:r>
          </w:p>
        </w:tc>
        <w:tc>
          <w:tcPr>
            <w:tcW w:w="1165" w:type="pct"/>
            <w:tcBorders>
              <w:tl2br w:val="nil"/>
              <w:tr2bl w:val="nil"/>
            </w:tcBorders>
            <w:shd w:val="clear" w:color="auto" w:fill="auto"/>
            <w:vAlign w:val="center"/>
          </w:tcPr>
          <w:p w14:paraId="00EBA7C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rPr>
            </w:pPr>
            <w:r>
              <w:rPr>
                <w:rFonts w:hint="eastAsia" w:ascii="Times New Roman" w:hAnsi="Times New Roman" w:eastAsia="宋体" w:cs="Times New Roman"/>
                <w:color w:val="auto"/>
                <w:sz w:val="21"/>
                <w:szCs w:val="21"/>
                <w:highlight w:val="none"/>
              </w:rPr>
              <w:t>0.792t/a</w:t>
            </w:r>
          </w:p>
        </w:tc>
        <w:tc>
          <w:tcPr>
            <w:tcW w:w="1066" w:type="pct"/>
            <w:tcBorders>
              <w:tl2br w:val="nil"/>
              <w:tr2bl w:val="nil"/>
            </w:tcBorders>
            <w:shd w:val="clear" w:color="auto" w:fill="auto"/>
            <w:vAlign w:val="center"/>
          </w:tcPr>
          <w:p w14:paraId="2F6BAAE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rPr>
            </w:pPr>
            <w:r>
              <w:rPr>
                <w:rFonts w:hint="eastAsia" w:ascii="Times New Roman" w:hAnsi="Times New Roman" w:eastAsia="宋体" w:cs="Times New Roman"/>
                <w:color w:val="auto"/>
                <w:sz w:val="21"/>
                <w:szCs w:val="21"/>
                <w:highlight w:val="none"/>
              </w:rPr>
              <w:t>0.792t/a</w:t>
            </w:r>
          </w:p>
        </w:tc>
      </w:tr>
      <w:tr w14:paraId="007DB6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continue"/>
            <w:tcBorders>
              <w:tl2br w:val="nil"/>
              <w:tr2bl w:val="nil"/>
            </w:tcBorders>
            <w:shd w:val="clear" w:color="auto" w:fill="auto"/>
            <w:vAlign w:val="center"/>
          </w:tcPr>
          <w:p w14:paraId="424BA9B5">
            <w:pPr>
              <w:spacing w:line="360" w:lineRule="exact"/>
              <w:ind w:firstLine="0" w:firstLineChars="0"/>
              <w:jc w:val="center"/>
              <w:rPr>
                <w:rFonts w:hint="default" w:ascii="Times New Roman" w:hAnsi="Times New Roman" w:cs="Times New Roman"/>
                <w:color w:val="auto"/>
                <w:sz w:val="21"/>
                <w:szCs w:val="21"/>
                <w:highlight w:val="none"/>
              </w:rPr>
            </w:pPr>
          </w:p>
        </w:tc>
        <w:tc>
          <w:tcPr>
            <w:tcW w:w="468" w:type="pct"/>
            <w:vMerge w:val="continue"/>
            <w:tcBorders>
              <w:tl2br w:val="nil"/>
              <w:tr2bl w:val="nil"/>
            </w:tcBorders>
            <w:shd w:val="clear" w:color="auto" w:fill="auto"/>
            <w:vAlign w:val="center"/>
          </w:tcPr>
          <w:p w14:paraId="3266CCEC">
            <w:pPr>
              <w:spacing w:line="360" w:lineRule="exact"/>
              <w:ind w:firstLine="0" w:firstLineChars="0"/>
              <w:jc w:val="center"/>
              <w:rPr>
                <w:rFonts w:hint="default" w:ascii="Times New Roman" w:hAnsi="Times New Roman" w:cs="Times New Roman"/>
                <w:color w:val="auto"/>
                <w:sz w:val="21"/>
                <w:szCs w:val="21"/>
                <w:highlight w:val="none"/>
              </w:rPr>
            </w:pPr>
          </w:p>
        </w:tc>
        <w:tc>
          <w:tcPr>
            <w:tcW w:w="1029" w:type="pct"/>
            <w:gridSpan w:val="2"/>
            <w:vMerge w:val="continue"/>
            <w:tcBorders>
              <w:tl2br w:val="nil"/>
              <w:tr2bl w:val="nil"/>
            </w:tcBorders>
            <w:shd w:val="clear" w:color="auto" w:fill="auto"/>
            <w:vAlign w:val="center"/>
          </w:tcPr>
          <w:p w14:paraId="05790389">
            <w:pPr>
              <w:spacing w:line="360" w:lineRule="exact"/>
              <w:ind w:firstLine="0" w:firstLineChars="0"/>
              <w:jc w:val="center"/>
              <w:rPr>
                <w:rFonts w:hint="default" w:ascii="Times New Roman" w:hAnsi="Times New Roman" w:cs="Times New Roman"/>
                <w:color w:val="auto"/>
                <w:sz w:val="21"/>
                <w:szCs w:val="21"/>
                <w:highlight w:val="none"/>
              </w:rPr>
            </w:pPr>
          </w:p>
        </w:tc>
        <w:tc>
          <w:tcPr>
            <w:tcW w:w="944" w:type="pct"/>
            <w:tcBorders>
              <w:tl2br w:val="nil"/>
              <w:tr2bl w:val="nil"/>
            </w:tcBorders>
            <w:shd w:val="clear" w:color="auto" w:fill="auto"/>
            <w:vAlign w:val="center"/>
          </w:tcPr>
          <w:p w14:paraId="1EC8D8C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w:t>
            </w:r>
            <w:r>
              <w:rPr>
                <w:rFonts w:hint="default" w:ascii="Times New Roman" w:hAnsi="Times New Roman" w:cs="Times New Roman"/>
                <w:color w:val="auto"/>
                <w:sz w:val="21"/>
                <w:szCs w:val="21"/>
                <w:highlight w:val="none"/>
                <w:vertAlign w:val="subscript"/>
              </w:rPr>
              <w:t>n</w:t>
            </w:r>
            <w:r>
              <w:rPr>
                <w:rFonts w:hint="default" w:ascii="Times New Roman" w:hAnsi="Times New Roman" w:cs="Times New Roman"/>
                <w:color w:val="auto"/>
                <w:sz w:val="21"/>
                <w:szCs w:val="21"/>
                <w:highlight w:val="none"/>
              </w:rPr>
              <w:t>H</w:t>
            </w:r>
            <w:r>
              <w:rPr>
                <w:rFonts w:hint="default" w:ascii="Times New Roman" w:hAnsi="Times New Roman" w:cs="Times New Roman"/>
                <w:color w:val="auto"/>
                <w:sz w:val="21"/>
                <w:szCs w:val="21"/>
                <w:highlight w:val="none"/>
                <w:vertAlign w:val="subscript"/>
              </w:rPr>
              <w:t>m</w:t>
            </w:r>
          </w:p>
        </w:tc>
        <w:tc>
          <w:tcPr>
            <w:tcW w:w="1165" w:type="pct"/>
            <w:tcBorders>
              <w:tl2br w:val="nil"/>
              <w:tr2bl w:val="nil"/>
            </w:tcBorders>
            <w:shd w:val="clear" w:color="auto" w:fill="auto"/>
            <w:vAlign w:val="center"/>
          </w:tcPr>
          <w:p w14:paraId="7EFD6F8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rPr>
            </w:pPr>
            <w:r>
              <w:rPr>
                <w:rFonts w:hint="eastAsia" w:ascii="Times New Roman" w:hAnsi="Times New Roman" w:eastAsia="宋体" w:cs="Times New Roman"/>
                <w:color w:val="auto"/>
                <w:sz w:val="21"/>
                <w:szCs w:val="21"/>
                <w:highlight w:val="none"/>
              </w:rPr>
              <w:t>0.126t/a</w:t>
            </w:r>
          </w:p>
        </w:tc>
        <w:tc>
          <w:tcPr>
            <w:tcW w:w="1066" w:type="pct"/>
            <w:tcBorders>
              <w:tl2br w:val="nil"/>
              <w:tr2bl w:val="nil"/>
            </w:tcBorders>
            <w:shd w:val="clear" w:color="auto" w:fill="auto"/>
            <w:vAlign w:val="center"/>
          </w:tcPr>
          <w:p w14:paraId="713DDF8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rPr>
            </w:pPr>
            <w:r>
              <w:rPr>
                <w:rFonts w:hint="eastAsia" w:ascii="Times New Roman" w:hAnsi="Times New Roman" w:eastAsia="宋体" w:cs="Times New Roman"/>
                <w:color w:val="auto"/>
                <w:sz w:val="21"/>
                <w:szCs w:val="21"/>
                <w:highlight w:val="none"/>
              </w:rPr>
              <w:t>0.126t/a</w:t>
            </w:r>
          </w:p>
        </w:tc>
      </w:tr>
      <w:tr w14:paraId="5D9B62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continue"/>
            <w:tcBorders>
              <w:tl2br w:val="nil"/>
              <w:tr2bl w:val="nil"/>
            </w:tcBorders>
            <w:shd w:val="clear" w:color="auto" w:fill="auto"/>
            <w:vAlign w:val="center"/>
          </w:tcPr>
          <w:p w14:paraId="36E72550">
            <w:pPr>
              <w:spacing w:line="360" w:lineRule="exact"/>
              <w:ind w:firstLine="0" w:firstLineChars="0"/>
              <w:jc w:val="center"/>
              <w:rPr>
                <w:rFonts w:hint="default" w:ascii="Times New Roman" w:hAnsi="Times New Roman" w:cs="Times New Roman"/>
                <w:color w:val="auto"/>
                <w:sz w:val="21"/>
                <w:szCs w:val="21"/>
                <w:highlight w:val="none"/>
              </w:rPr>
            </w:pPr>
          </w:p>
        </w:tc>
        <w:tc>
          <w:tcPr>
            <w:tcW w:w="468" w:type="pct"/>
            <w:vMerge w:val="continue"/>
            <w:tcBorders>
              <w:tl2br w:val="nil"/>
              <w:tr2bl w:val="nil"/>
            </w:tcBorders>
            <w:shd w:val="clear" w:color="auto" w:fill="auto"/>
            <w:vAlign w:val="center"/>
          </w:tcPr>
          <w:p w14:paraId="55BA436C">
            <w:pPr>
              <w:spacing w:line="360" w:lineRule="exact"/>
              <w:ind w:firstLine="0" w:firstLineChars="0"/>
              <w:jc w:val="center"/>
              <w:rPr>
                <w:rFonts w:hint="default" w:ascii="Times New Roman" w:hAnsi="Times New Roman" w:cs="Times New Roman"/>
                <w:color w:val="auto"/>
                <w:sz w:val="21"/>
                <w:szCs w:val="21"/>
                <w:highlight w:val="none"/>
              </w:rPr>
            </w:pPr>
          </w:p>
        </w:tc>
        <w:tc>
          <w:tcPr>
            <w:tcW w:w="1029" w:type="pct"/>
            <w:gridSpan w:val="2"/>
            <w:vMerge w:val="continue"/>
            <w:tcBorders>
              <w:tl2br w:val="nil"/>
              <w:tr2bl w:val="nil"/>
            </w:tcBorders>
            <w:shd w:val="clear" w:color="auto" w:fill="auto"/>
            <w:vAlign w:val="center"/>
          </w:tcPr>
          <w:p w14:paraId="6E4E1EF4">
            <w:pPr>
              <w:pStyle w:val="49"/>
              <w:spacing w:line="360" w:lineRule="exact"/>
              <w:rPr>
                <w:rFonts w:hint="default" w:ascii="Times New Roman" w:hAnsi="Times New Roman" w:cs="Times New Roman"/>
                <w:b w:val="0"/>
                <w:color w:val="auto"/>
                <w:sz w:val="21"/>
                <w:szCs w:val="21"/>
                <w:highlight w:val="none"/>
              </w:rPr>
            </w:pPr>
          </w:p>
        </w:tc>
        <w:tc>
          <w:tcPr>
            <w:tcW w:w="944" w:type="pct"/>
            <w:tcBorders>
              <w:tl2br w:val="nil"/>
              <w:tr2bl w:val="nil"/>
            </w:tcBorders>
            <w:shd w:val="clear" w:color="auto" w:fill="auto"/>
            <w:vAlign w:val="center"/>
          </w:tcPr>
          <w:p w14:paraId="344F8CF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NOx</w:t>
            </w:r>
          </w:p>
        </w:tc>
        <w:tc>
          <w:tcPr>
            <w:tcW w:w="1165" w:type="pct"/>
            <w:tcBorders>
              <w:tl2br w:val="nil"/>
              <w:tr2bl w:val="nil"/>
            </w:tcBorders>
            <w:shd w:val="clear" w:color="auto" w:fill="auto"/>
            <w:vAlign w:val="center"/>
          </w:tcPr>
          <w:p w14:paraId="2B9515D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rPr>
            </w:pPr>
            <w:r>
              <w:rPr>
                <w:rFonts w:hint="eastAsia" w:ascii="Times New Roman" w:hAnsi="Times New Roman" w:eastAsia="宋体" w:cs="Times New Roman"/>
                <w:color w:val="auto"/>
                <w:sz w:val="21"/>
                <w:szCs w:val="21"/>
                <w:highlight w:val="none"/>
              </w:rPr>
              <w:t>0.026t/a</w:t>
            </w:r>
          </w:p>
        </w:tc>
        <w:tc>
          <w:tcPr>
            <w:tcW w:w="1066" w:type="pct"/>
            <w:tcBorders>
              <w:tl2br w:val="nil"/>
              <w:tr2bl w:val="nil"/>
            </w:tcBorders>
            <w:shd w:val="clear" w:color="auto" w:fill="auto"/>
            <w:vAlign w:val="center"/>
          </w:tcPr>
          <w:p w14:paraId="4D6CD85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rPr>
            </w:pPr>
            <w:r>
              <w:rPr>
                <w:rFonts w:hint="eastAsia" w:ascii="Times New Roman" w:hAnsi="Times New Roman" w:eastAsia="宋体" w:cs="Times New Roman"/>
                <w:color w:val="auto"/>
                <w:sz w:val="21"/>
                <w:szCs w:val="21"/>
                <w:highlight w:val="none"/>
              </w:rPr>
              <w:t>0.026t/a</w:t>
            </w:r>
          </w:p>
        </w:tc>
      </w:tr>
      <w:tr w14:paraId="097FB5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continue"/>
            <w:tcBorders>
              <w:tl2br w:val="nil"/>
              <w:tr2bl w:val="nil"/>
            </w:tcBorders>
            <w:shd w:val="clear" w:color="auto" w:fill="auto"/>
            <w:vAlign w:val="center"/>
          </w:tcPr>
          <w:p w14:paraId="5900CE82">
            <w:pPr>
              <w:spacing w:line="360" w:lineRule="exact"/>
              <w:ind w:firstLine="0" w:firstLineChars="0"/>
              <w:jc w:val="center"/>
              <w:rPr>
                <w:rFonts w:hint="default" w:ascii="Times New Roman" w:hAnsi="Times New Roman" w:cs="Times New Roman"/>
                <w:color w:val="auto"/>
                <w:sz w:val="21"/>
                <w:szCs w:val="21"/>
                <w:highlight w:val="none"/>
              </w:rPr>
            </w:pPr>
          </w:p>
        </w:tc>
        <w:tc>
          <w:tcPr>
            <w:tcW w:w="468" w:type="pct"/>
            <w:vMerge w:val="continue"/>
            <w:tcBorders>
              <w:tl2br w:val="nil"/>
              <w:tr2bl w:val="nil"/>
            </w:tcBorders>
            <w:shd w:val="clear" w:color="auto" w:fill="auto"/>
            <w:vAlign w:val="center"/>
          </w:tcPr>
          <w:p w14:paraId="3DC8C37E">
            <w:pPr>
              <w:spacing w:line="360" w:lineRule="exact"/>
              <w:ind w:firstLine="0" w:firstLineChars="0"/>
              <w:jc w:val="center"/>
              <w:rPr>
                <w:rFonts w:hint="default" w:ascii="Times New Roman" w:hAnsi="Times New Roman" w:cs="Times New Roman"/>
                <w:color w:val="auto"/>
                <w:sz w:val="21"/>
                <w:szCs w:val="21"/>
                <w:highlight w:val="none"/>
              </w:rPr>
            </w:pPr>
          </w:p>
        </w:tc>
        <w:tc>
          <w:tcPr>
            <w:tcW w:w="1029" w:type="pct"/>
            <w:gridSpan w:val="2"/>
            <w:tcBorders>
              <w:tl2br w:val="nil"/>
              <w:tr2bl w:val="nil"/>
            </w:tcBorders>
            <w:shd w:val="clear" w:color="auto" w:fill="auto"/>
            <w:vAlign w:val="center"/>
          </w:tcPr>
          <w:p w14:paraId="019868AB">
            <w:pPr>
              <w:widowControl/>
              <w:spacing w:line="240" w:lineRule="auto"/>
              <w:ind w:firstLine="0" w:firstLineChars="0"/>
              <w:jc w:val="center"/>
              <w:rPr>
                <w:rFonts w:hint="default" w:ascii="Times New Roman" w:hAnsi="Times New Roman" w:cs="Times New Roman"/>
                <w:b w:val="0"/>
                <w:color w:val="auto"/>
                <w:sz w:val="21"/>
                <w:szCs w:val="21"/>
                <w:highlight w:val="none"/>
              </w:rPr>
            </w:pPr>
            <w:r>
              <w:rPr>
                <w:rFonts w:hint="default" w:ascii="Times New Roman" w:hAnsi="Times New Roman" w:eastAsia="宋体" w:cs="Times New Roman"/>
                <w:color w:val="auto"/>
                <w:sz w:val="21"/>
                <w:szCs w:val="21"/>
                <w:highlight w:val="none"/>
              </w:rPr>
              <w:t>煤棚扬尘</w:t>
            </w:r>
          </w:p>
        </w:tc>
        <w:tc>
          <w:tcPr>
            <w:tcW w:w="944" w:type="pct"/>
            <w:tcBorders>
              <w:tl2br w:val="nil"/>
              <w:tr2bl w:val="nil"/>
            </w:tcBorders>
            <w:shd w:val="clear" w:color="auto" w:fill="auto"/>
            <w:vAlign w:val="center"/>
          </w:tcPr>
          <w:p w14:paraId="2E79B2F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165" w:type="pct"/>
            <w:tcBorders>
              <w:tl2br w:val="nil"/>
              <w:tr2bl w:val="nil"/>
            </w:tcBorders>
            <w:shd w:val="clear" w:color="auto" w:fill="auto"/>
            <w:vAlign w:val="center"/>
          </w:tcPr>
          <w:p w14:paraId="4CC28968">
            <w:pPr>
              <w:spacing w:line="360" w:lineRule="exact"/>
              <w:ind w:firstLine="0" w:firstLineChars="0"/>
              <w:jc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堆棚内沉降，影响轻微</w:t>
            </w:r>
          </w:p>
        </w:tc>
        <w:tc>
          <w:tcPr>
            <w:tcW w:w="1066" w:type="pct"/>
            <w:tcBorders>
              <w:tl2br w:val="nil"/>
              <w:tr2bl w:val="nil"/>
            </w:tcBorders>
            <w:shd w:val="clear" w:color="auto" w:fill="auto"/>
            <w:vAlign w:val="center"/>
          </w:tcPr>
          <w:p w14:paraId="19A98193">
            <w:pPr>
              <w:spacing w:line="360" w:lineRule="exact"/>
              <w:ind w:firstLine="0" w:firstLineChars="0"/>
              <w:jc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2A041C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continue"/>
            <w:tcBorders>
              <w:tl2br w:val="nil"/>
              <w:tr2bl w:val="nil"/>
            </w:tcBorders>
            <w:shd w:val="clear" w:color="auto" w:fill="auto"/>
            <w:vAlign w:val="center"/>
          </w:tcPr>
          <w:p w14:paraId="1101940F">
            <w:pPr>
              <w:spacing w:line="360" w:lineRule="exact"/>
              <w:ind w:firstLine="0" w:firstLineChars="0"/>
              <w:jc w:val="center"/>
              <w:rPr>
                <w:rFonts w:hint="default" w:ascii="Times New Roman" w:hAnsi="Times New Roman" w:cs="Times New Roman"/>
                <w:color w:val="auto"/>
                <w:sz w:val="21"/>
                <w:szCs w:val="21"/>
                <w:highlight w:val="none"/>
              </w:rPr>
            </w:pPr>
          </w:p>
        </w:tc>
        <w:tc>
          <w:tcPr>
            <w:tcW w:w="468" w:type="pct"/>
            <w:vMerge w:val="continue"/>
            <w:tcBorders>
              <w:tl2br w:val="nil"/>
              <w:tr2bl w:val="nil"/>
            </w:tcBorders>
            <w:shd w:val="clear" w:color="auto" w:fill="auto"/>
            <w:vAlign w:val="center"/>
          </w:tcPr>
          <w:p w14:paraId="0B3436F7">
            <w:pPr>
              <w:spacing w:line="360" w:lineRule="exact"/>
              <w:ind w:firstLine="0" w:firstLineChars="0"/>
              <w:jc w:val="center"/>
              <w:rPr>
                <w:rFonts w:hint="default" w:ascii="Times New Roman" w:hAnsi="Times New Roman" w:cs="Times New Roman"/>
                <w:color w:val="auto"/>
                <w:sz w:val="21"/>
                <w:szCs w:val="21"/>
                <w:highlight w:val="none"/>
              </w:rPr>
            </w:pPr>
          </w:p>
        </w:tc>
        <w:tc>
          <w:tcPr>
            <w:tcW w:w="1029" w:type="pct"/>
            <w:gridSpan w:val="2"/>
            <w:tcBorders>
              <w:tl2br w:val="nil"/>
              <w:tr2bl w:val="nil"/>
            </w:tcBorders>
            <w:shd w:val="clear" w:color="auto" w:fill="auto"/>
            <w:vAlign w:val="center"/>
          </w:tcPr>
          <w:p w14:paraId="084C5B9C">
            <w:pPr>
              <w:widowControl/>
              <w:spacing w:line="240" w:lineRule="auto"/>
              <w:ind w:firstLine="0" w:firstLineChars="0"/>
              <w:jc w:val="center"/>
              <w:rPr>
                <w:rFonts w:hint="default" w:ascii="Times New Roman" w:hAnsi="Times New Roman" w:cs="Times New Roman"/>
                <w:b w:val="0"/>
                <w:color w:val="auto"/>
                <w:sz w:val="21"/>
                <w:szCs w:val="21"/>
                <w:highlight w:val="none"/>
              </w:rPr>
            </w:pPr>
            <w:r>
              <w:rPr>
                <w:rFonts w:hint="default" w:ascii="Times New Roman" w:hAnsi="Times New Roman" w:eastAsia="宋体" w:cs="Times New Roman"/>
                <w:color w:val="auto"/>
                <w:sz w:val="21"/>
                <w:szCs w:val="21"/>
                <w:highlight w:val="none"/>
              </w:rPr>
              <w:t>灰渣暂存场地扬尘</w:t>
            </w:r>
          </w:p>
        </w:tc>
        <w:tc>
          <w:tcPr>
            <w:tcW w:w="944" w:type="pct"/>
            <w:tcBorders>
              <w:tl2br w:val="nil"/>
              <w:tr2bl w:val="nil"/>
            </w:tcBorders>
            <w:shd w:val="clear" w:color="auto" w:fill="auto"/>
            <w:vAlign w:val="center"/>
          </w:tcPr>
          <w:p w14:paraId="74152F8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165" w:type="pct"/>
            <w:tcBorders>
              <w:tl2br w:val="nil"/>
              <w:tr2bl w:val="nil"/>
            </w:tcBorders>
            <w:shd w:val="clear" w:color="auto" w:fill="auto"/>
            <w:vAlign w:val="center"/>
          </w:tcPr>
          <w:p w14:paraId="370ADFA5">
            <w:pPr>
              <w:spacing w:line="360" w:lineRule="exact"/>
              <w:ind w:firstLine="0" w:firstLineChars="0"/>
              <w:jc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堆棚内沉降，影响轻微</w:t>
            </w:r>
          </w:p>
        </w:tc>
        <w:tc>
          <w:tcPr>
            <w:tcW w:w="1066" w:type="pct"/>
            <w:tcBorders>
              <w:tl2br w:val="nil"/>
              <w:tr2bl w:val="nil"/>
            </w:tcBorders>
            <w:shd w:val="clear" w:color="auto" w:fill="auto"/>
            <w:vAlign w:val="center"/>
          </w:tcPr>
          <w:p w14:paraId="2510593E">
            <w:pPr>
              <w:spacing w:line="360" w:lineRule="exact"/>
              <w:ind w:firstLine="0" w:firstLineChars="0"/>
              <w:jc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7A378E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restart"/>
            <w:tcBorders>
              <w:tl2br w:val="nil"/>
              <w:tr2bl w:val="nil"/>
            </w:tcBorders>
            <w:shd w:val="clear" w:color="auto" w:fill="auto"/>
            <w:vAlign w:val="center"/>
          </w:tcPr>
          <w:p w14:paraId="13307B6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2442" w:type="pct"/>
            <w:gridSpan w:val="4"/>
            <w:tcBorders>
              <w:tl2br w:val="nil"/>
              <w:tr2bl w:val="nil"/>
            </w:tcBorders>
            <w:shd w:val="clear" w:color="auto" w:fill="auto"/>
            <w:vAlign w:val="center"/>
          </w:tcPr>
          <w:p w14:paraId="7CF1F44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选矿废水</w:t>
            </w:r>
          </w:p>
        </w:tc>
        <w:tc>
          <w:tcPr>
            <w:tcW w:w="1165" w:type="pct"/>
            <w:tcBorders>
              <w:tl2br w:val="nil"/>
              <w:tr2bl w:val="nil"/>
            </w:tcBorders>
            <w:shd w:val="clear" w:color="auto" w:fill="auto"/>
            <w:vAlign w:val="center"/>
          </w:tcPr>
          <w:p w14:paraId="717E74A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466200t/a</w:t>
            </w:r>
          </w:p>
        </w:tc>
        <w:tc>
          <w:tcPr>
            <w:tcW w:w="1066" w:type="pct"/>
            <w:tcBorders>
              <w:tl2br w:val="nil"/>
              <w:tr2bl w:val="nil"/>
            </w:tcBorders>
            <w:shd w:val="clear" w:color="auto" w:fill="auto"/>
            <w:vAlign w:val="center"/>
          </w:tcPr>
          <w:p w14:paraId="088E991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0t/a</w:t>
            </w:r>
          </w:p>
        </w:tc>
      </w:tr>
      <w:tr w14:paraId="37EAB1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continue"/>
            <w:tcBorders>
              <w:tl2br w:val="nil"/>
              <w:tr2bl w:val="nil"/>
            </w:tcBorders>
            <w:shd w:val="clear" w:color="auto" w:fill="auto"/>
            <w:vAlign w:val="center"/>
          </w:tcPr>
          <w:p w14:paraId="46B1EE87">
            <w:pPr>
              <w:spacing w:line="360" w:lineRule="exact"/>
              <w:ind w:firstLine="0" w:firstLineChars="0"/>
              <w:jc w:val="center"/>
              <w:rPr>
                <w:rFonts w:hint="default" w:ascii="Times New Roman" w:hAnsi="Times New Roman" w:cs="Times New Roman"/>
                <w:color w:val="auto"/>
                <w:sz w:val="21"/>
                <w:szCs w:val="21"/>
                <w:highlight w:val="none"/>
              </w:rPr>
            </w:pPr>
          </w:p>
        </w:tc>
        <w:tc>
          <w:tcPr>
            <w:tcW w:w="2442" w:type="pct"/>
            <w:gridSpan w:val="4"/>
            <w:tcBorders>
              <w:tl2br w:val="nil"/>
              <w:tr2bl w:val="nil"/>
            </w:tcBorders>
            <w:shd w:val="clear" w:color="auto" w:fill="auto"/>
            <w:vAlign w:val="center"/>
          </w:tcPr>
          <w:p w14:paraId="513BA5B1">
            <w:pPr>
              <w:spacing w:line="360" w:lineRule="exact"/>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锅炉废水</w:t>
            </w:r>
          </w:p>
        </w:tc>
        <w:tc>
          <w:tcPr>
            <w:tcW w:w="1165" w:type="pct"/>
            <w:tcBorders>
              <w:tl2br w:val="nil"/>
              <w:tr2bl w:val="nil"/>
            </w:tcBorders>
            <w:shd w:val="clear" w:color="auto" w:fill="auto"/>
            <w:vAlign w:val="center"/>
          </w:tcPr>
          <w:p w14:paraId="02DD80D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7380t/a</w:t>
            </w:r>
          </w:p>
        </w:tc>
        <w:tc>
          <w:tcPr>
            <w:tcW w:w="1066" w:type="pct"/>
            <w:tcBorders>
              <w:tl2br w:val="nil"/>
              <w:tr2bl w:val="nil"/>
            </w:tcBorders>
            <w:shd w:val="clear" w:color="auto" w:fill="auto"/>
            <w:vAlign w:val="center"/>
          </w:tcPr>
          <w:p w14:paraId="08E5CE4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0t/a</w:t>
            </w:r>
          </w:p>
        </w:tc>
      </w:tr>
      <w:tr w14:paraId="4D4CEF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continue"/>
            <w:tcBorders>
              <w:tl2br w:val="nil"/>
              <w:tr2bl w:val="nil"/>
            </w:tcBorders>
            <w:shd w:val="clear" w:color="auto" w:fill="auto"/>
            <w:vAlign w:val="center"/>
          </w:tcPr>
          <w:p w14:paraId="0BD5A313">
            <w:pPr>
              <w:spacing w:line="360" w:lineRule="exact"/>
              <w:ind w:firstLine="0" w:firstLineChars="0"/>
              <w:jc w:val="center"/>
              <w:rPr>
                <w:rFonts w:hint="default" w:ascii="Times New Roman" w:hAnsi="Times New Roman" w:cs="Times New Roman"/>
                <w:color w:val="auto"/>
                <w:sz w:val="21"/>
                <w:szCs w:val="21"/>
                <w:highlight w:val="none"/>
              </w:rPr>
            </w:pPr>
          </w:p>
        </w:tc>
        <w:tc>
          <w:tcPr>
            <w:tcW w:w="2442" w:type="pct"/>
            <w:gridSpan w:val="4"/>
            <w:tcBorders>
              <w:tl2br w:val="nil"/>
              <w:tr2bl w:val="nil"/>
            </w:tcBorders>
            <w:shd w:val="clear" w:color="auto" w:fill="auto"/>
            <w:vAlign w:val="center"/>
          </w:tcPr>
          <w:p w14:paraId="50D5294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生活污水</w:t>
            </w:r>
          </w:p>
        </w:tc>
        <w:tc>
          <w:tcPr>
            <w:tcW w:w="1165" w:type="pct"/>
            <w:tcBorders>
              <w:tl2br w:val="nil"/>
              <w:tr2bl w:val="nil"/>
            </w:tcBorders>
            <w:shd w:val="clear" w:color="auto" w:fill="auto"/>
            <w:vAlign w:val="center"/>
          </w:tcPr>
          <w:p w14:paraId="407D881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1800t/a</w:t>
            </w:r>
          </w:p>
        </w:tc>
        <w:tc>
          <w:tcPr>
            <w:tcW w:w="1066" w:type="pct"/>
            <w:tcBorders>
              <w:tl2br w:val="nil"/>
              <w:tr2bl w:val="nil"/>
            </w:tcBorders>
            <w:shd w:val="clear" w:color="auto" w:fill="auto"/>
            <w:vAlign w:val="center"/>
          </w:tcPr>
          <w:p w14:paraId="62E7F6D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1800t/a</w:t>
            </w:r>
          </w:p>
        </w:tc>
      </w:tr>
      <w:tr w14:paraId="5F7891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25" w:type="pct"/>
            <w:vMerge w:val="restart"/>
            <w:tcBorders>
              <w:tl2br w:val="nil"/>
              <w:tr2bl w:val="nil"/>
            </w:tcBorders>
            <w:shd w:val="clear" w:color="auto" w:fill="auto"/>
            <w:vAlign w:val="center"/>
          </w:tcPr>
          <w:p w14:paraId="4F6E2F9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w:t>
            </w:r>
          </w:p>
        </w:tc>
        <w:tc>
          <w:tcPr>
            <w:tcW w:w="563" w:type="pct"/>
            <w:gridSpan w:val="2"/>
            <w:tcBorders>
              <w:tl2br w:val="nil"/>
              <w:tr2bl w:val="nil"/>
            </w:tcBorders>
            <w:shd w:val="clear" w:color="auto" w:fill="auto"/>
            <w:vAlign w:val="center"/>
          </w:tcPr>
          <w:p w14:paraId="688536E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生活垃圾</w:t>
            </w:r>
          </w:p>
        </w:tc>
        <w:tc>
          <w:tcPr>
            <w:tcW w:w="1879" w:type="pct"/>
            <w:gridSpan w:val="2"/>
            <w:tcBorders>
              <w:tl2br w:val="nil"/>
              <w:tr2bl w:val="nil"/>
            </w:tcBorders>
            <w:shd w:val="clear" w:color="auto" w:fill="auto"/>
            <w:vAlign w:val="center"/>
          </w:tcPr>
          <w:p w14:paraId="6328080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生活垃圾</w:t>
            </w:r>
          </w:p>
        </w:tc>
        <w:tc>
          <w:tcPr>
            <w:tcW w:w="1165" w:type="pct"/>
            <w:tcBorders>
              <w:tl2br w:val="nil"/>
              <w:tr2bl w:val="nil"/>
            </w:tcBorders>
            <w:shd w:val="clear" w:color="auto" w:fill="auto"/>
            <w:vAlign w:val="center"/>
          </w:tcPr>
          <w:p w14:paraId="4F18DEA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bCs/>
                <w:color w:val="auto"/>
                <w:sz w:val="21"/>
                <w:szCs w:val="21"/>
                <w:highlight w:val="none"/>
                <w:lang w:val="en-US" w:eastAsia="zh-CN"/>
              </w:rPr>
              <w:t>21.6t/a</w:t>
            </w:r>
          </w:p>
        </w:tc>
        <w:tc>
          <w:tcPr>
            <w:tcW w:w="1066" w:type="pct"/>
            <w:tcBorders>
              <w:tl2br w:val="nil"/>
              <w:tr2bl w:val="nil"/>
            </w:tcBorders>
            <w:shd w:val="clear" w:color="auto" w:fill="auto"/>
            <w:vAlign w:val="center"/>
          </w:tcPr>
          <w:p w14:paraId="6AAF6D9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bCs/>
                <w:color w:val="auto"/>
                <w:sz w:val="21"/>
                <w:szCs w:val="21"/>
                <w:highlight w:val="none"/>
                <w:lang w:val="en-US" w:eastAsia="zh-CN"/>
              </w:rPr>
              <w:t>21.6t/a</w:t>
            </w:r>
          </w:p>
        </w:tc>
      </w:tr>
      <w:tr w14:paraId="1172CA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25" w:type="pct"/>
            <w:vMerge w:val="continue"/>
            <w:tcBorders>
              <w:tl2br w:val="nil"/>
              <w:tr2bl w:val="nil"/>
            </w:tcBorders>
            <w:shd w:val="clear" w:color="auto" w:fill="auto"/>
            <w:vAlign w:val="center"/>
          </w:tcPr>
          <w:p w14:paraId="776C3316">
            <w:pPr>
              <w:spacing w:line="360" w:lineRule="exact"/>
              <w:ind w:firstLine="0" w:firstLineChars="0"/>
              <w:jc w:val="center"/>
              <w:rPr>
                <w:rFonts w:hint="default" w:ascii="Times New Roman" w:hAnsi="Times New Roman" w:cs="Times New Roman"/>
                <w:color w:val="auto"/>
                <w:sz w:val="21"/>
                <w:szCs w:val="21"/>
                <w:highlight w:val="none"/>
              </w:rPr>
            </w:pPr>
          </w:p>
        </w:tc>
        <w:tc>
          <w:tcPr>
            <w:tcW w:w="563" w:type="pct"/>
            <w:gridSpan w:val="2"/>
            <w:vMerge w:val="restart"/>
            <w:tcBorders>
              <w:tl2br w:val="nil"/>
              <w:tr2bl w:val="nil"/>
            </w:tcBorders>
            <w:shd w:val="clear" w:color="auto" w:fill="auto"/>
            <w:vAlign w:val="center"/>
          </w:tcPr>
          <w:p w14:paraId="16CCD26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一般固废</w:t>
            </w:r>
          </w:p>
        </w:tc>
        <w:tc>
          <w:tcPr>
            <w:tcW w:w="1879" w:type="pct"/>
            <w:gridSpan w:val="2"/>
            <w:tcBorders>
              <w:tl2br w:val="nil"/>
              <w:tr2bl w:val="nil"/>
            </w:tcBorders>
            <w:shd w:val="clear" w:color="auto" w:fill="auto"/>
            <w:vAlign w:val="center"/>
          </w:tcPr>
          <w:p w14:paraId="21E9D1E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尾矿砂</w:t>
            </w:r>
          </w:p>
        </w:tc>
        <w:tc>
          <w:tcPr>
            <w:tcW w:w="1165" w:type="pct"/>
            <w:tcBorders>
              <w:tl2br w:val="nil"/>
              <w:tr2bl w:val="nil"/>
            </w:tcBorders>
            <w:shd w:val="clear" w:color="auto" w:fill="auto"/>
            <w:vAlign w:val="center"/>
          </w:tcPr>
          <w:p w14:paraId="6F44B8D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bCs/>
                <w:color w:val="auto"/>
                <w:sz w:val="21"/>
                <w:szCs w:val="21"/>
                <w:highlight w:val="none"/>
                <w:lang w:val="en-US" w:eastAsia="zh-CN"/>
              </w:rPr>
              <w:t>46.62万t/a</w:t>
            </w:r>
          </w:p>
        </w:tc>
        <w:tc>
          <w:tcPr>
            <w:tcW w:w="1066" w:type="pct"/>
            <w:tcBorders>
              <w:tl2br w:val="nil"/>
              <w:tr2bl w:val="nil"/>
            </w:tcBorders>
            <w:shd w:val="clear" w:color="auto" w:fill="auto"/>
            <w:vAlign w:val="center"/>
          </w:tcPr>
          <w:p w14:paraId="3BBBD6C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bCs/>
                <w:color w:val="auto"/>
                <w:sz w:val="21"/>
                <w:szCs w:val="21"/>
                <w:highlight w:val="none"/>
                <w:lang w:val="en-US" w:eastAsia="zh-CN"/>
              </w:rPr>
              <w:t>46.62万t/a</w:t>
            </w:r>
          </w:p>
        </w:tc>
      </w:tr>
      <w:tr w14:paraId="09ED1A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continue"/>
            <w:tcBorders>
              <w:tl2br w:val="nil"/>
              <w:tr2bl w:val="nil"/>
            </w:tcBorders>
            <w:shd w:val="clear" w:color="auto" w:fill="auto"/>
            <w:vAlign w:val="center"/>
          </w:tcPr>
          <w:p w14:paraId="1A297EBA">
            <w:pPr>
              <w:spacing w:line="360" w:lineRule="exact"/>
              <w:ind w:firstLine="0" w:firstLineChars="0"/>
              <w:jc w:val="center"/>
              <w:rPr>
                <w:rFonts w:hint="default" w:ascii="Times New Roman" w:hAnsi="Times New Roman" w:cs="Times New Roman"/>
                <w:color w:val="auto"/>
                <w:sz w:val="21"/>
                <w:szCs w:val="21"/>
                <w:highlight w:val="none"/>
              </w:rPr>
            </w:pPr>
          </w:p>
        </w:tc>
        <w:tc>
          <w:tcPr>
            <w:tcW w:w="563" w:type="pct"/>
            <w:gridSpan w:val="2"/>
            <w:vMerge w:val="continue"/>
            <w:tcBorders>
              <w:tl2br w:val="nil"/>
              <w:tr2bl w:val="nil"/>
            </w:tcBorders>
            <w:shd w:val="clear" w:color="auto" w:fill="auto"/>
            <w:vAlign w:val="center"/>
          </w:tcPr>
          <w:p w14:paraId="27895E00">
            <w:pPr>
              <w:spacing w:line="360" w:lineRule="exact"/>
              <w:ind w:firstLine="0" w:firstLineChars="0"/>
              <w:jc w:val="center"/>
              <w:rPr>
                <w:rFonts w:hint="default" w:ascii="Times New Roman" w:hAnsi="Times New Roman" w:cs="Times New Roman"/>
                <w:color w:val="auto"/>
                <w:sz w:val="21"/>
                <w:szCs w:val="21"/>
                <w:highlight w:val="none"/>
              </w:rPr>
            </w:pPr>
          </w:p>
        </w:tc>
        <w:tc>
          <w:tcPr>
            <w:tcW w:w="1879" w:type="pct"/>
            <w:gridSpan w:val="2"/>
            <w:tcBorders>
              <w:tl2br w:val="nil"/>
              <w:tr2bl w:val="nil"/>
            </w:tcBorders>
            <w:shd w:val="clear" w:color="auto" w:fill="auto"/>
            <w:vAlign w:val="center"/>
          </w:tcPr>
          <w:p w14:paraId="0BC08E0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除尘灰</w:t>
            </w:r>
          </w:p>
        </w:tc>
        <w:tc>
          <w:tcPr>
            <w:tcW w:w="1165" w:type="pct"/>
            <w:tcBorders>
              <w:tl2br w:val="nil"/>
              <w:tr2bl w:val="nil"/>
            </w:tcBorders>
            <w:shd w:val="clear" w:color="auto" w:fill="auto"/>
            <w:vAlign w:val="center"/>
          </w:tcPr>
          <w:p w14:paraId="18403F3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bCs/>
                <w:color w:val="auto"/>
                <w:sz w:val="21"/>
                <w:szCs w:val="21"/>
                <w:highlight w:val="none"/>
                <w:lang w:val="en-US" w:eastAsia="zh-CN"/>
              </w:rPr>
              <w:t>160.03t/a</w:t>
            </w:r>
          </w:p>
        </w:tc>
        <w:tc>
          <w:tcPr>
            <w:tcW w:w="1066" w:type="pct"/>
            <w:tcBorders>
              <w:tl2br w:val="nil"/>
              <w:tr2bl w:val="nil"/>
            </w:tcBorders>
            <w:shd w:val="clear" w:color="auto" w:fill="auto"/>
            <w:vAlign w:val="center"/>
          </w:tcPr>
          <w:p w14:paraId="25DB41E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134.19t/a</w:t>
            </w:r>
          </w:p>
        </w:tc>
      </w:tr>
      <w:tr w14:paraId="721DF0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continue"/>
            <w:tcBorders>
              <w:tl2br w:val="nil"/>
              <w:tr2bl w:val="nil"/>
            </w:tcBorders>
            <w:shd w:val="clear" w:color="auto" w:fill="auto"/>
            <w:vAlign w:val="center"/>
          </w:tcPr>
          <w:p w14:paraId="7BAF8A4D">
            <w:pPr>
              <w:spacing w:line="360" w:lineRule="exact"/>
              <w:ind w:firstLine="0" w:firstLineChars="0"/>
              <w:jc w:val="center"/>
              <w:rPr>
                <w:rFonts w:hint="default" w:ascii="Times New Roman" w:hAnsi="Times New Roman" w:cs="Times New Roman"/>
                <w:color w:val="auto"/>
                <w:sz w:val="21"/>
                <w:szCs w:val="21"/>
                <w:highlight w:val="none"/>
              </w:rPr>
            </w:pPr>
          </w:p>
        </w:tc>
        <w:tc>
          <w:tcPr>
            <w:tcW w:w="563" w:type="pct"/>
            <w:gridSpan w:val="2"/>
            <w:vMerge w:val="continue"/>
            <w:tcBorders>
              <w:tl2br w:val="nil"/>
              <w:tr2bl w:val="nil"/>
            </w:tcBorders>
            <w:shd w:val="clear" w:color="auto" w:fill="auto"/>
            <w:vAlign w:val="center"/>
          </w:tcPr>
          <w:p w14:paraId="55044DBD">
            <w:pPr>
              <w:spacing w:line="360" w:lineRule="exact"/>
              <w:ind w:firstLine="0" w:firstLineChars="0"/>
              <w:jc w:val="center"/>
              <w:rPr>
                <w:rFonts w:hint="default" w:ascii="Times New Roman" w:hAnsi="Times New Roman" w:cs="Times New Roman"/>
                <w:color w:val="auto"/>
                <w:sz w:val="21"/>
                <w:szCs w:val="21"/>
                <w:highlight w:val="none"/>
              </w:rPr>
            </w:pPr>
          </w:p>
        </w:tc>
        <w:tc>
          <w:tcPr>
            <w:tcW w:w="1879" w:type="pct"/>
            <w:gridSpan w:val="2"/>
            <w:tcBorders>
              <w:tl2br w:val="nil"/>
              <w:tr2bl w:val="nil"/>
            </w:tcBorders>
            <w:shd w:val="clear" w:color="auto" w:fill="auto"/>
            <w:vAlign w:val="center"/>
          </w:tcPr>
          <w:p w14:paraId="12281A0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废离子交换树脂</w:t>
            </w:r>
          </w:p>
        </w:tc>
        <w:tc>
          <w:tcPr>
            <w:tcW w:w="1165" w:type="pct"/>
            <w:tcBorders>
              <w:tl2br w:val="nil"/>
              <w:tr2bl w:val="nil"/>
            </w:tcBorders>
            <w:shd w:val="clear" w:color="auto" w:fill="auto"/>
            <w:vAlign w:val="center"/>
          </w:tcPr>
          <w:p w14:paraId="4403E47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bCs/>
                <w:color w:val="auto"/>
                <w:sz w:val="21"/>
                <w:szCs w:val="21"/>
                <w:highlight w:val="none"/>
                <w:lang w:val="en-US" w:eastAsia="zh-CN"/>
              </w:rPr>
              <w:t>0.2t/3a</w:t>
            </w:r>
          </w:p>
        </w:tc>
        <w:tc>
          <w:tcPr>
            <w:tcW w:w="1066" w:type="pct"/>
            <w:tcBorders>
              <w:tl2br w:val="nil"/>
              <w:tr2bl w:val="nil"/>
            </w:tcBorders>
            <w:shd w:val="clear" w:color="auto" w:fill="auto"/>
            <w:vAlign w:val="center"/>
          </w:tcPr>
          <w:p w14:paraId="30D5739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0t/a</w:t>
            </w:r>
          </w:p>
        </w:tc>
      </w:tr>
      <w:tr w14:paraId="32E707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continue"/>
            <w:tcBorders>
              <w:tl2br w:val="nil"/>
              <w:tr2bl w:val="nil"/>
            </w:tcBorders>
            <w:shd w:val="clear" w:color="auto" w:fill="auto"/>
            <w:vAlign w:val="center"/>
          </w:tcPr>
          <w:p w14:paraId="5862A684">
            <w:pPr>
              <w:spacing w:line="360" w:lineRule="exact"/>
              <w:ind w:firstLine="0" w:firstLineChars="0"/>
              <w:jc w:val="center"/>
              <w:rPr>
                <w:rFonts w:hint="default" w:ascii="Times New Roman" w:hAnsi="Times New Roman" w:cs="Times New Roman"/>
                <w:color w:val="auto"/>
                <w:sz w:val="21"/>
                <w:szCs w:val="21"/>
                <w:highlight w:val="none"/>
              </w:rPr>
            </w:pPr>
          </w:p>
        </w:tc>
        <w:tc>
          <w:tcPr>
            <w:tcW w:w="563" w:type="pct"/>
            <w:gridSpan w:val="2"/>
            <w:vMerge w:val="continue"/>
            <w:tcBorders>
              <w:tl2br w:val="nil"/>
              <w:tr2bl w:val="nil"/>
            </w:tcBorders>
            <w:shd w:val="clear" w:color="auto" w:fill="auto"/>
            <w:vAlign w:val="center"/>
          </w:tcPr>
          <w:p w14:paraId="4A604477">
            <w:pPr>
              <w:spacing w:line="360" w:lineRule="exact"/>
              <w:ind w:firstLine="0" w:firstLineChars="0"/>
              <w:jc w:val="center"/>
              <w:rPr>
                <w:rFonts w:hint="default" w:ascii="Times New Roman" w:hAnsi="Times New Roman" w:cs="Times New Roman"/>
                <w:color w:val="auto"/>
                <w:sz w:val="21"/>
                <w:szCs w:val="21"/>
                <w:highlight w:val="none"/>
              </w:rPr>
            </w:pPr>
          </w:p>
        </w:tc>
        <w:tc>
          <w:tcPr>
            <w:tcW w:w="1879" w:type="pct"/>
            <w:gridSpan w:val="2"/>
            <w:tcBorders>
              <w:tl2br w:val="nil"/>
              <w:tr2bl w:val="nil"/>
            </w:tcBorders>
            <w:shd w:val="clear" w:color="auto" w:fill="auto"/>
            <w:vAlign w:val="center"/>
          </w:tcPr>
          <w:p w14:paraId="11CF94DB">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循环水池底泥</w:t>
            </w:r>
          </w:p>
        </w:tc>
        <w:tc>
          <w:tcPr>
            <w:tcW w:w="1165" w:type="pct"/>
            <w:tcBorders>
              <w:tl2br w:val="nil"/>
              <w:tr2bl w:val="nil"/>
            </w:tcBorders>
            <w:shd w:val="clear" w:color="auto" w:fill="auto"/>
            <w:vAlign w:val="center"/>
          </w:tcPr>
          <w:p w14:paraId="6A709BB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bCs/>
                <w:color w:val="auto"/>
                <w:sz w:val="21"/>
                <w:szCs w:val="21"/>
                <w:highlight w:val="none"/>
                <w:lang w:val="en-US" w:eastAsia="zh-CN"/>
              </w:rPr>
              <w:t>120t/a</w:t>
            </w:r>
          </w:p>
        </w:tc>
        <w:tc>
          <w:tcPr>
            <w:tcW w:w="1066" w:type="pct"/>
            <w:tcBorders>
              <w:tl2br w:val="nil"/>
              <w:tr2bl w:val="nil"/>
            </w:tcBorders>
            <w:shd w:val="clear" w:color="auto" w:fill="auto"/>
            <w:vAlign w:val="center"/>
          </w:tcPr>
          <w:p w14:paraId="0514A88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0t/a</w:t>
            </w:r>
          </w:p>
        </w:tc>
      </w:tr>
      <w:tr w14:paraId="42C8A9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continue"/>
            <w:tcBorders>
              <w:tl2br w:val="nil"/>
              <w:tr2bl w:val="nil"/>
            </w:tcBorders>
            <w:shd w:val="clear" w:color="auto" w:fill="auto"/>
            <w:vAlign w:val="center"/>
          </w:tcPr>
          <w:p w14:paraId="025CDF09">
            <w:pPr>
              <w:spacing w:line="360" w:lineRule="exact"/>
              <w:ind w:firstLine="0" w:firstLineChars="0"/>
              <w:jc w:val="center"/>
              <w:rPr>
                <w:rFonts w:hint="default" w:ascii="Times New Roman" w:hAnsi="Times New Roman" w:cs="Times New Roman"/>
                <w:color w:val="auto"/>
                <w:sz w:val="21"/>
                <w:szCs w:val="21"/>
                <w:highlight w:val="none"/>
              </w:rPr>
            </w:pPr>
          </w:p>
        </w:tc>
        <w:tc>
          <w:tcPr>
            <w:tcW w:w="563" w:type="pct"/>
            <w:gridSpan w:val="2"/>
            <w:vMerge w:val="continue"/>
            <w:tcBorders>
              <w:tl2br w:val="nil"/>
              <w:tr2bl w:val="nil"/>
            </w:tcBorders>
            <w:shd w:val="clear" w:color="auto" w:fill="auto"/>
            <w:vAlign w:val="center"/>
          </w:tcPr>
          <w:p w14:paraId="1FF5E002">
            <w:pPr>
              <w:spacing w:line="360" w:lineRule="exact"/>
              <w:ind w:firstLine="0" w:firstLineChars="0"/>
              <w:jc w:val="center"/>
              <w:rPr>
                <w:rFonts w:hint="eastAsia" w:ascii="Times New Roman" w:hAnsi="Times New Roman" w:eastAsia="宋体" w:cs="Times New Roman"/>
                <w:color w:val="auto"/>
                <w:sz w:val="21"/>
                <w:szCs w:val="21"/>
                <w:highlight w:val="none"/>
                <w:lang w:val="en-US" w:eastAsia="zh-CN"/>
              </w:rPr>
            </w:pPr>
          </w:p>
        </w:tc>
        <w:tc>
          <w:tcPr>
            <w:tcW w:w="1879" w:type="pct"/>
            <w:gridSpan w:val="2"/>
            <w:tcBorders>
              <w:tl2br w:val="nil"/>
              <w:tr2bl w:val="nil"/>
            </w:tcBorders>
            <w:shd w:val="clear" w:color="auto" w:fill="auto"/>
            <w:vAlign w:val="center"/>
          </w:tcPr>
          <w:p w14:paraId="131D26E3">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废布袋</w:t>
            </w:r>
          </w:p>
        </w:tc>
        <w:tc>
          <w:tcPr>
            <w:tcW w:w="1165" w:type="pct"/>
            <w:tcBorders>
              <w:tl2br w:val="nil"/>
              <w:tr2bl w:val="nil"/>
            </w:tcBorders>
            <w:shd w:val="clear" w:color="auto" w:fill="auto"/>
            <w:vAlign w:val="center"/>
          </w:tcPr>
          <w:p w14:paraId="6CC6E57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0.5t/a</w:t>
            </w:r>
          </w:p>
        </w:tc>
        <w:tc>
          <w:tcPr>
            <w:tcW w:w="1066" w:type="pct"/>
            <w:tcBorders>
              <w:tl2br w:val="nil"/>
              <w:tr2bl w:val="nil"/>
            </w:tcBorders>
            <w:shd w:val="clear" w:color="auto" w:fill="auto"/>
            <w:vAlign w:val="center"/>
          </w:tcPr>
          <w:p w14:paraId="01BBFCA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0.5t/a</w:t>
            </w:r>
          </w:p>
        </w:tc>
      </w:tr>
      <w:tr w14:paraId="2BC295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continue"/>
            <w:tcBorders>
              <w:tl2br w:val="nil"/>
              <w:tr2bl w:val="nil"/>
            </w:tcBorders>
            <w:shd w:val="clear" w:color="auto" w:fill="auto"/>
            <w:vAlign w:val="center"/>
          </w:tcPr>
          <w:p w14:paraId="34E22AA3">
            <w:pPr>
              <w:spacing w:line="360" w:lineRule="exact"/>
              <w:ind w:firstLine="0" w:firstLineChars="0"/>
              <w:jc w:val="center"/>
              <w:rPr>
                <w:rFonts w:hint="default" w:ascii="Times New Roman" w:hAnsi="Times New Roman" w:cs="Times New Roman"/>
                <w:color w:val="auto"/>
                <w:sz w:val="21"/>
                <w:szCs w:val="21"/>
                <w:highlight w:val="none"/>
              </w:rPr>
            </w:pPr>
          </w:p>
        </w:tc>
        <w:tc>
          <w:tcPr>
            <w:tcW w:w="563" w:type="pct"/>
            <w:gridSpan w:val="2"/>
            <w:vMerge w:val="continue"/>
            <w:tcBorders>
              <w:tl2br w:val="nil"/>
              <w:tr2bl w:val="nil"/>
            </w:tcBorders>
            <w:shd w:val="clear" w:color="auto" w:fill="auto"/>
            <w:vAlign w:val="center"/>
          </w:tcPr>
          <w:p w14:paraId="0952DB49">
            <w:pPr>
              <w:spacing w:line="360" w:lineRule="exact"/>
              <w:ind w:firstLine="0" w:firstLineChars="0"/>
              <w:jc w:val="center"/>
              <w:rPr>
                <w:rFonts w:hint="default" w:ascii="Times New Roman" w:hAnsi="Times New Roman" w:cs="Times New Roman"/>
                <w:color w:val="auto"/>
                <w:sz w:val="21"/>
                <w:szCs w:val="21"/>
                <w:highlight w:val="none"/>
              </w:rPr>
            </w:pPr>
          </w:p>
        </w:tc>
        <w:tc>
          <w:tcPr>
            <w:tcW w:w="1879" w:type="pct"/>
            <w:gridSpan w:val="2"/>
            <w:tcBorders>
              <w:tl2br w:val="nil"/>
              <w:tr2bl w:val="nil"/>
            </w:tcBorders>
            <w:shd w:val="clear" w:color="auto" w:fill="auto"/>
            <w:vAlign w:val="center"/>
          </w:tcPr>
          <w:p w14:paraId="3C0D3E3D">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lang w:eastAsia="zh-CN"/>
              </w:rPr>
              <w:t>原辅料废包装物</w:t>
            </w:r>
          </w:p>
        </w:tc>
        <w:tc>
          <w:tcPr>
            <w:tcW w:w="1165" w:type="pct"/>
            <w:tcBorders>
              <w:tl2br w:val="nil"/>
              <w:tr2bl w:val="nil"/>
            </w:tcBorders>
            <w:shd w:val="clear" w:color="auto" w:fill="auto"/>
            <w:vAlign w:val="center"/>
          </w:tcPr>
          <w:p w14:paraId="5FC2E3D4">
            <w:pPr>
              <w:spacing w:line="360" w:lineRule="exact"/>
              <w:ind w:firstLine="0" w:firstLineChars="0"/>
              <w:jc w:val="center"/>
              <w:rPr>
                <w:rFonts w:hint="default" w:ascii="Times New Roman" w:hAnsi="Times New Roman" w:cs="Times New Roman"/>
                <w:color w:val="auto"/>
                <w:sz w:val="21"/>
                <w:szCs w:val="21"/>
                <w:highlight w:val="none"/>
              </w:rPr>
            </w:pPr>
            <w:r>
              <w:rPr>
                <w:rFonts w:hint="eastAsia" w:cs="Times New Roman"/>
                <w:bCs/>
                <w:color w:val="auto"/>
                <w:sz w:val="21"/>
                <w:szCs w:val="21"/>
                <w:highlight w:val="none"/>
                <w:lang w:val="en-US" w:eastAsia="zh-CN"/>
              </w:rPr>
              <w:t>0.6</w:t>
            </w:r>
            <w:r>
              <w:rPr>
                <w:rFonts w:hint="default" w:ascii="Times New Roman" w:hAnsi="Times New Roman" w:cs="Times New Roman"/>
                <w:bCs/>
                <w:color w:val="auto"/>
                <w:sz w:val="21"/>
                <w:szCs w:val="21"/>
                <w:highlight w:val="none"/>
              </w:rPr>
              <w:t>t/a</w:t>
            </w:r>
          </w:p>
        </w:tc>
        <w:tc>
          <w:tcPr>
            <w:tcW w:w="1066" w:type="pct"/>
            <w:tcBorders>
              <w:tl2br w:val="nil"/>
              <w:tr2bl w:val="nil"/>
            </w:tcBorders>
            <w:shd w:val="clear" w:color="auto" w:fill="auto"/>
            <w:vAlign w:val="center"/>
          </w:tcPr>
          <w:p w14:paraId="18BC045F">
            <w:pPr>
              <w:spacing w:line="360" w:lineRule="exact"/>
              <w:ind w:firstLine="0" w:firstLineChars="0"/>
              <w:jc w:val="center"/>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0</w:t>
            </w:r>
            <w:r>
              <w:rPr>
                <w:rFonts w:hint="default" w:ascii="Times New Roman" w:hAnsi="Times New Roman" w:cs="Times New Roman"/>
                <w:bCs/>
                <w:color w:val="auto"/>
                <w:sz w:val="21"/>
                <w:szCs w:val="21"/>
                <w:highlight w:val="none"/>
                <w:lang w:val="en-US" w:eastAsia="zh-CN"/>
              </w:rPr>
              <w:t>t/a</w:t>
            </w:r>
          </w:p>
        </w:tc>
      </w:tr>
      <w:tr w14:paraId="4284B8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325" w:type="pct"/>
            <w:vMerge w:val="continue"/>
            <w:tcBorders>
              <w:tl2br w:val="nil"/>
              <w:tr2bl w:val="nil"/>
            </w:tcBorders>
            <w:shd w:val="clear" w:color="auto" w:fill="auto"/>
            <w:vAlign w:val="center"/>
          </w:tcPr>
          <w:p w14:paraId="347D1B42">
            <w:pPr>
              <w:spacing w:line="360" w:lineRule="exact"/>
              <w:ind w:firstLine="0" w:firstLineChars="0"/>
              <w:jc w:val="center"/>
              <w:rPr>
                <w:rFonts w:hint="default" w:ascii="Times New Roman" w:hAnsi="Times New Roman" w:cs="Times New Roman"/>
                <w:color w:val="auto"/>
                <w:sz w:val="21"/>
                <w:szCs w:val="21"/>
                <w:highlight w:val="none"/>
              </w:rPr>
            </w:pPr>
          </w:p>
        </w:tc>
        <w:tc>
          <w:tcPr>
            <w:tcW w:w="563" w:type="pct"/>
            <w:gridSpan w:val="2"/>
            <w:vMerge w:val="continue"/>
            <w:tcBorders>
              <w:tl2br w:val="nil"/>
              <w:tr2bl w:val="nil"/>
            </w:tcBorders>
            <w:shd w:val="clear" w:color="auto" w:fill="auto"/>
            <w:vAlign w:val="center"/>
          </w:tcPr>
          <w:p w14:paraId="06D4A286">
            <w:pPr>
              <w:spacing w:line="360" w:lineRule="exact"/>
              <w:ind w:firstLine="0" w:firstLineChars="0"/>
              <w:jc w:val="center"/>
              <w:rPr>
                <w:rFonts w:hint="default" w:ascii="Times New Roman" w:hAnsi="Times New Roman" w:cs="Times New Roman"/>
                <w:color w:val="auto"/>
                <w:sz w:val="21"/>
                <w:szCs w:val="21"/>
                <w:highlight w:val="none"/>
              </w:rPr>
            </w:pPr>
          </w:p>
        </w:tc>
        <w:tc>
          <w:tcPr>
            <w:tcW w:w="1879" w:type="pct"/>
            <w:gridSpan w:val="2"/>
            <w:tcBorders>
              <w:tl2br w:val="nil"/>
              <w:tr2bl w:val="nil"/>
            </w:tcBorders>
            <w:shd w:val="clear" w:color="auto" w:fill="auto"/>
            <w:vAlign w:val="center"/>
          </w:tcPr>
          <w:p w14:paraId="743628E7">
            <w:pPr>
              <w:spacing w:line="360" w:lineRule="exact"/>
              <w:ind w:firstLine="0" w:firstLineChars="0"/>
              <w:jc w:val="center"/>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脱硫石膏</w:t>
            </w:r>
          </w:p>
        </w:tc>
        <w:tc>
          <w:tcPr>
            <w:tcW w:w="1165" w:type="pct"/>
            <w:tcBorders>
              <w:tl2br w:val="nil"/>
              <w:tr2bl w:val="nil"/>
            </w:tcBorders>
            <w:shd w:val="clear" w:color="auto" w:fill="auto"/>
            <w:vAlign w:val="center"/>
          </w:tcPr>
          <w:p w14:paraId="73416E18">
            <w:pPr>
              <w:spacing w:line="360" w:lineRule="exact"/>
              <w:ind w:firstLine="0" w:firstLineChars="0"/>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50t/a</w:t>
            </w:r>
          </w:p>
        </w:tc>
        <w:tc>
          <w:tcPr>
            <w:tcW w:w="1066" w:type="pct"/>
            <w:tcBorders>
              <w:tl2br w:val="nil"/>
              <w:tr2bl w:val="nil"/>
            </w:tcBorders>
            <w:shd w:val="clear" w:color="auto" w:fill="auto"/>
            <w:vAlign w:val="center"/>
          </w:tcPr>
          <w:p w14:paraId="3DFF67F7">
            <w:pPr>
              <w:spacing w:line="360" w:lineRule="exact"/>
              <w:ind w:firstLine="0" w:firstLineChars="0"/>
              <w:jc w:val="cente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50t/a</w:t>
            </w:r>
          </w:p>
        </w:tc>
      </w:tr>
      <w:tr w14:paraId="22D998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0" w:hRule="atLeast"/>
          <w:jc w:val="center"/>
        </w:trPr>
        <w:tc>
          <w:tcPr>
            <w:tcW w:w="325" w:type="pct"/>
            <w:vMerge w:val="continue"/>
            <w:tcBorders>
              <w:tl2br w:val="nil"/>
              <w:tr2bl w:val="nil"/>
            </w:tcBorders>
            <w:shd w:val="clear" w:color="auto" w:fill="auto"/>
            <w:vAlign w:val="center"/>
          </w:tcPr>
          <w:p w14:paraId="6CFB86FC">
            <w:pPr>
              <w:spacing w:line="360" w:lineRule="exact"/>
              <w:ind w:firstLine="0" w:firstLineChars="0"/>
              <w:jc w:val="center"/>
              <w:rPr>
                <w:rFonts w:hint="default" w:ascii="Times New Roman" w:hAnsi="Times New Roman" w:cs="Times New Roman"/>
                <w:color w:val="auto"/>
                <w:sz w:val="21"/>
                <w:szCs w:val="21"/>
                <w:highlight w:val="none"/>
              </w:rPr>
            </w:pPr>
          </w:p>
        </w:tc>
        <w:tc>
          <w:tcPr>
            <w:tcW w:w="563" w:type="pct"/>
            <w:gridSpan w:val="2"/>
            <w:tcBorders>
              <w:tl2br w:val="nil"/>
              <w:tr2bl w:val="nil"/>
            </w:tcBorders>
            <w:shd w:val="clear" w:color="auto" w:fill="auto"/>
            <w:vAlign w:val="center"/>
          </w:tcPr>
          <w:p w14:paraId="07D03E9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危险废物</w:t>
            </w:r>
          </w:p>
        </w:tc>
        <w:tc>
          <w:tcPr>
            <w:tcW w:w="1879" w:type="pct"/>
            <w:gridSpan w:val="2"/>
            <w:tcBorders>
              <w:tl2br w:val="nil"/>
              <w:tr2bl w:val="nil"/>
            </w:tcBorders>
            <w:shd w:val="clear" w:color="auto" w:fill="auto"/>
            <w:vAlign w:val="center"/>
          </w:tcPr>
          <w:p w14:paraId="2DAACD9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废机油及废油桶</w:t>
            </w:r>
          </w:p>
        </w:tc>
        <w:tc>
          <w:tcPr>
            <w:tcW w:w="1165" w:type="pct"/>
            <w:tcBorders>
              <w:tl2br w:val="nil"/>
              <w:tr2bl w:val="nil"/>
            </w:tcBorders>
            <w:shd w:val="clear" w:color="auto" w:fill="auto"/>
            <w:vAlign w:val="center"/>
          </w:tcPr>
          <w:p w14:paraId="50DB6FD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bCs/>
                <w:color w:val="auto"/>
                <w:sz w:val="21"/>
                <w:szCs w:val="21"/>
                <w:highlight w:val="none"/>
                <w:lang w:val="en-US" w:eastAsia="zh-CN"/>
              </w:rPr>
              <w:t>0.33t/a</w:t>
            </w:r>
          </w:p>
        </w:tc>
        <w:tc>
          <w:tcPr>
            <w:tcW w:w="1066" w:type="pct"/>
            <w:tcBorders>
              <w:tl2br w:val="nil"/>
              <w:tr2bl w:val="nil"/>
            </w:tcBorders>
            <w:shd w:val="clear" w:color="auto" w:fill="auto"/>
            <w:vAlign w:val="center"/>
          </w:tcPr>
          <w:p w14:paraId="571B417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bCs/>
                <w:color w:val="auto"/>
                <w:sz w:val="21"/>
                <w:szCs w:val="21"/>
                <w:highlight w:val="none"/>
                <w:lang w:val="en-US" w:eastAsia="zh-CN"/>
              </w:rPr>
              <w:t>0.33t/a</w:t>
            </w:r>
          </w:p>
        </w:tc>
      </w:tr>
    </w:tbl>
    <w:p w14:paraId="118454B4">
      <w:pPr>
        <w:pStyle w:val="3"/>
        <w:rPr>
          <w:rFonts w:hint="default" w:ascii="Times New Roman" w:hAnsi="Times New Roman" w:cs="Times New Roman"/>
          <w:color w:val="auto"/>
          <w:highlight w:val="none"/>
        </w:rPr>
      </w:pPr>
      <w:bookmarkStart w:id="513" w:name="_Toc28273"/>
      <w:bookmarkStart w:id="514" w:name="_Toc12782"/>
      <w:bookmarkStart w:id="515" w:name="_Toc27182"/>
      <w:bookmarkStart w:id="516" w:name="_Toc3485"/>
      <w:bookmarkStart w:id="517" w:name="_Toc107413892"/>
      <w:bookmarkStart w:id="518" w:name="_Toc9900"/>
      <w:bookmarkStart w:id="519" w:name="_Toc107414659"/>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总量控制</w:t>
      </w:r>
      <w:bookmarkEnd w:id="513"/>
      <w:bookmarkEnd w:id="514"/>
      <w:bookmarkEnd w:id="515"/>
      <w:bookmarkEnd w:id="516"/>
      <w:bookmarkEnd w:id="517"/>
      <w:bookmarkEnd w:id="518"/>
      <w:bookmarkEnd w:id="519"/>
    </w:p>
    <w:p w14:paraId="4A31EA53">
      <w:pPr>
        <w:overflowPunct w:val="0"/>
        <w:topLinePunct/>
        <w:ind w:firstLine="480"/>
        <w:rPr>
          <w:rFonts w:hint="default" w:ascii="Times New Roman" w:hAnsi="Times New Roman" w:eastAsia="宋体" w:cs="Times New Roman"/>
          <w:color w:val="auto"/>
          <w:kern w:val="0"/>
          <w:highlight w:val="none"/>
          <w:lang w:eastAsia="zh-CN"/>
        </w:rPr>
      </w:pPr>
      <w:r>
        <w:rPr>
          <w:rFonts w:hint="default" w:ascii="Times New Roman" w:hAnsi="Times New Roman" w:cs="Times New Roman"/>
          <w:color w:val="auto"/>
          <w:kern w:val="0"/>
          <w:highlight w:val="none"/>
          <w:lang w:eastAsia="zh-CN"/>
        </w:rPr>
        <w:t>本</w:t>
      </w:r>
      <w:r>
        <w:rPr>
          <w:rFonts w:hint="default" w:ascii="Times New Roman" w:hAnsi="Times New Roman" w:cs="Times New Roman"/>
          <w:color w:val="auto"/>
          <w:kern w:val="0"/>
          <w:highlight w:val="none"/>
        </w:rPr>
        <w:t>项目</w:t>
      </w:r>
      <w:r>
        <w:rPr>
          <w:rFonts w:hint="eastAsia" w:cs="Times New Roman"/>
          <w:color w:val="auto"/>
          <w:kern w:val="0"/>
          <w:highlight w:val="none"/>
          <w:lang w:val="en-US" w:eastAsia="zh-CN"/>
        </w:rPr>
        <w:t>新增燃煤锅炉</w:t>
      </w:r>
      <w:r>
        <w:rPr>
          <w:rFonts w:hint="default" w:ascii="Times New Roman" w:hAnsi="Times New Roman" w:cs="Times New Roman"/>
          <w:color w:val="auto"/>
          <w:kern w:val="0"/>
          <w:highlight w:val="none"/>
        </w:rPr>
        <w:t>排气筒</w:t>
      </w:r>
      <w:r>
        <w:rPr>
          <w:rFonts w:hint="eastAsia" w:cs="Times New Roman"/>
          <w:color w:val="auto"/>
          <w:kern w:val="0"/>
          <w:highlight w:val="none"/>
          <w:lang w:val="en-US" w:eastAsia="zh-CN"/>
        </w:rPr>
        <w:t>NOx</w:t>
      </w:r>
      <w:r>
        <w:rPr>
          <w:rFonts w:hint="default" w:ascii="Times New Roman" w:hAnsi="Times New Roman" w:cs="Times New Roman"/>
          <w:color w:val="auto"/>
          <w:kern w:val="0"/>
          <w:highlight w:val="none"/>
        </w:rPr>
        <w:t>排放量为11.113t/a，</w:t>
      </w:r>
      <w:r>
        <w:rPr>
          <w:rFonts w:hint="eastAsia" w:cs="Times New Roman"/>
          <w:color w:val="auto"/>
          <w:kern w:val="0"/>
          <w:highlight w:val="none"/>
          <w:lang w:val="en-US" w:eastAsia="zh-CN"/>
        </w:rPr>
        <w:t>建议</w:t>
      </w:r>
      <w:r>
        <w:rPr>
          <w:rFonts w:hint="default" w:ascii="Times New Roman" w:hAnsi="Times New Roman" w:cs="Times New Roman"/>
          <w:color w:val="auto"/>
          <w:kern w:val="0"/>
          <w:highlight w:val="none"/>
        </w:rPr>
        <w:t>总量控制指标总计为</w:t>
      </w:r>
      <w:r>
        <w:rPr>
          <w:rFonts w:hint="eastAsia" w:cs="Times New Roman"/>
          <w:color w:val="auto"/>
          <w:kern w:val="0"/>
          <w:highlight w:val="none"/>
          <w:lang w:val="en-US" w:eastAsia="zh-CN"/>
        </w:rPr>
        <w:t>NOx</w:t>
      </w:r>
      <w:r>
        <w:rPr>
          <w:rFonts w:hint="default" w:ascii="Times New Roman" w:hAnsi="Times New Roman" w:cs="Times New Roman"/>
          <w:color w:val="auto"/>
          <w:kern w:val="0"/>
          <w:highlight w:val="none"/>
        </w:rPr>
        <w:t>：11.113t/a</w:t>
      </w:r>
      <w:r>
        <w:rPr>
          <w:rFonts w:hint="default" w:ascii="Times New Roman" w:hAnsi="Times New Roman" w:cs="Times New Roman"/>
          <w:color w:val="auto"/>
          <w:highlight w:val="none"/>
          <w:shd w:val="clear" w:color="auto" w:fill="FFFFFF"/>
          <w:lang w:eastAsia="zh-CN"/>
        </w:rPr>
        <w:t>。</w:t>
      </w:r>
    </w:p>
    <w:p w14:paraId="27E0DEE9">
      <w:pPr>
        <w:pStyle w:val="32"/>
        <w:spacing w:after="0"/>
        <w:ind w:left="0" w:leftChars="0" w:firstLine="480"/>
        <w:rPr>
          <w:rFonts w:hint="default" w:ascii="Times New Roman" w:hAnsi="Times New Roman" w:cs="Times New Roman"/>
          <w:color w:val="auto"/>
          <w:kern w:val="0"/>
          <w:sz w:val="24"/>
          <w:highlight w:val="none"/>
        </w:rPr>
        <w:sectPr>
          <w:headerReference r:id="rId15" w:type="default"/>
          <w:footerReference r:id="rId17" w:type="default"/>
          <w:headerReference r:id="rId16" w:type="even"/>
          <w:footerReference r:id="rId18" w:type="even"/>
          <w:pgSz w:w="11906" w:h="16838"/>
          <w:pgMar w:top="1474" w:right="1474" w:bottom="1474" w:left="1474" w:header="850" w:footer="1020" w:gutter="0"/>
          <w:pgBorders>
            <w:top w:val="none" w:sz="0" w:space="0"/>
            <w:left w:val="none" w:sz="0" w:space="0"/>
            <w:bottom w:val="none" w:sz="0" w:space="0"/>
            <w:right w:val="none" w:sz="0" w:space="0"/>
          </w:pgBorders>
          <w:pgNumType w:fmt="decimal"/>
          <w:cols w:space="720" w:num="1"/>
          <w:docGrid w:linePitch="312" w:charSpace="0"/>
        </w:sectPr>
      </w:pPr>
    </w:p>
    <w:p w14:paraId="0B791141">
      <w:pPr>
        <w:pStyle w:val="2"/>
        <w:spacing w:line="720" w:lineRule="exact"/>
        <w:rPr>
          <w:rFonts w:hint="default" w:ascii="Times New Roman" w:hAnsi="Times New Roman" w:cs="Times New Roman"/>
          <w:color w:val="auto"/>
          <w:highlight w:val="none"/>
        </w:rPr>
      </w:pPr>
      <w:bookmarkStart w:id="520" w:name="_Toc22355"/>
      <w:bookmarkStart w:id="521" w:name="_Toc27841"/>
      <w:bookmarkStart w:id="522" w:name="_Toc107413893"/>
      <w:bookmarkStart w:id="523" w:name="_Toc107414660"/>
      <w:bookmarkStart w:id="524" w:name="_Toc21890"/>
      <w:bookmarkStart w:id="525" w:name="_Toc8266"/>
      <w:bookmarkStart w:id="526" w:name="_Toc7296"/>
      <w:bookmarkStart w:id="527" w:name="_Toc20957"/>
      <w:bookmarkStart w:id="528" w:name="_Toc26256"/>
      <w:bookmarkStart w:id="529" w:name="_Toc3781"/>
      <w:bookmarkStart w:id="530" w:name="_Toc14588"/>
      <w:bookmarkStart w:id="531" w:name="_Toc32433"/>
      <w:bookmarkStart w:id="532" w:name="_Toc5990"/>
      <w:bookmarkStart w:id="533" w:name="_Toc13626"/>
      <w:bookmarkStart w:id="534" w:name="_Toc29042"/>
      <w:bookmarkStart w:id="535" w:name="_Toc18"/>
      <w:bookmarkStart w:id="536" w:name="_Toc29875"/>
      <w:bookmarkStart w:id="537" w:name="_Toc14850"/>
      <w:bookmarkStart w:id="538" w:name="_Toc12013"/>
      <w:bookmarkStart w:id="539" w:name="_Toc1111"/>
      <w:bookmarkStart w:id="540" w:name="_Toc25076"/>
      <w:r>
        <w:rPr>
          <w:rFonts w:hint="default" w:ascii="Times New Roman" w:hAnsi="Times New Roman" w:cs="Times New Roman"/>
          <w:color w:val="auto"/>
          <w:highlight w:val="none"/>
        </w:rPr>
        <w:t>4 环境现状调查与评价</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490538D5">
      <w:pPr>
        <w:pStyle w:val="3"/>
        <w:rPr>
          <w:rFonts w:hint="default" w:ascii="Times New Roman" w:hAnsi="Times New Roman" w:cs="Times New Roman"/>
          <w:color w:val="auto"/>
          <w:highlight w:val="none"/>
        </w:rPr>
      </w:pPr>
      <w:bookmarkStart w:id="541" w:name="_Toc6404"/>
      <w:bookmarkStart w:id="542" w:name="_Toc16191"/>
      <w:bookmarkStart w:id="543" w:name="_Toc5122"/>
      <w:bookmarkStart w:id="544" w:name="_Toc6577"/>
      <w:bookmarkStart w:id="545" w:name="_Toc23778"/>
      <w:bookmarkStart w:id="546" w:name="_Toc20573"/>
      <w:bookmarkStart w:id="547" w:name="_Toc31464"/>
      <w:bookmarkStart w:id="548" w:name="_Toc12566"/>
      <w:bookmarkStart w:id="549" w:name="_Toc20708"/>
      <w:bookmarkStart w:id="550" w:name="_Toc18721"/>
      <w:bookmarkStart w:id="551" w:name="_Toc18089"/>
      <w:bookmarkStart w:id="552" w:name="_Toc21954"/>
      <w:bookmarkStart w:id="553" w:name="_Toc7162"/>
      <w:bookmarkStart w:id="554" w:name="_Toc28153"/>
      <w:bookmarkStart w:id="555" w:name="_Toc17165"/>
      <w:bookmarkStart w:id="556" w:name="_Toc16586"/>
      <w:bookmarkStart w:id="557" w:name="_Toc107413894"/>
      <w:bookmarkStart w:id="558" w:name="_Toc20671"/>
      <w:bookmarkStart w:id="559" w:name="_Toc107414661"/>
      <w:bookmarkStart w:id="560" w:name="_Toc21521"/>
      <w:bookmarkStart w:id="561" w:name="_Toc23126"/>
      <w:r>
        <w:rPr>
          <w:rFonts w:hint="default" w:ascii="Times New Roman" w:hAnsi="Times New Roman" w:cs="Times New Roman"/>
          <w:color w:val="auto"/>
          <w:highlight w:val="none"/>
        </w:rPr>
        <w:t>4.1自然环境</w:t>
      </w:r>
      <w:bookmarkEnd w:id="541"/>
      <w:r>
        <w:rPr>
          <w:rFonts w:hint="default" w:ascii="Times New Roman" w:hAnsi="Times New Roman" w:cs="Times New Roman"/>
          <w:color w:val="auto"/>
          <w:highlight w:val="none"/>
        </w:rPr>
        <w:t>概况</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3248EEEF">
      <w:pPr>
        <w:pStyle w:val="4"/>
        <w:rPr>
          <w:rFonts w:hint="default" w:ascii="Times New Roman" w:hAnsi="Times New Roman" w:cs="Times New Roman"/>
          <w:color w:val="auto"/>
          <w:highlight w:val="none"/>
        </w:rPr>
      </w:pPr>
      <w:bookmarkStart w:id="562" w:name="_Toc20425"/>
      <w:bookmarkStart w:id="563" w:name="_Toc23532"/>
      <w:bookmarkStart w:id="564" w:name="_Toc29653"/>
      <w:bookmarkStart w:id="565" w:name="_Toc10252"/>
      <w:bookmarkStart w:id="566" w:name="_Toc26432"/>
      <w:bookmarkStart w:id="567" w:name="_Toc6355"/>
      <w:bookmarkStart w:id="568" w:name="_Toc9800"/>
      <w:bookmarkStart w:id="569" w:name="_Toc2649"/>
      <w:bookmarkStart w:id="570" w:name="_Toc24507"/>
      <w:bookmarkStart w:id="571" w:name="_Toc18493"/>
      <w:r>
        <w:rPr>
          <w:rFonts w:hint="default" w:ascii="Times New Roman" w:hAnsi="Times New Roman" w:cs="Times New Roman"/>
          <w:color w:val="auto"/>
          <w:highlight w:val="none"/>
        </w:rPr>
        <w:t>4.1.1地理位置</w:t>
      </w:r>
      <w:bookmarkEnd w:id="562"/>
      <w:bookmarkEnd w:id="563"/>
      <w:bookmarkEnd w:id="564"/>
      <w:bookmarkEnd w:id="565"/>
      <w:bookmarkEnd w:id="566"/>
      <w:bookmarkEnd w:id="567"/>
      <w:bookmarkEnd w:id="568"/>
      <w:bookmarkEnd w:id="569"/>
      <w:bookmarkEnd w:id="570"/>
      <w:bookmarkEnd w:id="571"/>
    </w:p>
    <w:p w14:paraId="6EE6766F">
      <w:pPr>
        <w:pStyle w:val="43"/>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哈密市，古称昆莫、昆吾、伊州、伊吾、哈密卫，新疆维吾尔自治区下辖地级市，位于新疆东部，地跨东天山南北，东西相距约404千米，南北相距约440千米，东部、东南部与甘肃省酒泉市为邻，南接巴音郭楞蒙古自治州，西部、西南部与昌吉回族自治州、吐鲁番市毗邻，北部、东北部与蒙古国接壤，总面积142100平方千米，有长达587.6千米的国界线，是新疆与蒙古国发展边贸的</w:t>
      </w:r>
      <w:r>
        <w:rPr>
          <w:rFonts w:hint="eastAsia" w:cs="Times New Roman"/>
          <w:color w:val="auto"/>
          <w:highlight w:val="none"/>
          <w:lang w:eastAsia="zh-CN"/>
        </w:rPr>
        <w:t>重要</w:t>
      </w:r>
      <w:r>
        <w:rPr>
          <w:rFonts w:hint="default" w:ascii="Times New Roman" w:hAnsi="Times New Roman" w:cs="Times New Roman"/>
          <w:color w:val="auto"/>
          <w:highlight w:val="none"/>
        </w:rPr>
        <w:t>口岸之一。</w:t>
      </w:r>
    </w:p>
    <w:p w14:paraId="21D569A8">
      <w:pPr>
        <w:pStyle w:val="43"/>
        <w:overflowPunct w:val="0"/>
        <w:topLinePunct/>
        <w:spacing w:line="480" w:lineRule="exact"/>
        <w:ind w:firstLine="48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伊州区是新疆维吾尔自治区哈密市的下辖区，市政府驻地。位于新疆东部，是新疆通往内地的门户，是古</w:t>
      </w:r>
      <w:r>
        <w:rPr>
          <w:rFonts w:hint="eastAsia" w:cs="Times New Roman"/>
          <w:color w:val="auto"/>
          <w:highlight w:val="none"/>
          <w:lang w:eastAsia="zh-CN"/>
        </w:rPr>
        <w:t>“</w:t>
      </w:r>
      <w:r>
        <w:rPr>
          <w:rFonts w:hint="default" w:ascii="Times New Roman" w:hAnsi="Times New Roman" w:cs="Times New Roman"/>
          <w:color w:val="auto"/>
          <w:highlight w:val="none"/>
        </w:rPr>
        <w:t>丝绸之路</w:t>
      </w:r>
      <w:r>
        <w:rPr>
          <w:rFonts w:hint="eastAsia" w:cs="Times New Roman"/>
          <w:color w:val="auto"/>
          <w:highlight w:val="none"/>
          <w:lang w:eastAsia="zh-CN"/>
        </w:rPr>
        <w:t>”</w:t>
      </w:r>
      <w:r>
        <w:rPr>
          <w:rFonts w:hint="default" w:ascii="Times New Roman" w:hAnsi="Times New Roman" w:cs="Times New Roman"/>
          <w:color w:val="auto"/>
          <w:highlight w:val="none"/>
        </w:rPr>
        <w:t>上的重镇。东部与甘肃省酒泉市相邻，西部与昌吉回族自治州</w:t>
      </w:r>
      <w:r>
        <w:rPr>
          <w:rFonts w:hint="eastAsia" w:cs="Times New Roman"/>
          <w:color w:val="auto"/>
          <w:highlight w:val="none"/>
          <w:lang w:eastAsia="zh-CN"/>
        </w:rPr>
        <w:t>木垒哈萨克自治县</w:t>
      </w:r>
      <w:r>
        <w:rPr>
          <w:rFonts w:hint="default" w:ascii="Times New Roman" w:hAnsi="Times New Roman" w:cs="Times New Roman"/>
          <w:color w:val="auto"/>
          <w:highlight w:val="none"/>
        </w:rPr>
        <w:t>和吐鲁番市鄯善县毗邻，南部与巴音郭楞蒙古自治州的若羌县接壤，北接天山与伊吾县、</w:t>
      </w:r>
      <w:r>
        <w:rPr>
          <w:rFonts w:hint="eastAsia" w:cs="Times New Roman"/>
          <w:color w:val="auto"/>
          <w:highlight w:val="none"/>
          <w:lang w:eastAsia="zh-CN"/>
        </w:rPr>
        <w:t>巴里坤哈萨克自治县</w:t>
      </w:r>
      <w:r>
        <w:rPr>
          <w:rFonts w:hint="default" w:ascii="Times New Roman" w:hAnsi="Times New Roman" w:cs="Times New Roman"/>
          <w:color w:val="auto"/>
          <w:highlight w:val="none"/>
        </w:rPr>
        <w:t>为邻，东北部与蒙古国有46公里边界。行政区域面积80791平方千米</w:t>
      </w:r>
      <w:r>
        <w:rPr>
          <w:rFonts w:hint="default" w:ascii="Times New Roman" w:hAnsi="Times New Roman" w:cs="Times New Roman"/>
          <w:color w:val="auto"/>
          <w:highlight w:val="none"/>
          <w:lang w:eastAsia="zh-CN"/>
        </w:rPr>
        <w:t>。</w:t>
      </w:r>
    </w:p>
    <w:p w14:paraId="58D81535">
      <w:pPr>
        <w:pStyle w:val="43"/>
        <w:overflowPunct w:val="0"/>
        <w:topLinePunct/>
        <w:spacing w:line="480" w:lineRule="exact"/>
        <w:ind w:firstLine="480"/>
        <w:rPr>
          <w:rFonts w:hint="default" w:ascii="Times New Roman" w:hAnsi="Times New Roman" w:eastAsia="宋体" w:cs="Times New Roman"/>
          <w:color w:val="auto"/>
          <w:szCs w:val="24"/>
          <w:highlight w:val="none"/>
          <w:lang w:val="en-US" w:eastAsia="zh-CN"/>
        </w:rPr>
      </w:pPr>
      <w:r>
        <w:rPr>
          <w:rFonts w:hint="default" w:ascii="Times New Roman" w:hAnsi="Times New Roman" w:cs="Times New Roman"/>
          <w:color w:val="auto"/>
          <w:highlight w:val="none"/>
        </w:rPr>
        <w:t>本项目位于新疆维吾尔自治区哈密市伊州区170°方向直线距离184km，雅满苏镇正南方约90km处，行政区划属新疆维吾尔自治区哈密市伊州区管辖。</w:t>
      </w:r>
      <w:r>
        <w:rPr>
          <w:rFonts w:hint="default" w:ascii="Times New Roman" w:hAnsi="Times New Roman" w:cs="Times New Roman"/>
          <w:color w:val="auto"/>
          <w:szCs w:val="24"/>
          <w:highlight w:val="none"/>
        </w:rPr>
        <w:t>本项目选矿厂西北侧距离萤石矿采矿工程矿区直距约600m，尾矿库位于选矿厂北侧260m处。项目区中心坐标为E93°55′35.865"，N41°12′10.511"。</w:t>
      </w:r>
    </w:p>
    <w:p w14:paraId="2BF14C91">
      <w:pPr>
        <w:pStyle w:val="4"/>
        <w:rPr>
          <w:rFonts w:hint="default" w:ascii="Times New Roman" w:hAnsi="Times New Roman" w:cs="Times New Roman"/>
          <w:color w:val="auto"/>
          <w:highlight w:val="none"/>
        </w:rPr>
      </w:pPr>
      <w:bookmarkStart w:id="572" w:name="_Toc30674"/>
      <w:bookmarkStart w:id="573" w:name="_Toc6685"/>
      <w:bookmarkStart w:id="574" w:name="_Toc28124"/>
      <w:r>
        <w:rPr>
          <w:rFonts w:hint="default" w:ascii="Times New Roman" w:hAnsi="Times New Roman" w:cs="Times New Roman"/>
          <w:color w:val="auto"/>
          <w:highlight w:val="none"/>
        </w:rPr>
        <w:t>4.1.2地形地貌</w:t>
      </w:r>
      <w:bookmarkEnd w:id="572"/>
      <w:bookmarkEnd w:id="573"/>
      <w:bookmarkEnd w:id="574"/>
    </w:p>
    <w:p w14:paraId="10BA908C">
      <w:pPr>
        <w:keepNext w:val="0"/>
        <w:keepLines w:val="0"/>
        <w:pageBreakBefore w:val="0"/>
        <w:widowControl w:val="0"/>
        <w:kinsoku/>
        <w:wordWrap/>
        <w:autoSpaceDE/>
        <w:autoSpaceDN/>
        <w:bidi w:val="0"/>
        <w:adjustRightInd/>
        <w:snapToGrid/>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highlight w:val="none"/>
          <w:lang w:eastAsia="zh-CN"/>
        </w:rPr>
        <w:t>选矿厂地形属中低山-丘陵区，海拔高程1214～1274m，选矿厂总体地势西南高东北低，地形起伏不大，相对最大高差60m，植被不发育。</w:t>
      </w:r>
      <w:r>
        <w:rPr>
          <w:rFonts w:hint="default" w:ascii="Times New Roman" w:hAnsi="Times New Roman" w:cs="Times New Roman"/>
          <w:color w:val="auto"/>
          <w:highlight w:val="none"/>
        </w:rPr>
        <w:t>总体上，</w:t>
      </w:r>
      <w:r>
        <w:rPr>
          <w:rFonts w:hint="default" w:ascii="Times New Roman" w:hAnsi="Times New Roman" w:cs="Times New Roman"/>
          <w:color w:val="auto"/>
          <w:highlight w:val="none"/>
          <w:lang w:eastAsia="zh-CN"/>
        </w:rPr>
        <w:t>项目区</w:t>
      </w:r>
      <w:r>
        <w:rPr>
          <w:rFonts w:hint="default" w:ascii="Times New Roman" w:hAnsi="Times New Roman" w:cs="Times New Roman"/>
          <w:color w:val="auto"/>
          <w:highlight w:val="none"/>
        </w:rPr>
        <w:t>周边地区地貌类型单一，地形复杂程度较复杂。</w:t>
      </w:r>
    </w:p>
    <w:p w14:paraId="21311010">
      <w:pPr>
        <w:pStyle w:val="4"/>
        <w:rPr>
          <w:rFonts w:hint="default" w:ascii="Times New Roman" w:hAnsi="Times New Roman" w:cs="Times New Roman"/>
          <w:color w:val="auto"/>
          <w:highlight w:val="none"/>
        </w:rPr>
      </w:pPr>
      <w:bookmarkStart w:id="575" w:name="_Toc10168"/>
      <w:bookmarkStart w:id="576" w:name="_Toc22609"/>
      <w:bookmarkStart w:id="577" w:name="_Toc8000"/>
      <w:r>
        <w:rPr>
          <w:rFonts w:hint="default" w:ascii="Times New Roman" w:hAnsi="Times New Roman" w:cs="Times New Roman"/>
          <w:color w:val="auto"/>
          <w:highlight w:val="none"/>
        </w:rPr>
        <w:t>4.1.3气象</w:t>
      </w:r>
      <w:bookmarkEnd w:id="575"/>
      <w:bookmarkEnd w:id="576"/>
      <w:bookmarkEnd w:id="577"/>
    </w:p>
    <w:p w14:paraId="0B3D520B">
      <w:pPr>
        <w:pStyle w:val="43"/>
        <w:overflowPunct w:val="0"/>
        <w:topLinePunct/>
        <w:spacing w:line="480" w:lineRule="exact"/>
        <w:ind w:firstLine="480"/>
        <w:rPr>
          <w:rFonts w:hint="default" w:ascii="Times New Roman" w:hAnsi="Times New Roman" w:cs="Times New Roman"/>
          <w:bCs/>
          <w:color w:val="auto"/>
          <w:highlight w:val="none"/>
        </w:rPr>
      </w:pPr>
      <w:r>
        <w:rPr>
          <w:rFonts w:hint="default" w:ascii="Times New Roman" w:hAnsi="Times New Roman" w:cs="Times New Roman"/>
          <w:color w:val="auto"/>
          <w:highlight w:val="none"/>
          <w:lang w:val="en-US" w:eastAsia="zh-CN"/>
        </w:rPr>
        <w:t>本区域属典型的大陆性干旱气候，冬季寒冷，夏季酷热，春秋多风。日照时间长，昼夜温差大，年平均气温7～10℃，6～8月为酷暑期，温度高达43～45℃，地表温度可达50～60℃，10月下旬开始降雪，12月至来年2月为积雪期，最低气温在零下20℃以下。蒸发量大于降水量，平均年降水量为39.2mm，年均蒸发量2559mm，年均无霜期218天。3～4月多风，一般风速3～5m/s，最高达25m/s以上，常致沙尘暴，遮天蔽日。</w:t>
      </w:r>
    </w:p>
    <w:p w14:paraId="33ED02C2">
      <w:pPr>
        <w:pStyle w:val="4"/>
        <w:pageBreakBefore w:val="0"/>
        <w:widowControl w:val="0"/>
        <w:kinsoku/>
        <w:wordWrap/>
        <w:autoSpaceDE/>
        <w:autoSpaceDN/>
        <w:bidi w:val="0"/>
        <w:adjustRightInd/>
        <w:snapToGrid/>
        <w:spacing w:before="0" w:after="0"/>
        <w:textAlignment w:val="auto"/>
        <w:rPr>
          <w:rFonts w:hint="default" w:ascii="Times New Roman" w:hAnsi="Times New Roman" w:cs="Times New Roman"/>
          <w:color w:val="auto"/>
          <w:highlight w:val="none"/>
        </w:rPr>
      </w:pPr>
      <w:bookmarkStart w:id="578" w:name="_Toc24081"/>
      <w:bookmarkStart w:id="579" w:name="_Toc26969"/>
      <w:bookmarkStart w:id="580" w:name="_Toc24642"/>
      <w:r>
        <w:rPr>
          <w:rFonts w:hint="default" w:ascii="Times New Roman" w:hAnsi="Times New Roman" w:cs="Times New Roman"/>
          <w:color w:val="auto"/>
          <w:highlight w:val="none"/>
        </w:rPr>
        <w:t>4.1.4水文</w:t>
      </w:r>
      <w:bookmarkEnd w:id="578"/>
      <w:bookmarkEnd w:id="579"/>
      <w:bookmarkEnd w:id="580"/>
    </w:p>
    <w:p w14:paraId="40EA371E">
      <w:pPr>
        <w:pStyle w:val="5"/>
        <w:pageBreakBefore w:val="0"/>
        <w:widowControl w:val="0"/>
        <w:tabs>
          <w:tab w:val="left" w:pos="2041"/>
          <w:tab w:val="left" w:pos="3402"/>
        </w:tabs>
        <w:kinsoku/>
        <w:wordWrap/>
        <w:autoSpaceDE/>
        <w:autoSpaceDN/>
        <w:bidi w:val="0"/>
        <w:adjustRightInd/>
        <w:snapToGrid/>
        <w:ind w:firstLine="482" w:firstLineChars="200"/>
        <w:textAlignment w:val="auto"/>
        <w:rPr>
          <w:rFonts w:hint="default" w:ascii="Times New Roman" w:hAnsi="Times New Roman" w:cs="Times New Roman"/>
          <w:bCs/>
          <w:color w:val="auto"/>
          <w:highlight w:val="none"/>
        </w:rPr>
      </w:pPr>
      <w:bookmarkStart w:id="581" w:name="_Toc26632"/>
      <w:bookmarkStart w:id="582" w:name="_Toc24499"/>
      <w:bookmarkStart w:id="583" w:name="_Toc27602"/>
      <w:bookmarkStart w:id="584" w:name="_Toc8479"/>
      <w:bookmarkStart w:id="585" w:name="_Toc6178"/>
      <w:bookmarkStart w:id="586" w:name="_Toc32134"/>
      <w:r>
        <w:rPr>
          <w:rFonts w:hint="default" w:ascii="Times New Roman" w:hAnsi="Times New Roman" w:cs="Times New Roman"/>
          <w:bCs/>
          <w:color w:val="auto"/>
          <w:highlight w:val="none"/>
        </w:rPr>
        <w:t>4.1.4.1地表水</w:t>
      </w:r>
    </w:p>
    <w:bookmarkEnd w:id="581"/>
    <w:bookmarkEnd w:id="582"/>
    <w:bookmarkEnd w:id="583"/>
    <w:bookmarkEnd w:id="584"/>
    <w:bookmarkEnd w:id="585"/>
    <w:bookmarkEnd w:id="586"/>
    <w:p w14:paraId="2392B027">
      <w:pPr>
        <w:pStyle w:val="43"/>
        <w:pageBreakBefore w:val="0"/>
        <w:widowControl w:val="0"/>
        <w:kinsoku/>
        <w:wordWrap/>
        <w:overflowPunct w:val="0"/>
        <w:topLinePunct/>
        <w:autoSpaceDE/>
        <w:autoSpaceDN/>
        <w:bidi w:val="0"/>
        <w:adjustRightInd/>
        <w:snapToGrid/>
        <w:spacing w:line="480" w:lineRule="exact"/>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项目区</w:t>
      </w:r>
      <w:r>
        <w:rPr>
          <w:rFonts w:hint="default" w:ascii="Times New Roman" w:hAnsi="Times New Roman" w:cs="Times New Roman"/>
          <w:color w:val="auto"/>
          <w:highlight w:val="none"/>
        </w:rPr>
        <w:t>及周边无永久性河流，干河床发育，皆为中低山-丘陵之间的季节性洪流形成，流向多为由南向北。</w:t>
      </w:r>
    </w:p>
    <w:p w14:paraId="6A2F5936">
      <w:pPr>
        <w:pStyle w:val="5"/>
        <w:tabs>
          <w:tab w:val="left" w:pos="2041"/>
          <w:tab w:val="left" w:pos="3402"/>
        </w:tabs>
        <w:ind w:firstLine="482" w:firstLineChars="2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4.1.4.2地下水</w:t>
      </w:r>
    </w:p>
    <w:p w14:paraId="000804ED">
      <w:pPr>
        <w:widowControl w:val="0"/>
        <w:overflowPunct w:val="0"/>
        <w:topLinePunct/>
        <w:spacing w:line="480" w:lineRule="exact"/>
        <w:ind w:firstLine="480" w:firstLineChars="200"/>
        <w:jc w:val="both"/>
        <w:rPr>
          <w:rFonts w:hint="default" w:ascii="Times New Roman" w:hAnsi="Times New Roman" w:eastAsia="宋体" w:cs="Times New Roman"/>
          <w:color w:val="auto"/>
          <w:kern w:val="2"/>
          <w:sz w:val="24"/>
          <w:szCs w:val="20"/>
          <w:highlight w:val="none"/>
          <w:lang w:val="en-US" w:eastAsia="zh-CN" w:bidi="ar-SA"/>
        </w:rPr>
      </w:pPr>
      <w:r>
        <w:rPr>
          <w:rFonts w:hint="default" w:ascii="Times New Roman" w:hAnsi="Times New Roman" w:eastAsia="宋体" w:cs="Times New Roman"/>
          <w:color w:val="auto"/>
          <w:kern w:val="2"/>
          <w:sz w:val="24"/>
          <w:szCs w:val="20"/>
          <w:highlight w:val="none"/>
          <w:lang w:val="en-US" w:eastAsia="zh-CN" w:bidi="ar-SA"/>
        </w:rPr>
        <w:t>（1）区域地下水特征</w:t>
      </w:r>
    </w:p>
    <w:p w14:paraId="101E9AC5">
      <w:pPr>
        <w:pStyle w:val="43"/>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地下水的形成、运移、分布规律、补给条件主要受地层岩性、地形地貌、气象水文等因素的影响，依据区域内出露地层的富水性及含（隔）水层的结构不同，将区域地下水划分为以下2种类型。</w:t>
      </w:r>
    </w:p>
    <w:p w14:paraId="5647B31E">
      <w:pPr>
        <w:pStyle w:val="43"/>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①</w:t>
      </w:r>
      <w:r>
        <w:rPr>
          <w:rFonts w:hint="default" w:ascii="Times New Roman" w:hAnsi="Times New Roman" w:cs="Times New Roman"/>
          <w:color w:val="auto"/>
          <w:highlight w:val="none"/>
        </w:rPr>
        <w:t>松散岩类孔隙水</w:t>
      </w:r>
    </w:p>
    <w:p w14:paraId="26E66C33">
      <w:pPr>
        <w:pStyle w:val="43"/>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主要分布于沟谷等低洼地段，地层岩性为上更新统洪积层</w:t>
      </w:r>
      <w:r>
        <w:rPr>
          <w:rFonts w:hint="eastAsia" w:cs="Times New Roman"/>
          <w:color w:val="auto"/>
          <w:highlight w:val="none"/>
          <w:lang w:eastAsia="zh-CN"/>
        </w:rPr>
        <w:t>（</w:t>
      </w:r>
      <w:r>
        <w:rPr>
          <w:rFonts w:hint="default" w:ascii="Times New Roman" w:hAnsi="Times New Roman" w:cs="Times New Roman"/>
          <w:color w:val="auto"/>
          <w:highlight w:val="none"/>
        </w:rPr>
        <w:t>Q</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vertAlign w:val="superscript"/>
        </w:rPr>
        <w:t>Pl</w:t>
      </w:r>
      <w:r>
        <w:rPr>
          <w:rFonts w:hint="eastAsia" w:cs="Times New Roman"/>
          <w:color w:val="auto"/>
          <w:highlight w:val="none"/>
          <w:vertAlign w:val="superscript"/>
          <w:lang w:eastAsia="zh-CN"/>
        </w:rPr>
        <w:t>）</w:t>
      </w:r>
      <w:r>
        <w:rPr>
          <w:rFonts w:hint="default" w:ascii="Times New Roman" w:hAnsi="Times New Roman" w:cs="Times New Roman"/>
          <w:color w:val="auto"/>
          <w:highlight w:val="none"/>
        </w:rPr>
        <w:t>和上更新-全新统冲洪积层（Q</w:t>
      </w:r>
      <w:r>
        <w:rPr>
          <w:rFonts w:hint="default" w:ascii="Times New Roman" w:hAnsi="Times New Roman" w:cs="Times New Roman"/>
          <w:color w:val="auto"/>
          <w:highlight w:val="none"/>
          <w:vertAlign w:val="subscript"/>
        </w:rPr>
        <w:t>3-4</w:t>
      </w:r>
      <w:r>
        <w:rPr>
          <w:rFonts w:hint="default" w:ascii="Times New Roman" w:hAnsi="Times New Roman" w:cs="Times New Roman"/>
          <w:color w:val="auto"/>
          <w:highlight w:val="none"/>
          <w:vertAlign w:val="superscript"/>
        </w:rPr>
        <w:t>pl</w:t>
      </w:r>
      <w:r>
        <w:rPr>
          <w:rFonts w:hint="eastAsia" w:cs="Times New Roman"/>
          <w:color w:val="auto"/>
          <w:highlight w:val="none"/>
          <w:vertAlign w:val="superscript"/>
          <w:lang w:eastAsia="zh-CN"/>
        </w:rPr>
        <w:t>）</w:t>
      </w:r>
      <w:r>
        <w:rPr>
          <w:rFonts w:hint="default" w:ascii="Times New Roman" w:hAnsi="Times New Roman" w:cs="Times New Roman"/>
          <w:color w:val="auto"/>
          <w:highlight w:val="none"/>
        </w:rPr>
        <w:t>以及全新统冲积-洪积（Q</w:t>
      </w:r>
      <w:r>
        <w:rPr>
          <w:rFonts w:hint="default" w:ascii="Times New Roman" w:hAnsi="Times New Roman" w:cs="Times New Roman"/>
          <w:color w:val="auto"/>
          <w:highlight w:val="none"/>
          <w:vertAlign w:val="subscript"/>
        </w:rPr>
        <w:t>4</w:t>
      </w:r>
      <w:r>
        <w:rPr>
          <w:rFonts w:hint="default" w:ascii="Times New Roman" w:hAnsi="Times New Roman" w:cs="Times New Roman"/>
          <w:color w:val="auto"/>
          <w:highlight w:val="none"/>
          <w:vertAlign w:val="superscript"/>
        </w:rPr>
        <w:t>al+pl</w:t>
      </w:r>
      <w:r>
        <w:rPr>
          <w:rFonts w:hint="eastAsia" w:cs="Times New Roman"/>
          <w:color w:val="auto"/>
          <w:highlight w:val="none"/>
          <w:vertAlign w:val="superscript"/>
          <w:lang w:eastAsia="zh-CN"/>
        </w:rPr>
        <w:t>）</w:t>
      </w:r>
      <w:r>
        <w:rPr>
          <w:rFonts w:hint="default" w:ascii="Times New Roman" w:hAnsi="Times New Roman" w:cs="Times New Roman"/>
          <w:color w:val="auto"/>
          <w:highlight w:val="none"/>
        </w:rPr>
        <w:t>的砂砾石及粉土层，岩层堆积松散，孔隙发育，孔隙水不发育，一般厚度在0.5-6.0米左右；暴雨时形成的暂时性洪流汇集于低洼处,以蒸发和蒸腾形式排泄,受大气蒸发的影响，地下水矿化度较高。</w:t>
      </w:r>
    </w:p>
    <w:p w14:paraId="431B48F0">
      <w:pPr>
        <w:pStyle w:val="43"/>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②</w:t>
      </w:r>
      <w:r>
        <w:rPr>
          <w:rFonts w:hint="default" w:ascii="Times New Roman" w:hAnsi="Times New Roman" w:cs="Times New Roman"/>
          <w:color w:val="auto"/>
          <w:highlight w:val="none"/>
        </w:rPr>
        <w:t>基岩裂隙水</w:t>
      </w:r>
    </w:p>
    <w:p w14:paraId="0C62E453">
      <w:pPr>
        <w:pStyle w:val="43"/>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主要分布在震旦系、寒武系、奥陶系、二叠系地层中以及华力西早期的花岗岩中，地下水主要赋存于岩石的风化裂隙带、层间节理、裂隙密集带及接触破碎带中，其风化裂隙与构造裂隙相互叠加、沟通，形成网状、网脉状基岩裂隙潜水。由于岩石的节理、裂隙发育程度不同，其富水性也极不均匀。</w:t>
      </w:r>
    </w:p>
    <w:p w14:paraId="320C4B33">
      <w:pPr>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）地下水补给、径流及排泄条件</w:t>
      </w:r>
    </w:p>
    <w:p w14:paraId="0A441DB0">
      <w:pPr>
        <w:pStyle w:val="43"/>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区域地下水补给的基本源泉主要是降水形成的暂时洪流的渗透补给。降水季节山区暴雨形成洪流自高向低径流，径流过程中下渗补给基岩裂隙，形成基岩裂隙水；没有入渗的水流向低处流动，出山后开始下渗，一部分补给低洼地带第四系松散岩类，形成孔隙潜水,由于蒸发量大于降水量，因此没有泉的出露。</w:t>
      </w:r>
    </w:p>
    <w:p w14:paraId="115764F7">
      <w:pPr>
        <w:pStyle w:val="43"/>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区域地下水的补给、径流和排泄条件，主要受地形、地质、地貌、构造及气象要素的控制，地下水动态特征明显受季节性影响而变化，较雨季和地表洪水稍有滞后，反映了大气降水渗入地下后需一定的径流过程。</w:t>
      </w:r>
    </w:p>
    <w:p w14:paraId="0FEB7EAF">
      <w:pPr>
        <w:pStyle w:val="43"/>
        <w:overflowPunct w:val="0"/>
        <w:topLinePunct/>
        <w:spacing w:line="480" w:lineRule="exact"/>
        <w:ind w:firstLine="48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蒸发与蒸腾是区内地下水天然消耗的两种形式，降水稀少是本区地下水资源贫乏的根本原因，而地下水径流缓慢和强烈蒸发又导致了地下水质的恶化</w:t>
      </w:r>
      <w:r>
        <w:rPr>
          <w:rFonts w:hint="default" w:ascii="Times New Roman" w:hAnsi="Times New Roman" w:cs="Times New Roman"/>
          <w:color w:val="auto"/>
          <w:highlight w:val="none"/>
          <w:lang w:eastAsia="zh-CN"/>
        </w:rPr>
        <w:t>。</w:t>
      </w:r>
    </w:p>
    <w:p w14:paraId="41AA98A3">
      <w:pPr>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eastAsia="zh-CN"/>
        </w:rPr>
        <w:t>）区域地下水化学特征</w:t>
      </w:r>
    </w:p>
    <w:p w14:paraId="3DBD9ED5">
      <w:pPr>
        <w:pStyle w:val="43"/>
        <w:overflowPunct w:val="0"/>
        <w:topLinePunct/>
        <w:spacing w:line="480" w:lineRule="exact"/>
        <w:ind w:firstLine="48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 w:val="24"/>
          <w:highlight w:val="none"/>
        </w:rPr>
        <w:t>地下水的化学成分随地形地貌的变化而变化，该区域南部靠近山区为补给区，矿化度一般为7</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8g/L，中部径流区涌水量大的地段矿化度为4</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5g/L</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北部残山丘陵地带为该区域的排泄区，含有第四系孔隙潜水，受蒸发和浓缩作用，矿化度含量大于10g/L。区域内地下水水质均比较差，水化学类型均为Cl·SO</w:t>
      </w:r>
      <w:r>
        <w:rPr>
          <w:rFonts w:hint="default" w:ascii="Times New Roman" w:hAnsi="Times New Roman" w:eastAsia="宋体" w:cs="Times New Roman"/>
          <w:color w:val="auto"/>
          <w:sz w:val="24"/>
          <w:highlight w:val="none"/>
          <w:vertAlign w:val="subscript"/>
        </w:rPr>
        <w:t>4</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vertAlign w:val="superscript"/>
          <w:lang w:val="en-US" w:eastAsia="zh-CN"/>
        </w:rPr>
        <w:t>-</w:t>
      </w:r>
      <w:r>
        <w:rPr>
          <w:rFonts w:hint="default" w:ascii="Times New Roman" w:hAnsi="Times New Roman" w:eastAsia="宋体" w:cs="Times New Roman"/>
          <w:color w:val="auto"/>
          <w:sz w:val="24"/>
          <w:highlight w:val="none"/>
        </w:rPr>
        <w:t>-Na型水。</w:t>
      </w:r>
    </w:p>
    <w:p w14:paraId="286B5FCE">
      <w:pPr>
        <w:pStyle w:val="4"/>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4.1.</w:t>
      </w:r>
      <w:r>
        <w:rPr>
          <w:rFonts w:hint="default" w:ascii="Times New Roman" w:hAnsi="Times New Roman" w:cs="Times New Roman"/>
          <w:color w:val="auto"/>
          <w:highlight w:val="none"/>
          <w:lang w:val="en-US" w:eastAsia="zh-CN"/>
        </w:rPr>
        <w:t>5</w:t>
      </w:r>
      <w:r>
        <w:rPr>
          <w:rFonts w:hint="default" w:ascii="Times New Roman" w:hAnsi="Times New Roman" w:eastAsia="宋体" w:cs="Times New Roman"/>
          <w:color w:val="auto"/>
          <w:highlight w:val="none"/>
          <w:lang w:val="en-US" w:eastAsia="zh-CN"/>
        </w:rPr>
        <w:t>植被与野生动物</w:t>
      </w:r>
    </w:p>
    <w:p w14:paraId="75D654C9">
      <w:pPr>
        <w:bidi w:val="0"/>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eastAsia="zh-CN"/>
        </w:rPr>
        <w:t>项目区</w:t>
      </w:r>
      <w:r>
        <w:rPr>
          <w:rFonts w:hint="default" w:ascii="Times New Roman" w:hAnsi="Times New Roman" w:cs="Times New Roman"/>
          <w:color w:val="auto"/>
          <w:highlight w:val="none"/>
        </w:rPr>
        <w:t>及其周边地表植被发育</w:t>
      </w:r>
      <w:r>
        <w:rPr>
          <w:rFonts w:hint="default" w:ascii="Times New Roman" w:hAnsi="Times New Roman" w:cs="Times New Roman"/>
          <w:color w:val="auto"/>
          <w:highlight w:val="none"/>
          <w:lang w:eastAsia="zh-CN"/>
        </w:rPr>
        <w:t>较少</w:t>
      </w:r>
      <w:r>
        <w:rPr>
          <w:rFonts w:hint="default" w:ascii="Times New Roman" w:hAnsi="Times New Roman" w:cs="Times New Roman"/>
          <w:color w:val="auto"/>
          <w:highlight w:val="none"/>
        </w:rPr>
        <w:t>，植被覆盖率约1%，野外调查</w:t>
      </w:r>
      <w:r>
        <w:rPr>
          <w:rFonts w:hint="eastAsia" w:cs="Times New Roman"/>
          <w:color w:val="auto"/>
          <w:highlight w:val="none"/>
          <w:lang w:eastAsia="zh-CN"/>
        </w:rPr>
        <w:t>期间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矿区未涉及各类保护区，区内未发现野生动物。野生植物为少量已干枯多年的骆驼刺，未见生长的植物。</w:t>
      </w:r>
    </w:p>
    <w:p w14:paraId="1A3F8810">
      <w:pPr>
        <w:pStyle w:val="4"/>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4.1.</w:t>
      </w:r>
      <w:r>
        <w:rPr>
          <w:rFonts w:hint="eastAsia" w:cs="Times New Roman"/>
          <w:color w:val="auto"/>
          <w:highlight w:val="none"/>
          <w:lang w:val="en-US" w:eastAsia="zh-CN"/>
        </w:rPr>
        <w:t>6</w:t>
      </w:r>
      <w:r>
        <w:rPr>
          <w:rFonts w:hint="default" w:ascii="Times New Roman" w:hAnsi="Times New Roman" w:cs="Times New Roman"/>
          <w:color w:val="auto"/>
          <w:highlight w:val="none"/>
          <w:lang w:val="en-US" w:eastAsia="zh-CN"/>
        </w:rPr>
        <w:t>地质特征</w:t>
      </w:r>
    </w:p>
    <w:p w14:paraId="7DAE4A8B">
      <w:pPr>
        <w:pStyle w:val="5"/>
        <w:bidi w:val="0"/>
        <w:ind w:firstLine="482" w:firstLineChars="200"/>
        <w:outlineLvl w:val="3"/>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4.1.</w:t>
      </w:r>
      <w:r>
        <w:rPr>
          <w:rFonts w:hint="eastAsia" w:cs="Times New Roman"/>
          <w:color w:val="auto"/>
          <w:highlight w:val="none"/>
          <w:lang w:val="en-US" w:eastAsia="zh-CN"/>
        </w:rPr>
        <w:t>6</w:t>
      </w:r>
      <w:r>
        <w:rPr>
          <w:rFonts w:hint="default" w:ascii="Times New Roman" w:hAnsi="Times New Roman" w:cs="Times New Roman"/>
          <w:color w:val="auto"/>
          <w:highlight w:val="none"/>
          <w:lang w:val="en-US" w:eastAsia="zh-CN"/>
        </w:rPr>
        <w:t>.1地层岩性特征</w:t>
      </w:r>
    </w:p>
    <w:p w14:paraId="41861D23">
      <w:pPr>
        <w:bidi w:val="0"/>
        <w:rPr>
          <w:rFonts w:hint="default" w:ascii="Times New Roman" w:hAnsi="Times New Roman" w:cs="Times New Roman"/>
          <w:color w:val="auto"/>
          <w:highlight w:val="none"/>
          <w:lang w:eastAsia="zh-CN"/>
        </w:rPr>
      </w:pPr>
      <w:r>
        <w:rPr>
          <w:rFonts w:hint="eastAsia" w:cs="Times New Roman"/>
          <w:color w:val="auto"/>
          <w:highlight w:val="none"/>
          <w:lang w:val="en-US" w:eastAsia="zh-CN"/>
        </w:rPr>
        <w:t>项目</w:t>
      </w:r>
      <w:r>
        <w:rPr>
          <w:rFonts w:hint="default" w:ascii="Times New Roman" w:hAnsi="Times New Roman" w:cs="Times New Roman"/>
          <w:color w:val="auto"/>
          <w:highlight w:val="none"/>
          <w:lang w:eastAsia="zh-CN"/>
        </w:rPr>
        <w:t>区内出露的地层从老到新为蓟县系平头山组、下寒武统双鹰山组、中奥陶统锡林柯博组和第四系冲洪积物。从正常沉积地层到变质地层均有分布，岩性有碳酸盐岩、硅质岩及碎屑岩等，变质程度不一，为成矿奠定了地层条件。</w:t>
      </w:r>
    </w:p>
    <w:p w14:paraId="56049DCE">
      <w:pPr>
        <w:bidi w:val="0"/>
        <w:rPr>
          <w:rFonts w:hint="default" w:ascii="Times New Roman" w:hAnsi="Times New Roman" w:cs="Times New Roman"/>
          <w:color w:val="auto"/>
          <w:highlight w:val="none"/>
          <w:lang w:eastAsia="zh-CN"/>
        </w:rPr>
      </w:pPr>
      <w:r>
        <w:rPr>
          <w:rFonts w:hint="eastAsia" w:cs="Times New Roman"/>
          <w:color w:val="auto"/>
          <w:highlight w:val="none"/>
          <w:lang w:eastAsia="zh-CN"/>
        </w:rPr>
        <w:t>（</w:t>
      </w:r>
      <w:r>
        <w:rPr>
          <w:rFonts w:hint="eastAsia" w:cs="Times New Roman"/>
          <w:color w:val="auto"/>
          <w:highlight w:val="none"/>
          <w:lang w:val="en-US" w:eastAsia="zh-CN"/>
        </w:rPr>
        <w:t>1</w:t>
      </w:r>
      <w:r>
        <w:rPr>
          <w:rFonts w:hint="eastAsia" w:cs="Times New Roman"/>
          <w:color w:val="auto"/>
          <w:highlight w:val="none"/>
          <w:lang w:eastAsia="zh-CN"/>
        </w:rPr>
        <w:t>）</w:t>
      </w:r>
      <w:r>
        <w:rPr>
          <w:rFonts w:hint="default" w:ascii="Times New Roman" w:hAnsi="Times New Roman" w:cs="Times New Roman"/>
          <w:color w:val="auto"/>
          <w:highlight w:val="none"/>
          <w:lang w:eastAsia="zh-CN"/>
        </w:rPr>
        <w:t>蓟县系平头山组</w:t>
      </w:r>
    </w:p>
    <w:p w14:paraId="67D5987C">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蓟县系平头山组主要出露在矿区中部，出露面积较广，呈北西-南东向展布，局部呈弧形，向北东-南西向弯曲、延伸，向东呈近东西向延伸，延入甘肃境内，平头山组在三架山断裂两侧均有出露，基岩出露较好，受岩体侵入，风化剥蚀，地表岩石破碎强烈，地层均发生变质，原生层理难辨。</w:t>
      </w:r>
    </w:p>
    <w:p w14:paraId="7A3DE1DC">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平头山组建造整体以一套大理岩建造为主，地表平头山组三个建造区别较为明显，下部以灰黑色、黑色含碳大理岩为主，中部以灰白色、白色大理岩、大理岩和石英互层为主，上部以浅灰色、灰色白云岩和白云质大理岩为主，受构造影响，平头山组建造岩石均发生变质变形，局部有条带和层理发育。</w:t>
      </w:r>
    </w:p>
    <w:p w14:paraId="3D3ADB22">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平头山组一段：主要岩石类型有灰色、灰黑色条带状含碳大理岩、含炭质大理岩、大理岩化灰岩夹大理岩，有蛋白石发育，该段整体色调较深，呈灰黑色、黑色，岩石含炭质，局部发育水平层理。</w:t>
      </w:r>
    </w:p>
    <w:p w14:paraId="44A68880">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平头山组二段：主要岩石类型有青灰色、灰白、白色大理岩、红褐色蚀变大理岩、条带状大理岩、橄榄石大理岩、透辉石大理岩、透辉石岩、菱镁矿大理岩、蛇纹石化大理岩、硅化大理岩、灰白色大理岩与灰色石英互层、透镜状灰白色石英岩，该段整体色调较浅，呈灰白色、白色，以变质大理岩为主，见大理岩与石英互层状出露，局部水平层理发育。</w:t>
      </w:r>
    </w:p>
    <w:p w14:paraId="775CC125">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平头山组三段：主要岩石类型有浅灰、灰色微粉晶白云岩、细晶白云岩、泥微晶白云岩、粉晶白云岩、大理岩化微晶白云岩、白云质大理岩，整体呈浅灰、灰色，以白云岩和白云质大理岩为主，局部发育角砾岩，有水平层理和平行层理发育。</w:t>
      </w:r>
    </w:p>
    <w:p w14:paraId="4C0EFE7C">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矿区内平头山组地层中前人发现有石墨矿点、汉白玉矿点、三芝萤石矿等，通过对各矿点的含矿地层、含矿性、空间分布等综合研究发现，平头山组二段建造为主要含矿地层，含矿岩性主要为红褐色蚀变大理岩、红褐色褐铁矿化大理岩，属于变质岩地层控矿，该地层中含矿岩性具有穿插层性。萤石矿主要分布在大理岩与岩体的接触带，属于低温热液矿。该套地层中寻找铅锌矿、侵入岩体边缘低温热液型萤石矿和非金属类矿产潜力大。</w:t>
      </w:r>
    </w:p>
    <w:p w14:paraId="3417E4A0">
      <w:pPr>
        <w:bidi w:val="0"/>
        <w:rPr>
          <w:rFonts w:hint="default" w:ascii="Times New Roman" w:hAnsi="Times New Roman" w:cs="Times New Roman"/>
          <w:color w:val="auto"/>
          <w:highlight w:val="none"/>
          <w:lang w:eastAsia="zh-CN"/>
        </w:rPr>
      </w:pPr>
      <w:r>
        <w:rPr>
          <w:rFonts w:hint="eastAsia" w:cs="Times New Roman"/>
          <w:color w:val="auto"/>
          <w:highlight w:val="none"/>
          <w:lang w:eastAsia="zh-CN"/>
        </w:rPr>
        <w:t>（</w:t>
      </w:r>
      <w:r>
        <w:rPr>
          <w:rFonts w:hint="eastAsia" w:cs="Times New Roman"/>
          <w:color w:val="auto"/>
          <w:highlight w:val="none"/>
          <w:lang w:val="en-US" w:eastAsia="zh-CN"/>
        </w:rPr>
        <w:t>2</w:t>
      </w:r>
      <w:r>
        <w:rPr>
          <w:rFonts w:hint="eastAsia" w:cs="Times New Roman"/>
          <w:color w:val="auto"/>
          <w:highlight w:val="none"/>
          <w:lang w:eastAsia="zh-CN"/>
        </w:rPr>
        <w:t>）</w:t>
      </w:r>
      <w:r>
        <w:rPr>
          <w:rFonts w:hint="default" w:ascii="Times New Roman" w:hAnsi="Times New Roman" w:cs="Times New Roman"/>
          <w:color w:val="auto"/>
          <w:highlight w:val="none"/>
          <w:lang w:eastAsia="zh-CN"/>
        </w:rPr>
        <w:t>下寒武统双鹰山组</w:t>
      </w:r>
    </w:p>
    <w:p w14:paraId="6A95D92E">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下寒武统双鹰山组主要出露在矿区西南部，呈背斜构造，北西-南东向展布，断续状出露，向西延伸较短，向东延入甘肃境内，双鹰山组在三架山断裂两侧均有出露，基岩出露较好，风化剥蚀强烈，地表岩石破碎。</w:t>
      </w:r>
    </w:p>
    <w:p w14:paraId="612F53C6">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下寒武统双鹰山组岩性有深灰、灰黑色含炭质铁质石英板岩、铁质石英板岩、含炭质铁质硅质板岩、炭质硅质板岩、含磷、钒炭质板岩，底部有钙质砾岩。下寒武统双鹰山组整体为一套浅变质的深灰色含炭-铁质硅质板岩建造，含炭硅质板岩和含磷钒薄矿层在该组下部，该地层岩石变质程度不是很强，岩石板理可见，层理发育，地表岩石劈理化发育，受构造作用发生弯曲变形。</w:t>
      </w:r>
    </w:p>
    <w:p w14:paraId="4AFF86B2">
      <w:pPr>
        <w:bidi w:val="0"/>
        <w:rPr>
          <w:rFonts w:hint="default" w:ascii="Times New Roman" w:hAnsi="Times New Roman" w:cs="Times New Roman"/>
          <w:color w:val="auto"/>
          <w:highlight w:val="none"/>
          <w:lang w:eastAsia="zh-CN"/>
        </w:rPr>
      </w:pPr>
      <w:r>
        <w:rPr>
          <w:rFonts w:hint="eastAsia" w:cs="Times New Roman"/>
          <w:color w:val="auto"/>
          <w:highlight w:val="none"/>
          <w:lang w:eastAsia="zh-CN"/>
        </w:rPr>
        <w:t>（</w:t>
      </w:r>
      <w:r>
        <w:rPr>
          <w:rFonts w:hint="eastAsia" w:cs="Times New Roman"/>
          <w:color w:val="auto"/>
          <w:highlight w:val="none"/>
          <w:lang w:val="en-US" w:eastAsia="zh-CN"/>
        </w:rPr>
        <w:t>3</w:t>
      </w:r>
      <w:r>
        <w:rPr>
          <w:rFonts w:hint="eastAsia" w:cs="Times New Roman"/>
          <w:color w:val="auto"/>
          <w:highlight w:val="none"/>
          <w:lang w:eastAsia="zh-CN"/>
        </w:rPr>
        <w:t>）</w:t>
      </w:r>
      <w:r>
        <w:rPr>
          <w:rFonts w:hint="default" w:ascii="Times New Roman" w:hAnsi="Times New Roman" w:cs="Times New Roman"/>
          <w:color w:val="auto"/>
          <w:highlight w:val="none"/>
          <w:lang w:eastAsia="zh-CN"/>
        </w:rPr>
        <w:t>中-上寒武统西双鹰山组</w:t>
      </w:r>
    </w:p>
    <w:p w14:paraId="7F0521B3">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中-上寒武统西双鹰山组主要出露在矿区东南部，北西-南东向展布，断续状出露，向东延入甘肃境内，风化剥蚀强烈，基岩出露破碎。</w:t>
      </w:r>
    </w:p>
    <w:p w14:paraId="5E83780F">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中-上寒武统西双鹰山组出露岩性有灰色、浅灰色石英板岩、硅质板岩、浅灰色石英板岩与灰色石英板岩互层状等，整体为一套浅变质的灰、浅灰色硅质板岩建造。该地层岩石变质程度不高，岩石板理发育，局部地层劈理发育。</w:t>
      </w:r>
    </w:p>
    <w:p w14:paraId="73B350B3">
      <w:pPr>
        <w:bidi w:val="0"/>
        <w:rPr>
          <w:rFonts w:hint="default" w:ascii="Times New Roman" w:hAnsi="Times New Roman" w:cs="Times New Roman"/>
          <w:color w:val="auto"/>
          <w:highlight w:val="none"/>
          <w:lang w:eastAsia="zh-CN"/>
        </w:rPr>
      </w:pPr>
      <w:r>
        <w:rPr>
          <w:rFonts w:hint="eastAsia" w:cs="Times New Roman"/>
          <w:color w:val="auto"/>
          <w:highlight w:val="none"/>
          <w:lang w:eastAsia="zh-CN"/>
        </w:rPr>
        <w:t>（</w:t>
      </w:r>
      <w:r>
        <w:rPr>
          <w:rFonts w:hint="eastAsia" w:cs="Times New Roman"/>
          <w:color w:val="auto"/>
          <w:highlight w:val="none"/>
          <w:lang w:val="en-US" w:eastAsia="zh-CN"/>
        </w:rPr>
        <w:t>4</w:t>
      </w:r>
      <w:r>
        <w:rPr>
          <w:rFonts w:hint="eastAsia" w:cs="Times New Roman"/>
          <w:color w:val="auto"/>
          <w:highlight w:val="none"/>
          <w:lang w:eastAsia="zh-CN"/>
        </w:rPr>
        <w:t>）</w:t>
      </w:r>
      <w:r>
        <w:rPr>
          <w:rFonts w:hint="default" w:ascii="Times New Roman" w:hAnsi="Times New Roman" w:cs="Times New Roman"/>
          <w:color w:val="auto"/>
          <w:highlight w:val="none"/>
          <w:lang w:eastAsia="zh-CN"/>
        </w:rPr>
        <w:t>中-下奥陶统罗雅楚山群</w:t>
      </w:r>
    </w:p>
    <w:p w14:paraId="036F7A88">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中-下奥陶统罗雅楚山群主要出露在矿区中东南部，东西向带状分布，孤岛状出露，向东延入甘肃境内，风化剥蚀强烈，基岩出露破碎。</w:t>
      </w:r>
    </w:p>
    <w:p w14:paraId="35BB6CF4">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中-下奥陶统罗雅楚山群出露岩性有浅灰、灰色变质砂岩、石英板岩、硅质板岩等，为一套变质的碎屑岩-硅质岩建造，该地层岩石变质程度浅，原岩可分辨，地表岩石劈理发育，多破碎状分布。</w:t>
      </w:r>
    </w:p>
    <w:p w14:paraId="0065E53F">
      <w:pPr>
        <w:bidi w:val="0"/>
        <w:rPr>
          <w:rFonts w:hint="default" w:ascii="Times New Roman" w:hAnsi="Times New Roman" w:cs="Times New Roman"/>
          <w:color w:val="auto"/>
          <w:highlight w:val="none"/>
          <w:lang w:eastAsia="zh-CN"/>
        </w:rPr>
      </w:pPr>
      <w:r>
        <w:rPr>
          <w:rFonts w:hint="eastAsia" w:cs="Times New Roman"/>
          <w:color w:val="auto"/>
          <w:highlight w:val="none"/>
          <w:lang w:eastAsia="zh-CN"/>
        </w:rPr>
        <w:t>（</w:t>
      </w:r>
      <w:r>
        <w:rPr>
          <w:rFonts w:hint="eastAsia" w:cs="Times New Roman"/>
          <w:color w:val="auto"/>
          <w:highlight w:val="none"/>
          <w:lang w:val="en-US" w:eastAsia="zh-CN"/>
        </w:rPr>
        <w:t>5</w:t>
      </w:r>
      <w:r>
        <w:rPr>
          <w:rFonts w:hint="eastAsia" w:cs="Times New Roman"/>
          <w:color w:val="auto"/>
          <w:highlight w:val="none"/>
          <w:lang w:eastAsia="zh-CN"/>
        </w:rPr>
        <w:t>）</w:t>
      </w:r>
      <w:r>
        <w:rPr>
          <w:rFonts w:hint="default" w:ascii="Times New Roman" w:hAnsi="Times New Roman" w:cs="Times New Roman"/>
          <w:color w:val="auto"/>
          <w:highlight w:val="none"/>
          <w:lang w:eastAsia="zh-CN"/>
        </w:rPr>
        <w:t>中奥陶统锡林柯博组</w:t>
      </w:r>
    </w:p>
    <w:p w14:paraId="34B591E7">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中奥陶统锡林柯博组主要出露在矿区西南部，近东西向展布，断续状出露，基岩风化剥蚀强烈，基岩断续状出露。中奥陶统锡林柯博组出露岩性有灰、灰绿色劈理化变质砂岩、变质长石石英砂岩、变质石英砂岩、黑云堇青石石英角岩夹少量片岩，整体为一套变质碎屑岩建造。该地层岩石变质程度较强，原岩基本保留，岩石劈理强烈发育，呈破碎状、碎块状和薄片状分布，局部有片岩出露，受岩体侵入，与地层接触带发生热接触，形成角岩。</w:t>
      </w:r>
    </w:p>
    <w:p w14:paraId="7E77DCEB">
      <w:pPr>
        <w:pStyle w:val="5"/>
        <w:bidi w:val="0"/>
        <w:ind w:firstLine="482" w:firstLineChars="200"/>
        <w:outlineLvl w:val="3"/>
        <w:rPr>
          <w:rFonts w:hint="default" w:ascii="Times New Roman" w:hAnsi="Times New Roman" w:cs="Times New Roman"/>
          <w:color w:val="auto"/>
          <w:highlight w:val="none"/>
        </w:rPr>
      </w:pPr>
      <w:r>
        <w:rPr>
          <w:rFonts w:hint="default" w:ascii="Times New Roman" w:hAnsi="Times New Roman" w:cs="Times New Roman"/>
          <w:color w:val="auto"/>
          <w:highlight w:val="none"/>
        </w:rPr>
        <w:t>4.</w:t>
      </w:r>
      <w:r>
        <w:rPr>
          <w:rFonts w:hint="default" w:ascii="Times New Roman" w:hAnsi="Times New Roman" w:cs="Times New Roman"/>
          <w:color w:val="auto"/>
          <w:highlight w:val="none"/>
          <w:lang w:val="en-US" w:eastAsia="zh-CN"/>
        </w:rPr>
        <w:t>1.</w:t>
      </w:r>
      <w:r>
        <w:rPr>
          <w:rFonts w:hint="eastAsia" w:cs="Times New Roman"/>
          <w:color w:val="auto"/>
          <w:highlight w:val="none"/>
          <w:lang w:val="en-US" w:eastAsia="zh-CN"/>
        </w:rPr>
        <w:t>6</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构造</w:t>
      </w:r>
    </w:p>
    <w:p w14:paraId="7364672C">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区域内构造发育，主要分布在区域的中部，主要是近东西向和北东向构造。区域上总体呈复式背斜特征，背斜核部地层为震旦系地层。</w:t>
      </w:r>
    </w:p>
    <w:p w14:paraId="14147624">
      <w:pPr>
        <w:bidi w:val="0"/>
        <w:rPr>
          <w:rFonts w:hint="default" w:ascii="Times New Roman" w:hAnsi="Times New Roman" w:cs="Times New Roman"/>
          <w:color w:val="auto"/>
          <w:highlight w:val="none"/>
          <w:lang w:eastAsia="zh-CN"/>
        </w:rPr>
      </w:pPr>
      <w:r>
        <w:rPr>
          <w:rFonts w:hint="eastAsia" w:cs="Times New Roman"/>
          <w:color w:val="auto"/>
          <w:highlight w:val="none"/>
          <w:lang w:eastAsia="zh-CN"/>
        </w:rPr>
        <w:t>（</w:t>
      </w:r>
      <w:r>
        <w:rPr>
          <w:rFonts w:hint="eastAsia" w:cs="Times New Roman"/>
          <w:color w:val="auto"/>
          <w:highlight w:val="none"/>
          <w:lang w:val="en-US" w:eastAsia="zh-CN"/>
        </w:rPr>
        <w:t>1</w:t>
      </w:r>
      <w:r>
        <w:rPr>
          <w:rFonts w:hint="eastAsia" w:cs="Times New Roman"/>
          <w:color w:val="auto"/>
          <w:highlight w:val="none"/>
          <w:lang w:eastAsia="zh-CN"/>
        </w:rPr>
        <w:t>）</w:t>
      </w:r>
      <w:r>
        <w:rPr>
          <w:rFonts w:hint="default" w:ascii="Times New Roman" w:hAnsi="Times New Roman" w:cs="Times New Roman"/>
          <w:color w:val="auto"/>
          <w:highlight w:val="none"/>
          <w:lang w:eastAsia="zh-CN"/>
        </w:rPr>
        <w:t>褶皱构造</w:t>
      </w:r>
    </w:p>
    <w:p w14:paraId="33A60D34">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东西向构造带的褶皱构造为一系列轴向东西或近东西向背斜、向斜。这些褶皱多为短轴状，由于褶皱轴面枢扭起伏致使褶皱在平面上常呈</w:t>
      </w:r>
      <w:r>
        <w:rPr>
          <w:rFonts w:hint="eastAsia" w:cs="Times New Roman"/>
          <w:color w:val="auto"/>
          <w:highlight w:val="none"/>
          <w:lang w:eastAsia="zh-CN"/>
        </w:rPr>
        <w:t>“</w:t>
      </w:r>
      <w:r>
        <w:rPr>
          <w:rFonts w:hint="default" w:ascii="Times New Roman" w:hAnsi="Times New Roman" w:cs="Times New Roman"/>
          <w:color w:val="auto"/>
          <w:highlight w:val="none"/>
          <w:lang w:eastAsia="zh-CN"/>
        </w:rPr>
        <w:t>串珠状</w:t>
      </w:r>
      <w:r>
        <w:rPr>
          <w:rFonts w:hint="eastAsia" w:cs="Times New Roman"/>
          <w:color w:val="auto"/>
          <w:highlight w:val="none"/>
          <w:lang w:eastAsia="zh-CN"/>
        </w:rPr>
        <w:t>”</w:t>
      </w:r>
      <w:r>
        <w:rPr>
          <w:rFonts w:hint="default" w:ascii="Times New Roman" w:hAnsi="Times New Roman" w:cs="Times New Roman"/>
          <w:color w:val="auto"/>
          <w:highlight w:val="none"/>
          <w:lang w:eastAsia="zh-CN"/>
        </w:rPr>
        <w:t>展布。沿褶皱轴部华力西早期花岗岩体发育，且显示了与褶皱为同构造期的侵入特征。东西向褶皱均由震旦系和下古生界寒武系、奥陶系组成。褶皱形态表现为背斜紧闭</w:t>
      </w:r>
      <w:r>
        <w:rPr>
          <w:rFonts w:hint="eastAsia" w:cs="Times New Roman"/>
          <w:color w:val="auto"/>
          <w:highlight w:val="none"/>
          <w:lang w:eastAsia="zh-CN"/>
        </w:rPr>
        <w:t>（</w:t>
      </w:r>
      <w:r>
        <w:rPr>
          <w:rFonts w:hint="default" w:ascii="Times New Roman" w:hAnsi="Times New Roman" w:cs="Times New Roman"/>
          <w:color w:val="auto"/>
          <w:highlight w:val="none"/>
          <w:lang w:eastAsia="zh-CN"/>
        </w:rPr>
        <w:t>常呈尖俊状</w:t>
      </w:r>
      <w:r>
        <w:rPr>
          <w:rFonts w:hint="eastAsia" w:cs="Times New Roman"/>
          <w:color w:val="auto"/>
          <w:highlight w:val="none"/>
          <w:lang w:eastAsia="zh-CN"/>
        </w:rPr>
        <w:t>）</w:t>
      </w:r>
      <w:r>
        <w:rPr>
          <w:rFonts w:hint="default" w:ascii="Times New Roman" w:hAnsi="Times New Roman" w:cs="Times New Roman"/>
          <w:color w:val="auto"/>
          <w:highlight w:val="none"/>
          <w:lang w:eastAsia="zh-CN"/>
        </w:rPr>
        <w:t>、向斜较开阔的特征。</w:t>
      </w:r>
    </w:p>
    <w:p w14:paraId="21A405B3">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背斜核部为上震旦系白头山组大理岩，两翼为寒武系碎屑岩、硅质岩。两翼地层产状陡倾，倾角均在75度以上，局部地段受断裂影响地层发生倒转。虽然受断裂破坏，但仍可显示为一个较完整的向西倾伏的对称背斜形态。</w:t>
      </w:r>
    </w:p>
    <w:p w14:paraId="24BF5749">
      <w:pPr>
        <w:bidi w:val="0"/>
        <w:rPr>
          <w:rFonts w:hint="default" w:ascii="Times New Roman" w:hAnsi="Times New Roman" w:cs="Times New Roman"/>
          <w:color w:val="auto"/>
          <w:highlight w:val="none"/>
          <w:lang w:eastAsia="zh-CN"/>
        </w:rPr>
      </w:pPr>
      <w:r>
        <w:rPr>
          <w:rFonts w:hint="eastAsia" w:cs="Times New Roman"/>
          <w:color w:val="auto"/>
          <w:highlight w:val="none"/>
          <w:lang w:eastAsia="zh-CN"/>
        </w:rPr>
        <w:t>（</w:t>
      </w:r>
      <w:r>
        <w:rPr>
          <w:rFonts w:hint="eastAsia" w:cs="Times New Roman"/>
          <w:color w:val="auto"/>
          <w:highlight w:val="none"/>
          <w:lang w:val="en-US" w:eastAsia="zh-CN"/>
        </w:rPr>
        <w:t>2</w:t>
      </w:r>
      <w:r>
        <w:rPr>
          <w:rFonts w:hint="eastAsia" w:cs="Times New Roman"/>
          <w:color w:val="auto"/>
          <w:highlight w:val="none"/>
          <w:lang w:eastAsia="zh-CN"/>
        </w:rPr>
        <w:t>）</w:t>
      </w:r>
      <w:r>
        <w:rPr>
          <w:rFonts w:hint="default" w:ascii="Times New Roman" w:hAnsi="Times New Roman" w:cs="Times New Roman"/>
          <w:color w:val="auto"/>
          <w:highlight w:val="none"/>
          <w:lang w:eastAsia="zh-CN"/>
        </w:rPr>
        <w:t>断裂构造</w:t>
      </w:r>
    </w:p>
    <w:p w14:paraId="5304B6B5">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区内断裂构造发育，断裂构造归纳为二组</w:t>
      </w:r>
      <w:r>
        <w:rPr>
          <w:rFonts w:hint="eastAsia" w:cs="Times New Roman"/>
          <w:color w:val="auto"/>
          <w:highlight w:val="none"/>
          <w:lang w:eastAsia="zh-CN"/>
        </w:rPr>
        <w:t>：</w:t>
      </w:r>
      <w:r>
        <w:rPr>
          <w:rFonts w:hint="default" w:ascii="Times New Roman" w:hAnsi="Times New Roman" w:cs="Times New Roman"/>
          <w:color w:val="auto"/>
          <w:highlight w:val="none"/>
          <w:lang w:eastAsia="zh-CN"/>
        </w:rPr>
        <w:t>第一组为东西向压性断层，第二组为北东向的断层。</w:t>
      </w:r>
    </w:p>
    <w:p w14:paraId="158937AD">
      <w:pPr>
        <w:bidi w:val="0"/>
        <w:rPr>
          <w:rFonts w:hint="default" w:ascii="Times New Roman" w:hAnsi="Times New Roman" w:cs="Times New Roman"/>
          <w:color w:val="auto"/>
          <w:highlight w:val="none"/>
          <w:lang w:eastAsia="zh-CN"/>
        </w:rPr>
      </w:pPr>
      <w:r>
        <w:rPr>
          <w:rFonts w:hint="eastAsia" w:cs="Times New Roman"/>
          <w:color w:val="auto"/>
          <w:highlight w:val="none"/>
          <w:lang w:val="en-US" w:eastAsia="zh-CN"/>
        </w:rPr>
        <w:t>①</w:t>
      </w:r>
      <w:r>
        <w:rPr>
          <w:rFonts w:hint="default" w:ascii="Times New Roman" w:hAnsi="Times New Roman" w:cs="Times New Roman"/>
          <w:color w:val="auto"/>
          <w:highlight w:val="none"/>
          <w:lang w:eastAsia="zh-CN"/>
        </w:rPr>
        <w:t>第一组为东西向压性断层</w:t>
      </w:r>
    </w:p>
    <w:p w14:paraId="0F514095">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与区域构造线方向一致，东部近东西向，西部为北西西向。裂面紧闭、陡立，切割震旦系中统、奥陶系及花岗岩，缺失寒武系及部分奥陶系，两端被第四系覆盖。有压性片理、岩层褶皱，且有花岗岩、中性岩脉、石英脉带入，具赤铁矿化及褐铁矿化。</w:t>
      </w:r>
    </w:p>
    <w:p w14:paraId="1D2CC1E5">
      <w:pPr>
        <w:bidi w:val="0"/>
        <w:rPr>
          <w:rFonts w:hint="default" w:ascii="Times New Roman" w:hAnsi="Times New Roman" w:cs="Times New Roman"/>
          <w:color w:val="auto"/>
          <w:highlight w:val="none"/>
          <w:lang w:eastAsia="zh-CN"/>
        </w:rPr>
      </w:pPr>
      <w:r>
        <w:rPr>
          <w:rFonts w:hint="eastAsia" w:cs="Times New Roman"/>
          <w:color w:val="auto"/>
          <w:highlight w:val="none"/>
          <w:lang w:val="en-US" w:eastAsia="zh-CN"/>
        </w:rPr>
        <w:t>②</w:t>
      </w:r>
      <w:r>
        <w:rPr>
          <w:rFonts w:hint="default" w:ascii="Times New Roman" w:hAnsi="Times New Roman" w:cs="Times New Roman"/>
          <w:color w:val="auto"/>
          <w:highlight w:val="none"/>
          <w:lang w:eastAsia="zh-CN"/>
        </w:rPr>
        <w:t>第二组为北东向的断层</w:t>
      </w:r>
    </w:p>
    <w:p w14:paraId="333738A5">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该组在区内最为发育，走向在北40°东-北55°东，为扭性。断面多平直，倾角陡立（62-70°），北东向构造带中的断裂构造、火山喷发和岩浆活动甚为强烈。多斜切岩层，有花岗岩脉、中性岩脉贯入，个别可见有赤铁矿化、褐铁矿化。</w:t>
      </w:r>
    </w:p>
    <w:p w14:paraId="72414093">
      <w:pPr>
        <w:pStyle w:val="4"/>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4.1.</w:t>
      </w:r>
      <w:r>
        <w:rPr>
          <w:rFonts w:hint="eastAsia" w:cs="Times New Roman"/>
          <w:color w:val="auto"/>
          <w:highlight w:val="none"/>
          <w:lang w:val="en-US" w:eastAsia="zh-CN"/>
        </w:rPr>
        <w:t>7</w:t>
      </w:r>
      <w:r>
        <w:rPr>
          <w:rFonts w:hint="default" w:ascii="Times New Roman" w:hAnsi="Times New Roman" w:cs="Times New Roman"/>
          <w:color w:val="auto"/>
          <w:highlight w:val="none"/>
          <w:lang w:val="en-US" w:eastAsia="zh-CN"/>
        </w:rPr>
        <w:t>地震等级</w:t>
      </w:r>
    </w:p>
    <w:p w14:paraId="06AACD34">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矿区位于中国地震动峰值加速度区划图0.05g区，地震动反应谱特征周期为0.25s，属地震基本烈度为Ⅵ度区。区内地壳呈块状构造，未见断裂构造，地壳完整性好。同时区内未见第四系断裂及火山。根据地壳稳定性等级和判别指标矿区地壳稳定性划分为稳定区Ⅰ。</w:t>
      </w:r>
    </w:p>
    <w:p w14:paraId="20C57419">
      <w:pPr>
        <w:pStyle w:val="3"/>
        <w:rPr>
          <w:rFonts w:hint="default" w:ascii="Times New Roman" w:hAnsi="Times New Roman" w:cs="Times New Roman"/>
          <w:color w:val="auto"/>
          <w:highlight w:val="none"/>
        </w:rPr>
      </w:pPr>
      <w:bookmarkStart w:id="587" w:name="_Toc107414662"/>
      <w:bookmarkStart w:id="588" w:name="_Toc13643"/>
      <w:bookmarkStart w:id="589" w:name="_Toc15340"/>
      <w:bookmarkStart w:id="590" w:name="_Toc107413895"/>
      <w:bookmarkStart w:id="591" w:name="_Toc14371"/>
      <w:bookmarkStart w:id="592" w:name="_Toc30264"/>
      <w:bookmarkStart w:id="593" w:name="_Toc12837"/>
      <w:r>
        <w:rPr>
          <w:rFonts w:hint="default" w:ascii="Times New Roman" w:hAnsi="Times New Roman" w:cs="Times New Roman"/>
          <w:color w:val="auto"/>
          <w:highlight w:val="none"/>
        </w:rPr>
        <w:t>4.2</w:t>
      </w:r>
      <w:bookmarkStart w:id="594" w:name="_Toc20418"/>
      <w:bookmarkStart w:id="595" w:name="_Toc20695"/>
      <w:bookmarkStart w:id="596" w:name="_Toc15748"/>
      <w:bookmarkStart w:id="597" w:name="_Toc31678"/>
      <w:bookmarkStart w:id="598" w:name="_Toc23905"/>
      <w:bookmarkStart w:id="599" w:name="_Toc14680"/>
      <w:bookmarkStart w:id="600" w:name="_Toc13419"/>
      <w:bookmarkStart w:id="601" w:name="_Toc611"/>
      <w:bookmarkStart w:id="602" w:name="_Toc5163"/>
      <w:bookmarkStart w:id="603" w:name="_Toc10930"/>
      <w:bookmarkStart w:id="604" w:name="_Toc27679"/>
      <w:bookmarkStart w:id="605" w:name="_Toc7315"/>
      <w:bookmarkStart w:id="606" w:name="_Toc26966"/>
      <w:r>
        <w:rPr>
          <w:rFonts w:hint="default" w:ascii="Times New Roman" w:hAnsi="Times New Roman" w:cs="Times New Roman"/>
          <w:color w:val="auto"/>
          <w:highlight w:val="none"/>
        </w:rPr>
        <w:t>环境质量现状调查与评价</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 w14:paraId="046C31AC">
      <w:pPr>
        <w:pStyle w:val="4"/>
        <w:rPr>
          <w:rFonts w:hint="default" w:ascii="Times New Roman" w:hAnsi="Times New Roman" w:cs="Times New Roman"/>
          <w:color w:val="auto"/>
          <w:highlight w:val="none"/>
        </w:rPr>
      </w:pPr>
      <w:bookmarkStart w:id="607" w:name="_Toc12180"/>
      <w:bookmarkStart w:id="608" w:name="_Toc484105105"/>
      <w:bookmarkStart w:id="609" w:name="_Toc21136"/>
      <w:bookmarkStart w:id="610" w:name="_Toc4027"/>
      <w:bookmarkStart w:id="611" w:name="_Toc341282358"/>
      <w:bookmarkStart w:id="612" w:name="_Toc370052902"/>
      <w:bookmarkStart w:id="613" w:name="_Toc6403"/>
      <w:bookmarkStart w:id="614" w:name="_Toc24390"/>
      <w:bookmarkStart w:id="615" w:name="_Toc391741196"/>
      <w:bookmarkStart w:id="616" w:name="_Toc5243"/>
      <w:bookmarkStart w:id="617" w:name="_Toc493523109"/>
      <w:bookmarkStart w:id="618" w:name="_Toc12143"/>
      <w:bookmarkStart w:id="619" w:name="_Toc24064"/>
      <w:bookmarkStart w:id="620" w:name="_Toc19413"/>
      <w:bookmarkStart w:id="621" w:name="_Toc32466"/>
      <w:bookmarkStart w:id="622" w:name="_Toc10860"/>
      <w:r>
        <w:rPr>
          <w:rFonts w:hint="default" w:ascii="Times New Roman" w:hAnsi="Times New Roman" w:cs="Times New Roman"/>
          <w:color w:val="auto"/>
          <w:highlight w:val="none"/>
        </w:rPr>
        <w:t>4.2.1大气环境现状调查与评价</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14:paraId="2C78766A">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4.2.1.1环境空气质量现状调查及区域达标判定</w:t>
      </w:r>
    </w:p>
    <w:p w14:paraId="097F4E5E">
      <w:pPr>
        <w:keepNext w:val="0"/>
        <w:keepLines w:val="0"/>
        <w:pageBreakBefore w:val="0"/>
        <w:widowControl w:val="0"/>
        <w:kinsoku/>
        <w:wordWrap/>
        <w:autoSpaceDE/>
        <w:autoSpaceDN/>
        <w:bidi w:val="0"/>
        <w:adjustRightInd/>
        <w:snapToGrid/>
        <w:spacing w:line="480" w:lineRule="exact"/>
        <w:ind w:firstLine="480" w:firstLineChars="200"/>
        <w:textAlignment w:val="auto"/>
        <w:rPr>
          <w:rFonts w:hint="default" w:ascii="Times New Roman" w:hAnsi="Times New Roman" w:eastAsia="宋体" w:cs="Times New Roman"/>
          <w:snapToGrid/>
          <w:color w:val="auto"/>
          <w:kern w:val="2"/>
          <w:sz w:val="24"/>
          <w:szCs w:val="24"/>
          <w:highlight w:val="none"/>
          <w:lang w:val="en-US" w:eastAsia="zh-CN" w:bidi="ar-SA"/>
        </w:rPr>
      </w:pPr>
      <w:r>
        <w:rPr>
          <w:rFonts w:hint="default" w:ascii="Times New Roman" w:hAnsi="Times New Roman" w:eastAsia="宋体" w:cs="Times New Roman"/>
          <w:snapToGrid/>
          <w:color w:val="auto"/>
          <w:kern w:val="2"/>
          <w:sz w:val="24"/>
          <w:szCs w:val="24"/>
          <w:highlight w:val="none"/>
          <w:lang w:val="en-US" w:eastAsia="zh-CN" w:bidi="ar-SA"/>
        </w:rPr>
        <w:t>本次大气环境影响评价等级为二级。根据《环境影响评价技术导则 大气环境》（HJ2.2-2018）</w:t>
      </w:r>
      <w:r>
        <w:rPr>
          <w:rFonts w:hint="eastAsia" w:cs="Times New Roman"/>
          <w:snapToGrid/>
          <w:color w:val="auto"/>
          <w:kern w:val="2"/>
          <w:sz w:val="24"/>
          <w:szCs w:val="24"/>
          <w:highlight w:val="none"/>
          <w:lang w:val="en-US" w:eastAsia="zh-CN" w:bidi="ar-SA"/>
        </w:rPr>
        <w:t>“</w:t>
      </w:r>
      <w:r>
        <w:rPr>
          <w:rFonts w:hint="default" w:ascii="Times New Roman" w:hAnsi="Times New Roman" w:eastAsia="宋体" w:cs="Times New Roman"/>
          <w:snapToGrid/>
          <w:color w:val="auto"/>
          <w:kern w:val="2"/>
          <w:sz w:val="24"/>
          <w:szCs w:val="24"/>
          <w:highlight w:val="none"/>
          <w:lang w:val="en-US" w:eastAsia="zh-CN" w:bidi="ar-SA"/>
        </w:rPr>
        <w:t>6.1.2-二级评价项目-调查项目所在区域环境质量达标情况及调查评价范围内有环境质量标准的评价因子的环境质量监测数据或进行补充监测，用于评价项目所在区域污染物环境质量现状。</w:t>
      </w:r>
      <w:r>
        <w:rPr>
          <w:rFonts w:hint="eastAsia" w:cs="Times New Roman"/>
          <w:snapToGrid/>
          <w:color w:val="auto"/>
          <w:kern w:val="2"/>
          <w:sz w:val="24"/>
          <w:szCs w:val="24"/>
          <w:highlight w:val="none"/>
          <w:lang w:val="en-US" w:eastAsia="zh-CN" w:bidi="ar-SA"/>
        </w:rPr>
        <w:t>”</w:t>
      </w:r>
    </w:p>
    <w:p w14:paraId="5A0E1C78">
      <w:pPr>
        <w:pStyle w:val="134"/>
        <w:keepNext w:val="0"/>
        <w:keepLines w:val="0"/>
        <w:pageBreakBefore w:val="0"/>
        <w:kinsoku/>
        <w:wordWrap/>
        <w:overflowPunct/>
        <w:topLinePunct w:val="0"/>
        <w:autoSpaceDE/>
        <w:autoSpaceDN/>
        <w:bidi w:val="0"/>
        <w:snapToGrid w:val="0"/>
        <w:spacing w:line="480" w:lineRule="exact"/>
        <w:ind w:left="0" w:leftChars="0" w:right="0" w:rightChars="0" w:firstLine="480" w:firstLineChars="200"/>
        <w:jc w:val="both"/>
        <w:textAlignment w:val="auto"/>
        <w:outlineLvl w:val="9"/>
        <w:rPr>
          <w:rFonts w:hint="default" w:ascii="Times New Roman" w:hAnsi="Times New Roman" w:eastAsia="宋体" w:cs="Times New Roman"/>
          <w:snapToGrid/>
          <w:color w:val="auto"/>
          <w:kern w:val="2"/>
          <w:sz w:val="24"/>
          <w:szCs w:val="24"/>
          <w:highlight w:val="none"/>
          <w:lang w:val="en-US" w:eastAsia="zh-CN" w:bidi="ar-SA"/>
        </w:rPr>
      </w:pPr>
      <w:r>
        <w:rPr>
          <w:rFonts w:hint="default" w:ascii="Times New Roman" w:hAnsi="Times New Roman" w:eastAsia="宋体" w:cs="Times New Roman"/>
          <w:snapToGrid/>
          <w:color w:val="auto"/>
          <w:kern w:val="2"/>
          <w:sz w:val="24"/>
          <w:szCs w:val="24"/>
          <w:highlight w:val="none"/>
          <w:lang w:val="en-US" w:eastAsia="zh-CN" w:bidi="ar-SA"/>
        </w:rPr>
        <w:t>项目所在区域达标判定，优先采用国家或地方生态环境主管部门公开发布的评价基准年环境质量公告或环境质量报告中的数据或结论；采用评价范围内国家或地方环境空气质量监测网中评价基准年连续1年的监测数据，或采用生态环境主管部门公开发布的环境空气质量现状数据；评价范围内没有环境空气质量监测网数据或公开发布的环境空气质量现状数据的，可选择符合HJ664规定，并且与评价范围地理位置临近，地形、气候条件相近的环境空气质量城市点或区域点的监测数据。本次</w:t>
      </w:r>
      <w:r>
        <w:rPr>
          <w:rFonts w:hint="default" w:ascii="Times New Roman" w:hAnsi="Times New Roman" w:eastAsia="宋体" w:cs="Times New Roman"/>
          <w:color w:val="auto"/>
          <w:spacing w:val="0"/>
          <w:w w:val="100"/>
          <w:position w:val="0"/>
          <w:sz w:val="24"/>
          <w:szCs w:val="24"/>
          <w:highlight w:val="none"/>
        </w:rPr>
        <w:t>评价选择</w:t>
      </w:r>
      <w:r>
        <w:rPr>
          <w:rFonts w:hint="eastAsia" w:ascii="Times New Roman" w:hAnsi="Times New Roman" w:eastAsia="宋体"/>
          <w:color w:val="auto"/>
          <w:sz w:val="24"/>
          <w:szCs w:val="24"/>
          <w:highlight w:val="none"/>
          <w:lang w:bidi="ar"/>
        </w:rPr>
        <w:t>环境空气质量模型技术支持服务系统</w:t>
      </w:r>
      <w:r>
        <w:rPr>
          <w:rFonts w:hint="eastAsia" w:ascii="Times New Roman" w:hAnsi="Times New Roman" w:eastAsia="宋体"/>
          <w:color w:val="auto"/>
          <w:sz w:val="24"/>
          <w:szCs w:val="24"/>
          <w:highlight w:val="none"/>
          <w:lang w:val="en-US" w:eastAsia="zh-CN" w:bidi="ar"/>
        </w:rPr>
        <w:t>中哈密市2024年的监测数据，</w:t>
      </w:r>
      <w:r>
        <w:rPr>
          <w:rFonts w:hint="default" w:ascii="Times New Roman" w:hAnsi="Times New Roman" w:eastAsia="宋体" w:cs="Times New Roman"/>
          <w:color w:val="auto"/>
          <w:sz w:val="24"/>
          <w:szCs w:val="24"/>
          <w:highlight w:val="none"/>
        </w:rPr>
        <w:t>作为本项目环境空气现状评价基本污染物SO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10</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2.5</w:t>
      </w:r>
      <w:r>
        <w:rPr>
          <w:rFonts w:hint="default" w:ascii="Times New Roman" w:hAnsi="Times New Roman" w:eastAsia="宋体" w:cs="Times New Roman"/>
          <w:color w:val="auto"/>
          <w:sz w:val="24"/>
          <w:szCs w:val="24"/>
          <w:highlight w:val="none"/>
        </w:rPr>
        <w:t>、CO和O</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的数据来源。</w:t>
      </w:r>
    </w:p>
    <w:p w14:paraId="50EF2855">
      <w:pPr>
        <w:pStyle w:val="92"/>
        <w:keepNext w:val="0"/>
        <w:keepLines w:val="0"/>
        <w:pageBreakBefore w:val="0"/>
        <w:widowControl w:val="0"/>
        <w:kinsoku/>
        <w:wordWrap/>
        <w:overflowPunct w:val="0"/>
        <w:topLinePunct/>
        <w:autoSpaceDE/>
        <w:autoSpaceDN/>
        <w:bidi w:val="0"/>
        <w:adjustRightInd/>
        <w:snapToGrid/>
        <w:spacing w:line="480" w:lineRule="exact"/>
        <w:ind w:firstLine="520"/>
        <w:jc w:val="both"/>
        <w:textAlignment w:val="auto"/>
        <w:rPr>
          <w:rFonts w:hint="default" w:ascii="Times New Roman" w:hAnsi="Times New Roman" w:cs="Times New Roman"/>
          <w:color w:val="auto"/>
          <w:szCs w:val="24"/>
          <w:highlight w:val="none"/>
        </w:rPr>
      </w:pPr>
      <w:r>
        <w:rPr>
          <w:rFonts w:hint="eastAsia" w:ascii="Times New Roman" w:hAnsi="Times New Roman" w:eastAsia="宋体" w:cs="Times New Roman"/>
          <w:color w:val="auto"/>
          <w:sz w:val="24"/>
          <w:szCs w:val="22"/>
          <w:highlight w:val="none"/>
          <w:lang w:val="en-US" w:eastAsia="zh-CN"/>
        </w:rPr>
        <w:t>2024年哈密市SO</w:t>
      </w:r>
      <w:r>
        <w:rPr>
          <w:rFonts w:hint="eastAsia" w:ascii="Times New Roman" w:hAnsi="Times New Roman" w:eastAsia="宋体" w:cs="Times New Roman"/>
          <w:color w:val="auto"/>
          <w:sz w:val="24"/>
          <w:szCs w:val="22"/>
          <w:highlight w:val="none"/>
          <w:vertAlign w:val="subscript"/>
          <w:lang w:val="en-US" w:eastAsia="zh-CN"/>
        </w:rPr>
        <w:t>2</w:t>
      </w:r>
      <w:r>
        <w:rPr>
          <w:rFonts w:hint="eastAsia" w:ascii="Times New Roman" w:hAnsi="Times New Roman" w:eastAsia="宋体" w:cs="Times New Roman"/>
          <w:color w:val="auto"/>
          <w:sz w:val="24"/>
          <w:szCs w:val="22"/>
          <w:highlight w:val="none"/>
          <w:lang w:val="en-US" w:eastAsia="zh-CN"/>
        </w:rPr>
        <w:t>、NO</w:t>
      </w:r>
      <w:r>
        <w:rPr>
          <w:rFonts w:hint="eastAsia" w:ascii="Times New Roman" w:hAnsi="Times New Roman" w:eastAsia="宋体" w:cs="Times New Roman"/>
          <w:color w:val="auto"/>
          <w:sz w:val="24"/>
          <w:szCs w:val="22"/>
          <w:highlight w:val="none"/>
          <w:vertAlign w:val="subscript"/>
          <w:lang w:val="en-US" w:eastAsia="zh-CN"/>
        </w:rPr>
        <w:t>2</w:t>
      </w:r>
      <w:r>
        <w:rPr>
          <w:rFonts w:hint="eastAsia" w:ascii="Times New Roman" w:hAnsi="Times New Roman" w:eastAsia="宋体" w:cs="Times New Roman"/>
          <w:color w:val="auto"/>
          <w:sz w:val="24"/>
          <w:szCs w:val="22"/>
          <w:highlight w:val="none"/>
          <w:lang w:val="en-US" w:eastAsia="zh-CN"/>
        </w:rPr>
        <w:t>、PM</w:t>
      </w:r>
      <w:r>
        <w:rPr>
          <w:rFonts w:hint="eastAsia" w:ascii="Times New Roman" w:hAnsi="Times New Roman" w:eastAsia="宋体" w:cs="Times New Roman"/>
          <w:color w:val="auto"/>
          <w:sz w:val="24"/>
          <w:szCs w:val="22"/>
          <w:highlight w:val="none"/>
          <w:vertAlign w:val="subscript"/>
          <w:lang w:val="en-US" w:eastAsia="zh-CN"/>
        </w:rPr>
        <w:t>10</w:t>
      </w:r>
      <w:r>
        <w:rPr>
          <w:rFonts w:hint="eastAsia" w:ascii="Times New Roman" w:hAnsi="Times New Roman" w:eastAsia="宋体" w:cs="Times New Roman"/>
          <w:color w:val="auto"/>
          <w:sz w:val="24"/>
          <w:szCs w:val="22"/>
          <w:highlight w:val="none"/>
          <w:lang w:val="en-US" w:eastAsia="zh-CN"/>
        </w:rPr>
        <w:t>、PM</w:t>
      </w:r>
      <w:r>
        <w:rPr>
          <w:rFonts w:hint="eastAsia" w:ascii="Times New Roman" w:hAnsi="Times New Roman" w:eastAsia="宋体" w:cs="Times New Roman"/>
          <w:color w:val="auto"/>
          <w:sz w:val="24"/>
          <w:szCs w:val="22"/>
          <w:highlight w:val="none"/>
          <w:vertAlign w:val="subscript"/>
          <w:lang w:val="en-US" w:eastAsia="zh-CN"/>
        </w:rPr>
        <w:t>2.5</w:t>
      </w:r>
      <w:r>
        <w:rPr>
          <w:rFonts w:hint="eastAsia" w:ascii="Times New Roman" w:hAnsi="Times New Roman" w:eastAsia="宋体" w:cs="Times New Roman"/>
          <w:color w:val="auto"/>
          <w:sz w:val="24"/>
          <w:szCs w:val="22"/>
          <w:highlight w:val="none"/>
          <w:lang w:val="en-US" w:eastAsia="zh-CN"/>
        </w:rPr>
        <w:t>年均浓度分别为6</w:t>
      </w:r>
      <w:r>
        <w:rPr>
          <w:rFonts w:hint="default" w:ascii="Times New Roman" w:hAnsi="Times New Roman" w:eastAsia="宋体" w:cs="Times New Roman"/>
          <w:color w:val="auto"/>
          <w:sz w:val="24"/>
          <w:szCs w:val="22"/>
          <w:highlight w:val="none"/>
          <w:lang w:val="en-US" w:eastAsia="zh-CN"/>
        </w:rPr>
        <w:t>μ</w:t>
      </w:r>
      <w:r>
        <w:rPr>
          <w:rFonts w:hint="eastAsia" w:ascii="Times New Roman" w:hAnsi="Times New Roman" w:eastAsia="宋体" w:cs="Times New Roman"/>
          <w:color w:val="auto"/>
          <w:sz w:val="24"/>
          <w:szCs w:val="22"/>
          <w:highlight w:val="none"/>
          <w:lang w:val="en-US" w:eastAsia="zh-CN"/>
        </w:rPr>
        <w:t>g/m</w:t>
      </w:r>
      <w:r>
        <w:rPr>
          <w:rFonts w:hint="eastAsia" w:ascii="Times New Roman" w:hAnsi="Times New Roman" w:eastAsia="宋体" w:cs="Times New Roman"/>
          <w:color w:val="auto"/>
          <w:sz w:val="24"/>
          <w:szCs w:val="22"/>
          <w:highlight w:val="none"/>
          <w:vertAlign w:val="superscript"/>
          <w:lang w:val="en-US" w:eastAsia="zh-CN"/>
        </w:rPr>
        <w:t>3</w:t>
      </w:r>
      <w:r>
        <w:rPr>
          <w:rFonts w:hint="eastAsia" w:ascii="Times New Roman" w:hAnsi="Times New Roman" w:eastAsia="宋体" w:cs="Times New Roman"/>
          <w:color w:val="auto"/>
          <w:sz w:val="24"/>
          <w:szCs w:val="22"/>
          <w:highlight w:val="none"/>
          <w:lang w:val="en-US" w:eastAsia="zh-CN"/>
        </w:rPr>
        <w:t>、26</w:t>
      </w:r>
      <w:r>
        <w:rPr>
          <w:rFonts w:hint="default" w:ascii="Times New Roman" w:hAnsi="Times New Roman" w:eastAsia="宋体" w:cs="Times New Roman"/>
          <w:color w:val="auto"/>
          <w:sz w:val="24"/>
          <w:szCs w:val="22"/>
          <w:highlight w:val="none"/>
          <w:lang w:val="en-US" w:eastAsia="zh-CN"/>
        </w:rPr>
        <w:t>μ</w:t>
      </w:r>
      <w:r>
        <w:rPr>
          <w:rFonts w:hint="eastAsia" w:ascii="Times New Roman" w:hAnsi="Times New Roman" w:eastAsia="宋体" w:cs="Times New Roman"/>
          <w:color w:val="auto"/>
          <w:sz w:val="24"/>
          <w:szCs w:val="22"/>
          <w:highlight w:val="none"/>
          <w:lang w:val="en-US" w:eastAsia="zh-CN"/>
        </w:rPr>
        <w:t>g/m</w:t>
      </w:r>
      <w:r>
        <w:rPr>
          <w:rFonts w:hint="eastAsia" w:ascii="Times New Roman" w:hAnsi="Times New Roman" w:eastAsia="宋体" w:cs="Times New Roman"/>
          <w:color w:val="auto"/>
          <w:sz w:val="24"/>
          <w:szCs w:val="22"/>
          <w:highlight w:val="none"/>
          <w:vertAlign w:val="superscript"/>
          <w:lang w:val="en-US" w:eastAsia="zh-CN"/>
        </w:rPr>
        <w:t>3</w:t>
      </w:r>
      <w:r>
        <w:rPr>
          <w:rFonts w:hint="eastAsia" w:ascii="Times New Roman" w:hAnsi="Times New Roman" w:eastAsia="宋体" w:cs="Times New Roman"/>
          <w:color w:val="auto"/>
          <w:sz w:val="24"/>
          <w:szCs w:val="22"/>
          <w:highlight w:val="none"/>
          <w:lang w:val="en-US" w:eastAsia="zh-CN"/>
        </w:rPr>
        <w:t>、62</w:t>
      </w:r>
      <w:r>
        <w:rPr>
          <w:rFonts w:hint="default" w:ascii="Times New Roman" w:hAnsi="Times New Roman" w:eastAsia="宋体" w:cs="Times New Roman"/>
          <w:color w:val="auto"/>
          <w:sz w:val="24"/>
          <w:szCs w:val="22"/>
          <w:highlight w:val="none"/>
          <w:lang w:val="en-US" w:eastAsia="zh-CN"/>
        </w:rPr>
        <w:t>μ</w:t>
      </w:r>
      <w:r>
        <w:rPr>
          <w:rFonts w:hint="eastAsia" w:ascii="Times New Roman" w:hAnsi="Times New Roman" w:eastAsia="宋体" w:cs="Times New Roman"/>
          <w:color w:val="auto"/>
          <w:sz w:val="24"/>
          <w:szCs w:val="22"/>
          <w:highlight w:val="none"/>
          <w:lang w:val="en-US" w:eastAsia="zh-CN"/>
        </w:rPr>
        <w:t>g/m</w:t>
      </w:r>
      <w:r>
        <w:rPr>
          <w:rFonts w:hint="eastAsia" w:ascii="Times New Roman" w:hAnsi="Times New Roman" w:eastAsia="宋体" w:cs="Times New Roman"/>
          <w:color w:val="auto"/>
          <w:sz w:val="24"/>
          <w:szCs w:val="22"/>
          <w:highlight w:val="none"/>
          <w:vertAlign w:val="superscript"/>
          <w:lang w:val="en-US" w:eastAsia="zh-CN"/>
        </w:rPr>
        <w:t>3</w:t>
      </w:r>
      <w:r>
        <w:rPr>
          <w:rFonts w:hint="eastAsia" w:ascii="Times New Roman" w:hAnsi="Times New Roman" w:eastAsia="宋体" w:cs="Times New Roman"/>
          <w:color w:val="auto"/>
          <w:sz w:val="24"/>
          <w:szCs w:val="22"/>
          <w:highlight w:val="none"/>
          <w:lang w:val="en-US" w:eastAsia="zh-CN"/>
        </w:rPr>
        <w:t>、25</w:t>
      </w:r>
      <w:r>
        <w:rPr>
          <w:rFonts w:hint="default" w:ascii="Times New Roman" w:hAnsi="Times New Roman" w:eastAsia="宋体" w:cs="Times New Roman"/>
          <w:color w:val="auto"/>
          <w:sz w:val="24"/>
          <w:szCs w:val="22"/>
          <w:highlight w:val="none"/>
          <w:lang w:val="en-US" w:eastAsia="zh-CN"/>
        </w:rPr>
        <w:t>μ</w:t>
      </w:r>
      <w:r>
        <w:rPr>
          <w:rFonts w:hint="eastAsia" w:ascii="Times New Roman" w:hAnsi="Times New Roman" w:eastAsia="宋体" w:cs="Times New Roman"/>
          <w:color w:val="auto"/>
          <w:sz w:val="24"/>
          <w:szCs w:val="22"/>
          <w:highlight w:val="none"/>
          <w:lang w:val="en-US" w:eastAsia="zh-CN"/>
        </w:rPr>
        <w:t>g/m</w:t>
      </w:r>
      <w:r>
        <w:rPr>
          <w:rFonts w:hint="eastAsia" w:ascii="Times New Roman" w:hAnsi="Times New Roman" w:eastAsia="宋体" w:cs="Times New Roman"/>
          <w:color w:val="auto"/>
          <w:sz w:val="24"/>
          <w:szCs w:val="22"/>
          <w:highlight w:val="none"/>
          <w:vertAlign w:val="superscript"/>
          <w:lang w:val="en-US" w:eastAsia="zh-CN"/>
        </w:rPr>
        <w:t>3</w:t>
      </w:r>
      <w:r>
        <w:rPr>
          <w:rFonts w:hint="eastAsia" w:ascii="Times New Roman" w:hAnsi="Times New Roman" w:eastAsia="宋体" w:cs="Times New Roman"/>
          <w:color w:val="auto"/>
          <w:sz w:val="24"/>
          <w:szCs w:val="22"/>
          <w:highlight w:val="none"/>
          <w:lang w:val="en-US" w:eastAsia="zh-CN"/>
        </w:rPr>
        <w:t>；CO24小时第95百分位数为1000</w:t>
      </w:r>
      <w:r>
        <w:rPr>
          <w:rFonts w:hint="default" w:ascii="Times New Roman" w:hAnsi="Times New Roman" w:eastAsia="宋体" w:cs="Times New Roman"/>
          <w:color w:val="auto"/>
          <w:sz w:val="24"/>
          <w:szCs w:val="22"/>
          <w:highlight w:val="none"/>
          <w:lang w:val="en-US" w:eastAsia="zh-CN"/>
        </w:rPr>
        <w:t>μ</w:t>
      </w:r>
      <w:r>
        <w:rPr>
          <w:rFonts w:hint="eastAsia" w:ascii="Times New Roman" w:hAnsi="Times New Roman" w:eastAsia="宋体" w:cs="Times New Roman"/>
          <w:color w:val="auto"/>
          <w:sz w:val="24"/>
          <w:szCs w:val="22"/>
          <w:highlight w:val="none"/>
          <w:lang w:val="en-US" w:eastAsia="zh-CN"/>
        </w:rPr>
        <w:t>g/m</w:t>
      </w:r>
      <w:r>
        <w:rPr>
          <w:rFonts w:hint="eastAsia" w:ascii="Times New Roman" w:hAnsi="Times New Roman" w:eastAsia="宋体" w:cs="Times New Roman"/>
          <w:color w:val="auto"/>
          <w:sz w:val="24"/>
          <w:szCs w:val="22"/>
          <w:highlight w:val="none"/>
          <w:vertAlign w:val="superscript"/>
          <w:lang w:val="en-US" w:eastAsia="zh-CN"/>
        </w:rPr>
        <w:t>3</w:t>
      </w:r>
      <w:r>
        <w:rPr>
          <w:rFonts w:hint="eastAsia" w:ascii="Times New Roman" w:hAnsi="Times New Roman" w:eastAsia="宋体" w:cs="Times New Roman"/>
          <w:color w:val="auto"/>
          <w:sz w:val="24"/>
          <w:szCs w:val="22"/>
          <w:highlight w:val="none"/>
          <w:lang w:val="en-US" w:eastAsia="zh-CN"/>
        </w:rPr>
        <w:t>，O</w:t>
      </w:r>
      <w:r>
        <w:rPr>
          <w:rFonts w:hint="eastAsia" w:ascii="Times New Roman" w:hAnsi="Times New Roman" w:eastAsia="宋体" w:cs="Times New Roman"/>
          <w:color w:val="auto"/>
          <w:sz w:val="24"/>
          <w:szCs w:val="22"/>
          <w:highlight w:val="none"/>
          <w:vertAlign w:val="subscript"/>
          <w:lang w:val="en-US" w:eastAsia="zh-CN"/>
        </w:rPr>
        <w:t>3</w:t>
      </w:r>
      <w:r>
        <w:rPr>
          <w:rFonts w:hint="eastAsia" w:ascii="Times New Roman" w:hAnsi="Times New Roman" w:eastAsia="宋体" w:cs="Times New Roman"/>
          <w:color w:val="auto"/>
          <w:sz w:val="24"/>
          <w:szCs w:val="22"/>
          <w:highlight w:val="none"/>
          <w:lang w:val="en-US" w:eastAsia="zh-CN"/>
        </w:rPr>
        <w:t>日最大8小时平均第90百分位数为140</w:t>
      </w:r>
      <w:r>
        <w:rPr>
          <w:rFonts w:hint="default" w:ascii="Times New Roman" w:hAnsi="Times New Roman" w:eastAsia="宋体" w:cs="Times New Roman"/>
          <w:color w:val="auto"/>
          <w:sz w:val="24"/>
          <w:szCs w:val="22"/>
          <w:highlight w:val="none"/>
          <w:lang w:val="en-US" w:eastAsia="zh-CN"/>
        </w:rPr>
        <w:t>μ</w:t>
      </w:r>
      <w:r>
        <w:rPr>
          <w:rFonts w:hint="eastAsia" w:ascii="Times New Roman" w:hAnsi="Times New Roman" w:eastAsia="宋体" w:cs="Times New Roman"/>
          <w:color w:val="auto"/>
          <w:sz w:val="24"/>
          <w:szCs w:val="22"/>
          <w:highlight w:val="none"/>
          <w:lang w:val="en-US" w:eastAsia="zh-CN"/>
        </w:rPr>
        <w:t>g/m</w:t>
      </w:r>
      <w:r>
        <w:rPr>
          <w:rFonts w:hint="eastAsia" w:ascii="Times New Roman" w:hAnsi="Times New Roman" w:eastAsia="宋体" w:cs="Times New Roman"/>
          <w:color w:val="auto"/>
          <w:sz w:val="24"/>
          <w:szCs w:val="22"/>
          <w:highlight w:val="none"/>
          <w:vertAlign w:val="superscript"/>
          <w:lang w:val="en-US" w:eastAsia="zh-CN"/>
        </w:rPr>
        <w:t>3</w:t>
      </w:r>
      <w:r>
        <w:rPr>
          <w:rFonts w:hint="eastAsia" w:ascii="Times New Roman" w:hAnsi="Times New Roman" w:eastAsia="宋体" w:cs="Times New Roman"/>
          <w:color w:val="auto"/>
          <w:spacing w:val="-4"/>
          <w:kern w:val="2"/>
          <w:sz w:val="24"/>
          <w:szCs w:val="24"/>
          <w:highlight w:val="none"/>
          <w:lang w:val="en-US" w:eastAsia="zh-CN" w:bidi="ar-SA"/>
        </w:rPr>
        <w:t>。</w:t>
      </w:r>
    </w:p>
    <w:p w14:paraId="5BA48D95">
      <w:pPr>
        <w:ind w:firstLine="480"/>
        <w:rPr>
          <w:rFonts w:hint="default" w:ascii="Times New Roman" w:hAnsi="Times New Roman" w:cs="Times New Roman"/>
          <w:color w:val="auto"/>
          <w:highlight w:val="none"/>
        </w:rPr>
      </w:pPr>
      <w:r>
        <w:rPr>
          <w:rFonts w:hint="default" w:ascii="Times New Roman" w:hAnsi="Times New Roman" w:eastAsia="宋体" w:cs="Times New Roman"/>
          <w:snapToGrid/>
          <w:color w:val="auto"/>
          <w:kern w:val="2"/>
          <w:sz w:val="24"/>
          <w:szCs w:val="24"/>
          <w:highlight w:val="none"/>
          <w:lang w:val="en-US" w:eastAsia="zh-CN" w:bidi="ar-SA"/>
        </w:rPr>
        <w:t>环境空气质量现状监测结果见表4.</w:t>
      </w:r>
      <w:r>
        <w:rPr>
          <w:rFonts w:hint="default" w:ascii="Times New Roman" w:hAnsi="Times New Roman" w:cs="Times New Roman"/>
          <w:snapToGrid/>
          <w:color w:val="auto"/>
          <w:kern w:val="2"/>
          <w:sz w:val="24"/>
          <w:szCs w:val="24"/>
          <w:highlight w:val="none"/>
          <w:lang w:val="en-US" w:eastAsia="zh-CN" w:bidi="ar-SA"/>
        </w:rPr>
        <w:t>2</w:t>
      </w:r>
      <w:r>
        <w:rPr>
          <w:rFonts w:hint="default" w:ascii="Times New Roman" w:hAnsi="Times New Roman" w:eastAsia="宋体" w:cs="Times New Roman"/>
          <w:snapToGrid/>
          <w:color w:val="auto"/>
          <w:kern w:val="2"/>
          <w:sz w:val="24"/>
          <w:szCs w:val="24"/>
          <w:highlight w:val="none"/>
          <w:lang w:val="en-US" w:eastAsia="zh-CN" w:bidi="ar-SA"/>
        </w:rPr>
        <w:t>-1。</w:t>
      </w:r>
    </w:p>
    <w:p w14:paraId="57E26FE9">
      <w:pPr>
        <w:pStyle w:val="41"/>
        <w:spacing w:line="480" w:lineRule="exact"/>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表4.2</w:t>
      </w:r>
      <w:r>
        <w:rPr>
          <w:rFonts w:hint="default" w:ascii="Times New Roman" w:hAnsi="Times New Roman" w:cs="Times New Roman"/>
          <w:b/>
          <w:bCs/>
          <w:color w:val="auto"/>
          <w:highlight w:val="none"/>
        </w:rPr>
        <w:noBreakHyphen/>
      </w:r>
      <w:r>
        <w:rPr>
          <w:rFonts w:hint="default" w:ascii="Times New Roman" w:hAnsi="Times New Roman" w:cs="Times New Roman"/>
          <w:b/>
          <w:bCs/>
          <w:color w:val="auto"/>
          <w:highlight w:val="none"/>
        </w:rPr>
        <w:t xml:space="preserve">1    </w:t>
      </w:r>
      <w:r>
        <w:rPr>
          <w:rFonts w:hint="default" w:ascii="Times New Roman" w:hAnsi="Times New Roman" w:cs="Times New Roman"/>
          <w:b/>
          <w:bCs/>
          <w:color w:val="auto"/>
          <w:highlight w:val="none"/>
          <w:lang w:val="en-US" w:eastAsia="zh-CN"/>
        </w:rPr>
        <w:t>2024年哈密市空气质量现状评价表</w:t>
      </w:r>
    </w:p>
    <w:tbl>
      <w:tblPr>
        <w:tblStyle w:val="33"/>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2092"/>
        <w:gridCol w:w="1336"/>
        <w:gridCol w:w="1147"/>
        <w:gridCol w:w="993"/>
        <w:gridCol w:w="1224"/>
      </w:tblGrid>
      <w:tr w14:paraId="717514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95" w:type="pct"/>
            <w:vAlign w:val="center"/>
          </w:tcPr>
          <w:p w14:paraId="023A9A82">
            <w:pPr>
              <w:widowControl w:val="0"/>
              <w:kinsoku/>
              <w:autoSpaceDE/>
              <w:autoSpaceDN/>
              <w:adjustRightInd w:val="0"/>
              <w:snapToGrid w:val="0"/>
              <w:spacing w:line="360" w:lineRule="exact"/>
              <w:ind w:left="-120" w:leftChars="-50" w:right="-120" w:rightChars="-50" w:firstLine="0" w:firstLineChars="0"/>
              <w:jc w:val="center"/>
              <w:textAlignment w:val="auto"/>
              <w:rPr>
                <w:rFonts w:hint="default" w:ascii="Times New Roman" w:hAnsi="Times New Roman" w:eastAsia="宋体" w:cs="Times New Roman"/>
                <w:b/>
                <w:bCs/>
                <w:snapToGrid/>
                <w:color w:val="auto"/>
                <w:kern w:val="0"/>
                <w:sz w:val="21"/>
                <w:szCs w:val="21"/>
                <w:highlight w:val="none"/>
                <w:lang w:val="en-US" w:eastAsia="zh-CN" w:bidi="ar-SA"/>
              </w:rPr>
            </w:pPr>
            <w:r>
              <w:rPr>
                <w:rFonts w:hint="default" w:ascii="Times New Roman" w:hAnsi="Times New Roman" w:eastAsia="宋体" w:cs="Times New Roman"/>
                <w:b/>
                <w:bCs/>
                <w:snapToGrid/>
                <w:color w:val="auto"/>
                <w:kern w:val="0"/>
                <w:sz w:val="21"/>
                <w:szCs w:val="21"/>
                <w:highlight w:val="none"/>
                <w:lang w:val="en-US" w:eastAsia="zh-CN" w:bidi="ar-SA"/>
              </w:rPr>
              <w:t>污染物</w:t>
            </w:r>
          </w:p>
        </w:tc>
        <w:tc>
          <w:tcPr>
            <w:tcW w:w="1140" w:type="pct"/>
            <w:vAlign w:val="center"/>
          </w:tcPr>
          <w:p w14:paraId="31250548">
            <w:pPr>
              <w:widowControl w:val="0"/>
              <w:kinsoku/>
              <w:autoSpaceDE/>
              <w:autoSpaceDN/>
              <w:adjustRightInd w:val="0"/>
              <w:snapToGrid w:val="0"/>
              <w:spacing w:line="360" w:lineRule="exact"/>
              <w:ind w:left="-120" w:leftChars="-50" w:right="-120" w:rightChars="-50" w:firstLine="0" w:firstLineChars="0"/>
              <w:jc w:val="center"/>
              <w:textAlignment w:val="auto"/>
              <w:rPr>
                <w:rFonts w:hint="default" w:ascii="Times New Roman" w:hAnsi="Times New Roman" w:eastAsia="宋体" w:cs="Times New Roman"/>
                <w:b/>
                <w:bCs/>
                <w:snapToGrid/>
                <w:color w:val="auto"/>
                <w:kern w:val="0"/>
                <w:sz w:val="21"/>
                <w:szCs w:val="21"/>
                <w:highlight w:val="none"/>
                <w:lang w:val="en-US" w:eastAsia="zh-CN" w:bidi="ar-SA"/>
              </w:rPr>
            </w:pPr>
            <w:r>
              <w:rPr>
                <w:rFonts w:hint="default" w:ascii="Times New Roman" w:hAnsi="Times New Roman" w:eastAsia="宋体" w:cs="Times New Roman"/>
                <w:b/>
                <w:bCs/>
                <w:snapToGrid/>
                <w:color w:val="auto"/>
                <w:kern w:val="0"/>
                <w:sz w:val="21"/>
                <w:szCs w:val="21"/>
                <w:highlight w:val="none"/>
                <w:lang w:val="en-US" w:eastAsia="zh-CN" w:bidi="ar-SA"/>
              </w:rPr>
              <w:t>平均时间</w:t>
            </w:r>
          </w:p>
        </w:tc>
        <w:tc>
          <w:tcPr>
            <w:tcW w:w="728" w:type="pct"/>
            <w:vAlign w:val="center"/>
          </w:tcPr>
          <w:p w14:paraId="21F197AC">
            <w:pPr>
              <w:widowControl w:val="0"/>
              <w:kinsoku/>
              <w:autoSpaceDE/>
              <w:autoSpaceDN/>
              <w:adjustRightInd w:val="0"/>
              <w:snapToGrid w:val="0"/>
              <w:spacing w:line="360" w:lineRule="exact"/>
              <w:ind w:left="-120" w:leftChars="-50" w:right="-120" w:rightChars="-50" w:firstLine="0" w:firstLineChars="0"/>
              <w:jc w:val="center"/>
              <w:textAlignment w:val="auto"/>
              <w:rPr>
                <w:rFonts w:hint="default" w:ascii="Times New Roman" w:hAnsi="Times New Roman" w:eastAsia="宋体" w:cs="Times New Roman"/>
                <w:b/>
                <w:bCs/>
                <w:snapToGrid/>
                <w:color w:val="auto"/>
                <w:kern w:val="0"/>
                <w:sz w:val="21"/>
                <w:szCs w:val="21"/>
                <w:highlight w:val="none"/>
                <w:lang w:val="en-US" w:eastAsia="zh-CN" w:bidi="ar-SA"/>
              </w:rPr>
            </w:pPr>
            <w:r>
              <w:rPr>
                <w:rFonts w:hint="default" w:ascii="Times New Roman" w:hAnsi="Times New Roman" w:eastAsia="宋体" w:cs="Times New Roman"/>
                <w:b/>
                <w:bCs/>
                <w:snapToGrid/>
                <w:color w:val="auto"/>
                <w:kern w:val="0"/>
                <w:sz w:val="21"/>
                <w:szCs w:val="21"/>
                <w:highlight w:val="none"/>
                <w:lang w:val="en-US" w:eastAsia="zh-CN" w:bidi="ar-SA"/>
              </w:rPr>
              <w:t>现状浓度</w:t>
            </w:r>
          </w:p>
          <w:p w14:paraId="79480B65">
            <w:pPr>
              <w:widowControl w:val="0"/>
              <w:kinsoku/>
              <w:autoSpaceDE/>
              <w:autoSpaceDN/>
              <w:adjustRightInd w:val="0"/>
              <w:snapToGrid w:val="0"/>
              <w:spacing w:line="360" w:lineRule="exact"/>
              <w:ind w:left="-120" w:leftChars="-50" w:right="-120" w:rightChars="-50" w:firstLine="0" w:firstLineChars="0"/>
              <w:jc w:val="center"/>
              <w:textAlignment w:val="auto"/>
              <w:rPr>
                <w:rFonts w:hint="default" w:ascii="Times New Roman" w:hAnsi="Times New Roman" w:eastAsia="宋体" w:cs="Times New Roman"/>
                <w:b/>
                <w:bCs/>
                <w:snapToGrid/>
                <w:color w:val="auto"/>
                <w:kern w:val="0"/>
                <w:sz w:val="21"/>
                <w:szCs w:val="21"/>
                <w:highlight w:val="none"/>
                <w:lang w:val="en-US" w:eastAsia="zh-CN" w:bidi="ar-SA"/>
              </w:rPr>
            </w:pPr>
            <w:r>
              <w:rPr>
                <w:rFonts w:hint="eastAsia" w:cs="Times New Roman"/>
                <w:b/>
                <w:bCs/>
                <w:snapToGrid/>
                <w:color w:val="auto"/>
                <w:kern w:val="0"/>
                <w:sz w:val="21"/>
                <w:szCs w:val="21"/>
                <w:highlight w:val="none"/>
                <w:lang w:val="en-US" w:eastAsia="zh-CN" w:bidi="ar-SA"/>
              </w:rPr>
              <w:t>（</w:t>
            </w:r>
            <w:r>
              <w:rPr>
                <w:rFonts w:hint="default" w:ascii="Times New Roman" w:hAnsi="Times New Roman" w:eastAsia="宋体" w:cs="Times New Roman"/>
                <w:b/>
                <w:bCs/>
                <w:snapToGrid/>
                <w:color w:val="auto"/>
                <w:kern w:val="0"/>
                <w:sz w:val="21"/>
                <w:szCs w:val="21"/>
                <w:highlight w:val="none"/>
                <w:lang w:val="en-US" w:eastAsia="zh-CN" w:bidi="ar-SA"/>
              </w:rPr>
              <w:t>μg/m</w:t>
            </w:r>
            <w:r>
              <w:rPr>
                <w:rFonts w:hint="default" w:ascii="Times New Roman" w:hAnsi="Times New Roman" w:eastAsia="宋体" w:cs="Times New Roman"/>
                <w:b/>
                <w:bCs/>
                <w:snapToGrid/>
                <w:color w:val="auto"/>
                <w:kern w:val="0"/>
                <w:sz w:val="21"/>
                <w:szCs w:val="21"/>
                <w:highlight w:val="none"/>
                <w:vertAlign w:val="superscript"/>
                <w:lang w:val="en-US" w:eastAsia="zh-CN" w:bidi="ar-SA"/>
              </w:rPr>
              <w:t>3</w:t>
            </w:r>
            <w:r>
              <w:rPr>
                <w:rFonts w:hint="eastAsia" w:cs="Times New Roman"/>
                <w:b/>
                <w:bCs/>
                <w:snapToGrid/>
                <w:color w:val="auto"/>
                <w:kern w:val="0"/>
                <w:sz w:val="21"/>
                <w:szCs w:val="21"/>
                <w:highlight w:val="none"/>
                <w:vertAlign w:val="superscript"/>
                <w:lang w:val="en-US" w:eastAsia="zh-CN" w:bidi="ar-SA"/>
              </w:rPr>
              <w:t>）</w:t>
            </w:r>
          </w:p>
        </w:tc>
        <w:tc>
          <w:tcPr>
            <w:tcW w:w="625" w:type="pct"/>
            <w:vAlign w:val="center"/>
          </w:tcPr>
          <w:p w14:paraId="64E49DD5">
            <w:pPr>
              <w:widowControl w:val="0"/>
              <w:kinsoku/>
              <w:autoSpaceDE/>
              <w:autoSpaceDN/>
              <w:adjustRightInd w:val="0"/>
              <w:snapToGrid w:val="0"/>
              <w:spacing w:line="360" w:lineRule="exact"/>
              <w:ind w:left="-120" w:leftChars="-50" w:right="-120" w:rightChars="-50" w:firstLine="0" w:firstLineChars="0"/>
              <w:jc w:val="center"/>
              <w:textAlignment w:val="auto"/>
              <w:rPr>
                <w:rFonts w:hint="default" w:ascii="Times New Roman" w:hAnsi="Times New Roman" w:eastAsia="宋体" w:cs="Times New Roman"/>
                <w:b/>
                <w:bCs/>
                <w:snapToGrid/>
                <w:color w:val="auto"/>
                <w:kern w:val="0"/>
                <w:sz w:val="21"/>
                <w:szCs w:val="21"/>
                <w:highlight w:val="none"/>
                <w:lang w:val="en-US" w:eastAsia="zh-CN" w:bidi="ar-SA"/>
              </w:rPr>
            </w:pPr>
            <w:r>
              <w:rPr>
                <w:rFonts w:hint="default" w:ascii="Times New Roman" w:hAnsi="Times New Roman" w:eastAsia="宋体" w:cs="Times New Roman"/>
                <w:b/>
                <w:bCs/>
                <w:snapToGrid/>
                <w:color w:val="auto"/>
                <w:kern w:val="0"/>
                <w:sz w:val="21"/>
                <w:szCs w:val="21"/>
                <w:highlight w:val="none"/>
                <w:lang w:val="en-US" w:eastAsia="zh-CN" w:bidi="ar-SA"/>
              </w:rPr>
              <w:t>标准值（μg/m</w:t>
            </w:r>
            <w:r>
              <w:rPr>
                <w:rFonts w:hint="default" w:ascii="Times New Roman" w:hAnsi="Times New Roman" w:eastAsia="宋体" w:cs="Times New Roman"/>
                <w:b/>
                <w:bCs/>
                <w:snapToGrid/>
                <w:color w:val="auto"/>
                <w:kern w:val="0"/>
                <w:sz w:val="21"/>
                <w:szCs w:val="21"/>
                <w:highlight w:val="none"/>
                <w:vertAlign w:val="superscript"/>
                <w:lang w:val="en-US" w:eastAsia="zh-CN" w:bidi="ar-SA"/>
              </w:rPr>
              <w:t>3</w:t>
            </w:r>
            <w:r>
              <w:rPr>
                <w:rFonts w:hint="default" w:ascii="Times New Roman" w:hAnsi="Times New Roman" w:eastAsia="宋体" w:cs="Times New Roman"/>
                <w:b/>
                <w:bCs/>
                <w:snapToGrid/>
                <w:color w:val="auto"/>
                <w:kern w:val="0"/>
                <w:sz w:val="21"/>
                <w:szCs w:val="21"/>
                <w:highlight w:val="none"/>
                <w:lang w:val="en-US" w:eastAsia="zh-CN" w:bidi="ar-SA"/>
              </w:rPr>
              <w:t>）</w:t>
            </w:r>
          </w:p>
        </w:tc>
        <w:tc>
          <w:tcPr>
            <w:tcW w:w="541" w:type="pct"/>
            <w:vAlign w:val="center"/>
          </w:tcPr>
          <w:p w14:paraId="6DC01689">
            <w:pPr>
              <w:widowControl w:val="0"/>
              <w:kinsoku/>
              <w:autoSpaceDE/>
              <w:autoSpaceDN/>
              <w:adjustRightInd w:val="0"/>
              <w:snapToGrid w:val="0"/>
              <w:spacing w:line="360" w:lineRule="exact"/>
              <w:ind w:left="-120" w:leftChars="-50" w:right="-120" w:rightChars="-50" w:firstLine="0" w:firstLineChars="0"/>
              <w:jc w:val="center"/>
              <w:textAlignment w:val="auto"/>
              <w:rPr>
                <w:rFonts w:hint="default" w:ascii="Times New Roman" w:hAnsi="Times New Roman" w:eastAsia="宋体" w:cs="Times New Roman"/>
                <w:b/>
                <w:bCs/>
                <w:snapToGrid/>
                <w:color w:val="auto"/>
                <w:kern w:val="0"/>
                <w:sz w:val="21"/>
                <w:szCs w:val="21"/>
                <w:highlight w:val="none"/>
                <w:lang w:val="en-US" w:eastAsia="zh-CN" w:bidi="ar-SA"/>
              </w:rPr>
            </w:pPr>
            <w:r>
              <w:rPr>
                <w:rFonts w:hint="default" w:ascii="Times New Roman" w:hAnsi="Times New Roman" w:eastAsia="宋体" w:cs="Times New Roman"/>
                <w:b/>
                <w:bCs/>
                <w:snapToGrid/>
                <w:color w:val="auto"/>
                <w:kern w:val="0"/>
                <w:sz w:val="21"/>
                <w:szCs w:val="21"/>
                <w:highlight w:val="none"/>
                <w:lang w:val="en-US" w:eastAsia="zh-CN" w:bidi="ar-SA"/>
              </w:rPr>
              <w:t>占标率</w:t>
            </w:r>
          </w:p>
          <w:p w14:paraId="03F01C8C">
            <w:pPr>
              <w:widowControl w:val="0"/>
              <w:kinsoku/>
              <w:autoSpaceDE/>
              <w:autoSpaceDN/>
              <w:adjustRightInd w:val="0"/>
              <w:snapToGrid w:val="0"/>
              <w:spacing w:line="360" w:lineRule="exact"/>
              <w:ind w:left="-120" w:leftChars="-50" w:right="-120" w:rightChars="-50" w:firstLine="0" w:firstLineChars="0"/>
              <w:jc w:val="center"/>
              <w:textAlignment w:val="auto"/>
              <w:rPr>
                <w:rFonts w:hint="default" w:ascii="Times New Roman" w:hAnsi="Times New Roman" w:eastAsia="宋体" w:cs="Times New Roman"/>
                <w:b/>
                <w:bCs/>
                <w:snapToGrid/>
                <w:color w:val="auto"/>
                <w:kern w:val="0"/>
                <w:sz w:val="21"/>
                <w:szCs w:val="21"/>
                <w:highlight w:val="none"/>
                <w:lang w:val="en-US" w:eastAsia="zh-CN" w:bidi="ar-SA"/>
              </w:rPr>
            </w:pPr>
            <w:r>
              <w:rPr>
                <w:rFonts w:hint="default" w:ascii="Times New Roman" w:hAnsi="Times New Roman" w:eastAsia="宋体" w:cs="Times New Roman"/>
                <w:b/>
                <w:bCs/>
                <w:snapToGrid/>
                <w:color w:val="auto"/>
                <w:kern w:val="0"/>
                <w:sz w:val="21"/>
                <w:szCs w:val="21"/>
                <w:highlight w:val="none"/>
                <w:lang w:val="en-US" w:eastAsia="zh-CN" w:bidi="ar-SA"/>
              </w:rPr>
              <w:t>%</w:t>
            </w:r>
          </w:p>
        </w:tc>
        <w:tc>
          <w:tcPr>
            <w:tcW w:w="667" w:type="pct"/>
            <w:vAlign w:val="center"/>
          </w:tcPr>
          <w:p w14:paraId="5AECAD9F">
            <w:pPr>
              <w:widowControl w:val="0"/>
              <w:kinsoku/>
              <w:autoSpaceDE/>
              <w:autoSpaceDN/>
              <w:adjustRightInd w:val="0"/>
              <w:snapToGrid w:val="0"/>
              <w:spacing w:line="360" w:lineRule="exact"/>
              <w:ind w:left="-120" w:leftChars="-50" w:right="-120" w:rightChars="-50" w:firstLine="0" w:firstLineChars="0"/>
              <w:jc w:val="center"/>
              <w:textAlignment w:val="auto"/>
              <w:rPr>
                <w:rFonts w:hint="default" w:ascii="Times New Roman" w:hAnsi="Times New Roman" w:eastAsia="宋体" w:cs="Times New Roman"/>
                <w:b/>
                <w:bCs/>
                <w:snapToGrid/>
                <w:color w:val="auto"/>
                <w:kern w:val="0"/>
                <w:sz w:val="21"/>
                <w:szCs w:val="21"/>
                <w:highlight w:val="none"/>
                <w:lang w:val="en-US" w:eastAsia="zh-CN" w:bidi="ar-SA"/>
              </w:rPr>
            </w:pPr>
            <w:r>
              <w:rPr>
                <w:rFonts w:hint="default" w:ascii="Times New Roman" w:hAnsi="Times New Roman" w:eastAsia="宋体" w:cs="Times New Roman"/>
                <w:b/>
                <w:bCs/>
                <w:snapToGrid/>
                <w:color w:val="auto"/>
                <w:kern w:val="0"/>
                <w:sz w:val="21"/>
                <w:szCs w:val="21"/>
                <w:highlight w:val="none"/>
                <w:lang w:val="en-US" w:eastAsia="zh-CN" w:bidi="ar-SA"/>
              </w:rPr>
              <w:t>达标情况</w:t>
            </w:r>
          </w:p>
        </w:tc>
      </w:tr>
      <w:tr w14:paraId="4A98CF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5" w:type="pct"/>
            <w:vAlign w:val="center"/>
          </w:tcPr>
          <w:p w14:paraId="7D47C912">
            <w:pPr>
              <w:widowControl w:val="0"/>
              <w:kinsoku/>
              <w:autoSpaceDE/>
              <w:autoSpaceDN/>
              <w:adjustRightInd w:val="0"/>
              <w:snapToGrid w:val="0"/>
              <w:spacing w:line="360" w:lineRule="exact"/>
              <w:ind w:left="-120" w:leftChars="-50" w:right="-120" w:rightChars="-50" w:firstLine="0" w:firstLineChars="0"/>
              <w:jc w:val="center"/>
              <w:textAlignment w:val="auto"/>
              <w:rPr>
                <w:rFonts w:hint="default" w:ascii="Times New Roman" w:hAnsi="Times New Roman" w:eastAsia="宋体" w:cs="Times New Roman"/>
                <w:snapToGrid/>
                <w:color w:val="auto"/>
                <w:kern w:val="0"/>
                <w:sz w:val="21"/>
                <w:szCs w:val="21"/>
                <w:highlight w:val="none"/>
                <w:lang w:val="en-US" w:eastAsia="zh-CN" w:bidi="ar-SA"/>
              </w:rPr>
            </w:pPr>
            <w:r>
              <w:rPr>
                <w:rFonts w:hint="default" w:ascii="Times New Roman" w:hAnsi="Times New Roman" w:eastAsia="宋体" w:cs="Times New Roman"/>
                <w:snapToGrid/>
                <w:color w:val="auto"/>
                <w:kern w:val="0"/>
                <w:sz w:val="21"/>
                <w:szCs w:val="21"/>
                <w:highlight w:val="none"/>
                <w:lang w:val="en-US" w:eastAsia="zh-CN" w:bidi="ar-SA"/>
              </w:rPr>
              <w:t>二氧化硫（SO</w:t>
            </w:r>
            <w:r>
              <w:rPr>
                <w:rFonts w:hint="default" w:ascii="Times New Roman" w:hAnsi="Times New Roman" w:eastAsia="宋体" w:cs="Times New Roman"/>
                <w:snapToGrid/>
                <w:color w:val="auto"/>
                <w:kern w:val="0"/>
                <w:sz w:val="21"/>
                <w:szCs w:val="21"/>
                <w:highlight w:val="none"/>
                <w:vertAlign w:val="subscript"/>
                <w:lang w:val="en-US" w:eastAsia="zh-CN" w:bidi="ar-SA"/>
              </w:rPr>
              <w:t>2</w:t>
            </w:r>
            <w:r>
              <w:rPr>
                <w:rFonts w:hint="default" w:ascii="Times New Roman" w:hAnsi="Times New Roman" w:eastAsia="宋体" w:cs="Times New Roman"/>
                <w:snapToGrid/>
                <w:color w:val="auto"/>
                <w:kern w:val="0"/>
                <w:sz w:val="21"/>
                <w:szCs w:val="21"/>
                <w:highlight w:val="none"/>
                <w:lang w:val="en-US" w:eastAsia="zh-CN" w:bidi="ar-SA"/>
              </w:rPr>
              <w:t>）</w:t>
            </w:r>
          </w:p>
        </w:tc>
        <w:tc>
          <w:tcPr>
            <w:tcW w:w="1140" w:type="pct"/>
            <w:vAlign w:val="center"/>
          </w:tcPr>
          <w:p w14:paraId="40CBA608">
            <w:pPr>
              <w:widowControl w:val="0"/>
              <w:kinsoku/>
              <w:autoSpaceDE/>
              <w:autoSpaceDN/>
              <w:adjustRightInd w:val="0"/>
              <w:snapToGrid w:val="0"/>
              <w:spacing w:line="360" w:lineRule="exact"/>
              <w:ind w:left="-120" w:leftChars="-50" w:right="-120" w:rightChars="-50" w:firstLine="0" w:firstLineChars="0"/>
              <w:jc w:val="center"/>
              <w:textAlignment w:val="auto"/>
              <w:rPr>
                <w:rFonts w:hint="default" w:ascii="Times New Roman" w:hAnsi="Times New Roman" w:eastAsia="宋体" w:cs="Times New Roman"/>
                <w:snapToGrid/>
                <w:color w:val="auto"/>
                <w:kern w:val="0"/>
                <w:sz w:val="21"/>
                <w:szCs w:val="21"/>
                <w:highlight w:val="none"/>
                <w:lang w:val="en-US" w:eastAsia="zh-CN" w:bidi="ar-SA"/>
              </w:rPr>
            </w:pPr>
            <w:r>
              <w:rPr>
                <w:rFonts w:hint="default" w:ascii="Times New Roman" w:hAnsi="Times New Roman" w:eastAsia="宋体" w:cs="Times New Roman"/>
                <w:snapToGrid/>
                <w:color w:val="auto"/>
                <w:kern w:val="0"/>
                <w:sz w:val="21"/>
                <w:szCs w:val="21"/>
                <w:highlight w:val="none"/>
                <w:lang w:val="en-US" w:eastAsia="zh-CN" w:bidi="ar-SA"/>
              </w:rPr>
              <w:t>年平均值</w:t>
            </w:r>
          </w:p>
        </w:tc>
        <w:tc>
          <w:tcPr>
            <w:tcW w:w="1336" w:type="dxa"/>
            <w:vAlign w:val="center"/>
          </w:tcPr>
          <w:p w14:paraId="31140A71">
            <w:pPr>
              <w:keepNext w:val="0"/>
              <w:keepLines w:val="0"/>
              <w:pageBreakBefore w:val="0"/>
              <w:widowControl/>
              <w:suppressLineNumbers w:val="0"/>
              <w:kinsoku/>
              <w:wordWrap/>
              <w:overflowPunct/>
              <w:topLinePunct w:val="0"/>
              <w:autoSpaceDE/>
              <w:autoSpaceDN/>
              <w:bidi w:val="0"/>
              <w:adjustRightInd/>
              <w:snapToGrid w:val="0"/>
              <w:spacing w:line="360" w:lineRule="exact"/>
              <w:ind w:firstLine="0" w:firstLineChars="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宋体"/>
                <w:i w:val="0"/>
                <w:iCs w:val="0"/>
                <w:color w:val="auto"/>
                <w:kern w:val="0"/>
                <w:sz w:val="21"/>
                <w:szCs w:val="28"/>
                <w:highlight w:val="none"/>
                <w:u w:val="none"/>
                <w:lang w:val="en-US" w:eastAsia="zh-CN" w:bidi="ar"/>
              </w:rPr>
              <w:t>6</w:t>
            </w:r>
          </w:p>
        </w:tc>
        <w:tc>
          <w:tcPr>
            <w:tcW w:w="625" w:type="pct"/>
            <w:vAlign w:val="center"/>
          </w:tcPr>
          <w:p w14:paraId="0B54A1D6">
            <w:pPr>
              <w:widowControl w:val="0"/>
              <w:adjustRightInd w:val="0"/>
              <w:spacing w:line="360" w:lineRule="exact"/>
              <w:ind w:left="0" w:lef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2"/>
                <w:highlight w:val="none"/>
                <w:lang w:val="en-US" w:eastAsia="zh-CN" w:bidi="ar-SA"/>
              </w:rPr>
              <w:t>60</w:t>
            </w:r>
          </w:p>
        </w:tc>
        <w:tc>
          <w:tcPr>
            <w:tcW w:w="541" w:type="pct"/>
            <w:vAlign w:val="center"/>
          </w:tcPr>
          <w:p w14:paraId="3C38E554">
            <w:pPr>
              <w:widowControl w:val="0"/>
              <w:adjustRightInd w:val="0"/>
              <w:spacing w:line="360" w:lineRule="exact"/>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10.0</w:t>
            </w:r>
          </w:p>
        </w:tc>
        <w:tc>
          <w:tcPr>
            <w:tcW w:w="667" w:type="pct"/>
            <w:vAlign w:val="center"/>
          </w:tcPr>
          <w:p w14:paraId="2AD287FD">
            <w:pPr>
              <w:widowControl w:val="0"/>
              <w:kinsoku/>
              <w:autoSpaceDE/>
              <w:autoSpaceDN/>
              <w:adjustRightInd w:val="0"/>
              <w:snapToGrid w:val="0"/>
              <w:spacing w:line="360" w:lineRule="exact"/>
              <w:ind w:left="-120" w:leftChars="-50" w:right="-120" w:rightChars="-50" w:firstLine="0" w:firstLineChars="0"/>
              <w:jc w:val="center"/>
              <w:textAlignment w:val="auto"/>
              <w:rPr>
                <w:rFonts w:hint="default" w:ascii="Times New Roman" w:hAnsi="Times New Roman" w:eastAsia="宋体" w:cs="Times New Roman"/>
                <w:snapToGrid/>
                <w:color w:val="auto"/>
                <w:kern w:val="0"/>
                <w:sz w:val="21"/>
                <w:szCs w:val="21"/>
                <w:highlight w:val="none"/>
                <w:lang w:val="en-US" w:eastAsia="zh-CN" w:bidi="ar-SA"/>
              </w:rPr>
            </w:pPr>
            <w:r>
              <w:rPr>
                <w:rFonts w:hint="default" w:ascii="Times New Roman" w:hAnsi="Times New Roman" w:eastAsia="宋体" w:cs="Times New Roman"/>
                <w:snapToGrid/>
                <w:color w:val="auto"/>
                <w:kern w:val="0"/>
                <w:sz w:val="21"/>
                <w:szCs w:val="21"/>
                <w:highlight w:val="none"/>
                <w:lang w:val="en-US" w:eastAsia="zh-CN" w:bidi="ar-SA"/>
              </w:rPr>
              <w:t>达标</w:t>
            </w:r>
          </w:p>
        </w:tc>
      </w:tr>
      <w:tr w14:paraId="03DF0B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5" w:type="pct"/>
            <w:vAlign w:val="center"/>
          </w:tcPr>
          <w:p w14:paraId="7C6FB078">
            <w:pPr>
              <w:widowControl w:val="0"/>
              <w:kinsoku/>
              <w:autoSpaceDE/>
              <w:autoSpaceDN/>
              <w:adjustRightInd w:val="0"/>
              <w:snapToGrid w:val="0"/>
              <w:spacing w:line="360" w:lineRule="exact"/>
              <w:ind w:left="-120" w:leftChars="-50" w:right="-120" w:rightChars="-50" w:firstLine="0" w:firstLineChars="0"/>
              <w:jc w:val="center"/>
              <w:textAlignment w:val="auto"/>
              <w:rPr>
                <w:rFonts w:hint="default" w:ascii="Times New Roman" w:hAnsi="Times New Roman" w:eastAsia="宋体" w:cs="Times New Roman"/>
                <w:snapToGrid/>
                <w:color w:val="auto"/>
                <w:kern w:val="0"/>
                <w:sz w:val="21"/>
                <w:szCs w:val="21"/>
                <w:highlight w:val="none"/>
                <w:lang w:val="en-US" w:eastAsia="zh-CN" w:bidi="ar-SA"/>
              </w:rPr>
            </w:pPr>
            <w:r>
              <w:rPr>
                <w:rFonts w:hint="default" w:ascii="Times New Roman" w:hAnsi="Times New Roman" w:eastAsia="宋体" w:cs="Times New Roman"/>
                <w:snapToGrid/>
                <w:color w:val="auto"/>
                <w:kern w:val="0"/>
                <w:sz w:val="21"/>
                <w:szCs w:val="21"/>
                <w:highlight w:val="none"/>
                <w:lang w:val="en-US" w:eastAsia="zh-CN" w:bidi="ar-SA"/>
              </w:rPr>
              <w:t>二氧化氮（NO</w:t>
            </w:r>
            <w:r>
              <w:rPr>
                <w:rFonts w:hint="default" w:ascii="Times New Roman" w:hAnsi="Times New Roman" w:eastAsia="宋体" w:cs="Times New Roman"/>
                <w:snapToGrid/>
                <w:color w:val="auto"/>
                <w:kern w:val="0"/>
                <w:sz w:val="21"/>
                <w:szCs w:val="21"/>
                <w:highlight w:val="none"/>
                <w:vertAlign w:val="subscript"/>
                <w:lang w:val="en-US" w:eastAsia="zh-CN" w:bidi="ar-SA"/>
              </w:rPr>
              <w:t>2</w:t>
            </w:r>
            <w:r>
              <w:rPr>
                <w:rFonts w:hint="default" w:ascii="Times New Roman" w:hAnsi="Times New Roman" w:eastAsia="宋体" w:cs="Times New Roman"/>
                <w:snapToGrid/>
                <w:color w:val="auto"/>
                <w:kern w:val="0"/>
                <w:sz w:val="21"/>
                <w:szCs w:val="21"/>
                <w:highlight w:val="none"/>
                <w:lang w:val="en-US" w:eastAsia="zh-CN" w:bidi="ar-SA"/>
              </w:rPr>
              <w:t>）</w:t>
            </w:r>
          </w:p>
        </w:tc>
        <w:tc>
          <w:tcPr>
            <w:tcW w:w="1140" w:type="pct"/>
            <w:vAlign w:val="center"/>
          </w:tcPr>
          <w:p w14:paraId="76B3C5A7">
            <w:pPr>
              <w:widowControl w:val="0"/>
              <w:kinsoku/>
              <w:autoSpaceDE/>
              <w:autoSpaceDN/>
              <w:adjustRightInd w:val="0"/>
              <w:snapToGrid w:val="0"/>
              <w:spacing w:line="360" w:lineRule="exact"/>
              <w:ind w:left="-120" w:leftChars="-50" w:right="-120" w:rightChars="-50" w:firstLine="0" w:firstLineChars="0"/>
              <w:jc w:val="center"/>
              <w:textAlignment w:val="auto"/>
              <w:rPr>
                <w:rFonts w:hint="default" w:ascii="Times New Roman" w:hAnsi="Times New Roman" w:eastAsia="宋体" w:cs="Times New Roman"/>
                <w:snapToGrid/>
                <w:color w:val="auto"/>
                <w:kern w:val="0"/>
                <w:sz w:val="21"/>
                <w:szCs w:val="21"/>
                <w:highlight w:val="none"/>
                <w:lang w:val="en-US" w:eastAsia="zh-CN" w:bidi="ar-SA"/>
              </w:rPr>
            </w:pPr>
            <w:r>
              <w:rPr>
                <w:rFonts w:hint="default" w:ascii="Times New Roman" w:hAnsi="Times New Roman" w:eastAsia="宋体" w:cs="Times New Roman"/>
                <w:snapToGrid/>
                <w:color w:val="auto"/>
                <w:kern w:val="0"/>
                <w:sz w:val="21"/>
                <w:szCs w:val="21"/>
                <w:highlight w:val="none"/>
                <w:lang w:val="en-US" w:eastAsia="zh-CN" w:bidi="ar-SA"/>
              </w:rPr>
              <w:t>年平均值</w:t>
            </w:r>
          </w:p>
        </w:tc>
        <w:tc>
          <w:tcPr>
            <w:tcW w:w="1336" w:type="dxa"/>
            <w:vAlign w:val="center"/>
          </w:tcPr>
          <w:p w14:paraId="4893C3F4">
            <w:pPr>
              <w:keepNext w:val="0"/>
              <w:keepLines w:val="0"/>
              <w:pageBreakBefore w:val="0"/>
              <w:widowControl/>
              <w:suppressLineNumbers w:val="0"/>
              <w:kinsoku/>
              <w:wordWrap/>
              <w:overflowPunct/>
              <w:topLinePunct w:val="0"/>
              <w:autoSpaceDE/>
              <w:autoSpaceDN/>
              <w:bidi w:val="0"/>
              <w:adjustRightInd/>
              <w:snapToGrid w:val="0"/>
              <w:spacing w:line="360" w:lineRule="exact"/>
              <w:ind w:firstLine="0" w:firstLineChars="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宋体"/>
                <w:i w:val="0"/>
                <w:iCs w:val="0"/>
                <w:color w:val="auto"/>
                <w:kern w:val="0"/>
                <w:sz w:val="21"/>
                <w:szCs w:val="28"/>
                <w:highlight w:val="none"/>
                <w:u w:val="none"/>
                <w:lang w:val="en-US" w:eastAsia="zh-CN" w:bidi="ar"/>
              </w:rPr>
              <w:t>26</w:t>
            </w:r>
          </w:p>
        </w:tc>
        <w:tc>
          <w:tcPr>
            <w:tcW w:w="625" w:type="pct"/>
            <w:vAlign w:val="center"/>
          </w:tcPr>
          <w:p w14:paraId="7E242C68">
            <w:pPr>
              <w:widowControl w:val="0"/>
              <w:adjustRightInd w:val="0"/>
              <w:spacing w:line="360" w:lineRule="exact"/>
              <w:ind w:left="0" w:lef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2"/>
                <w:highlight w:val="none"/>
                <w:lang w:val="en-US" w:eastAsia="zh-CN" w:bidi="ar-SA"/>
              </w:rPr>
              <w:t>40</w:t>
            </w:r>
          </w:p>
        </w:tc>
        <w:tc>
          <w:tcPr>
            <w:tcW w:w="541" w:type="pct"/>
            <w:vAlign w:val="center"/>
          </w:tcPr>
          <w:p w14:paraId="0A010469">
            <w:pPr>
              <w:widowControl w:val="0"/>
              <w:adjustRightInd w:val="0"/>
              <w:spacing w:line="360" w:lineRule="exact"/>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65.0</w:t>
            </w:r>
          </w:p>
        </w:tc>
        <w:tc>
          <w:tcPr>
            <w:tcW w:w="667" w:type="pct"/>
            <w:vAlign w:val="center"/>
          </w:tcPr>
          <w:p w14:paraId="5D33CEB5">
            <w:pPr>
              <w:widowControl w:val="0"/>
              <w:kinsoku/>
              <w:autoSpaceDE/>
              <w:autoSpaceDN/>
              <w:adjustRightInd w:val="0"/>
              <w:snapToGrid w:val="0"/>
              <w:spacing w:line="360" w:lineRule="exact"/>
              <w:ind w:left="-120" w:leftChars="-50" w:right="-120" w:rightChars="-50" w:firstLine="0" w:firstLineChars="0"/>
              <w:jc w:val="center"/>
              <w:textAlignment w:val="auto"/>
              <w:rPr>
                <w:rFonts w:hint="default" w:ascii="Times New Roman" w:hAnsi="Times New Roman" w:eastAsia="宋体" w:cs="Times New Roman"/>
                <w:snapToGrid/>
                <w:color w:val="auto"/>
                <w:kern w:val="0"/>
                <w:sz w:val="21"/>
                <w:szCs w:val="21"/>
                <w:highlight w:val="none"/>
                <w:lang w:val="en-US" w:eastAsia="zh-CN" w:bidi="ar-SA"/>
              </w:rPr>
            </w:pPr>
            <w:r>
              <w:rPr>
                <w:rFonts w:hint="default" w:ascii="Times New Roman" w:hAnsi="Times New Roman" w:eastAsia="宋体" w:cs="Times New Roman"/>
                <w:snapToGrid/>
                <w:color w:val="auto"/>
                <w:kern w:val="0"/>
                <w:sz w:val="21"/>
                <w:szCs w:val="21"/>
                <w:highlight w:val="none"/>
                <w:lang w:val="en-US" w:eastAsia="zh-CN" w:bidi="ar-SA"/>
              </w:rPr>
              <w:t>达标</w:t>
            </w:r>
          </w:p>
        </w:tc>
      </w:tr>
      <w:tr w14:paraId="440C76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5" w:type="pct"/>
            <w:vAlign w:val="center"/>
          </w:tcPr>
          <w:p w14:paraId="742DB554">
            <w:pPr>
              <w:widowControl w:val="0"/>
              <w:kinsoku/>
              <w:autoSpaceDE/>
              <w:autoSpaceDN/>
              <w:adjustRightInd w:val="0"/>
              <w:snapToGrid w:val="0"/>
              <w:spacing w:line="360" w:lineRule="exact"/>
              <w:ind w:left="-120" w:leftChars="-50" w:right="-120" w:rightChars="-50" w:firstLine="0" w:firstLineChars="0"/>
              <w:jc w:val="center"/>
              <w:textAlignment w:val="auto"/>
              <w:rPr>
                <w:rFonts w:hint="default" w:ascii="Times New Roman" w:hAnsi="Times New Roman" w:eastAsia="宋体" w:cs="Times New Roman"/>
                <w:snapToGrid/>
                <w:color w:val="auto"/>
                <w:kern w:val="0"/>
                <w:sz w:val="21"/>
                <w:szCs w:val="21"/>
                <w:highlight w:val="none"/>
                <w:lang w:val="en-US" w:eastAsia="zh-CN" w:bidi="ar-SA"/>
              </w:rPr>
            </w:pPr>
            <w:r>
              <w:rPr>
                <w:rFonts w:hint="default" w:ascii="Times New Roman" w:hAnsi="Times New Roman" w:eastAsia="宋体" w:cs="Times New Roman"/>
                <w:snapToGrid/>
                <w:color w:val="auto"/>
                <w:kern w:val="0"/>
                <w:sz w:val="21"/>
                <w:szCs w:val="21"/>
                <w:highlight w:val="none"/>
                <w:lang w:val="en-US" w:eastAsia="zh-CN" w:bidi="ar-SA"/>
              </w:rPr>
              <w:t>可吸入颗粒物（PM</w:t>
            </w:r>
            <w:r>
              <w:rPr>
                <w:rFonts w:hint="default" w:ascii="Times New Roman" w:hAnsi="Times New Roman" w:eastAsia="宋体" w:cs="Times New Roman"/>
                <w:snapToGrid/>
                <w:color w:val="auto"/>
                <w:kern w:val="0"/>
                <w:sz w:val="21"/>
                <w:szCs w:val="21"/>
                <w:highlight w:val="none"/>
                <w:vertAlign w:val="subscript"/>
                <w:lang w:val="en-US" w:eastAsia="zh-CN" w:bidi="ar-SA"/>
              </w:rPr>
              <w:t>10</w:t>
            </w:r>
            <w:r>
              <w:rPr>
                <w:rFonts w:hint="default" w:ascii="Times New Roman" w:hAnsi="Times New Roman" w:eastAsia="宋体" w:cs="Times New Roman"/>
                <w:snapToGrid/>
                <w:color w:val="auto"/>
                <w:kern w:val="0"/>
                <w:sz w:val="21"/>
                <w:szCs w:val="21"/>
                <w:highlight w:val="none"/>
                <w:lang w:val="en-US" w:eastAsia="zh-CN" w:bidi="ar-SA"/>
              </w:rPr>
              <w:t>）</w:t>
            </w:r>
          </w:p>
        </w:tc>
        <w:tc>
          <w:tcPr>
            <w:tcW w:w="1140" w:type="pct"/>
            <w:vAlign w:val="center"/>
          </w:tcPr>
          <w:p w14:paraId="73DE2F6E">
            <w:pPr>
              <w:widowControl w:val="0"/>
              <w:kinsoku/>
              <w:autoSpaceDE/>
              <w:autoSpaceDN/>
              <w:adjustRightInd w:val="0"/>
              <w:snapToGrid w:val="0"/>
              <w:spacing w:line="360" w:lineRule="exact"/>
              <w:ind w:left="-120" w:leftChars="-50" w:right="-120" w:rightChars="-50" w:firstLine="0" w:firstLineChars="0"/>
              <w:jc w:val="center"/>
              <w:textAlignment w:val="auto"/>
              <w:rPr>
                <w:rFonts w:hint="default" w:ascii="Times New Roman" w:hAnsi="Times New Roman" w:eastAsia="宋体" w:cs="Times New Roman"/>
                <w:snapToGrid/>
                <w:color w:val="auto"/>
                <w:kern w:val="0"/>
                <w:sz w:val="21"/>
                <w:szCs w:val="21"/>
                <w:highlight w:val="none"/>
                <w:lang w:val="en-US" w:eastAsia="zh-CN" w:bidi="ar-SA"/>
              </w:rPr>
            </w:pPr>
            <w:r>
              <w:rPr>
                <w:rFonts w:hint="default" w:ascii="Times New Roman" w:hAnsi="Times New Roman" w:eastAsia="宋体" w:cs="Times New Roman"/>
                <w:snapToGrid/>
                <w:color w:val="auto"/>
                <w:kern w:val="0"/>
                <w:sz w:val="21"/>
                <w:szCs w:val="21"/>
                <w:highlight w:val="none"/>
                <w:lang w:val="en-US" w:eastAsia="zh-CN" w:bidi="ar-SA"/>
              </w:rPr>
              <w:t>年平均值</w:t>
            </w:r>
          </w:p>
        </w:tc>
        <w:tc>
          <w:tcPr>
            <w:tcW w:w="1336" w:type="dxa"/>
            <w:vAlign w:val="center"/>
          </w:tcPr>
          <w:p w14:paraId="1A7B2671">
            <w:pPr>
              <w:keepNext w:val="0"/>
              <w:keepLines w:val="0"/>
              <w:pageBreakBefore w:val="0"/>
              <w:widowControl/>
              <w:suppressLineNumbers w:val="0"/>
              <w:kinsoku/>
              <w:wordWrap/>
              <w:overflowPunct/>
              <w:topLinePunct w:val="0"/>
              <w:autoSpaceDE/>
              <w:autoSpaceDN/>
              <w:bidi w:val="0"/>
              <w:adjustRightInd/>
              <w:snapToGrid w:val="0"/>
              <w:spacing w:line="360" w:lineRule="exact"/>
              <w:ind w:firstLine="0" w:firstLineChars="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宋体"/>
                <w:i w:val="0"/>
                <w:iCs w:val="0"/>
                <w:color w:val="auto"/>
                <w:kern w:val="0"/>
                <w:sz w:val="21"/>
                <w:szCs w:val="28"/>
                <w:highlight w:val="none"/>
                <w:u w:val="none"/>
                <w:lang w:val="en-US" w:eastAsia="zh-CN" w:bidi="ar"/>
              </w:rPr>
              <w:t>6</w:t>
            </w:r>
            <w:r>
              <w:rPr>
                <w:rFonts w:hint="eastAsia" w:ascii="Times New Roman" w:hAnsi="Times New Roman" w:eastAsia="宋体" w:cs="宋体"/>
                <w:i w:val="0"/>
                <w:iCs w:val="0"/>
                <w:color w:val="auto"/>
                <w:kern w:val="0"/>
                <w:sz w:val="21"/>
                <w:szCs w:val="28"/>
                <w:highlight w:val="none"/>
                <w:u w:val="none"/>
                <w:lang w:val="en-US" w:eastAsia="zh-CN" w:bidi="ar"/>
              </w:rPr>
              <w:t>2</w:t>
            </w:r>
          </w:p>
        </w:tc>
        <w:tc>
          <w:tcPr>
            <w:tcW w:w="625" w:type="pct"/>
            <w:vAlign w:val="center"/>
          </w:tcPr>
          <w:p w14:paraId="06FD9A33">
            <w:pPr>
              <w:widowControl w:val="0"/>
              <w:adjustRightInd w:val="0"/>
              <w:spacing w:line="360" w:lineRule="exact"/>
              <w:ind w:left="0" w:lef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2"/>
                <w:highlight w:val="none"/>
                <w:lang w:val="en-US" w:eastAsia="zh-CN" w:bidi="ar-SA"/>
              </w:rPr>
              <w:t>60</w:t>
            </w:r>
          </w:p>
        </w:tc>
        <w:tc>
          <w:tcPr>
            <w:tcW w:w="541" w:type="pct"/>
            <w:vAlign w:val="center"/>
          </w:tcPr>
          <w:p w14:paraId="7365001A">
            <w:pPr>
              <w:widowControl w:val="0"/>
              <w:adjustRightInd w:val="0"/>
              <w:spacing w:line="360" w:lineRule="exact"/>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103.3</w:t>
            </w:r>
          </w:p>
        </w:tc>
        <w:tc>
          <w:tcPr>
            <w:tcW w:w="667" w:type="pct"/>
            <w:vAlign w:val="center"/>
          </w:tcPr>
          <w:p w14:paraId="2665B246">
            <w:pPr>
              <w:widowControl w:val="0"/>
              <w:kinsoku/>
              <w:autoSpaceDE/>
              <w:autoSpaceDN/>
              <w:adjustRightInd w:val="0"/>
              <w:snapToGrid w:val="0"/>
              <w:spacing w:line="360" w:lineRule="exact"/>
              <w:ind w:left="-120" w:leftChars="-50" w:right="-120" w:rightChars="-50" w:firstLine="0" w:firstLineChars="0"/>
              <w:jc w:val="center"/>
              <w:textAlignment w:val="auto"/>
              <w:rPr>
                <w:rFonts w:hint="default" w:ascii="Times New Roman" w:hAnsi="Times New Roman" w:eastAsia="宋体" w:cs="Times New Roman"/>
                <w:snapToGrid/>
                <w:color w:val="auto"/>
                <w:kern w:val="0"/>
                <w:sz w:val="21"/>
                <w:szCs w:val="21"/>
                <w:highlight w:val="none"/>
                <w:lang w:val="en-US" w:eastAsia="zh-CN" w:bidi="ar-SA"/>
              </w:rPr>
            </w:pPr>
            <w:r>
              <w:rPr>
                <w:rFonts w:hint="default" w:ascii="Times New Roman" w:hAnsi="Times New Roman" w:cs="Times New Roman"/>
                <w:snapToGrid/>
                <w:color w:val="auto"/>
                <w:kern w:val="0"/>
                <w:sz w:val="21"/>
                <w:szCs w:val="21"/>
                <w:highlight w:val="none"/>
                <w:lang w:val="en-US" w:eastAsia="zh-CN" w:bidi="ar-SA"/>
              </w:rPr>
              <w:t>超标</w:t>
            </w:r>
          </w:p>
        </w:tc>
      </w:tr>
      <w:tr w14:paraId="1A8345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5" w:type="pct"/>
            <w:vAlign w:val="center"/>
          </w:tcPr>
          <w:p w14:paraId="483AA7C8">
            <w:pPr>
              <w:widowControl w:val="0"/>
              <w:kinsoku/>
              <w:autoSpaceDE/>
              <w:autoSpaceDN/>
              <w:adjustRightInd w:val="0"/>
              <w:snapToGrid w:val="0"/>
              <w:spacing w:line="360" w:lineRule="exact"/>
              <w:ind w:left="-120" w:leftChars="-50" w:right="-120" w:rightChars="-50" w:firstLine="0" w:firstLineChars="0"/>
              <w:jc w:val="center"/>
              <w:textAlignment w:val="auto"/>
              <w:rPr>
                <w:rFonts w:hint="default" w:ascii="Times New Roman" w:hAnsi="Times New Roman" w:eastAsia="宋体" w:cs="Times New Roman"/>
                <w:snapToGrid/>
                <w:color w:val="auto"/>
                <w:kern w:val="0"/>
                <w:sz w:val="21"/>
                <w:szCs w:val="21"/>
                <w:highlight w:val="none"/>
                <w:lang w:val="en-US" w:eastAsia="zh-CN" w:bidi="ar-SA"/>
              </w:rPr>
            </w:pPr>
            <w:r>
              <w:rPr>
                <w:rFonts w:hint="default" w:ascii="Times New Roman" w:hAnsi="Times New Roman" w:eastAsia="宋体" w:cs="Times New Roman"/>
                <w:snapToGrid/>
                <w:color w:val="auto"/>
                <w:kern w:val="0"/>
                <w:sz w:val="21"/>
                <w:szCs w:val="21"/>
                <w:highlight w:val="none"/>
                <w:lang w:val="en-US" w:eastAsia="zh-CN" w:bidi="ar-SA"/>
              </w:rPr>
              <w:t>细颗粒物（PM</w:t>
            </w:r>
            <w:r>
              <w:rPr>
                <w:rFonts w:hint="default" w:ascii="Times New Roman" w:hAnsi="Times New Roman" w:eastAsia="宋体" w:cs="Times New Roman"/>
                <w:snapToGrid/>
                <w:color w:val="auto"/>
                <w:kern w:val="0"/>
                <w:sz w:val="21"/>
                <w:szCs w:val="21"/>
                <w:highlight w:val="none"/>
                <w:vertAlign w:val="subscript"/>
                <w:lang w:val="en-US" w:eastAsia="zh-CN" w:bidi="ar-SA"/>
              </w:rPr>
              <w:t>2.5</w:t>
            </w:r>
            <w:r>
              <w:rPr>
                <w:rFonts w:hint="default" w:ascii="Times New Roman" w:hAnsi="Times New Roman" w:eastAsia="宋体" w:cs="Times New Roman"/>
                <w:snapToGrid/>
                <w:color w:val="auto"/>
                <w:kern w:val="0"/>
                <w:sz w:val="21"/>
                <w:szCs w:val="21"/>
                <w:highlight w:val="none"/>
                <w:lang w:val="en-US" w:eastAsia="zh-CN" w:bidi="ar-SA"/>
              </w:rPr>
              <w:t>）</w:t>
            </w:r>
          </w:p>
        </w:tc>
        <w:tc>
          <w:tcPr>
            <w:tcW w:w="1140" w:type="pct"/>
            <w:vAlign w:val="center"/>
          </w:tcPr>
          <w:p w14:paraId="228A54C1">
            <w:pPr>
              <w:widowControl w:val="0"/>
              <w:kinsoku/>
              <w:autoSpaceDE/>
              <w:autoSpaceDN/>
              <w:adjustRightInd w:val="0"/>
              <w:snapToGrid w:val="0"/>
              <w:spacing w:line="360" w:lineRule="exact"/>
              <w:ind w:left="-120" w:leftChars="-50" w:right="-120" w:rightChars="-50" w:firstLine="0" w:firstLineChars="0"/>
              <w:jc w:val="center"/>
              <w:textAlignment w:val="auto"/>
              <w:rPr>
                <w:rFonts w:hint="default" w:ascii="Times New Roman" w:hAnsi="Times New Roman" w:eastAsia="宋体" w:cs="Times New Roman"/>
                <w:snapToGrid/>
                <w:color w:val="auto"/>
                <w:kern w:val="0"/>
                <w:sz w:val="21"/>
                <w:szCs w:val="21"/>
                <w:highlight w:val="none"/>
                <w:lang w:val="en-US" w:eastAsia="zh-CN" w:bidi="ar-SA"/>
              </w:rPr>
            </w:pPr>
            <w:r>
              <w:rPr>
                <w:rFonts w:hint="default" w:ascii="Times New Roman" w:hAnsi="Times New Roman" w:eastAsia="宋体" w:cs="Times New Roman"/>
                <w:snapToGrid/>
                <w:color w:val="auto"/>
                <w:kern w:val="0"/>
                <w:sz w:val="21"/>
                <w:szCs w:val="21"/>
                <w:highlight w:val="none"/>
                <w:lang w:val="en-US" w:eastAsia="zh-CN" w:bidi="ar-SA"/>
              </w:rPr>
              <w:t>年平均值</w:t>
            </w:r>
          </w:p>
        </w:tc>
        <w:tc>
          <w:tcPr>
            <w:tcW w:w="1336" w:type="dxa"/>
            <w:vAlign w:val="center"/>
          </w:tcPr>
          <w:p w14:paraId="7AFCB984">
            <w:pPr>
              <w:keepNext w:val="0"/>
              <w:keepLines w:val="0"/>
              <w:pageBreakBefore w:val="0"/>
              <w:widowControl/>
              <w:suppressLineNumbers w:val="0"/>
              <w:kinsoku/>
              <w:wordWrap/>
              <w:overflowPunct/>
              <w:topLinePunct w:val="0"/>
              <w:autoSpaceDE/>
              <w:autoSpaceDN/>
              <w:bidi w:val="0"/>
              <w:adjustRightInd/>
              <w:snapToGrid w:val="0"/>
              <w:spacing w:line="360" w:lineRule="exact"/>
              <w:ind w:firstLine="0" w:firstLineChars="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宋体"/>
                <w:i w:val="0"/>
                <w:iCs w:val="0"/>
                <w:color w:val="auto"/>
                <w:kern w:val="0"/>
                <w:sz w:val="21"/>
                <w:szCs w:val="28"/>
                <w:highlight w:val="none"/>
                <w:u w:val="none"/>
                <w:lang w:val="en-US" w:eastAsia="zh-CN" w:bidi="ar"/>
              </w:rPr>
              <w:t>2</w:t>
            </w:r>
            <w:r>
              <w:rPr>
                <w:rFonts w:hint="eastAsia" w:ascii="Times New Roman" w:hAnsi="Times New Roman" w:eastAsia="宋体" w:cs="宋体"/>
                <w:i w:val="0"/>
                <w:iCs w:val="0"/>
                <w:color w:val="auto"/>
                <w:kern w:val="0"/>
                <w:sz w:val="21"/>
                <w:szCs w:val="28"/>
                <w:highlight w:val="none"/>
                <w:u w:val="none"/>
                <w:lang w:val="en-US" w:eastAsia="zh-CN" w:bidi="ar"/>
              </w:rPr>
              <w:t>5</w:t>
            </w:r>
          </w:p>
        </w:tc>
        <w:tc>
          <w:tcPr>
            <w:tcW w:w="625" w:type="pct"/>
            <w:vAlign w:val="center"/>
          </w:tcPr>
          <w:p w14:paraId="341419A2">
            <w:pPr>
              <w:widowControl w:val="0"/>
              <w:adjustRightInd w:val="0"/>
              <w:spacing w:line="360" w:lineRule="exact"/>
              <w:ind w:left="0" w:lef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2"/>
                <w:highlight w:val="none"/>
                <w:lang w:val="en-US" w:eastAsia="zh-CN" w:bidi="ar-SA"/>
              </w:rPr>
              <w:t>30</w:t>
            </w:r>
          </w:p>
        </w:tc>
        <w:tc>
          <w:tcPr>
            <w:tcW w:w="541" w:type="pct"/>
            <w:vAlign w:val="center"/>
          </w:tcPr>
          <w:p w14:paraId="5A4F229F">
            <w:pPr>
              <w:widowControl w:val="0"/>
              <w:adjustRightInd w:val="0"/>
              <w:spacing w:line="360" w:lineRule="exact"/>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83.3</w:t>
            </w:r>
          </w:p>
        </w:tc>
        <w:tc>
          <w:tcPr>
            <w:tcW w:w="667" w:type="pct"/>
            <w:vAlign w:val="center"/>
          </w:tcPr>
          <w:p w14:paraId="190543BF">
            <w:pPr>
              <w:widowControl w:val="0"/>
              <w:kinsoku/>
              <w:autoSpaceDE/>
              <w:autoSpaceDN/>
              <w:adjustRightInd w:val="0"/>
              <w:snapToGrid w:val="0"/>
              <w:spacing w:line="360" w:lineRule="exact"/>
              <w:ind w:left="-120" w:leftChars="-50" w:right="-120" w:rightChars="-50" w:firstLine="0" w:firstLineChars="0"/>
              <w:jc w:val="center"/>
              <w:textAlignment w:val="auto"/>
              <w:rPr>
                <w:rFonts w:hint="default" w:ascii="Times New Roman" w:hAnsi="Times New Roman" w:eastAsia="宋体" w:cs="Times New Roman"/>
                <w:snapToGrid/>
                <w:color w:val="auto"/>
                <w:kern w:val="0"/>
                <w:sz w:val="21"/>
                <w:szCs w:val="21"/>
                <w:highlight w:val="none"/>
                <w:lang w:val="en-US" w:eastAsia="zh-CN" w:bidi="ar-SA"/>
              </w:rPr>
            </w:pPr>
            <w:r>
              <w:rPr>
                <w:rFonts w:hint="default" w:ascii="Times New Roman" w:hAnsi="Times New Roman" w:eastAsia="宋体" w:cs="Times New Roman"/>
                <w:snapToGrid/>
                <w:color w:val="auto"/>
                <w:kern w:val="0"/>
                <w:sz w:val="21"/>
                <w:szCs w:val="21"/>
                <w:highlight w:val="none"/>
                <w:lang w:val="en-US" w:eastAsia="zh-CN" w:bidi="ar-SA"/>
              </w:rPr>
              <w:t>达标</w:t>
            </w:r>
          </w:p>
        </w:tc>
      </w:tr>
      <w:tr w14:paraId="5823B8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5" w:type="pct"/>
            <w:vAlign w:val="center"/>
          </w:tcPr>
          <w:p w14:paraId="2802BC8B">
            <w:pPr>
              <w:widowControl w:val="0"/>
              <w:kinsoku/>
              <w:autoSpaceDE/>
              <w:autoSpaceDN/>
              <w:adjustRightInd w:val="0"/>
              <w:snapToGrid w:val="0"/>
              <w:spacing w:line="360" w:lineRule="exact"/>
              <w:ind w:left="-120" w:leftChars="-50" w:right="-120" w:rightChars="-50" w:firstLine="0" w:firstLineChars="0"/>
              <w:jc w:val="center"/>
              <w:textAlignment w:val="auto"/>
              <w:rPr>
                <w:rFonts w:hint="default" w:ascii="Times New Roman" w:hAnsi="Times New Roman" w:eastAsia="宋体" w:cs="Times New Roman"/>
                <w:snapToGrid/>
                <w:color w:val="auto"/>
                <w:kern w:val="0"/>
                <w:sz w:val="21"/>
                <w:szCs w:val="21"/>
                <w:highlight w:val="none"/>
                <w:lang w:val="en-US" w:eastAsia="zh-CN" w:bidi="ar-SA"/>
              </w:rPr>
            </w:pPr>
            <w:r>
              <w:rPr>
                <w:rFonts w:hint="default" w:ascii="Times New Roman" w:hAnsi="Times New Roman" w:eastAsia="宋体" w:cs="Times New Roman"/>
                <w:snapToGrid/>
                <w:color w:val="auto"/>
                <w:kern w:val="0"/>
                <w:sz w:val="21"/>
                <w:szCs w:val="21"/>
                <w:highlight w:val="none"/>
                <w:lang w:val="en-US" w:eastAsia="zh-CN" w:bidi="ar-SA"/>
              </w:rPr>
              <w:t>一氧化碳（CO）</w:t>
            </w:r>
          </w:p>
        </w:tc>
        <w:tc>
          <w:tcPr>
            <w:tcW w:w="1140" w:type="pct"/>
            <w:vAlign w:val="center"/>
          </w:tcPr>
          <w:p w14:paraId="2E7D8E42">
            <w:pPr>
              <w:widowControl w:val="0"/>
              <w:kinsoku/>
              <w:autoSpaceDE/>
              <w:autoSpaceDN/>
              <w:adjustRightInd w:val="0"/>
              <w:snapToGrid w:val="0"/>
              <w:spacing w:line="360" w:lineRule="exact"/>
              <w:ind w:left="-120" w:leftChars="-50" w:right="-120" w:rightChars="-50" w:firstLine="0" w:firstLineChars="0"/>
              <w:jc w:val="center"/>
              <w:textAlignment w:val="auto"/>
              <w:rPr>
                <w:rFonts w:hint="default" w:ascii="Times New Roman" w:hAnsi="Times New Roman" w:eastAsia="宋体" w:cs="Times New Roman"/>
                <w:snapToGrid/>
                <w:color w:val="auto"/>
                <w:kern w:val="0"/>
                <w:sz w:val="21"/>
                <w:szCs w:val="21"/>
                <w:highlight w:val="none"/>
                <w:lang w:val="en-US" w:eastAsia="zh-CN" w:bidi="ar-SA"/>
              </w:rPr>
            </w:pPr>
            <w:r>
              <w:rPr>
                <w:rFonts w:hint="default" w:ascii="Times New Roman" w:hAnsi="Times New Roman" w:eastAsia="宋体" w:cs="Times New Roman"/>
                <w:snapToGrid/>
                <w:color w:val="auto"/>
                <w:kern w:val="0"/>
                <w:sz w:val="21"/>
                <w:szCs w:val="21"/>
                <w:highlight w:val="none"/>
                <w:lang w:val="en-US" w:eastAsia="zh-CN" w:bidi="ar-SA"/>
              </w:rPr>
              <w:t>24小时平均</w:t>
            </w:r>
          </w:p>
        </w:tc>
        <w:tc>
          <w:tcPr>
            <w:tcW w:w="1336" w:type="dxa"/>
            <w:vAlign w:val="center"/>
          </w:tcPr>
          <w:p w14:paraId="18420E5B">
            <w:pPr>
              <w:keepNext w:val="0"/>
              <w:keepLines w:val="0"/>
              <w:pageBreakBefore w:val="0"/>
              <w:widowControl/>
              <w:suppressLineNumbers w:val="0"/>
              <w:kinsoku/>
              <w:wordWrap/>
              <w:overflowPunct/>
              <w:topLinePunct w:val="0"/>
              <w:autoSpaceDE/>
              <w:autoSpaceDN/>
              <w:bidi w:val="0"/>
              <w:adjustRightInd/>
              <w:snapToGrid w:val="0"/>
              <w:spacing w:line="36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宋体"/>
                <w:i w:val="0"/>
                <w:iCs w:val="0"/>
                <w:color w:val="auto"/>
                <w:kern w:val="0"/>
                <w:sz w:val="21"/>
                <w:szCs w:val="28"/>
                <w:highlight w:val="none"/>
                <w:u w:val="none"/>
                <w:lang w:val="en-US" w:eastAsia="zh-CN" w:bidi="ar"/>
              </w:rPr>
              <w:t>1000</w:t>
            </w:r>
          </w:p>
        </w:tc>
        <w:tc>
          <w:tcPr>
            <w:tcW w:w="625" w:type="pct"/>
            <w:vAlign w:val="center"/>
          </w:tcPr>
          <w:p w14:paraId="0013C1E1">
            <w:pPr>
              <w:widowControl w:val="0"/>
              <w:adjustRightInd w:val="0"/>
              <w:spacing w:line="360" w:lineRule="exact"/>
              <w:ind w:left="0" w:lef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2"/>
                <w:highlight w:val="none"/>
                <w:lang w:val="en-US" w:eastAsia="zh-CN" w:bidi="ar-SA"/>
              </w:rPr>
              <w:t>4000</w:t>
            </w:r>
          </w:p>
        </w:tc>
        <w:tc>
          <w:tcPr>
            <w:tcW w:w="541" w:type="pct"/>
            <w:vAlign w:val="center"/>
          </w:tcPr>
          <w:p w14:paraId="0E04DF5F">
            <w:pPr>
              <w:widowControl w:val="0"/>
              <w:adjustRightInd w:val="0"/>
              <w:spacing w:line="360" w:lineRule="exact"/>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25.0</w:t>
            </w:r>
          </w:p>
        </w:tc>
        <w:tc>
          <w:tcPr>
            <w:tcW w:w="667" w:type="pct"/>
            <w:vAlign w:val="center"/>
          </w:tcPr>
          <w:p w14:paraId="00241D0C">
            <w:pPr>
              <w:widowControl w:val="0"/>
              <w:kinsoku/>
              <w:autoSpaceDE/>
              <w:autoSpaceDN/>
              <w:adjustRightInd w:val="0"/>
              <w:snapToGrid w:val="0"/>
              <w:spacing w:line="360" w:lineRule="exact"/>
              <w:ind w:left="-120" w:leftChars="-50" w:right="-120" w:rightChars="-50" w:firstLine="0" w:firstLineChars="0"/>
              <w:jc w:val="center"/>
              <w:textAlignment w:val="auto"/>
              <w:rPr>
                <w:rFonts w:hint="default" w:ascii="Times New Roman" w:hAnsi="Times New Roman" w:eastAsia="宋体" w:cs="Times New Roman"/>
                <w:snapToGrid/>
                <w:color w:val="auto"/>
                <w:kern w:val="0"/>
                <w:sz w:val="21"/>
                <w:szCs w:val="21"/>
                <w:highlight w:val="none"/>
                <w:lang w:val="en-US" w:eastAsia="zh-CN" w:bidi="ar-SA"/>
              </w:rPr>
            </w:pPr>
            <w:r>
              <w:rPr>
                <w:rFonts w:hint="default" w:ascii="Times New Roman" w:hAnsi="Times New Roman" w:eastAsia="宋体" w:cs="Times New Roman"/>
                <w:snapToGrid/>
                <w:color w:val="auto"/>
                <w:kern w:val="0"/>
                <w:sz w:val="21"/>
                <w:szCs w:val="21"/>
                <w:highlight w:val="none"/>
                <w:lang w:val="en-US" w:eastAsia="zh-CN" w:bidi="ar-SA"/>
              </w:rPr>
              <w:t>达标</w:t>
            </w:r>
          </w:p>
        </w:tc>
      </w:tr>
      <w:tr w14:paraId="6E0100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5" w:type="pct"/>
            <w:vAlign w:val="center"/>
          </w:tcPr>
          <w:p w14:paraId="3C9861F2">
            <w:pPr>
              <w:widowControl w:val="0"/>
              <w:kinsoku/>
              <w:autoSpaceDE/>
              <w:autoSpaceDN/>
              <w:adjustRightInd w:val="0"/>
              <w:snapToGrid w:val="0"/>
              <w:spacing w:line="360" w:lineRule="exact"/>
              <w:ind w:left="-120" w:leftChars="-50" w:right="-120" w:rightChars="-50" w:firstLine="0" w:firstLineChars="0"/>
              <w:jc w:val="center"/>
              <w:textAlignment w:val="auto"/>
              <w:rPr>
                <w:rFonts w:hint="default" w:ascii="Times New Roman" w:hAnsi="Times New Roman" w:eastAsia="宋体" w:cs="Times New Roman"/>
                <w:snapToGrid/>
                <w:color w:val="auto"/>
                <w:kern w:val="0"/>
                <w:sz w:val="21"/>
                <w:szCs w:val="21"/>
                <w:highlight w:val="none"/>
                <w:lang w:val="en-US" w:eastAsia="zh-CN" w:bidi="ar-SA"/>
              </w:rPr>
            </w:pPr>
            <w:r>
              <w:rPr>
                <w:rFonts w:hint="default" w:ascii="Times New Roman" w:hAnsi="Times New Roman" w:eastAsia="宋体" w:cs="Times New Roman"/>
                <w:snapToGrid/>
                <w:color w:val="auto"/>
                <w:kern w:val="0"/>
                <w:sz w:val="21"/>
                <w:szCs w:val="21"/>
                <w:highlight w:val="none"/>
                <w:lang w:val="en-US" w:eastAsia="zh-CN" w:bidi="ar-SA"/>
              </w:rPr>
              <w:t>臭氧（O</w:t>
            </w:r>
            <w:r>
              <w:rPr>
                <w:rFonts w:hint="default" w:ascii="Times New Roman" w:hAnsi="Times New Roman" w:eastAsia="宋体" w:cs="Times New Roman"/>
                <w:snapToGrid/>
                <w:color w:val="auto"/>
                <w:kern w:val="0"/>
                <w:sz w:val="21"/>
                <w:szCs w:val="21"/>
                <w:highlight w:val="none"/>
                <w:vertAlign w:val="subscript"/>
                <w:lang w:val="en-US" w:eastAsia="zh-CN" w:bidi="ar-SA"/>
              </w:rPr>
              <w:t>3</w:t>
            </w:r>
            <w:r>
              <w:rPr>
                <w:rFonts w:hint="default" w:ascii="Times New Roman" w:hAnsi="Times New Roman" w:eastAsia="宋体" w:cs="Times New Roman"/>
                <w:snapToGrid/>
                <w:color w:val="auto"/>
                <w:kern w:val="0"/>
                <w:sz w:val="21"/>
                <w:szCs w:val="21"/>
                <w:highlight w:val="none"/>
                <w:lang w:val="en-US" w:eastAsia="zh-CN" w:bidi="ar-SA"/>
              </w:rPr>
              <w:t>）</w:t>
            </w:r>
          </w:p>
        </w:tc>
        <w:tc>
          <w:tcPr>
            <w:tcW w:w="1140" w:type="pct"/>
            <w:vAlign w:val="center"/>
          </w:tcPr>
          <w:p w14:paraId="45B03867">
            <w:pPr>
              <w:widowControl w:val="0"/>
              <w:kinsoku/>
              <w:autoSpaceDE/>
              <w:autoSpaceDN/>
              <w:adjustRightInd w:val="0"/>
              <w:snapToGrid w:val="0"/>
              <w:spacing w:line="360" w:lineRule="exact"/>
              <w:ind w:left="-120" w:leftChars="-50" w:right="-120" w:rightChars="-50" w:firstLine="0" w:firstLineChars="0"/>
              <w:jc w:val="center"/>
              <w:textAlignment w:val="auto"/>
              <w:rPr>
                <w:rFonts w:hint="default" w:ascii="Times New Roman" w:hAnsi="Times New Roman" w:eastAsia="宋体" w:cs="Times New Roman"/>
                <w:snapToGrid/>
                <w:color w:val="auto"/>
                <w:kern w:val="0"/>
                <w:sz w:val="21"/>
                <w:szCs w:val="21"/>
                <w:highlight w:val="none"/>
                <w:lang w:val="en-US" w:eastAsia="zh-CN" w:bidi="ar-SA"/>
              </w:rPr>
            </w:pPr>
            <w:r>
              <w:rPr>
                <w:rFonts w:hint="default" w:ascii="Times New Roman" w:hAnsi="Times New Roman" w:eastAsia="宋体" w:cs="Times New Roman"/>
                <w:snapToGrid/>
                <w:color w:val="auto"/>
                <w:kern w:val="0"/>
                <w:sz w:val="21"/>
                <w:szCs w:val="21"/>
                <w:highlight w:val="none"/>
                <w:lang w:val="en-US" w:eastAsia="zh-CN" w:bidi="ar-SA"/>
              </w:rPr>
              <w:t>日最大8小时平均</w:t>
            </w:r>
          </w:p>
        </w:tc>
        <w:tc>
          <w:tcPr>
            <w:tcW w:w="1336" w:type="dxa"/>
            <w:vAlign w:val="center"/>
          </w:tcPr>
          <w:p w14:paraId="46B631B6">
            <w:pPr>
              <w:keepNext w:val="0"/>
              <w:keepLines w:val="0"/>
              <w:pageBreakBefore w:val="0"/>
              <w:widowControl/>
              <w:suppressLineNumbers w:val="0"/>
              <w:kinsoku/>
              <w:wordWrap/>
              <w:overflowPunct/>
              <w:topLinePunct w:val="0"/>
              <w:autoSpaceDE/>
              <w:autoSpaceDN/>
              <w:bidi w:val="0"/>
              <w:adjustRightInd/>
              <w:snapToGrid w:val="0"/>
              <w:spacing w:line="360" w:lineRule="exact"/>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宋体"/>
                <w:i w:val="0"/>
                <w:iCs w:val="0"/>
                <w:color w:val="auto"/>
                <w:kern w:val="0"/>
                <w:sz w:val="21"/>
                <w:szCs w:val="28"/>
                <w:highlight w:val="none"/>
                <w:u w:val="none"/>
                <w:lang w:val="en-US" w:eastAsia="zh-CN" w:bidi="ar"/>
              </w:rPr>
              <w:t>1</w:t>
            </w:r>
            <w:r>
              <w:rPr>
                <w:rFonts w:hint="eastAsia" w:ascii="Times New Roman" w:hAnsi="Times New Roman" w:eastAsia="宋体" w:cs="宋体"/>
                <w:i w:val="0"/>
                <w:iCs w:val="0"/>
                <w:color w:val="auto"/>
                <w:kern w:val="0"/>
                <w:sz w:val="21"/>
                <w:szCs w:val="28"/>
                <w:highlight w:val="none"/>
                <w:u w:val="none"/>
                <w:lang w:val="en-US" w:eastAsia="zh-CN" w:bidi="ar"/>
              </w:rPr>
              <w:t>40</w:t>
            </w:r>
          </w:p>
        </w:tc>
        <w:tc>
          <w:tcPr>
            <w:tcW w:w="625" w:type="pct"/>
            <w:vAlign w:val="center"/>
          </w:tcPr>
          <w:p w14:paraId="6994CAAD">
            <w:pPr>
              <w:widowControl w:val="0"/>
              <w:adjustRightInd w:val="0"/>
              <w:spacing w:line="360" w:lineRule="exact"/>
              <w:ind w:left="0" w:lef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2"/>
                <w:highlight w:val="none"/>
                <w:lang w:val="en-US" w:eastAsia="zh-CN" w:bidi="ar-SA"/>
              </w:rPr>
              <w:t>160</w:t>
            </w:r>
          </w:p>
        </w:tc>
        <w:tc>
          <w:tcPr>
            <w:tcW w:w="541" w:type="pct"/>
            <w:vAlign w:val="center"/>
          </w:tcPr>
          <w:p w14:paraId="7A8A4C55">
            <w:pPr>
              <w:widowControl w:val="0"/>
              <w:adjustRightInd w:val="0"/>
              <w:spacing w:line="360" w:lineRule="exact"/>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87.5</w:t>
            </w:r>
          </w:p>
        </w:tc>
        <w:tc>
          <w:tcPr>
            <w:tcW w:w="667" w:type="pct"/>
            <w:vAlign w:val="center"/>
          </w:tcPr>
          <w:p w14:paraId="1E9873DD">
            <w:pPr>
              <w:widowControl w:val="0"/>
              <w:kinsoku/>
              <w:autoSpaceDE/>
              <w:autoSpaceDN/>
              <w:adjustRightInd w:val="0"/>
              <w:snapToGrid w:val="0"/>
              <w:spacing w:line="360" w:lineRule="exact"/>
              <w:ind w:left="-120" w:leftChars="-50" w:right="-120" w:rightChars="-50" w:firstLine="0" w:firstLineChars="0"/>
              <w:jc w:val="center"/>
              <w:textAlignment w:val="auto"/>
              <w:rPr>
                <w:rFonts w:hint="default" w:ascii="Times New Roman" w:hAnsi="Times New Roman" w:eastAsia="宋体" w:cs="Times New Roman"/>
                <w:snapToGrid/>
                <w:color w:val="auto"/>
                <w:kern w:val="0"/>
                <w:sz w:val="21"/>
                <w:szCs w:val="21"/>
                <w:highlight w:val="none"/>
                <w:lang w:val="en-US" w:eastAsia="zh-CN" w:bidi="ar-SA"/>
              </w:rPr>
            </w:pPr>
            <w:r>
              <w:rPr>
                <w:rFonts w:hint="default" w:ascii="Times New Roman" w:hAnsi="Times New Roman" w:eastAsia="宋体" w:cs="Times New Roman"/>
                <w:snapToGrid/>
                <w:color w:val="auto"/>
                <w:kern w:val="0"/>
                <w:sz w:val="21"/>
                <w:szCs w:val="21"/>
                <w:highlight w:val="none"/>
                <w:lang w:val="en-US" w:eastAsia="zh-CN" w:bidi="ar-SA"/>
              </w:rPr>
              <w:t>达标</w:t>
            </w:r>
          </w:p>
        </w:tc>
      </w:tr>
    </w:tbl>
    <w:p w14:paraId="2BB7FAF0">
      <w:pPr>
        <w:widowControl w:val="0"/>
        <w:kinsoku/>
        <w:autoSpaceDE/>
        <w:autoSpaceDN/>
        <w:adjustRightInd/>
        <w:snapToGrid/>
        <w:spacing w:line="480" w:lineRule="exact"/>
        <w:ind w:firstLine="480" w:firstLineChars="200"/>
        <w:textAlignment w:val="auto"/>
        <w:rPr>
          <w:rFonts w:hint="default" w:ascii="Times New Roman" w:hAnsi="Times New Roman" w:cs="Times New Roman"/>
          <w:color w:val="auto"/>
          <w:szCs w:val="24"/>
          <w:highlight w:val="none"/>
          <w:lang w:bidi="ar"/>
        </w:rPr>
      </w:pPr>
      <w:r>
        <w:rPr>
          <w:rFonts w:hint="default" w:ascii="Times New Roman" w:hAnsi="Times New Roman" w:eastAsia="宋体" w:cs="Times New Roman"/>
          <w:snapToGrid/>
          <w:color w:val="auto"/>
          <w:kern w:val="2"/>
          <w:sz w:val="24"/>
          <w:szCs w:val="24"/>
          <w:highlight w:val="none"/>
          <w:lang w:val="en-US" w:eastAsia="zh-CN" w:bidi="ar-SA"/>
        </w:rPr>
        <w:t>由此判定，</w:t>
      </w:r>
      <w:r>
        <w:rPr>
          <w:rFonts w:hint="default" w:ascii="Times New Roman" w:hAnsi="Times New Roman" w:eastAsia="宋体" w:cs="Times New Roman"/>
          <w:snapToGrid/>
          <w:color w:val="auto"/>
          <w:kern w:val="0"/>
          <w:sz w:val="24"/>
          <w:szCs w:val="26"/>
          <w:highlight w:val="none"/>
          <w:lang w:val="en-US" w:eastAsia="zh-CN" w:bidi="ar-SA"/>
        </w:rPr>
        <w:t>项目所在</w:t>
      </w:r>
      <w:r>
        <w:rPr>
          <w:rFonts w:hint="default" w:ascii="Times New Roman" w:hAnsi="Times New Roman" w:cs="Times New Roman"/>
          <w:snapToGrid/>
          <w:color w:val="auto"/>
          <w:kern w:val="0"/>
          <w:sz w:val="24"/>
          <w:szCs w:val="26"/>
          <w:highlight w:val="none"/>
          <w:lang w:val="en-US" w:eastAsia="zh-CN" w:bidi="ar-SA"/>
        </w:rPr>
        <w:t>哈密市</w:t>
      </w:r>
      <w:r>
        <w:rPr>
          <w:rFonts w:hint="default" w:ascii="Times New Roman" w:hAnsi="Times New Roman" w:eastAsia="宋体" w:cs="Times New Roman"/>
          <w:snapToGrid/>
          <w:color w:val="auto"/>
          <w:kern w:val="0"/>
          <w:sz w:val="24"/>
          <w:szCs w:val="26"/>
          <w:highlight w:val="none"/>
          <w:lang w:val="en-US" w:eastAsia="zh-CN" w:bidi="ar-SA"/>
        </w:rPr>
        <w:t>SO</w:t>
      </w:r>
      <w:r>
        <w:rPr>
          <w:rFonts w:hint="default" w:ascii="Times New Roman" w:hAnsi="Times New Roman" w:eastAsia="宋体" w:cs="Times New Roman"/>
          <w:snapToGrid/>
          <w:color w:val="auto"/>
          <w:kern w:val="0"/>
          <w:sz w:val="24"/>
          <w:szCs w:val="26"/>
          <w:highlight w:val="none"/>
          <w:vertAlign w:val="subscript"/>
          <w:lang w:val="en-US" w:eastAsia="zh-CN" w:bidi="ar-SA"/>
        </w:rPr>
        <w:t>2</w:t>
      </w:r>
      <w:r>
        <w:rPr>
          <w:rFonts w:hint="default" w:ascii="Times New Roman" w:hAnsi="Times New Roman" w:eastAsia="宋体" w:cs="Times New Roman"/>
          <w:snapToGrid/>
          <w:color w:val="auto"/>
          <w:kern w:val="0"/>
          <w:sz w:val="24"/>
          <w:szCs w:val="26"/>
          <w:highlight w:val="none"/>
          <w:lang w:val="en-US" w:eastAsia="zh-CN" w:bidi="ar-SA"/>
        </w:rPr>
        <w:t>、NO</w:t>
      </w:r>
      <w:r>
        <w:rPr>
          <w:rFonts w:hint="default" w:ascii="Times New Roman" w:hAnsi="Times New Roman" w:eastAsia="宋体" w:cs="Times New Roman"/>
          <w:snapToGrid/>
          <w:color w:val="auto"/>
          <w:kern w:val="0"/>
          <w:sz w:val="24"/>
          <w:szCs w:val="26"/>
          <w:highlight w:val="none"/>
          <w:vertAlign w:val="subscript"/>
          <w:lang w:val="en-US" w:eastAsia="zh-CN" w:bidi="ar-SA"/>
        </w:rPr>
        <w:t>2</w:t>
      </w:r>
      <w:r>
        <w:rPr>
          <w:rFonts w:hint="default" w:ascii="Times New Roman" w:hAnsi="Times New Roman" w:eastAsia="宋体" w:cs="Times New Roman"/>
          <w:snapToGrid/>
          <w:color w:val="auto"/>
          <w:kern w:val="0"/>
          <w:sz w:val="24"/>
          <w:szCs w:val="26"/>
          <w:highlight w:val="none"/>
          <w:lang w:val="en-US" w:eastAsia="zh-CN" w:bidi="ar-SA"/>
        </w:rPr>
        <w:t>、PM</w:t>
      </w:r>
      <w:r>
        <w:rPr>
          <w:rFonts w:hint="default" w:ascii="Times New Roman" w:hAnsi="Times New Roman" w:eastAsia="宋体" w:cs="Times New Roman"/>
          <w:snapToGrid/>
          <w:color w:val="auto"/>
          <w:kern w:val="0"/>
          <w:sz w:val="24"/>
          <w:szCs w:val="26"/>
          <w:highlight w:val="none"/>
          <w:vertAlign w:val="subscript"/>
          <w:lang w:val="en-US" w:eastAsia="zh-CN" w:bidi="ar-SA"/>
        </w:rPr>
        <w:t>2.5</w:t>
      </w:r>
      <w:r>
        <w:rPr>
          <w:rFonts w:hint="default" w:ascii="Times New Roman" w:hAnsi="Times New Roman" w:eastAsia="宋体" w:cs="Times New Roman"/>
          <w:snapToGrid/>
          <w:color w:val="auto"/>
          <w:kern w:val="0"/>
          <w:sz w:val="24"/>
          <w:szCs w:val="26"/>
          <w:highlight w:val="none"/>
          <w:lang w:val="en-US" w:eastAsia="zh-CN" w:bidi="ar-SA"/>
        </w:rPr>
        <w:t>、CO、O</w:t>
      </w:r>
      <w:r>
        <w:rPr>
          <w:rFonts w:hint="default" w:ascii="Times New Roman" w:hAnsi="Times New Roman" w:eastAsia="宋体" w:cs="Times New Roman"/>
          <w:snapToGrid/>
          <w:color w:val="auto"/>
          <w:kern w:val="0"/>
          <w:sz w:val="24"/>
          <w:szCs w:val="26"/>
          <w:highlight w:val="none"/>
          <w:vertAlign w:val="subscript"/>
          <w:lang w:val="en-US" w:eastAsia="zh-CN" w:bidi="ar-SA"/>
        </w:rPr>
        <w:t>3</w:t>
      </w:r>
      <w:r>
        <w:rPr>
          <w:rFonts w:hint="default" w:ascii="Times New Roman" w:hAnsi="Times New Roman" w:eastAsia="宋体" w:cs="Times New Roman"/>
          <w:snapToGrid/>
          <w:color w:val="auto"/>
          <w:kern w:val="0"/>
          <w:sz w:val="24"/>
          <w:szCs w:val="26"/>
          <w:highlight w:val="none"/>
          <w:lang w:val="en-US" w:eastAsia="zh-CN" w:bidi="ar-SA"/>
        </w:rPr>
        <w:t>长期浓度均可满足</w:t>
      </w:r>
      <w:r>
        <w:rPr>
          <w:rFonts w:hint="eastAsia" w:cs="Times New Roman"/>
          <w:snapToGrid/>
          <w:color w:val="auto"/>
          <w:kern w:val="0"/>
          <w:sz w:val="24"/>
          <w:szCs w:val="26"/>
          <w:highlight w:val="none"/>
          <w:lang w:val="en-US" w:eastAsia="zh-CN" w:bidi="ar-SA"/>
        </w:rPr>
        <w:t>《环境空气质量标准》（GB3095-2026）</w:t>
      </w:r>
      <w:r>
        <w:rPr>
          <w:rFonts w:hint="default" w:ascii="Times New Roman" w:hAnsi="Times New Roman" w:eastAsia="宋体" w:cs="Times New Roman"/>
          <w:snapToGrid/>
          <w:color w:val="auto"/>
          <w:kern w:val="0"/>
          <w:sz w:val="24"/>
          <w:szCs w:val="26"/>
          <w:highlight w:val="none"/>
          <w:lang w:val="en-US" w:eastAsia="zh-CN" w:bidi="ar-SA"/>
        </w:rPr>
        <w:t>中二级标准限值，</w:t>
      </w:r>
      <w:r>
        <w:rPr>
          <w:rFonts w:hint="default" w:ascii="Times New Roman" w:hAnsi="Times New Roman" w:cs="Times New Roman"/>
          <w:snapToGrid/>
          <w:color w:val="auto"/>
          <w:kern w:val="0"/>
          <w:sz w:val="24"/>
          <w:szCs w:val="26"/>
          <w:highlight w:val="none"/>
          <w:lang w:val="en-US" w:eastAsia="zh-CN" w:bidi="ar-SA"/>
        </w:rPr>
        <w:t>PM</w:t>
      </w:r>
      <w:r>
        <w:rPr>
          <w:rFonts w:hint="default" w:ascii="Times New Roman" w:hAnsi="Times New Roman" w:cs="Times New Roman"/>
          <w:snapToGrid/>
          <w:color w:val="auto"/>
          <w:kern w:val="0"/>
          <w:sz w:val="24"/>
          <w:szCs w:val="26"/>
          <w:highlight w:val="none"/>
          <w:vertAlign w:val="subscript"/>
          <w:lang w:val="en-US" w:eastAsia="zh-CN" w:bidi="ar-SA"/>
        </w:rPr>
        <w:t>10</w:t>
      </w:r>
      <w:r>
        <w:rPr>
          <w:rFonts w:hint="default" w:ascii="Times New Roman" w:hAnsi="Times New Roman" w:cs="Times New Roman"/>
          <w:snapToGrid/>
          <w:color w:val="auto"/>
          <w:kern w:val="0"/>
          <w:sz w:val="24"/>
          <w:szCs w:val="26"/>
          <w:highlight w:val="none"/>
          <w:vertAlign w:val="baseline"/>
          <w:lang w:val="en-US" w:eastAsia="zh-CN" w:bidi="ar-SA"/>
        </w:rPr>
        <w:t>不</w:t>
      </w:r>
      <w:r>
        <w:rPr>
          <w:rFonts w:hint="default" w:ascii="Times New Roman" w:hAnsi="Times New Roman" w:eastAsia="宋体" w:cs="Times New Roman"/>
          <w:snapToGrid/>
          <w:color w:val="auto"/>
          <w:kern w:val="0"/>
          <w:sz w:val="24"/>
          <w:szCs w:val="26"/>
          <w:highlight w:val="none"/>
          <w:lang w:val="en-US" w:eastAsia="zh-CN" w:bidi="ar-SA"/>
        </w:rPr>
        <w:t>满足</w:t>
      </w:r>
      <w:r>
        <w:rPr>
          <w:rFonts w:hint="eastAsia" w:cs="Times New Roman"/>
          <w:snapToGrid/>
          <w:color w:val="auto"/>
          <w:kern w:val="0"/>
          <w:sz w:val="24"/>
          <w:szCs w:val="26"/>
          <w:highlight w:val="none"/>
          <w:lang w:val="en-US" w:eastAsia="zh-CN" w:bidi="ar-SA"/>
        </w:rPr>
        <w:t>《环境空气质量标准》（GB3095-2026）</w:t>
      </w:r>
      <w:r>
        <w:rPr>
          <w:rFonts w:hint="default" w:ascii="Times New Roman" w:hAnsi="Times New Roman" w:eastAsia="宋体" w:cs="Times New Roman"/>
          <w:snapToGrid/>
          <w:color w:val="auto"/>
          <w:kern w:val="0"/>
          <w:sz w:val="24"/>
          <w:szCs w:val="26"/>
          <w:highlight w:val="none"/>
          <w:lang w:val="en-US" w:eastAsia="zh-CN" w:bidi="ar-SA"/>
        </w:rPr>
        <w:t>中二级标准限值</w:t>
      </w:r>
      <w:r>
        <w:rPr>
          <w:rFonts w:hint="eastAsia" w:cs="Times New Roman"/>
          <w:snapToGrid/>
          <w:color w:val="auto"/>
          <w:kern w:val="0"/>
          <w:sz w:val="24"/>
          <w:szCs w:val="26"/>
          <w:highlight w:val="none"/>
          <w:lang w:val="en-US" w:eastAsia="zh-CN" w:bidi="ar-SA"/>
        </w:rPr>
        <w:t>，故</w:t>
      </w:r>
      <w:r>
        <w:rPr>
          <w:rFonts w:hint="default" w:ascii="Times New Roman" w:hAnsi="Times New Roman" w:cs="Times New Roman"/>
          <w:snapToGrid/>
          <w:color w:val="auto"/>
          <w:kern w:val="0"/>
          <w:sz w:val="24"/>
          <w:szCs w:val="26"/>
          <w:highlight w:val="none"/>
          <w:lang w:val="en-US" w:eastAsia="zh-CN" w:bidi="ar-SA"/>
        </w:rPr>
        <w:t>本项目所在区域</w:t>
      </w:r>
      <w:r>
        <w:rPr>
          <w:rFonts w:hint="default" w:ascii="Times New Roman" w:hAnsi="Times New Roman" w:eastAsia="宋体" w:cs="Times New Roman"/>
          <w:snapToGrid/>
          <w:color w:val="auto"/>
          <w:kern w:val="0"/>
          <w:sz w:val="24"/>
          <w:szCs w:val="26"/>
          <w:highlight w:val="none"/>
          <w:lang w:val="en-US" w:eastAsia="zh-CN" w:bidi="ar-SA"/>
        </w:rPr>
        <w:t>为环境空气质量</w:t>
      </w:r>
      <w:r>
        <w:rPr>
          <w:rFonts w:hint="eastAsia" w:cs="Times New Roman"/>
          <w:snapToGrid/>
          <w:color w:val="auto"/>
          <w:kern w:val="0"/>
          <w:sz w:val="24"/>
          <w:szCs w:val="26"/>
          <w:highlight w:val="none"/>
          <w:lang w:val="en-US" w:eastAsia="zh-CN" w:bidi="ar-SA"/>
        </w:rPr>
        <w:t>不</w:t>
      </w:r>
      <w:r>
        <w:rPr>
          <w:rFonts w:hint="default" w:ascii="Times New Roman" w:hAnsi="Times New Roman" w:eastAsia="宋体" w:cs="Times New Roman"/>
          <w:snapToGrid/>
          <w:color w:val="auto"/>
          <w:kern w:val="0"/>
          <w:sz w:val="24"/>
          <w:szCs w:val="26"/>
          <w:highlight w:val="none"/>
          <w:lang w:val="en-US" w:eastAsia="zh-CN" w:bidi="ar-SA"/>
        </w:rPr>
        <w:t>达标区。</w:t>
      </w:r>
    </w:p>
    <w:p w14:paraId="6581A506">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4.2.1.2其他污染物环境质量现状调查与评价</w:t>
      </w:r>
    </w:p>
    <w:p w14:paraId="39EA6B44">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其他污染物主要为本项目特征污染物TSP</w:t>
      </w:r>
      <w:r>
        <w:rPr>
          <w:rFonts w:hint="eastAsia" w:cs="Times New Roman"/>
          <w:color w:val="auto"/>
          <w:highlight w:val="none"/>
          <w:lang w:eastAsia="zh-CN"/>
        </w:rPr>
        <w:t>、</w:t>
      </w:r>
      <w:r>
        <w:rPr>
          <w:rFonts w:hint="default" w:ascii="Times New Roman" w:hAnsi="Times New Roman" w:cs="Times New Roman"/>
          <w:color w:val="auto"/>
          <w:highlight w:val="none"/>
          <w:lang w:eastAsia="zh-CN"/>
        </w:rPr>
        <w:t>氟化物</w:t>
      </w:r>
      <w:r>
        <w:rPr>
          <w:rFonts w:hint="eastAsia" w:cs="Times New Roman"/>
          <w:color w:val="auto"/>
          <w:highlight w:val="none"/>
          <w:lang w:eastAsia="zh-CN"/>
        </w:rPr>
        <w:t>、</w:t>
      </w:r>
      <w:r>
        <w:rPr>
          <w:rFonts w:hint="eastAsia" w:cs="Times New Roman"/>
          <w:color w:val="auto"/>
          <w:highlight w:val="none"/>
          <w:lang w:val="en-US" w:eastAsia="zh-CN"/>
        </w:rPr>
        <w:t>汞及其化合物</w:t>
      </w:r>
      <w:r>
        <w:rPr>
          <w:rFonts w:hint="default" w:ascii="Times New Roman" w:hAnsi="Times New Roman" w:cs="Times New Roman"/>
          <w:color w:val="auto"/>
          <w:highlight w:val="none"/>
        </w:rPr>
        <w:t>，采用现场补充监测的方式进行调查。</w:t>
      </w:r>
    </w:p>
    <w:p w14:paraId="7730FF48">
      <w:pPr>
        <w:ind w:firstLine="464"/>
        <w:rPr>
          <w:rFonts w:hint="default" w:ascii="Times New Roman" w:hAnsi="Times New Roman" w:cs="Times New Roman"/>
          <w:color w:val="auto"/>
          <w:spacing w:val="-4"/>
          <w:highlight w:val="none"/>
        </w:rPr>
      </w:pPr>
      <w:r>
        <w:rPr>
          <w:rFonts w:hint="default" w:ascii="Times New Roman" w:hAnsi="Times New Roman" w:cs="Times New Roman"/>
          <w:color w:val="auto"/>
          <w:spacing w:val="-4"/>
          <w:highlight w:val="none"/>
        </w:rPr>
        <w:t>（1）监测点布设</w:t>
      </w:r>
    </w:p>
    <w:p w14:paraId="13984F2B">
      <w:pPr>
        <w:ind w:firstLine="464"/>
        <w:rPr>
          <w:rFonts w:hint="default" w:ascii="Times New Roman" w:hAnsi="Times New Roman" w:cs="Times New Roman"/>
          <w:color w:val="auto"/>
          <w:highlight w:val="none"/>
        </w:rPr>
      </w:pPr>
      <w:r>
        <w:rPr>
          <w:rFonts w:hint="default" w:ascii="Times New Roman" w:hAnsi="Times New Roman" w:cs="Times New Roman"/>
          <w:color w:val="auto"/>
          <w:spacing w:val="-4"/>
          <w:highlight w:val="none"/>
        </w:rPr>
        <w:t>根据项目特点、结合评价区域环境空气保护目标和区域环境情况，本次评价共设1个环境空气质量监测点，监测布点图见图4.2-1。</w:t>
      </w:r>
    </w:p>
    <w:p w14:paraId="39F65A10">
      <w:pPr>
        <w:pStyle w:val="41"/>
        <w:spacing w:line="480" w:lineRule="exact"/>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表4.2-2    区域空气质量现状监测点位布置情况</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2"/>
        <w:gridCol w:w="1685"/>
        <w:gridCol w:w="1823"/>
        <w:gridCol w:w="1580"/>
        <w:gridCol w:w="2226"/>
        <w:gridCol w:w="1138"/>
      </w:tblGrid>
      <w:tr w14:paraId="1E2A92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dxa"/>
            <w:vAlign w:val="center"/>
          </w:tcPr>
          <w:p w14:paraId="12F0C937">
            <w:pPr>
              <w:pStyle w:val="83"/>
              <w:spacing w:line="360" w:lineRule="exact"/>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编号</w:t>
            </w:r>
          </w:p>
        </w:tc>
        <w:tc>
          <w:tcPr>
            <w:tcW w:w="1684" w:type="dxa"/>
            <w:vAlign w:val="center"/>
          </w:tcPr>
          <w:p w14:paraId="402EFC40">
            <w:pPr>
              <w:pStyle w:val="83"/>
              <w:spacing w:line="360" w:lineRule="exact"/>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监测点名称</w:t>
            </w:r>
          </w:p>
        </w:tc>
        <w:tc>
          <w:tcPr>
            <w:tcW w:w="1822" w:type="dxa"/>
            <w:vAlign w:val="center"/>
          </w:tcPr>
          <w:p w14:paraId="44BC8283">
            <w:pPr>
              <w:pStyle w:val="83"/>
              <w:spacing w:line="360" w:lineRule="exact"/>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监测点坐标</w:t>
            </w:r>
          </w:p>
        </w:tc>
        <w:tc>
          <w:tcPr>
            <w:tcW w:w="1579" w:type="dxa"/>
            <w:vAlign w:val="center"/>
          </w:tcPr>
          <w:p w14:paraId="2DCFF1DB">
            <w:pPr>
              <w:pStyle w:val="83"/>
              <w:spacing w:line="360" w:lineRule="exact"/>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监测因子</w:t>
            </w:r>
          </w:p>
        </w:tc>
        <w:tc>
          <w:tcPr>
            <w:tcW w:w="2225" w:type="dxa"/>
            <w:vAlign w:val="center"/>
          </w:tcPr>
          <w:p w14:paraId="175F85A1">
            <w:pPr>
              <w:pStyle w:val="83"/>
              <w:spacing w:line="360" w:lineRule="exact"/>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监测时间</w:t>
            </w:r>
          </w:p>
        </w:tc>
        <w:tc>
          <w:tcPr>
            <w:tcW w:w="1136" w:type="dxa"/>
            <w:vAlign w:val="center"/>
          </w:tcPr>
          <w:p w14:paraId="5C98E621">
            <w:pPr>
              <w:pStyle w:val="83"/>
              <w:spacing w:line="360" w:lineRule="exact"/>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备注</w:t>
            </w:r>
          </w:p>
        </w:tc>
      </w:tr>
      <w:tr w14:paraId="396C2D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dxa"/>
            <w:vMerge w:val="restart"/>
            <w:vAlign w:val="center"/>
          </w:tcPr>
          <w:p w14:paraId="37628A48">
            <w:pPr>
              <w:pStyle w:val="83"/>
              <w:spacing w:line="360" w:lineRule="exact"/>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1#</w:t>
            </w:r>
          </w:p>
        </w:tc>
        <w:tc>
          <w:tcPr>
            <w:tcW w:w="1684" w:type="dxa"/>
            <w:vMerge w:val="restart"/>
            <w:vAlign w:val="center"/>
          </w:tcPr>
          <w:p w14:paraId="433EEB09">
            <w:pPr>
              <w:pStyle w:val="83"/>
              <w:spacing w:line="36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选矿厂下风向</w:t>
            </w:r>
          </w:p>
        </w:tc>
        <w:tc>
          <w:tcPr>
            <w:tcW w:w="1822" w:type="dxa"/>
            <w:vMerge w:val="restart"/>
            <w:vAlign w:val="center"/>
          </w:tcPr>
          <w:p w14:paraId="63FBDC80">
            <w:pPr>
              <w:pStyle w:val="83"/>
              <w:spacing w:line="360" w:lineRule="exact"/>
              <w:rPr>
                <w:rFonts w:hint="default" w:ascii="Times New Roman" w:hAnsi="Times New Roman" w:cs="Times New Roman"/>
                <w:color w:val="auto"/>
                <w:szCs w:val="21"/>
                <w:highlight w:val="none"/>
                <w:lang w:val="zh-CN"/>
              </w:rPr>
            </w:pPr>
            <w:r>
              <w:rPr>
                <w:rFonts w:hint="default" w:ascii="Times New Roman" w:hAnsi="Times New Roman" w:eastAsia="宋体" w:cs="Times New Roman"/>
                <w:color w:val="auto"/>
                <w:kern w:val="0"/>
                <w:sz w:val="21"/>
                <w:szCs w:val="21"/>
                <w:highlight w:val="none"/>
                <w:lang w:val="en-US" w:eastAsia="zh-CN" w:bidi="ar"/>
              </w:rPr>
              <w:t>N:</w:t>
            </w:r>
            <w:r>
              <w:rPr>
                <w:rFonts w:hint="eastAsia" w:cs="Times New Roman"/>
                <w:color w:val="auto"/>
                <w:kern w:val="0"/>
                <w:sz w:val="21"/>
                <w:szCs w:val="21"/>
                <w:highlight w:val="none"/>
                <w:lang w:val="en-US" w:eastAsia="zh-CN" w:bidi="ar"/>
              </w:rPr>
              <w:t>41</w:t>
            </w:r>
            <w:r>
              <w:rPr>
                <w:rFonts w:hint="default" w:ascii="Times New Roman" w:hAnsi="Times New Roman" w:eastAsia="宋体"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12</w:t>
            </w:r>
            <w:r>
              <w:rPr>
                <w:rFonts w:hint="default" w:ascii="Times New Roman" w:hAnsi="Times New Roman" w:eastAsia="宋体"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00.52</w:t>
            </w:r>
            <w:r>
              <w:rPr>
                <w:rFonts w:hint="default" w:ascii="Times New Roman" w:hAnsi="Times New Roman" w:eastAsia="宋体" w:cs="Times New Roman"/>
                <w:color w:val="auto"/>
                <w:kern w:val="0"/>
                <w:sz w:val="21"/>
                <w:szCs w:val="21"/>
                <w:highlight w:val="none"/>
                <w:lang w:val="en-US" w:eastAsia="zh-CN" w:bidi="ar"/>
              </w:rPr>
              <w:t>″ E:</w:t>
            </w:r>
            <w:r>
              <w:rPr>
                <w:rFonts w:hint="eastAsia" w:cs="Times New Roman"/>
                <w:color w:val="auto"/>
                <w:kern w:val="0"/>
                <w:sz w:val="21"/>
                <w:szCs w:val="21"/>
                <w:highlight w:val="none"/>
                <w:lang w:val="en-US" w:eastAsia="zh-CN" w:bidi="ar"/>
              </w:rPr>
              <w:t>93</w:t>
            </w:r>
            <w:r>
              <w:rPr>
                <w:rFonts w:hint="default" w:ascii="Times New Roman" w:hAnsi="Times New Roman" w:eastAsia="宋体"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55</w:t>
            </w:r>
            <w:r>
              <w:rPr>
                <w:rFonts w:hint="default" w:ascii="Times New Roman" w:hAnsi="Times New Roman" w:eastAsia="宋体"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17.19</w:t>
            </w:r>
            <w:r>
              <w:rPr>
                <w:rFonts w:hint="default" w:ascii="Times New Roman" w:hAnsi="Times New Roman" w:eastAsia="宋体" w:cs="Times New Roman"/>
                <w:color w:val="auto"/>
                <w:kern w:val="0"/>
                <w:sz w:val="21"/>
                <w:szCs w:val="21"/>
                <w:highlight w:val="none"/>
                <w:lang w:val="en-US" w:eastAsia="zh-CN" w:bidi="ar"/>
              </w:rPr>
              <w:t>″</w:t>
            </w:r>
          </w:p>
        </w:tc>
        <w:tc>
          <w:tcPr>
            <w:tcW w:w="1579" w:type="dxa"/>
            <w:vAlign w:val="center"/>
          </w:tcPr>
          <w:p w14:paraId="7E82ECF8">
            <w:pPr>
              <w:pStyle w:val="83"/>
              <w:spacing w:line="360" w:lineRule="exact"/>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TSP</w:t>
            </w:r>
            <w:r>
              <w:rPr>
                <w:rFonts w:hint="default" w:ascii="Times New Roman" w:hAnsi="Times New Roman" w:cs="Times New Roman"/>
                <w:color w:val="auto"/>
                <w:szCs w:val="21"/>
                <w:highlight w:val="none"/>
                <w:lang w:eastAsia="zh-CN"/>
              </w:rPr>
              <w:t>、氟化物</w:t>
            </w:r>
          </w:p>
        </w:tc>
        <w:tc>
          <w:tcPr>
            <w:tcW w:w="2225" w:type="dxa"/>
            <w:vAlign w:val="center"/>
          </w:tcPr>
          <w:p w14:paraId="6CE93426">
            <w:pPr>
              <w:pStyle w:val="83"/>
              <w:spacing w:line="360" w:lineRule="exact"/>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2025.12.29~2026.01.05</w:t>
            </w:r>
          </w:p>
        </w:tc>
        <w:tc>
          <w:tcPr>
            <w:tcW w:w="1136" w:type="dxa"/>
            <w:vMerge w:val="restart"/>
            <w:vAlign w:val="center"/>
          </w:tcPr>
          <w:p w14:paraId="315C5824">
            <w:pPr>
              <w:pStyle w:val="83"/>
              <w:spacing w:line="36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现场监测</w:t>
            </w:r>
          </w:p>
        </w:tc>
      </w:tr>
      <w:tr w14:paraId="6F707B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2" w:type="dxa"/>
            <w:vMerge w:val="continue"/>
            <w:vAlign w:val="center"/>
          </w:tcPr>
          <w:p w14:paraId="4818D5D2">
            <w:pPr>
              <w:pStyle w:val="83"/>
              <w:spacing w:line="360" w:lineRule="exact"/>
              <w:rPr>
                <w:rFonts w:hint="default" w:ascii="Times New Roman" w:hAnsi="Times New Roman" w:cs="Times New Roman"/>
                <w:color w:val="auto"/>
                <w:szCs w:val="21"/>
                <w:highlight w:val="none"/>
              </w:rPr>
            </w:pPr>
          </w:p>
        </w:tc>
        <w:tc>
          <w:tcPr>
            <w:tcW w:w="1684" w:type="dxa"/>
            <w:vMerge w:val="continue"/>
            <w:vAlign w:val="center"/>
          </w:tcPr>
          <w:p w14:paraId="0ECF66AB">
            <w:pPr>
              <w:pStyle w:val="83"/>
              <w:spacing w:line="360" w:lineRule="exact"/>
              <w:rPr>
                <w:rFonts w:hint="default" w:ascii="Times New Roman" w:hAnsi="Times New Roman" w:cs="Times New Roman"/>
                <w:color w:val="auto"/>
                <w:szCs w:val="21"/>
                <w:highlight w:val="none"/>
              </w:rPr>
            </w:pPr>
          </w:p>
        </w:tc>
        <w:tc>
          <w:tcPr>
            <w:tcW w:w="1822" w:type="dxa"/>
            <w:vMerge w:val="continue"/>
            <w:vAlign w:val="center"/>
          </w:tcPr>
          <w:p w14:paraId="6B2634F4">
            <w:pPr>
              <w:pStyle w:val="83"/>
              <w:spacing w:line="360" w:lineRule="exact"/>
              <w:rPr>
                <w:rFonts w:hint="default" w:ascii="Times New Roman" w:hAnsi="Times New Roman" w:eastAsia="宋体" w:cs="Times New Roman"/>
                <w:color w:val="auto"/>
                <w:kern w:val="0"/>
                <w:sz w:val="21"/>
                <w:szCs w:val="21"/>
                <w:highlight w:val="none"/>
                <w:lang w:val="en-US" w:eastAsia="zh-CN" w:bidi="ar"/>
              </w:rPr>
            </w:pPr>
          </w:p>
        </w:tc>
        <w:tc>
          <w:tcPr>
            <w:tcW w:w="1579" w:type="dxa"/>
            <w:vAlign w:val="center"/>
          </w:tcPr>
          <w:p w14:paraId="5561FB54">
            <w:pPr>
              <w:pStyle w:val="83"/>
              <w:spacing w:line="360" w:lineRule="exact"/>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汞及其化合物</w:t>
            </w:r>
          </w:p>
        </w:tc>
        <w:tc>
          <w:tcPr>
            <w:tcW w:w="2225" w:type="dxa"/>
            <w:vAlign w:val="center"/>
          </w:tcPr>
          <w:p w14:paraId="1B39188D">
            <w:pPr>
              <w:pStyle w:val="83"/>
              <w:spacing w:line="360" w:lineRule="exact"/>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2026.01.</w:t>
            </w:r>
            <w:r>
              <w:rPr>
                <w:rFonts w:hint="eastAsia" w:ascii="Times New Roman" w:hAnsi="Times New Roman" w:cs="Times New Roman"/>
                <w:color w:val="auto"/>
                <w:szCs w:val="21"/>
                <w:highlight w:val="none"/>
                <w:lang w:val="en-US" w:eastAsia="zh-CN"/>
              </w:rPr>
              <w:t>20~</w:t>
            </w:r>
            <w:r>
              <w:rPr>
                <w:rFonts w:hint="default" w:ascii="Times New Roman" w:hAnsi="Times New Roman" w:cs="Times New Roman"/>
                <w:color w:val="auto"/>
                <w:szCs w:val="21"/>
                <w:highlight w:val="none"/>
              </w:rPr>
              <w:t>2026.</w:t>
            </w:r>
            <w:r>
              <w:rPr>
                <w:rFonts w:hint="eastAsia" w:ascii="Times New Roman" w:hAnsi="Times New Roman" w:cs="Times New Roman"/>
                <w:color w:val="auto"/>
                <w:szCs w:val="21"/>
                <w:highlight w:val="none"/>
                <w:lang w:val="en-US" w:eastAsia="zh-CN"/>
              </w:rPr>
              <w:t>01.21</w:t>
            </w:r>
          </w:p>
        </w:tc>
        <w:tc>
          <w:tcPr>
            <w:tcW w:w="1136" w:type="dxa"/>
            <w:vMerge w:val="continue"/>
            <w:vAlign w:val="center"/>
          </w:tcPr>
          <w:p w14:paraId="208A30E5">
            <w:pPr>
              <w:pStyle w:val="83"/>
              <w:spacing w:line="360" w:lineRule="exact"/>
              <w:rPr>
                <w:rFonts w:hint="default" w:ascii="Times New Roman" w:hAnsi="Times New Roman" w:cs="Times New Roman"/>
                <w:color w:val="auto"/>
                <w:szCs w:val="21"/>
                <w:highlight w:val="none"/>
              </w:rPr>
            </w:pPr>
          </w:p>
        </w:tc>
      </w:tr>
    </w:tbl>
    <w:p w14:paraId="77266F5F">
      <w:pPr>
        <w:ind w:firstLine="464"/>
        <w:rPr>
          <w:rFonts w:hint="default" w:ascii="Times New Roman" w:hAnsi="Times New Roman" w:cs="Times New Roman"/>
          <w:color w:val="auto"/>
          <w:spacing w:val="-4"/>
          <w:highlight w:val="none"/>
        </w:rPr>
      </w:pPr>
      <w:r>
        <w:rPr>
          <w:rFonts w:hint="default" w:ascii="Times New Roman" w:hAnsi="Times New Roman" w:cs="Times New Roman"/>
          <w:color w:val="auto"/>
          <w:spacing w:val="-4"/>
          <w:highlight w:val="none"/>
        </w:rPr>
        <w:t>（2）监测时间与监测单位</w:t>
      </w:r>
    </w:p>
    <w:p w14:paraId="71280974">
      <w:pPr>
        <w:ind w:firstLine="464"/>
        <w:rPr>
          <w:rFonts w:hint="default" w:ascii="Times New Roman" w:hAnsi="Times New Roman" w:cs="Times New Roman"/>
          <w:color w:val="auto"/>
          <w:highlight w:val="none"/>
        </w:rPr>
      </w:pPr>
      <w:r>
        <w:rPr>
          <w:rFonts w:hint="default" w:ascii="Times New Roman" w:hAnsi="Times New Roman" w:cs="Times New Roman"/>
          <w:color w:val="auto"/>
          <w:spacing w:val="-4"/>
          <w:highlight w:val="none"/>
        </w:rPr>
        <w:t>连续监测7天，测日均值，</w:t>
      </w:r>
      <w:r>
        <w:rPr>
          <w:rFonts w:hint="eastAsia" w:cs="Times New Roman"/>
          <w:color w:val="auto"/>
          <w:spacing w:val="-4"/>
          <w:highlight w:val="none"/>
          <w:lang w:eastAsia="zh-CN"/>
        </w:rPr>
        <w:t>新疆齐新环境服务有限公司</w:t>
      </w:r>
      <w:r>
        <w:rPr>
          <w:rFonts w:hint="default" w:ascii="Times New Roman" w:hAnsi="Times New Roman" w:cs="Times New Roman"/>
          <w:color w:val="auto"/>
          <w:spacing w:val="-4"/>
          <w:highlight w:val="none"/>
        </w:rPr>
        <w:t>承担监测。</w:t>
      </w:r>
    </w:p>
    <w:p w14:paraId="1F300E34">
      <w:pPr>
        <w:ind w:firstLine="464"/>
        <w:rPr>
          <w:rFonts w:hint="default" w:ascii="Times New Roman" w:hAnsi="Times New Roman" w:cs="Times New Roman"/>
          <w:color w:val="auto"/>
          <w:highlight w:val="none"/>
        </w:rPr>
      </w:pPr>
      <w:r>
        <w:rPr>
          <w:rFonts w:hint="default" w:ascii="Times New Roman" w:hAnsi="Times New Roman" w:cs="Times New Roman"/>
          <w:color w:val="auto"/>
          <w:spacing w:val="-4"/>
          <w:highlight w:val="none"/>
        </w:rPr>
        <w:t>（3）监测结果</w:t>
      </w:r>
    </w:p>
    <w:p w14:paraId="081DDEEB">
      <w:pPr>
        <w:ind w:firstLine="464"/>
        <w:rPr>
          <w:rFonts w:hint="default" w:ascii="Times New Roman" w:hAnsi="Times New Roman" w:cs="Times New Roman"/>
          <w:color w:val="auto"/>
          <w:highlight w:val="none"/>
        </w:rPr>
      </w:pPr>
      <w:r>
        <w:rPr>
          <w:rFonts w:hint="default" w:ascii="Times New Roman" w:hAnsi="Times New Roman" w:cs="Times New Roman"/>
          <w:color w:val="auto"/>
          <w:spacing w:val="-4"/>
          <w:highlight w:val="none"/>
        </w:rPr>
        <w:t>监测结果及评价结果见表4.2-3。</w:t>
      </w:r>
    </w:p>
    <w:p w14:paraId="329EB29B">
      <w:pPr>
        <w:pStyle w:val="41"/>
        <w:spacing w:line="480" w:lineRule="exact"/>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表4.2</w:t>
      </w:r>
      <w:r>
        <w:rPr>
          <w:rFonts w:hint="default" w:ascii="Times New Roman" w:hAnsi="Times New Roman" w:cs="Times New Roman"/>
          <w:b/>
          <w:bCs/>
          <w:color w:val="auto"/>
          <w:highlight w:val="none"/>
        </w:rPr>
        <w:noBreakHyphen/>
      </w:r>
      <w:r>
        <w:rPr>
          <w:rFonts w:hint="default" w:ascii="Times New Roman" w:hAnsi="Times New Roman" w:cs="Times New Roman"/>
          <w:b/>
          <w:bCs/>
          <w:color w:val="auto"/>
          <w:highlight w:val="none"/>
        </w:rPr>
        <w:t>3    项目区其他污染物监测结果及评价结果</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06"/>
        <w:gridCol w:w="1206"/>
        <w:gridCol w:w="1975"/>
        <w:gridCol w:w="1307"/>
        <w:gridCol w:w="1443"/>
        <w:gridCol w:w="915"/>
        <w:gridCol w:w="822"/>
      </w:tblGrid>
      <w:tr w14:paraId="17B3AF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506" w:type="dxa"/>
            <w:vAlign w:val="center"/>
          </w:tcPr>
          <w:p w14:paraId="28657658">
            <w:pPr>
              <w:pStyle w:val="83"/>
              <w:spacing w:line="360" w:lineRule="exact"/>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监测点位</w:t>
            </w:r>
          </w:p>
        </w:tc>
        <w:tc>
          <w:tcPr>
            <w:tcW w:w="1205" w:type="dxa"/>
            <w:vAlign w:val="center"/>
          </w:tcPr>
          <w:p w14:paraId="1DFBBCA8">
            <w:pPr>
              <w:pStyle w:val="83"/>
              <w:spacing w:line="360" w:lineRule="exact"/>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监测项目</w:t>
            </w:r>
          </w:p>
        </w:tc>
        <w:tc>
          <w:tcPr>
            <w:tcW w:w="1974" w:type="dxa"/>
            <w:vAlign w:val="center"/>
          </w:tcPr>
          <w:p w14:paraId="30872807">
            <w:pPr>
              <w:pStyle w:val="83"/>
              <w:spacing w:line="360" w:lineRule="exact"/>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日均值浓度范围（μg/m</w:t>
            </w:r>
            <w:r>
              <w:rPr>
                <w:rFonts w:hint="default" w:ascii="Times New Roman" w:hAnsi="Times New Roman" w:cs="Times New Roman"/>
                <w:b/>
                <w:bCs/>
                <w:color w:val="auto"/>
                <w:szCs w:val="21"/>
                <w:highlight w:val="none"/>
                <w:vertAlign w:val="superscript"/>
              </w:rPr>
              <w:t>3</w:t>
            </w:r>
            <w:r>
              <w:rPr>
                <w:rFonts w:hint="default" w:ascii="Times New Roman" w:hAnsi="Times New Roman" w:cs="Times New Roman"/>
                <w:b/>
                <w:bCs/>
                <w:color w:val="auto"/>
                <w:szCs w:val="21"/>
                <w:highlight w:val="none"/>
              </w:rPr>
              <w:t>）</w:t>
            </w:r>
          </w:p>
        </w:tc>
        <w:tc>
          <w:tcPr>
            <w:tcW w:w="1306" w:type="dxa"/>
            <w:vAlign w:val="center"/>
          </w:tcPr>
          <w:p w14:paraId="60B61C76">
            <w:pPr>
              <w:pStyle w:val="83"/>
              <w:spacing w:line="360" w:lineRule="exact"/>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标准值（μg/m</w:t>
            </w:r>
            <w:r>
              <w:rPr>
                <w:rFonts w:hint="default" w:ascii="Times New Roman" w:hAnsi="Times New Roman" w:cs="Times New Roman"/>
                <w:b/>
                <w:bCs/>
                <w:color w:val="auto"/>
                <w:szCs w:val="21"/>
                <w:highlight w:val="none"/>
                <w:vertAlign w:val="superscript"/>
              </w:rPr>
              <w:t>3</w:t>
            </w:r>
            <w:r>
              <w:rPr>
                <w:rFonts w:hint="default" w:ascii="Times New Roman" w:hAnsi="Times New Roman" w:cs="Times New Roman"/>
                <w:b/>
                <w:bCs/>
                <w:color w:val="auto"/>
                <w:szCs w:val="21"/>
                <w:highlight w:val="none"/>
              </w:rPr>
              <w:t>）</w:t>
            </w:r>
          </w:p>
        </w:tc>
        <w:tc>
          <w:tcPr>
            <w:tcW w:w="1442" w:type="dxa"/>
            <w:vAlign w:val="center"/>
          </w:tcPr>
          <w:p w14:paraId="35013454">
            <w:pPr>
              <w:pStyle w:val="83"/>
              <w:spacing w:line="360" w:lineRule="exact"/>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最大浓度占标率（%）</w:t>
            </w:r>
          </w:p>
        </w:tc>
        <w:tc>
          <w:tcPr>
            <w:tcW w:w="914" w:type="dxa"/>
            <w:vAlign w:val="center"/>
          </w:tcPr>
          <w:p w14:paraId="261780AA">
            <w:pPr>
              <w:pStyle w:val="83"/>
              <w:spacing w:line="360" w:lineRule="exact"/>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超标率（%）</w:t>
            </w:r>
          </w:p>
        </w:tc>
        <w:tc>
          <w:tcPr>
            <w:tcW w:w="821" w:type="dxa"/>
            <w:vAlign w:val="center"/>
          </w:tcPr>
          <w:p w14:paraId="4FCFDCDE">
            <w:pPr>
              <w:pStyle w:val="83"/>
              <w:spacing w:line="360" w:lineRule="exact"/>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达标</w:t>
            </w:r>
          </w:p>
          <w:p w14:paraId="0E64011A">
            <w:pPr>
              <w:pStyle w:val="83"/>
              <w:spacing w:line="360" w:lineRule="exact"/>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情况</w:t>
            </w:r>
          </w:p>
        </w:tc>
      </w:tr>
      <w:tr w14:paraId="59D75A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506" w:type="dxa"/>
            <w:vMerge w:val="restart"/>
            <w:vAlign w:val="center"/>
          </w:tcPr>
          <w:p w14:paraId="21D09060">
            <w:pPr>
              <w:pStyle w:val="83"/>
              <w:spacing w:line="36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205" w:type="dxa"/>
            <w:vAlign w:val="center"/>
          </w:tcPr>
          <w:p w14:paraId="00B193F4">
            <w:pPr>
              <w:pStyle w:val="83"/>
              <w:spacing w:line="36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TSP</w:t>
            </w:r>
          </w:p>
        </w:tc>
        <w:tc>
          <w:tcPr>
            <w:tcW w:w="1974" w:type="dxa"/>
            <w:vAlign w:val="center"/>
          </w:tcPr>
          <w:p w14:paraId="296BDD46">
            <w:pPr>
              <w:pStyle w:val="83"/>
              <w:spacing w:line="360" w:lineRule="exac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178</w:t>
            </w:r>
            <w:r>
              <w:rPr>
                <w:rFonts w:hint="eastAsia" w:cs="Times New Roman"/>
                <w:color w:val="auto"/>
                <w:szCs w:val="21"/>
                <w:highlight w:val="none"/>
                <w:lang w:val="en-US" w:eastAsia="zh-CN"/>
              </w:rPr>
              <w:t>-191</w:t>
            </w:r>
          </w:p>
        </w:tc>
        <w:tc>
          <w:tcPr>
            <w:tcW w:w="1306" w:type="dxa"/>
            <w:vAlign w:val="center"/>
          </w:tcPr>
          <w:p w14:paraId="5A847228">
            <w:pPr>
              <w:pStyle w:val="83"/>
              <w:spacing w:line="360" w:lineRule="exac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300</w:t>
            </w:r>
          </w:p>
        </w:tc>
        <w:tc>
          <w:tcPr>
            <w:tcW w:w="1442" w:type="dxa"/>
            <w:vAlign w:val="center"/>
          </w:tcPr>
          <w:p w14:paraId="78D328F0">
            <w:pPr>
              <w:pStyle w:val="83"/>
              <w:spacing w:line="360" w:lineRule="exact"/>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63.7</w:t>
            </w:r>
          </w:p>
        </w:tc>
        <w:tc>
          <w:tcPr>
            <w:tcW w:w="914" w:type="dxa"/>
            <w:vAlign w:val="center"/>
          </w:tcPr>
          <w:p w14:paraId="45662F5B">
            <w:pPr>
              <w:pStyle w:val="83"/>
              <w:spacing w:line="360" w:lineRule="exact"/>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w:t>
            </w:r>
          </w:p>
        </w:tc>
        <w:tc>
          <w:tcPr>
            <w:tcW w:w="821" w:type="dxa"/>
            <w:vAlign w:val="center"/>
          </w:tcPr>
          <w:p w14:paraId="292DECDE">
            <w:pPr>
              <w:pStyle w:val="83"/>
              <w:spacing w:line="360" w:lineRule="exact"/>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达标</w:t>
            </w:r>
          </w:p>
        </w:tc>
      </w:tr>
      <w:tr w14:paraId="6A5DE9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506" w:type="dxa"/>
            <w:vMerge w:val="continue"/>
            <w:vAlign w:val="center"/>
          </w:tcPr>
          <w:p w14:paraId="71913E9D">
            <w:pPr>
              <w:pStyle w:val="83"/>
              <w:spacing w:line="360" w:lineRule="exact"/>
              <w:rPr>
                <w:rFonts w:hint="default" w:ascii="Times New Roman" w:hAnsi="Times New Roman" w:cs="Times New Roman"/>
                <w:color w:val="auto"/>
                <w:szCs w:val="21"/>
                <w:highlight w:val="none"/>
              </w:rPr>
            </w:pPr>
          </w:p>
        </w:tc>
        <w:tc>
          <w:tcPr>
            <w:tcW w:w="1205" w:type="dxa"/>
            <w:shd w:val="clear" w:color="auto" w:fill="auto"/>
            <w:vAlign w:val="center"/>
          </w:tcPr>
          <w:p w14:paraId="2690CED5">
            <w:pPr>
              <w:pStyle w:val="83"/>
              <w:spacing w:line="360" w:lineRule="exac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eastAsia="zh-CN"/>
              </w:rPr>
              <w:t>氟化物</w:t>
            </w:r>
          </w:p>
        </w:tc>
        <w:tc>
          <w:tcPr>
            <w:tcW w:w="1974" w:type="dxa"/>
            <w:shd w:val="clear" w:color="auto" w:fill="auto"/>
            <w:vAlign w:val="center"/>
          </w:tcPr>
          <w:p w14:paraId="35D6E048">
            <w:pPr>
              <w:pStyle w:val="83"/>
              <w:spacing w:line="360" w:lineRule="exac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&lt;0.5</w:t>
            </w:r>
          </w:p>
        </w:tc>
        <w:tc>
          <w:tcPr>
            <w:tcW w:w="1306" w:type="dxa"/>
            <w:shd w:val="clear" w:color="auto" w:fill="auto"/>
            <w:vAlign w:val="center"/>
          </w:tcPr>
          <w:p w14:paraId="0053D8C1">
            <w:pPr>
              <w:pStyle w:val="83"/>
              <w:spacing w:line="360" w:lineRule="exac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7</w:t>
            </w:r>
          </w:p>
        </w:tc>
        <w:tc>
          <w:tcPr>
            <w:tcW w:w="1442" w:type="dxa"/>
            <w:shd w:val="clear" w:color="auto" w:fill="auto"/>
            <w:vAlign w:val="center"/>
          </w:tcPr>
          <w:p w14:paraId="08E22577">
            <w:pPr>
              <w:pStyle w:val="83"/>
              <w:spacing w:line="360" w:lineRule="exact"/>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914" w:type="dxa"/>
            <w:shd w:val="clear" w:color="auto" w:fill="auto"/>
            <w:vAlign w:val="center"/>
          </w:tcPr>
          <w:p w14:paraId="6A3CD2E5">
            <w:pPr>
              <w:pStyle w:val="83"/>
              <w:spacing w:line="360" w:lineRule="exac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0</w:t>
            </w:r>
          </w:p>
        </w:tc>
        <w:tc>
          <w:tcPr>
            <w:tcW w:w="821" w:type="dxa"/>
            <w:shd w:val="clear" w:color="auto" w:fill="auto"/>
            <w:vAlign w:val="center"/>
          </w:tcPr>
          <w:p w14:paraId="5ED58F53">
            <w:pPr>
              <w:pStyle w:val="83"/>
              <w:spacing w:line="360" w:lineRule="exac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eastAsia="zh-CN"/>
              </w:rPr>
              <w:t>达标</w:t>
            </w:r>
          </w:p>
        </w:tc>
      </w:tr>
      <w:tr w14:paraId="4F0FAC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506" w:type="dxa"/>
            <w:vMerge w:val="continue"/>
            <w:vAlign w:val="center"/>
          </w:tcPr>
          <w:p w14:paraId="494099D3">
            <w:pPr>
              <w:pStyle w:val="83"/>
              <w:spacing w:line="360" w:lineRule="exact"/>
              <w:rPr>
                <w:rFonts w:hint="default" w:ascii="Times New Roman" w:hAnsi="Times New Roman" w:cs="Times New Roman"/>
                <w:color w:val="auto"/>
                <w:szCs w:val="21"/>
                <w:highlight w:val="none"/>
              </w:rPr>
            </w:pPr>
          </w:p>
        </w:tc>
        <w:tc>
          <w:tcPr>
            <w:tcW w:w="1205" w:type="dxa"/>
            <w:vAlign w:val="center"/>
          </w:tcPr>
          <w:p w14:paraId="04F1BAEE">
            <w:pPr>
              <w:pStyle w:val="83"/>
              <w:spacing w:line="360" w:lineRule="exact"/>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气态汞</w:t>
            </w:r>
          </w:p>
        </w:tc>
        <w:tc>
          <w:tcPr>
            <w:tcW w:w="1974" w:type="dxa"/>
            <w:vAlign w:val="center"/>
          </w:tcPr>
          <w:p w14:paraId="3B29D7F8">
            <w:pPr>
              <w:pStyle w:val="83"/>
              <w:spacing w:line="360" w:lineRule="exac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0.000</w:t>
            </w:r>
            <w:r>
              <w:rPr>
                <w:rFonts w:hint="eastAsia" w:cs="Times New Roman"/>
                <w:color w:val="auto"/>
                <w:szCs w:val="21"/>
                <w:highlight w:val="none"/>
                <w:lang w:val="en-US" w:eastAsia="zh-CN"/>
              </w:rPr>
              <w:t>5-</w:t>
            </w:r>
            <w:r>
              <w:rPr>
                <w:rFonts w:hint="default" w:ascii="Times New Roman" w:hAnsi="Times New Roman" w:eastAsia="宋体" w:cs="Times New Roman"/>
                <w:color w:val="auto"/>
                <w:szCs w:val="21"/>
                <w:highlight w:val="none"/>
                <w:lang w:val="en-US" w:eastAsia="zh-CN"/>
              </w:rPr>
              <w:t>0.000</w:t>
            </w:r>
            <w:r>
              <w:rPr>
                <w:rFonts w:hint="eastAsia" w:cs="Times New Roman"/>
                <w:color w:val="auto"/>
                <w:szCs w:val="21"/>
                <w:highlight w:val="none"/>
                <w:lang w:val="en-US" w:eastAsia="zh-CN"/>
              </w:rPr>
              <w:t>9</w:t>
            </w:r>
          </w:p>
        </w:tc>
        <w:tc>
          <w:tcPr>
            <w:tcW w:w="1306" w:type="dxa"/>
            <w:vAlign w:val="center"/>
          </w:tcPr>
          <w:p w14:paraId="4265AD61">
            <w:pPr>
              <w:pStyle w:val="83"/>
              <w:spacing w:line="360" w:lineRule="exact"/>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0.05</w:t>
            </w:r>
          </w:p>
        </w:tc>
        <w:tc>
          <w:tcPr>
            <w:tcW w:w="1442" w:type="dxa"/>
            <w:vAlign w:val="center"/>
          </w:tcPr>
          <w:p w14:paraId="29F83DC9">
            <w:pPr>
              <w:pStyle w:val="83"/>
              <w:spacing w:line="360" w:lineRule="exact"/>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1.8</w:t>
            </w:r>
          </w:p>
        </w:tc>
        <w:tc>
          <w:tcPr>
            <w:tcW w:w="914" w:type="dxa"/>
            <w:vAlign w:val="center"/>
          </w:tcPr>
          <w:p w14:paraId="48EE06EE">
            <w:pPr>
              <w:pStyle w:val="83"/>
              <w:spacing w:line="360" w:lineRule="exact"/>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w:t>
            </w:r>
          </w:p>
        </w:tc>
        <w:tc>
          <w:tcPr>
            <w:tcW w:w="821" w:type="dxa"/>
            <w:vAlign w:val="center"/>
          </w:tcPr>
          <w:p w14:paraId="1455DBEE">
            <w:pPr>
              <w:pStyle w:val="83"/>
              <w:spacing w:line="360" w:lineRule="exact"/>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达标</w:t>
            </w:r>
          </w:p>
        </w:tc>
      </w:tr>
    </w:tbl>
    <w:p w14:paraId="17C7F0B5">
      <w:pPr>
        <w:ind w:firstLine="464"/>
        <w:rPr>
          <w:rFonts w:hint="default" w:ascii="Times New Roman" w:hAnsi="Times New Roman" w:cs="Times New Roman"/>
          <w:color w:val="auto"/>
          <w:highlight w:val="none"/>
        </w:rPr>
      </w:pPr>
      <w:r>
        <w:rPr>
          <w:rFonts w:hint="default" w:ascii="Times New Roman" w:hAnsi="Times New Roman" w:cs="Times New Roman"/>
          <w:color w:val="auto"/>
          <w:spacing w:val="-4"/>
          <w:highlight w:val="none"/>
        </w:rPr>
        <w:t>由上表可知，</w:t>
      </w:r>
      <w:r>
        <w:rPr>
          <w:rFonts w:hint="default" w:ascii="Times New Roman" w:hAnsi="Times New Roman" w:cs="Times New Roman"/>
          <w:color w:val="auto"/>
          <w:highlight w:val="none"/>
        </w:rPr>
        <w:t>本次评价项目区TSP</w:t>
      </w:r>
      <w:r>
        <w:rPr>
          <w:rFonts w:hint="default" w:ascii="Times New Roman" w:hAnsi="Times New Roman" w:cs="Times New Roman"/>
          <w:color w:val="auto"/>
          <w:highlight w:val="none"/>
          <w:lang w:eastAsia="zh-CN"/>
        </w:rPr>
        <w:t>、</w:t>
      </w:r>
      <w:r>
        <w:rPr>
          <w:rFonts w:hint="default" w:ascii="Times New Roman" w:hAnsi="Times New Roman" w:cs="Times New Roman"/>
          <w:color w:val="auto"/>
          <w:szCs w:val="21"/>
          <w:highlight w:val="none"/>
          <w:lang w:eastAsia="zh-CN"/>
        </w:rPr>
        <w:t>氟化物</w:t>
      </w:r>
      <w:r>
        <w:rPr>
          <w:rFonts w:hint="default" w:ascii="Times New Roman" w:hAnsi="Times New Roman" w:cs="Times New Roman"/>
          <w:color w:val="auto"/>
          <w:highlight w:val="none"/>
        </w:rPr>
        <w:t>日均浓度满足</w:t>
      </w:r>
      <w:r>
        <w:rPr>
          <w:rFonts w:hint="eastAsia" w:cs="Times New Roman"/>
          <w:color w:val="auto"/>
          <w:highlight w:val="none"/>
          <w:lang w:eastAsia="zh-CN"/>
        </w:rPr>
        <w:t>《环境空气质量标准》（GB3095-2026）</w:t>
      </w:r>
      <w:r>
        <w:rPr>
          <w:rFonts w:hint="default" w:ascii="Times New Roman" w:hAnsi="Times New Roman" w:cs="Times New Roman"/>
          <w:color w:val="auto"/>
          <w:spacing w:val="-4"/>
          <w:highlight w:val="none"/>
        </w:rPr>
        <w:t>二级标准要求</w:t>
      </w:r>
      <w:r>
        <w:rPr>
          <w:rFonts w:hint="default" w:ascii="Times New Roman" w:hAnsi="Times New Roman" w:cs="Times New Roman"/>
          <w:color w:val="auto"/>
          <w:highlight w:val="none"/>
        </w:rPr>
        <w:t>。</w:t>
      </w:r>
    </w:p>
    <w:p w14:paraId="0FED1552">
      <w:pPr>
        <w:pStyle w:val="4"/>
        <w:rPr>
          <w:rFonts w:hint="default" w:ascii="Times New Roman" w:hAnsi="Times New Roman" w:cs="Times New Roman"/>
          <w:color w:val="auto"/>
          <w:highlight w:val="none"/>
        </w:rPr>
      </w:pPr>
      <w:bookmarkStart w:id="623" w:name="_Toc7374"/>
      <w:bookmarkStart w:id="624" w:name="_Toc10684"/>
      <w:bookmarkStart w:id="625" w:name="_Toc11554"/>
      <w:r>
        <w:rPr>
          <w:rFonts w:hint="default" w:ascii="Times New Roman" w:hAnsi="Times New Roman" w:cs="Times New Roman"/>
          <w:color w:val="auto"/>
          <w:highlight w:val="none"/>
        </w:rPr>
        <w:t>4.2.2地表水环境现状调查与评价</w:t>
      </w:r>
      <w:bookmarkEnd w:id="623"/>
      <w:bookmarkEnd w:id="624"/>
      <w:bookmarkEnd w:id="625"/>
    </w:p>
    <w:p w14:paraId="0CAA4D04">
      <w:pPr>
        <w:keepNext w:val="0"/>
        <w:keepLines w:val="0"/>
        <w:pageBreakBefore w:val="0"/>
        <w:widowControl/>
        <w:kinsoku/>
        <w:wordWrap/>
        <w:overflowPunct/>
        <w:topLinePunct w:val="0"/>
        <w:autoSpaceDE/>
        <w:autoSpaceDN/>
        <w:bidi w:val="0"/>
        <w:adjustRightInd/>
        <w:snapToGrid/>
        <w:spacing w:after="0" w:line="480" w:lineRule="exact"/>
        <w:ind w:left="0" w:leftChars="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bCs/>
          <w:snapToGrid w:val="0"/>
          <w:color w:val="auto"/>
          <w:kern w:val="2"/>
          <w:sz w:val="24"/>
          <w:szCs w:val="24"/>
          <w:highlight w:val="none"/>
          <w:lang w:val="en-US" w:eastAsia="zh-CN" w:bidi="ar-SA"/>
        </w:rPr>
        <w:t>本项目周边1km范围内无地表水体，另外本项目产生废水不外排，与地表水体无水力联系，因此本次不对地表水体进行</w:t>
      </w:r>
      <w:r>
        <w:rPr>
          <w:rFonts w:hint="eastAsia" w:cs="Times New Roman"/>
          <w:bCs/>
          <w:snapToGrid w:val="0"/>
          <w:color w:val="auto"/>
          <w:kern w:val="2"/>
          <w:sz w:val="24"/>
          <w:szCs w:val="24"/>
          <w:highlight w:val="none"/>
          <w:lang w:val="en-US" w:eastAsia="zh-CN" w:bidi="ar-SA"/>
        </w:rPr>
        <w:t>现状调查</w:t>
      </w:r>
      <w:r>
        <w:rPr>
          <w:rFonts w:hint="default" w:ascii="Times New Roman" w:hAnsi="Times New Roman" w:eastAsia="宋体" w:cs="Times New Roman"/>
          <w:bCs/>
          <w:snapToGrid w:val="0"/>
          <w:color w:val="auto"/>
          <w:kern w:val="2"/>
          <w:sz w:val="24"/>
          <w:szCs w:val="24"/>
          <w:highlight w:val="none"/>
          <w:lang w:val="en-US" w:eastAsia="zh-CN" w:bidi="ar-SA"/>
        </w:rPr>
        <w:t>。</w:t>
      </w:r>
    </w:p>
    <w:p w14:paraId="5EADB1DE">
      <w:pPr>
        <w:pStyle w:val="4"/>
        <w:rPr>
          <w:rFonts w:hint="default" w:ascii="Times New Roman" w:hAnsi="Times New Roman" w:cs="Times New Roman"/>
          <w:color w:val="auto"/>
          <w:highlight w:val="none"/>
        </w:rPr>
      </w:pPr>
      <w:bookmarkStart w:id="626" w:name="_Toc9217"/>
      <w:bookmarkStart w:id="627" w:name="_Toc24273"/>
      <w:bookmarkStart w:id="628" w:name="_Toc21084"/>
      <w:bookmarkStart w:id="629" w:name="_Toc12019"/>
      <w:bookmarkStart w:id="630" w:name="_Toc18222"/>
      <w:r>
        <w:rPr>
          <w:rFonts w:hint="default" w:ascii="Times New Roman" w:hAnsi="Times New Roman" w:cs="Times New Roman"/>
          <w:color w:val="auto"/>
          <w:highlight w:val="none"/>
        </w:rPr>
        <w:t>4.2.3地下水环境质量现状调查与评价</w:t>
      </w:r>
      <w:bookmarkEnd w:id="626"/>
      <w:bookmarkEnd w:id="627"/>
      <w:bookmarkEnd w:id="628"/>
      <w:bookmarkEnd w:id="629"/>
      <w:bookmarkEnd w:id="630"/>
    </w:p>
    <w:p w14:paraId="4D359062">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4.2.3.1监测时间与监测单位</w:t>
      </w:r>
    </w:p>
    <w:p w14:paraId="21DD8C3F">
      <w:pPr>
        <w:overflowPunct w:val="0"/>
        <w:topLinePunct/>
        <w:ind w:firstLine="476"/>
        <w:rPr>
          <w:rFonts w:hint="default" w:ascii="Times New Roman" w:hAnsi="Times New Roman" w:cs="Times New Roman"/>
          <w:color w:val="auto"/>
          <w:spacing w:val="-1"/>
          <w:position w:val="2"/>
          <w:highlight w:val="none"/>
        </w:rPr>
      </w:pPr>
      <w:r>
        <w:rPr>
          <w:rFonts w:hint="default" w:ascii="Times New Roman" w:hAnsi="Times New Roman" w:cs="Times New Roman"/>
          <w:color w:val="auto"/>
          <w:spacing w:val="-1"/>
          <w:position w:val="2"/>
          <w:highlight w:val="none"/>
        </w:rPr>
        <w:t>监测时间：202</w:t>
      </w:r>
      <w:r>
        <w:rPr>
          <w:rFonts w:hint="eastAsia" w:cs="Times New Roman"/>
          <w:color w:val="auto"/>
          <w:spacing w:val="-1"/>
          <w:position w:val="2"/>
          <w:highlight w:val="none"/>
          <w:lang w:val="en-US" w:eastAsia="zh-CN"/>
        </w:rPr>
        <w:t>5</w:t>
      </w:r>
      <w:r>
        <w:rPr>
          <w:rFonts w:hint="default" w:ascii="Times New Roman" w:hAnsi="Times New Roman" w:cs="Times New Roman"/>
          <w:color w:val="auto"/>
          <w:spacing w:val="-1"/>
          <w:position w:val="2"/>
          <w:highlight w:val="none"/>
        </w:rPr>
        <w:t>年</w:t>
      </w:r>
      <w:r>
        <w:rPr>
          <w:rFonts w:hint="eastAsia" w:cs="Times New Roman"/>
          <w:color w:val="auto"/>
          <w:spacing w:val="-1"/>
          <w:position w:val="2"/>
          <w:highlight w:val="none"/>
          <w:lang w:val="en-US" w:eastAsia="zh-CN"/>
        </w:rPr>
        <w:t>12</w:t>
      </w:r>
      <w:r>
        <w:rPr>
          <w:rFonts w:hint="default" w:ascii="Times New Roman" w:hAnsi="Times New Roman" w:cs="Times New Roman"/>
          <w:color w:val="auto"/>
          <w:spacing w:val="-1"/>
          <w:position w:val="2"/>
          <w:highlight w:val="none"/>
        </w:rPr>
        <w:t>月</w:t>
      </w:r>
      <w:r>
        <w:rPr>
          <w:rFonts w:hint="eastAsia" w:cs="Times New Roman"/>
          <w:color w:val="auto"/>
          <w:spacing w:val="-1"/>
          <w:position w:val="2"/>
          <w:highlight w:val="none"/>
          <w:lang w:val="en-US" w:eastAsia="zh-CN"/>
        </w:rPr>
        <w:t>30</w:t>
      </w:r>
      <w:r>
        <w:rPr>
          <w:rFonts w:hint="default" w:ascii="Times New Roman" w:hAnsi="Times New Roman" w:cs="Times New Roman"/>
          <w:color w:val="auto"/>
          <w:spacing w:val="-1"/>
          <w:position w:val="2"/>
          <w:highlight w:val="none"/>
        </w:rPr>
        <w:t>日。</w:t>
      </w:r>
    </w:p>
    <w:p w14:paraId="09F54A4A">
      <w:pPr>
        <w:overflowPunct w:val="0"/>
        <w:topLinePunct/>
        <w:ind w:firstLine="480"/>
        <w:rPr>
          <w:rFonts w:hint="default" w:ascii="Times New Roman" w:hAnsi="Times New Roman" w:cs="Times New Roman"/>
          <w:color w:val="auto"/>
          <w:spacing w:val="-1"/>
          <w:position w:val="2"/>
          <w:highlight w:val="none"/>
        </w:rPr>
      </w:pPr>
      <w:r>
        <w:rPr>
          <w:rFonts w:hint="default" w:ascii="Times New Roman" w:hAnsi="Times New Roman" w:cs="Times New Roman"/>
          <w:color w:val="auto"/>
          <w:highlight w:val="none"/>
        </w:rPr>
        <w:t>监测单位：</w:t>
      </w:r>
      <w:r>
        <w:rPr>
          <w:rFonts w:hint="eastAsia" w:cs="Times New Roman"/>
          <w:color w:val="auto"/>
          <w:highlight w:val="none"/>
          <w:lang w:eastAsia="zh-CN"/>
        </w:rPr>
        <w:t>新疆齐新环境服务有限公司</w:t>
      </w:r>
      <w:r>
        <w:rPr>
          <w:rFonts w:hint="default" w:ascii="Times New Roman" w:hAnsi="Times New Roman" w:cs="Times New Roman"/>
          <w:color w:val="auto"/>
          <w:highlight w:val="none"/>
        </w:rPr>
        <w:t>。</w:t>
      </w:r>
    </w:p>
    <w:p w14:paraId="7DACC3FF">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4.2.3.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监测点布设</w:t>
      </w:r>
    </w:p>
    <w:p w14:paraId="5F7852F5">
      <w:pPr>
        <w:overflowPunct w:val="0"/>
        <w:topLinePunct/>
        <w:ind w:firstLine="476"/>
        <w:rPr>
          <w:rFonts w:hint="default" w:ascii="Times New Roman" w:hAnsi="Times New Roman" w:cs="Times New Roman"/>
          <w:color w:val="auto"/>
          <w:highlight w:val="none"/>
        </w:rPr>
      </w:pPr>
      <w:r>
        <w:rPr>
          <w:rFonts w:hint="default" w:ascii="Times New Roman" w:hAnsi="Times New Roman" w:cs="Times New Roman"/>
          <w:color w:val="auto"/>
          <w:spacing w:val="-1"/>
          <w:position w:val="2"/>
          <w:highlight w:val="none"/>
        </w:rPr>
        <w:t>项目区地下水环境质量现状评价执行《地下水质量标准》（GB/T14848-2017）中的</w:t>
      </w:r>
      <w:r>
        <w:rPr>
          <w:rFonts w:hint="eastAsia" w:cs="Times New Roman"/>
          <w:color w:val="auto"/>
          <w:spacing w:val="-1"/>
          <w:position w:val="2"/>
          <w:highlight w:val="none"/>
          <w:lang w:eastAsia="zh-CN"/>
        </w:rPr>
        <w:t>Ⅲ类</w:t>
      </w:r>
      <w:r>
        <w:rPr>
          <w:rFonts w:hint="default" w:ascii="Times New Roman" w:hAnsi="Times New Roman" w:cs="Times New Roman"/>
          <w:color w:val="auto"/>
          <w:spacing w:val="-1"/>
          <w:position w:val="2"/>
          <w:highlight w:val="none"/>
        </w:rPr>
        <w:t>标准。</w:t>
      </w:r>
    </w:p>
    <w:p w14:paraId="03E9404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本项目选矿厂</w:t>
      </w:r>
      <w:r>
        <w:rPr>
          <w:rFonts w:hint="default" w:ascii="Times New Roman" w:hAnsi="Times New Roman" w:cs="Times New Roman"/>
          <w:color w:val="auto"/>
          <w:highlight w:val="none"/>
          <w:lang w:eastAsia="zh-CN"/>
        </w:rPr>
        <w:t>和尾矿库</w:t>
      </w:r>
      <w:r>
        <w:rPr>
          <w:rFonts w:hint="default" w:ascii="Times New Roman" w:hAnsi="Times New Roman" w:cs="Times New Roman"/>
          <w:color w:val="auto"/>
          <w:highlight w:val="none"/>
        </w:rPr>
        <w:t>地下水评价等级为三级。根据《环境影响评价技术导则 地下水环境》（HJ610-2016），本项目潜水含水层的水质监测点应不少于</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个。建设单位在</w:t>
      </w:r>
      <w:r>
        <w:rPr>
          <w:rFonts w:hint="default" w:ascii="Times New Roman" w:hAnsi="Times New Roman" w:cs="Times New Roman"/>
          <w:color w:val="auto"/>
          <w:highlight w:val="none"/>
          <w:lang w:eastAsia="zh-CN"/>
        </w:rPr>
        <w:t>尾矿库下游和周边</w:t>
      </w:r>
      <w:r>
        <w:rPr>
          <w:rFonts w:hint="default" w:ascii="Times New Roman" w:hAnsi="Times New Roman" w:cs="Times New Roman"/>
          <w:color w:val="auto"/>
          <w:highlight w:val="none"/>
        </w:rPr>
        <w:t>共</w:t>
      </w:r>
      <w:r>
        <w:rPr>
          <w:rFonts w:hint="default" w:ascii="Times New Roman" w:hAnsi="Times New Roman" w:cs="Times New Roman"/>
          <w:color w:val="auto"/>
          <w:highlight w:val="none"/>
          <w:lang w:eastAsia="zh-CN"/>
        </w:rPr>
        <w:t>布置了</w:t>
      </w:r>
      <w:r>
        <w:rPr>
          <w:rFonts w:hint="eastAsia" w:cs="Times New Roman"/>
          <w:color w:val="auto"/>
          <w:highlight w:val="none"/>
          <w:lang w:val="en-US" w:eastAsia="zh-CN"/>
        </w:rPr>
        <w:t>3</w:t>
      </w:r>
      <w:r>
        <w:rPr>
          <w:rFonts w:hint="default" w:ascii="Times New Roman" w:hAnsi="Times New Roman" w:cs="Times New Roman"/>
          <w:color w:val="auto"/>
          <w:highlight w:val="none"/>
        </w:rPr>
        <w:t>处地下水监测井，地下水监测点具体位置见表4.2-</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、图4.2-1。</w:t>
      </w:r>
    </w:p>
    <w:p w14:paraId="62E6B316">
      <w:pPr>
        <w:adjustRightInd w:val="0"/>
        <w:snapToGrid w:val="0"/>
        <w:ind w:firstLine="0" w:firstLineChars="0"/>
        <w:jc w:val="center"/>
        <w:rPr>
          <w:rFonts w:hint="default" w:ascii="Times New Roman" w:hAnsi="Times New Roman" w:cs="Times New Roman"/>
          <w:b/>
          <w:color w:val="auto"/>
          <w:kern w:val="0"/>
          <w:szCs w:val="22"/>
          <w:highlight w:val="none"/>
          <w:lang w:val="zh-CN"/>
        </w:rPr>
      </w:pPr>
      <w:r>
        <w:rPr>
          <w:rFonts w:hint="default" w:ascii="Times New Roman" w:hAnsi="Times New Roman" w:cs="Times New Roman"/>
          <w:b/>
          <w:color w:val="auto"/>
          <w:kern w:val="0"/>
          <w:szCs w:val="22"/>
          <w:highlight w:val="none"/>
          <w:lang w:val="zh-CN"/>
        </w:rPr>
        <w:t>表4.2-</w:t>
      </w:r>
      <w:r>
        <w:rPr>
          <w:rFonts w:hint="default" w:ascii="Times New Roman" w:hAnsi="Times New Roman" w:cs="Times New Roman"/>
          <w:b/>
          <w:color w:val="auto"/>
          <w:kern w:val="0"/>
          <w:szCs w:val="22"/>
          <w:highlight w:val="none"/>
          <w:lang w:val="en-US" w:eastAsia="zh-CN"/>
        </w:rPr>
        <w:t>5</w:t>
      </w:r>
      <w:r>
        <w:rPr>
          <w:rFonts w:hint="default" w:ascii="Times New Roman" w:hAnsi="Times New Roman" w:cs="Times New Roman"/>
          <w:b/>
          <w:color w:val="auto"/>
          <w:kern w:val="0"/>
          <w:szCs w:val="22"/>
          <w:highlight w:val="none"/>
          <w:lang w:val="zh-CN"/>
        </w:rPr>
        <w:t xml:space="preserve">    地下水监测点位情况表</w:t>
      </w:r>
    </w:p>
    <w:tbl>
      <w:tblPr>
        <w:tblStyle w:val="3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11"/>
        <w:gridCol w:w="1312"/>
        <w:gridCol w:w="1406"/>
        <w:gridCol w:w="1143"/>
        <w:gridCol w:w="1481"/>
        <w:gridCol w:w="1107"/>
        <w:gridCol w:w="1708"/>
      </w:tblGrid>
      <w:tr w14:paraId="0AF5E6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51" w:type="pct"/>
            <w:tcBorders>
              <w:tl2br w:val="nil"/>
              <w:tr2bl w:val="nil"/>
            </w:tcBorders>
            <w:vAlign w:val="center"/>
          </w:tcPr>
          <w:p w14:paraId="67775696">
            <w:pPr>
              <w:tabs>
                <w:tab w:val="left" w:pos="1080"/>
                <w:tab w:val="left" w:pos="6090"/>
              </w:tabs>
              <w:overflowPunct w:val="0"/>
              <w:topLinePunct/>
              <w:snapToGrid w:val="0"/>
              <w:spacing w:line="360" w:lineRule="exact"/>
              <w:ind w:left="0" w:leftChars="0" w:right="-120" w:rightChars="-50" w:firstLine="0" w:firstLineChars="0"/>
              <w:jc w:val="center"/>
              <w:rPr>
                <w:rFonts w:hint="default" w:ascii="Times New Roman" w:hAnsi="Times New Roman" w:eastAsia="宋体" w:cs="Times New Roman"/>
                <w:b/>
                <w:color w:val="auto"/>
                <w:sz w:val="21"/>
                <w:highlight w:val="none"/>
                <w:lang w:eastAsia="zh-CN"/>
              </w:rPr>
            </w:pPr>
            <w:r>
              <w:rPr>
                <w:rFonts w:hint="default" w:ascii="Times New Roman" w:hAnsi="Times New Roman" w:cs="Times New Roman"/>
                <w:b/>
                <w:color w:val="auto"/>
                <w:sz w:val="21"/>
                <w:highlight w:val="none"/>
              </w:rPr>
              <w:t>点位</w:t>
            </w:r>
            <w:r>
              <w:rPr>
                <w:rFonts w:hint="default" w:ascii="Times New Roman" w:hAnsi="Times New Roman" w:cs="Times New Roman"/>
                <w:b/>
                <w:color w:val="auto"/>
                <w:sz w:val="21"/>
                <w:highlight w:val="none"/>
                <w:lang w:eastAsia="zh-CN"/>
              </w:rPr>
              <w:t>序号</w:t>
            </w:r>
          </w:p>
        </w:tc>
        <w:tc>
          <w:tcPr>
            <w:tcW w:w="715" w:type="pct"/>
            <w:tcBorders>
              <w:tl2br w:val="nil"/>
              <w:tr2bl w:val="nil"/>
            </w:tcBorders>
            <w:vAlign w:val="center"/>
          </w:tcPr>
          <w:p w14:paraId="1A5C365A">
            <w:pPr>
              <w:tabs>
                <w:tab w:val="left" w:pos="1080"/>
                <w:tab w:val="left" w:pos="6090"/>
              </w:tabs>
              <w:overflowPunct w:val="0"/>
              <w:topLinePunct/>
              <w:snapToGrid w:val="0"/>
              <w:spacing w:line="360" w:lineRule="exact"/>
              <w:ind w:left="-120" w:leftChars="-50" w:right="-120" w:rightChars="-50" w:firstLine="0" w:firstLineChars="0"/>
              <w:jc w:val="center"/>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经度</w:t>
            </w:r>
          </w:p>
        </w:tc>
        <w:tc>
          <w:tcPr>
            <w:tcW w:w="766" w:type="pct"/>
            <w:tcBorders>
              <w:tl2br w:val="nil"/>
              <w:tr2bl w:val="nil"/>
            </w:tcBorders>
            <w:vAlign w:val="center"/>
          </w:tcPr>
          <w:p w14:paraId="5B7C5333">
            <w:pPr>
              <w:tabs>
                <w:tab w:val="left" w:pos="1080"/>
                <w:tab w:val="left" w:pos="6090"/>
              </w:tabs>
              <w:overflowPunct w:val="0"/>
              <w:topLinePunct/>
              <w:snapToGrid w:val="0"/>
              <w:spacing w:line="360" w:lineRule="exact"/>
              <w:ind w:left="-120" w:leftChars="-50" w:right="-120" w:rightChars="-50" w:firstLine="0" w:firstLineChars="0"/>
              <w:jc w:val="center"/>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纬度</w:t>
            </w:r>
          </w:p>
        </w:tc>
        <w:tc>
          <w:tcPr>
            <w:tcW w:w="623" w:type="pct"/>
            <w:tcBorders>
              <w:tl2br w:val="nil"/>
              <w:tr2bl w:val="nil"/>
            </w:tcBorders>
            <w:vAlign w:val="center"/>
          </w:tcPr>
          <w:p w14:paraId="15D15448">
            <w:pPr>
              <w:tabs>
                <w:tab w:val="left" w:pos="1080"/>
                <w:tab w:val="left" w:pos="6090"/>
              </w:tabs>
              <w:overflowPunct w:val="0"/>
              <w:topLinePunct/>
              <w:snapToGrid w:val="0"/>
              <w:spacing w:line="360" w:lineRule="exact"/>
              <w:ind w:left="-120" w:leftChars="-50" w:right="-120" w:rightChars="-50" w:firstLine="0" w:firstLineChars="0"/>
              <w:jc w:val="center"/>
              <w:rPr>
                <w:rFonts w:hint="default" w:ascii="Times New Roman" w:hAnsi="Times New Roman" w:cs="Times New Roman"/>
                <w:b/>
                <w:color w:val="auto"/>
                <w:sz w:val="21"/>
                <w:highlight w:val="none"/>
              </w:rPr>
            </w:pPr>
            <w:r>
              <w:rPr>
                <w:rFonts w:hint="eastAsia" w:ascii="Times New Roman" w:hAnsi="Times New Roman" w:cs="Times New Roman"/>
                <w:b/>
                <w:color w:val="auto"/>
                <w:sz w:val="21"/>
                <w:highlight w:val="none"/>
                <w:lang w:val="en-US" w:eastAsia="zh-CN"/>
              </w:rPr>
              <w:t>井</w:t>
            </w:r>
            <w:r>
              <w:rPr>
                <w:rFonts w:hint="default" w:ascii="Times New Roman" w:hAnsi="Times New Roman" w:cs="Times New Roman"/>
                <w:b/>
                <w:color w:val="auto"/>
                <w:sz w:val="21"/>
                <w:highlight w:val="none"/>
              </w:rPr>
              <w:t>深（m）</w:t>
            </w:r>
          </w:p>
        </w:tc>
        <w:tc>
          <w:tcPr>
            <w:tcW w:w="807" w:type="pct"/>
            <w:tcBorders>
              <w:tl2br w:val="nil"/>
              <w:tr2bl w:val="nil"/>
            </w:tcBorders>
            <w:vAlign w:val="center"/>
          </w:tcPr>
          <w:p w14:paraId="124EDEB4">
            <w:pPr>
              <w:tabs>
                <w:tab w:val="left" w:pos="1080"/>
                <w:tab w:val="left" w:pos="6090"/>
              </w:tabs>
              <w:overflowPunct w:val="0"/>
              <w:topLinePunct/>
              <w:snapToGrid w:val="0"/>
              <w:spacing w:line="360" w:lineRule="exact"/>
              <w:ind w:left="-120" w:leftChars="-50" w:right="-120" w:rightChars="-50" w:firstLine="0" w:firstLineChars="0"/>
              <w:jc w:val="center"/>
              <w:rPr>
                <w:rFonts w:hint="default" w:ascii="Times New Roman" w:hAnsi="Times New Roman" w:eastAsia="宋体" w:cs="Times New Roman"/>
                <w:b/>
                <w:color w:val="auto"/>
                <w:sz w:val="21"/>
                <w:highlight w:val="none"/>
                <w:lang w:eastAsia="zh-CN"/>
              </w:rPr>
            </w:pPr>
            <w:r>
              <w:rPr>
                <w:rFonts w:hint="default" w:ascii="Times New Roman" w:hAnsi="Times New Roman" w:cs="Times New Roman"/>
                <w:b/>
                <w:color w:val="auto"/>
                <w:sz w:val="21"/>
                <w:highlight w:val="none"/>
                <w:lang w:eastAsia="zh-CN"/>
              </w:rPr>
              <w:t>水位埋深（</w:t>
            </w:r>
            <w:r>
              <w:rPr>
                <w:rFonts w:hint="default" w:ascii="Times New Roman" w:hAnsi="Times New Roman" w:cs="Times New Roman"/>
                <w:b/>
                <w:color w:val="auto"/>
                <w:sz w:val="21"/>
                <w:highlight w:val="none"/>
                <w:lang w:val="en-US" w:eastAsia="zh-CN"/>
              </w:rPr>
              <w:t>m</w:t>
            </w:r>
            <w:r>
              <w:rPr>
                <w:rFonts w:hint="default" w:ascii="Times New Roman" w:hAnsi="Times New Roman" w:cs="Times New Roman"/>
                <w:b/>
                <w:color w:val="auto"/>
                <w:sz w:val="21"/>
                <w:highlight w:val="none"/>
                <w:lang w:eastAsia="zh-CN"/>
              </w:rPr>
              <w:t>）</w:t>
            </w:r>
          </w:p>
        </w:tc>
        <w:tc>
          <w:tcPr>
            <w:tcW w:w="603" w:type="pct"/>
            <w:tcBorders>
              <w:tl2br w:val="nil"/>
              <w:tr2bl w:val="nil"/>
            </w:tcBorders>
            <w:vAlign w:val="center"/>
          </w:tcPr>
          <w:p w14:paraId="45CB729A">
            <w:pPr>
              <w:tabs>
                <w:tab w:val="left" w:pos="1080"/>
                <w:tab w:val="left" w:pos="6090"/>
              </w:tabs>
              <w:overflowPunct w:val="0"/>
              <w:topLinePunct/>
              <w:snapToGrid w:val="0"/>
              <w:spacing w:line="360" w:lineRule="exact"/>
              <w:ind w:left="-120" w:leftChars="-50" w:right="-120" w:rightChars="-50" w:firstLine="0" w:firstLineChars="0"/>
              <w:jc w:val="center"/>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井结构</w:t>
            </w:r>
          </w:p>
        </w:tc>
        <w:tc>
          <w:tcPr>
            <w:tcW w:w="931" w:type="pct"/>
            <w:tcBorders>
              <w:tl2br w:val="nil"/>
              <w:tr2bl w:val="nil"/>
            </w:tcBorders>
            <w:vAlign w:val="center"/>
          </w:tcPr>
          <w:p w14:paraId="7797E614">
            <w:pPr>
              <w:tabs>
                <w:tab w:val="left" w:pos="1080"/>
                <w:tab w:val="left" w:pos="6090"/>
              </w:tabs>
              <w:overflowPunct w:val="0"/>
              <w:topLinePunct/>
              <w:snapToGrid w:val="0"/>
              <w:spacing w:line="360" w:lineRule="exact"/>
              <w:ind w:left="-120" w:leftChars="-50" w:right="-120" w:rightChars="-50" w:firstLine="0" w:firstLineChars="0"/>
              <w:jc w:val="center"/>
              <w:rPr>
                <w:rFonts w:hint="default" w:ascii="Times New Roman" w:hAnsi="Times New Roman" w:eastAsia="宋体" w:cs="Times New Roman"/>
                <w:b/>
                <w:color w:val="auto"/>
                <w:sz w:val="21"/>
                <w:highlight w:val="none"/>
                <w:lang w:val="en-US" w:eastAsia="zh-CN"/>
              </w:rPr>
            </w:pPr>
            <w:r>
              <w:rPr>
                <w:rFonts w:hint="eastAsia" w:cs="Times New Roman"/>
                <w:b/>
                <w:color w:val="auto"/>
                <w:sz w:val="21"/>
                <w:highlight w:val="none"/>
                <w:lang w:val="en-US" w:eastAsia="zh-CN"/>
              </w:rPr>
              <w:t>井位关系</w:t>
            </w:r>
          </w:p>
        </w:tc>
      </w:tr>
      <w:tr w14:paraId="1DAC15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1" w:type="pct"/>
            <w:tcBorders>
              <w:tl2br w:val="nil"/>
              <w:tr2bl w:val="nil"/>
            </w:tcBorders>
            <w:vAlign w:val="center"/>
          </w:tcPr>
          <w:p w14:paraId="1C2E41EE">
            <w:pPr>
              <w:overflowPunct w:val="0"/>
              <w:topLinePunct/>
              <w:snapToGrid w:val="0"/>
              <w:spacing w:line="360" w:lineRule="exact"/>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715" w:type="pct"/>
            <w:tcBorders>
              <w:tl2br w:val="nil"/>
              <w:tr2bl w:val="nil"/>
            </w:tcBorders>
            <w:vAlign w:val="center"/>
          </w:tcPr>
          <w:p w14:paraId="7852CF70">
            <w:pPr>
              <w:overflowPunct w:val="0"/>
              <w:topLinePunct/>
              <w:snapToGrid w:val="0"/>
              <w:spacing w:line="360" w:lineRule="exact"/>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93°55′45.39″</w:t>
            </w:r>
          </w:p>
        </w:tc>
        <w:tc>
          <w:tcPr>
            <w:tcW w:w="766" w:type="pct"/>
            <w:tcBorders>
              <w:tl2br w:val="nil"/>
              <w:tr2bl w:val="nil"/>
            </w:tcBorders>
            <w:vAlign w:val="center"/>
          </w:tcPr>
          <w:p w14:paraId="02090289">
            <w:pPr>
              <w:overflowPunct w:val="0"/>
              <w:topLinePunct/>
              <w:snapToGrid w:val="0"/>
              <w:spacing w:line="360" w:lineRule="exact"/>
              <w:ind w:left="-120" w:leftChars="-50" w:right="-120" w:rightChars="-5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41°12′54.34″</w:t>
            </w:r>
          </w:p>
        </w:tc>
        <w:tc>
          <w:tcPr>
            <w:tcW w:w="623" w:type="pct"/>
            <w:tcBorders>
              <w:tl2br w:val="nil"/>
              <w:tr2bl w:val="nil"/>
            </w:tcBorders>
            <w:vAlign w:val="center"/>
          </w:tcPr>
          <w:p w14:paraId="26F4FE16">
            <w:pPr>
              <w:overflowPunct w:val="0"/>
              <w:topLinePunct/>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150</w:t>
            </w:r>
          </w:p>
        </w:tc>
        <w:tc>
          <w:tcPr>
            <w:tcW w:w="807" w:type="pct"/>
            <w:tcBorders>
              <w:tl2br w:val="nil"/>
              <w:tr2bl w:val="nil"/>
            </w:tcBorders>
            <w:vAlign w:val="center"/>
          </w:tcPr>
          <w:p w14:paraId="442BECF2">
            <w:pPr>
              <w:overflowPunct w:val="0"/>
              <w:topLinePunct/>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603" w:type="pct"/>
            <w:tcBorders>
              <w:tl2br w:val="nil"/>
              <w:tr2bl w:val="nil"/>
            </w:tcBorders>
            <w:vAlign w:val="center"/>
          </w:tcPr>
          <w:p w14:paraId="178C6A2C">
            <w:pPr>
              <w:overflowPunct w:val="0"/>
              <w:topLinePunct/>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直井</w:t>
            </w:r>
          </w:p>
        </w:tc>
        <w:tc>
          <w:tcPr>
            <w:tcW w:w="931" w:type="pct"/>
            <w:tcBorders>
              <w:tl2br w:val="nil"/>
              <w:tr2bl w:val="nil"/>
            </w:tcBorders>
            <w:vAlign w:val="center"/>
          </w:tcPr>
          <w:p w14:paraId="5E96D1CD">
            <w:pPr>
              <w:overflowPunct w:val="0"/>
              <w:topLinePunct/>
              <w:snapToGrid w:val="0"/>
              <w:spacing w:line="360" w:lineRule="exact"/>
              <w:ind w:left="-120" w:leftChars="-50" w:right="-120" w:rightChars="-50" w:firstLine="0" w:firstLineChars="0"/>
              <w:jc w:val="center"/>
              <w:rPr>
                <w:rFonts w:hint="default" w:ascii="Times New Roman" w:hAnsi="Times New Roman" w:cs="Times New Roman"/>
                <w:color w:val="auto"/>
                <w:sz w:val="21"/>
                <w:szCs w:val="21"/>
                <w:highlight w:val="none"/>
                <w:lang w:eastAsia="zh-CN"/>
              </w:rPr>
            </w:pPr>
            <w:r>
              <w:rPr>
                <w:rFonts w:hint="eastAsia" w:cs="Times New Roman"/>
                <w:color w:val="auto"/>
                <w:sz w:val="21"/>
                <w:szCs w:val="21"/>
                <w:highlight w:val="none"/>
                <w:lang w:val="en-US" w:eastAsia="zh-CN"/>
              </w:rPr>
              <w:t>位于项目区</w:t>
            </w:r>
            <w:r>
              <w:rPr>
                <w:rFonts w:hint="default" w:ascii="Times New Roman" w:hAnsi="Times New Roman" w:cs="Times New Roman"/>
                <w:color w:val="auto"/>
                <w:sz w:val="21"/>
                <w:szCs w:val="21"/>
                <w:highlight w:val="none"/>
                <w:lang w:eastAsia="zh-CN"/>
              </w:rPr>
              <w:t>下游</w:t>
            </w:r>
          </w:p>
        </w:tc>
      </w:tr>
      <w:tr w14:paraId="382AE8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1" w:type="pct"/>
            <w:tcBorders>
              <w:tl2br w:val="nil"/>
              <w:tr2bl w:val="nil"/>
            </w:tcBorders>
            <w:vAlign w:val="center"/>
          </w:tcPr>
          <w:p w14:paraId="0F211F48">
            <w:pPr>
              <w:overflowPunct w:val="0"/>
              <w:topLinePunct/>
              <w:snapToGrid w:val="0"/>
              <w:spacing w:line="360" w:lineRule="exact"/>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715" w:type="pct"/>
            <w:tcBorders>
              <w:tl2br w:val="nil"/>
              <w:tr2bl w:val="nil"/>
            </w:tcBorders>
            <w:vAlign w:val="center"/>
          </w:tcPr>
          <w:p w14:paraId="4C7AC32F">
            <w:pPr>
              <w:overflowPunct w:val="0"/>
              <w:topLinePunct/>
              <w:snapToGrid w:val="0"/>
              <w:spacing w:line="360" w:lineRule="exact"/>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93°55′29.42″</w:t>
            </w:r>
          </w:p>
        </w:tc>
        <w:tc>
          <w:tcPr>
            <w:tcW w:w="766" w:type="pct"/>
            <w:tcBorders>
              <w:tl2br w:val="nil"/>
              <w:tr2bl w:val="nil"/>
            </w:tcBorders>
            <w:vAlign w:val="center"/>
          </w:tcPr>
          <w:p w14:paraId="5F45E7E5">
            <w:pPr>
              <w:overflowPunct w:val="0"/>
              <w:topLinePunct/>
              <w:snapToGrid w:val="0"/>
              <w:spacing w:line="360" w:lineRule="exact"/>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41°12′45.23″</w:t>
            </w:r>
          </w:p>
        </w:tc>
        <w:tc>
          <w:tcPr>
            <w:tcW w:w="623" w:type="pct"/>
            <w:tcBorders>
              <w:tl2br w:val="nil"/>
              <w:tr2bl w:val="nil"/>
            </w:tcBorders>
            <w:vAlign w:val="center"/>
          </w:tcPr>
          <w:p w14:paraId="0269261C">
            <w:pPr>
              <w:overflowPunct w:val="0"/>
              <w:topLinePunct/>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130</w:t>
            </w:r>
          </w:p>
        </w:tc>
        <w:tc>
          <w:tcPr>
            <w:tcW w:w="807" w:type="pct"/>
            <w:tcBorders>
              <w:tl2br w:val="nil"/>
              <w:tr2bl w:val="nil"/>
            </w:tcBorders>
            <w:vAlign w:val="center"/>
          </w:tcPr>
          <w:p w14:paraId="336366D7">
            <w:pPr>
              <w:keepNext w:val="0"/>
              <w:keepLines w:val="0"/>
              <w:pageBreakBefore w:val="0"/>
              <w:widowControl w:val="0"/>
              <w:kinsoku/>
              <w:wordWrap/>
              <w:overflowPunct w:val="0"/>
              <w:topLinePunct/>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8.3</w:t>
            </w:r>
          </w:p>
        </w:tc>
        <w:tc>
          <w:tcPr>
            <w:tcW w:w="603" w:type="pct"/>
            <w:tcBorders>
              <w:tl2br w:val="nil"/>
              <w:tr2bl w:val="nil"/>
            </w:tcBorders>
            <w:vAlign w:val="center"/>
          </w:tcPr>
          <w:p w14:paraId="2E7F985A">
            <w:pPr>
              <w:keepNext w:val="0"/>
              <w:keepLines w:val="0"/>
              <w:pageBreakBefore w:val="0"/>
              <w:widowControl w:val="0"/>
              <w:kinsoku/>
              <w:wordWrap/>
              <w:overflowPunct w:val="0"/>
              <w:topLinePunct/>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直井</w:t>
            </w:r>
          </w:p>
        </w:tc>
        <w:tc>
          <w:tcPr>
            <w:tcW w:w="931" w:type="pct"/>
            <w:tcBorders>
              <w:tl2br w:val="nil"/>
              <w:tr2bl w:val="nil"/>
            </w:tcBorders>
            <w:vAlign w:val="center"/>
          </w:tcPr>
          <w:p w14:paraId="067E4665">
            <w:pPr>
              <w:keepNext w:val="0"/>
              <w:keepLines w:val="0"/>
              <w:pageBreakBefore w:val="0"/>
              <w:widowControl w:val="0"/>
              <w:kinsoku/>
              <w:wordWrap/>
              <w:overflowPunct w:val="0"/>
              <w:topLinePunct/>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eastAsia="zh-CN"/>
              </w:rPr>
            </w:pPr>
            <w:r>
              <w:rPr>
                <w:rFonts w:hint="eastAsia" w:cs="Times New Roman"/>
                <w:color w:val="auto"/>
                <w:sz w:val="21"/>
                <w:szCs w:val="21"/>
                <w:highlight w:val="none"/>
                <w:lang w:val="en-US" w:eastAsia="zh-CN"/>
              </w:rPr>
              <w:t>位于项目区</w:t>
            </w:r>
            <w:r>
              <w:rPr>
                <w:rFonts w:hint="default" w:ascii="Times New Roman" w:hAnsi="Times New Roman" w:cs="Times New Roman"/>
                <w:color w:val="auto"/>
                <w:sz w:val="21"/>
                <w:szCs w:val="21"/>
                <w:highlight w:val="none"/>
                <w:lang w:eastAsia="zh-CN"/>
              </w:rPr>
              <w:t>下游</w:t>
            </w:r>
          </w:p>
        </w:tc>
      </w:tr>
      <w:tr w14:paraId="3C38F8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1" w:type="pct"/>
            <w:tcBorders>
              <w:tl2br w:val="nil"/>
              <w:tr2bl w:val="nil"/>
            </w:tcBorders>
            <w:vAlign w:val="center"/>
          </w:tcPr>
          <w:p w14:paraId="1CD2AE03">
            <w:pPr>
              <w:overflowPunct w:val="0"/>
              <w:topLinePunct/>
              <w:snapToGrid w:val="0"/>
              <w:spacing w:line="360" w:lineRule="exact"/>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w:t>
            </w:r>
          </w:p>
        </w:tc>
        <w:tc>
          <w:tcPr>
            <w:tcW w:w="715" w:type="pct"/>
            <w:tcBorders>
              <w:tl2br w:val="nil"/>
              <w:tr2bl w:val="nil"/>
            </w:tcBorders>
            <w:vAlign w:val="center"/>
          </w:tcPr>
          <w:p w14:paraId="56554AE5">
            <w:pPr>
              <w:overflowPunct w:val="0"/>
              <w:topLinePunct/>
              <w:snapToGrid w:val="0"/>
              <w:spacing w:line="360" w:lineRule="exact"/>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93°56′11.76″</w:t>
            </w:r>
          </w:p>
        </w:tc>
        <w:tc>
          <w:tcPr>
            <w:tcW w:w="766" w:type="pct"/>
            <w:tcBorders>
              <w:tl2br w:val="nil"/>
              <w:tr2bl w:val="nil"/>
            </w:tcBorders>
            <w:vAlign w:val="center"/>
          </w:tcPr>
          <w:p w14:paraId="4564DA6E">
            <w:pPr>
              <w:overflowPunct w:val="0"/>
              <w:topLinePunct/>
              <w:snapToGrid w:val="0"/>
              <w:spacing w:line="360" w:lineRule="exact"/>
              <w:ind w:left="-120" w:leftChars="-50" w:right="-120" w:rightChars="-5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41°14′41.06″</w:t>
            </w:r>
          </w:p>
        </w:tc>
        <w:tc>
          <w:tcPr>
            <w:tcW w:w="623" w:type="pct"/>
            <w:tcBorders>
              <w:tl2br w:val="nil"/>
              <w:tr2bl w:val="nil"/>
            </w:tcBorders>
            <w:vAlign w:val="center"/>
          </w:tcPr>
          <w:p w14:paraId="4ECDC538">
            <w:pPr>
              <w:overflowPunct w:val="0"/>
              <w:topLinePunct/>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140</w:t>
            </w:r>
          </w:p>
        </w:tc>
        <w:tc>
          <w:tcPr>
            <w:tcW w:w="807" w:type="pct"/>
            <w:tcBorders>
              <w:tl2br w:val="nil"/>
              <w:tr2bl w:val="nil"/>
            </w:tcBorders>
            <w:vAlign w:val="center"/>
          </w:tcPr>
          <w:p w14:paraId="2E0A6CBC">
            <w:pPr>
              <w:keepNext w:val="0"/>
              <w:keepLines w:val="0"/>
              <w:pageBreakBefore w:val="0"/>
              <w:widowControl w:val="0"/>
              <w:kinsoku/>
              <w:wordWrap/>
              <w:overflowPunct w:val="0"/>
              <w:topLinePunct/>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w:t>
            </w:r>
          </w:p>
        </w:tc>
        <w:tc>
          <w:tcPr>
            <w:tcW w:w="603" w:type="pct"/>
            <w:tcBorders>
              <w:tl2br w:val="nil"/>
              <w:tr2bl w:val="nil"/>
            </w:tcBorders>
            <w:vAlign w:val="center"/>
          </w:tcPr>
          <w:p w14:paraId="3BED3590">
            <w:pPr>
              <w:keepNext w:val="0"/>
              <w:keepLines w:val="0"/>
              <w:pageBreakBefore w:val="0"/>
              <w:widowControl w:val="0"/>
              <w:kinsoku/>
              <w:wordWrap/>
              <w:overflowPunct w:val="0"/>
              <w:topLinePunct/>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直井</w:t>
            </w:r>
          </w:p>
        </w:tc>
        <w:tc>
          <w:tcPr>
            <w:tcW w:w="931" w:type="pct"/>
            <w:tcBorders>
              <w:tl2br w:val="nil"/>
              <w:tr2bl w:val="nil"/>
            </w:tcBorders>
            <w:vAlign w:val="center"/>
          </w:tcPr>
          <w:p w14:paraId="1D1C8E0C">
            <w:pPr>
              <w:keepNext w:val="0"/>
              <w:keepLines w:val="0"/>
              <w:pageBreakBefore w:val="0"/>
              <w:widowControl w:val="0"/>
              <w:kinsoku/>
              <w:wordWrap/>
              <w:overflowPunct w:val="0"/>
              <w:topLinePunct/>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eastAsia="zh-CN"/>
              </w:rPr>
            </w:pPr>
            <w:r>
              <w:rPr>
                <w:rFonts w:hint="eastAsia" w:cs="Times New Roman"/>
                <w:color w:val="auto"/>
                <w:sz w:val="21"/>
                <w:szCs w:val="21"/>
                <w:highlight w:val="none"/>
                <w:lang w:val="en-US" w:eastAsia="zh-CN"/>
              </w:rPr>
              <w:t>位于项目区</w:t>
            </w:r>
            <w:r>
              <w:rPr>
                <w:rFonts w:hint="default" w:ascii="Times New Roman" w:hAnsi="Times New Roman" w:cs="Times New Roman"/>
                <w:color w:val="auto"/>
                <w:sz w:val="21"/>
                <w:szCs w:val="21"/>
                <w:highlight w:val="none"/>
                <w:lang w:eastAsia="zh-CN"/>
              </w:rPr>
              <w:t>下游</w:t>
            </w:r>
          </w:p>
        </w:tc>
      </w:tr>
    </w:tbl>
    <w:p w14:paraId="49E2501D">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4.2.3.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监测项目</w:t>
      </w:r>
    </w:p>
    <w:p w14:paraId="30BDA174">
      <w:pPr>
        <w:overflowPunct w:val="0"/>
        <w:topLinePunct/>
        <w:ind w:firstLine="480"/>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4"/>
          <w:highlight w:val="none"/>
          <w:lang w:val="en-US" w:eastAsia="zh-CN"/>
        </w:rPr>
        <w:t>钾、钠、钙</w:t>
      </w:r>
      <w:r>
        <w:rPr>
          <w:rFonts w:hint="default" w:ascii="Times New Roman" w:hAnsi="Times New Roman" w:eastAsia="宋体"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镁、碳酸盐、重碳酸盐、氯化物、硫酸盐</w:t>
      </w:r>
      <w:r>
        <w:rPr>
          <w:rFonts w:hint="default" w:ascii="Times New Roman" w:hAnsi="Times New Roman" w:eastAsia="宋体" w:cs="Times New Roman"/>
          <w:color w:val="auto"/>
          <w:sz w:val="24"/>
          <w:szCs w:val="24"/>
          <w:highlight w:val="none"/>
          <w:vertAlign w:val="baseline"/>
          <w:lang w:val="en-US" w:eastAsia="zh-CN"/>
        </w:rPr>
        <w:t>以及</w:t>
      </w:r>
      <w:r>
        <w:rPr>
          <w:rFonts w:hint="default" w:ascii="Times New Roman" w:hAnsi="Times New Roman" w:eastAsia="宋体" w:cs="Times New Roman"/>
          <w:color w:val="auto"/>
          <w:sz w:val="24"/>
          <w:szCs w:val="24"/>
          <w:highlight w:val="none"/>
        </w:rPr>
        <w:t>pH值、总硬度</w:t>
      </w:r>
      <w:r>
        <w:rPr>
          <w:rFonts w:hint="default" w:ascii="Times New Roman" w:hAnsi="Times New Roman" w:eastAsia="宋体" w:cs="Times New Roman"/>
          <w:color w:val="auto"/>
          <w:sz w:val="24"/>
          <w:szCs w:val="24"/>
          <w:highlight w:val="none"/>
          <w:lang w:eastAsia="zh-CN"/>
        </w:rPr>
        <w:t>、溶解性总固体、铁、锰</w:t>
      </w:r>
      <w:r>
        <w:rPr>
          <w:rFonts w:hint="default" w:ascii="Times New Roman" w:hAnsi="Times New Roman" w:eastAsia="宋体" w:cs="Times New Roman"/>
          <w:b w:val="0"/>
          <w:bCs w:val="0"/>
          <w:color w:val="auto"/>
          <w:sz w:val="24"/>
          <w:szCs w:val="24"/>
          <w:highlight w:val="none"/>
          <w:lang w:eastAsia="zh-CN"/>
        </w:rPr>
        <w:t>、铜、</w:t>
      </w:r>
      <w:r>
        <w:rPr>
          <w:rFonts w:hint="default" w:ascii="Times New Roman" w:hAnsi="Times New Roman" w:eastAsia="宋体" w:cs="Times New Roman"/>
          <w:b w:val="0"/>
          <w:bCs w:val="0"/>
          <w:color w:val="auto"/>
          <w:sz w:val="24"/>
          <w:szCs w:val="24"/>
          <w:highlight w:val="none"/>
        </w:rPr>
        <w:t>锌、</w:t>
      </w:r>
      <w:r>
        <w:rPr>
          <w:rFonts w:hint="default" w:ascii="Times New Roman" w:hAnsi="Times New Roman" w:eastAsia="宋体" w:cs="Times New Roman"/>
          <w:color w:val="auto"/>
          <w:sz w:val="24"/>
          <w:szCs w:val="24"/>
          <w:highlight w:val="none"/>
        </w:rPr>
        <w:t>挥发性酚类、氨氮、总大肠菌群、亚硝酸盐、硝酸盐</w:t>
      </w:r>
      <w:r>
        <w:rPr>
          <w:rFonts w:hint="default" w:ascii="Times New Roman" w:hAnsi="Times New Roman" w:eastAsia="宋体" w:cs="Times New Roman"/>
          <w:color w:val="auto"/>
          <w:sz w:val="24"/>
          <w:szCs w:val="24"/>
          <w:highlight w:val="none"/>
          <w:lang w:eastAsia="zh-CN"/>
        </w:rPr>
        <w:t>、氰化物、氟化物</w:t>
      </w:r>
      <w:r>
        <w:rPr>
          <w:rFonts w:hint="default" w:ascii="Times New Roman" w:hAnsi="Times New Roman" w:eastAsia="宋体" w:cs="Times New Roman"/>
          <w:color w:val="auto"/>
          <w:sz w:val="24"/>
          <w:szCs w:val="24"/>
          <w:highlight w:val="none"/>
        </w:rPr>
        <w:t>、汞、砷、镉、铬（六价）、铅、镍</w:t>
      </w:r>
      <w:r>
        <w:rPr>
          <w:rFonts w:hint="default" w:ascii="Times New Roman" w:hAnsi="Times New Roman" w:eastAsia="宋体" w:cs="Times New Roman"/>
          <w:color w:val="auto"/>
          <w:sz w:val="24"/>
          <w:szCs w:val="24"/>
          <w:highlight w:val="none"/>
          <w:lang w:eastAsia="zh-CN"/>
        </w:rPr>
        <w:t>。</w:t>
      </w:r>
    </w:p>
    <w:p w14:paraId="5F524EEC">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4.2.3.</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评价标准</w:t>
      </w:r>
    </w:p>
    <w:p w14:paraId="1193CBCD">
      <w:pPr>
        <w:overflowPunct w:val="0"/>
        <w:topLinePunct/>
        <w:adjustRightInd w:val="0"/>
        <w:snapToGrid w:val="0"/>
        <w:ind w:firstLine="476"/>
        <w:rPr>
          <w:rFonts w:hint="default" w:ascii="Times New Roman" w:hAnsi="Times New Roman" w:cs="Times New Roman"/>
          <w:color w:val="auto"/>
          <w:spacing w:val="-1"/>
          <w:position w:val="2"/>
          <w:highlight w:val="none"/>
        </w:rPr>
      </w:pPr>
      <w:r>
        <w:rPr>
          <w:rFonts w:hint="default" w:ascii="Times New Roman" w:hAnsi="Times New Roman" w:cs="Times New Roman"/>
          <w:color w:val="auto"/>
          <w:spacing w:val="-1"/>
          <w:position w:val="2"/>
          <w:highlight w:val="none"/>
        </w:rPr>
        <w:t>本项目地下水评价标准执行《地下水质量标准》（GB/T14848-2017）中的</w:t>
      </w:r>
      <w:r>
        <w:rPr>
          <w:rFonts w:hint="eastAsia" w:cs="Times New Roman"/>
          <w:color w:val="auto"/>
          <w:spacing w:val="-1"/>
          <w:position w:val="2"/>
          <w:highlight w:val="none"/>
          <w:lang w:eastAsia="zh-CN"/>
        </w:rPr>
        <w:t>Ⅲ类</w:t>
      </w:r>
      <w:r>
        <w:rPr>
          <w:rFonts w:hint="default" w:ascii="Times New Roman" w:hAnsi="Times New Roman" w:cs="Times New Roman"/>
          <w:color w:val="auto"/>
          <w:spacing w:val="-1"/>
          <w:position w:val="2"/>
          <w:highlight w:val="none"/>
        </w:rPr>
        <w:t>标准。</w:t>
      </w:r>
    </w:p>
    <w:p w14:paraId="550AFABE">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4.2.3.</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评价方法</w:t>
      </w:r>
    </w:p>
    <w:p w14:paraId="1D298C26">
      <w:pPr>
        <w:pStyle w:val="32"/>
        <w:overflowPunct w:val="0"/>
        <w:topLinePunct/>
        <w:ind w:left="0" w:leftChars="0" w:firstLine="476"/>
        <w:rPr>
          <w:rFonts w:hint="default" w:ascii="Times New Roman" w:hAnsi="Times New Roman" w:cs="Times New Roman"/>
          <w:color w:val="auto"/>
          <w:spacing w:val="-1"/>
          <w:position w:val="2"/>
          <w:sz w:val="24"/>
          <w:highlight w:val="none"/>
        </w:rPr>
      </w:pPr>
      <w:r>
        <w:rPr>
          <w:rFonts w:hint="default" w:ascii="Times New Roman" w:hAnsi="Times New Roman" w:cs="Times New Roman"/>
          <w:color w:val="auto"/>
          <w:spacing w:val="-1"/>
          <w:position w:val="2"/>
          <w:sz w:val="24"/>
          <w:highlight w:val="none"/>
        </w:rPr>
        <w:t>评价方法采用单因子标准指数法，计算公式：</w:t>
      </w:r>
    </w:p>
    <w:p w14:paraId="6BF6EDFE">
      <w:pPr>
        <w:spacing w:line="240" w:lineRule="atLeast"/>
        <w:ind w:firstLine="960" w:firstLineChars="400"/>
        <w:jc w:val="center"/>
        <w:rPr>
          <w:rFonts w:hint="default" w:ascii="Times New Roman" w:hAnsi="Times New Roman" w:cs="Times New Roman"/>
          <w:color w:val="auto"/>
          <w:highlight w:val="none"/>
        </w:rPr>
      </w:pPr>
      <w:r>
        <w:rPr>
          <w:rFonts w:hint="default" w:ascii="Times New Roman" w:hAnsi="Times New Roman" w:cs="Times New Roman"/>
          <w:color w:val="auto"/>
          <w:position w:val="-30"/>
          <w:highlight w:val="none"/>
        </w:rPr>
        <w:object>
          <v:shape id="_x0000_i1025" o:spt="75" type="#_x0000_t75" style="height:36pt;width:51.45pt;" o:ole="t" filled="f" o:preferrelative="t" stroked="f" coordsize="21600,21600">
            <v:path/>
            <v:fill on="f" focussize="0,0"/>
            <v:stroke on="f" joinstyle="miter"/>
            <v:imagedata r:id="rId29" o:title=""/>
            <o:lock v:ext="edit" aspectratio="t"/>
            <w10:wrap type="none"/>
            <w10:anchorlock/>
          </v:shape>
          <o:OLEObject Type="Embed" ProgID="Equation.2" ShapeID="_x0000_i1025" DrawAspect="Content" ObjectID="_1468075725" r:id="rId28">
            <o:LockedField>false</o:LockedField>
          </o:OLEObject>
        </w:object>
      </w:r>
    </w:p>
    <w:p w14:paraId="36E2692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式中：S</w:t>
      </w:r>
      <w:r>
        <w:rPr>
          <w:rFonts w:hint="default" w:ascii="Times New Roman" w:hAnsi="Times New Roman" w:cs="Times New Roman"/>
          <w:color w:val="auto"/>
          <w:highlight w:val="none"/>
          <w:vertAlign w:val="subscript"/>
        </w:rPr>
        <w:t>i,j</w:t>
      </w:r>
      <w:r>
        <w:rPr>
          <w:rFonts w:hint="default" w:ascii="Times New Roman" w:hAnsi="Times New Roman" w:cs="Times New Roman"/>
          <w:color w:val="auto"/>
          <w:highlight w:val="none"/>
        </w:rPr>
        <w:t>——评价因子i的水质指数，大于1表明该水质因子超标；</w:t>
      </w:r>
    </w:p>
    <w:p w14:paraId="22F66C4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C</w:t>
      </w:r>
      <w:r>
        <w:rPr>
          <w:rFonts w:hint="default" w:ascii="Times New Roman" w:hAnsi="Times New Roman" w:cs="Times New Roman"/>
          <w:color w:val="auto"/>
          <w:highlight w:val="none"/>
          <w:vertAlign w:val="subscript"/>
        </w:rPr>
        <w:t>i,j</w:t>
      </w:r>
      <w:r>
        <w:rPr>
          <w:rFonts w:hint="default" w:ascii="Times New Roman" w:hAnsi="Times New Roman" w:cs="Times New Roman"/>
          <w:color w:val="auto"/>
          <w:highlight w:val="none"/>
        </w:rPr>
        <w:t>——评价因子i在j点的实测统计代表值，mg/L；</w:t>
      </w:r>
    </w:p>
    <w:p w14:paraId="7AE17CF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C</w:t>
      </w:r>
      <w:r>
        <w:rPr>
          <w:rFonts w:hint="default" w:ascii="Times New Roman" w:hAnsi="Times New Roman" w:cs="Times New Roman"/>
          <w:color w:val="auto"/>
          <w:highlight w:val="none"/>
          <w:vertAlign w:val="subscript"/>
        </w:rPr>
        <w:t>si</w:t>
      </w:r>
      <w:r>
        <w:rPr>
          <w:rFonts w:hint="default" w:ascii="Times New Roman" w:hAnsi="Times New Roman" w:cs="Times New Roman"/>
          <w:color w:val="auto"/>
          <w:highlight w:val="none"/>
        </w:rPr>
        <w:t>——评价因子i的水质评价标准限值，mg/L。</w:t>
      </w:r>
    </w:p>
    <w:p w14:paraId="4A068387">
      <w:pPr>
        <w:overflowPunct w:val="0"/>
        <w:topLinePunct/>
        <w:ind w:firstLine="48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pH值的指数计算公式：</w:t>
      </w:r>
    </w:p>
    <w:p w14:paraId="09411970">
      <w:pPr>
        <w:overflowPunct w:val="0"/>
        <w:topLinePunct/>
        <w:ind w:firstLine="48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pict>
          <v:shape id="对象 1609" o:spid="_x0000_s1026" o:spt="75" type="#_x0000_t75" style="position:absolute;left:0pt;margin-left:140.95pt;margin-top:3.05pt;height:35.8pt;width:157.05pt;z-index:251674624;mso-width-relative:page;mso-height-relative:page;" o:ole="t" filled="f" o:preferrelative="t" stroked="f" coordsize="21600,21600">
            <v:path/>
            <v:fill on="f" focussize="0,0"/>
            <v:stroke on="f" joinstyle="miter"/>
            <v:imagedata r:id="rId31" o:title=""/>
            <o:lock v:ext="edit" aspectratio="t"/>
          </v:shape>
          <o:OLEObject Type="Embed" ProgID="Equation.3" ShapeID="对象 1609" DrawAspect="Content" ObjectID="_1468075726" r:id="rId30">
            <o:LockedField>false</o:LockedField>
          </o:OLEObject>
        </w:pict>
      </w:r>
    </w:p>
    <w:p w14:paraId="495A0884">
      <w:pPr>
        <w:overflowPunct w:val="0"/>
        <w:topLinePunct/>
        <w:ind w:firstLine="480"/>
        <w:textAlignment w:val="baseline"/>
        <w:rPr>
          <w:rFonts w:hint="default" w:ascii="Times New Roman" w:hAnsi="Times New Roman" w:cs="Times New Roman"/>
          <w:color w:val="auto"/>
          <w:highlight w:val="none"/>
        </w:rPr>
      </w:pPr>
    </w:p>
    <w:p w14:paraId="1CBD5963">
      <w:pPr>
        <w:overflowPunct w:val="0"/>
        <w:topLinePunct/>
        <w:ind w:firstLine="48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pict>
          <v:shape id="对象 1610" o:spid="_x0000_s1027" o:spt="75" type="#_x0000_t75" style="position:absolute;left:0pt;margin-left:142.7pt;margin-top:4.05pt;height:35.7pt;width:156.55pt;z-index:251660288;mso-width-relative:page;mso-height-relative:page;" o:ole="t" filled="f" o:preferrelative="t" stroked="f" coordsize="21600,21600">
            <v:path/>
            <v:fill on="f" focussize="0,0"/>
            <v:stroke on="f" joinstyle="miter"/>
            <v:imagedata r:id="rId33" o:title=""/>
            <o:lock v:ext="edit" aspectratio="t"/>
          </v:shape>
          <o:OLEObject Type="Embed" ProgID="Equation.3" ShapeID="对象 1610" DrawAspect="Content" ObjectID="_1468075727" r:id="rId32">
            <o:LockedField>false</o:LockedField>
          </o:OLEObject>
        </w:pict>
      </w:r>
    </w:p>
    <w:p w14:paraId="1C563084">
      <w:pPr>
        <w:overflowPunct w:val="0"/>
        <w:topLinePunct/>
        <w:ind w:firstLine="480"/>
        <w:textAlignment w:val="baseline"/>
        <w:rPr>
          <w:rFonts w:hint="default" w:ascii="Times New Roman" w:hAnsi="Times New Roman" w:cs="Times New Roman"/>
          <w:color w:val="auto"/>
          <w:highlight w:val="none"/>
        </w:rPr>
      </w:pPr>
    </w:p>
    <w:p w14:paraId="59A54833">
      <w:pPr>
        <w:overflowPunct w:val="0"/>
        <w:topLinePunct/>
        <w:ind w:firstLine="48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式中：S</w:t>
      </w:r>
      <w:r>
        <w:rPr>
          <w:rFonts w:hint="default" w:ascii="Times New Roman" w:hAnsi="Times New Roman" w:cs="Times New Roman"/>
          <w:color w:val="auto"/>
          <w:highlight w:val="none"/>
          <w:vertAlign w:val="subscript"/>
        </w:rPr>
        <w:t>pH，j</w:t>
      </w:r>
      <w:r>
        <w:rPr>
          <w:rFonts w:hint="default" w:ascii="Times New Roman" w:hAnsi="Times New Roman" w:cs="Times New Roman"/>
          <w:color w:val="auto"/>
          <w:highlight w:val="none"/>
        </w:rPr>
        <w:t>——pH值的指数，大于1表明该水质因子超标；</w:t>
      </w:r>
    </w:p>
    <w:p w14:paraId="72A9C05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pH</w:t>
      </w:r>
      <w:r>
        <w:rPr>
          <w:rFonts w:hint="default" w:ascii="Times New Roman" w:hAnsi="Times New Roman" w:cs="Times New Roman"/>
          <w:color w:val="auto"/>
          <w:highlight w:val="none"/>
          <w:vertAlign w:val="subscript"/>
        </w:rPr>
        <w:t>j</w:t>
      </w:r>
      <w:r>
        <w:rPr>
          <w:rFonts w:hint="default" w:ascii="Times New Roman" w:hAnsi="Times New Roman" w:cs="Times New Roman"/>
          <w:color w:val="auto"/>
          <w:highlight w:val="none"/>
        </w:rPr>
        <w:t>——pH值实测统计代表值；</w:t>
      </w:r>
    </w:p>
    <w:p w14:paraId="129AB9F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pH</w:t>
      </w:r>
      <w:r>
        <w:rPr>
          <w:rFonts w:hint="default" w:ascii="Times New Roman" w:hAnsi="Times New Roman" w:cs="Times New Roman"/>
          <w:color w:val="auto"/>
          <w:highlight w:val="none"/>
          <w:vertAlign w:val="subscript"/>
        </w:rPr>
        <w:t>sd</w:t>
      </w:r>
      <w:r>
        <w:rPr>
          <w:rFonts w:hint="default" w:ascii="Times New Roman" w:hAnsi="Times New Roman" w:cs="Times New Roman"/>
          <w:color w:val="auto"/>
          <w:highlight w:val="none"/>
        </w:rPr>
        <w:t>——评价标准中pH值的下限值；</w:t>
      </w:r>
    </w:p>
    <w:p w14:paraId="1D38DD4C">
      <w:pPr>
        <w:pStyle w:val="42"/>
        <w:overflowPunct w:val="0"/>
        <w:topLinePunct/>
        <w:spacing w:line="480" w:lineRule="exact"/>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pH</w:t>
      </w:r>
      <w:r>
        <w:rPr>
          <w:rFonts w:hint="default" w:ascii="Times New Roman" w:hAnsi="Times New Roman" w:cs="Times New Roman"/>
          <w:color w:val="auto"/>
          <w:highlight w:val="none"/>
          <w:vertAlign w:val="subscript"/>
        </w:rPr>
        <w:t>su</w:t>
      </w:r>
      <w:r>
        <w:rPr>
          <w:rFonts w:hint="default" w:ascii="Times New Roman" w:hAnsi="Times New Roman" w:cs="Times New Roman"/>
          <w:color w:val="auto"/>
          <w:highlight w:val="none"/>
        </w:rPr>
        <w:t>——评价标准中pH值的上限值。</w:t>
      </w:r>
    </w:p>
    <w:p w14:paraId="7069A1CD">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4.2.3.</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监测结果</w:t>
      </w:r>
    </w:p>
    <w:p w14:paraId="5C4B8F9B">
      <w:pPr>
        <w:overflowPunct w:val="0"/>
        <w:topLinePunct/>
        <w:adjustRightInd w:val="0"/>
        <w:snapToGrid w:val="0"/>
        <w:ind w:firstLine="476"/>
        <w:rPr>
          <w:rFonts w:hint="default" w:ascii="Times New Roman" w:hAnsi="Times New Roman" w:cs="Times New Roman"/>
          <w:color w:val="auto"/>
          <w:spacing w:val="-1"/>
          <w:position w:val="2"/>
          <w:highlight w:val="none"/>
        </w:rPr>
      </w:pPr>
      <w:r>
        <w:rPr>
          <w:rFonts w:hint="default" w:ascii="Times New Roman" w:hAnsi="Times New Roman" w:cs="Times New Roman"/>
          <w:color w:val="auto"/>
          <w:spacing w:val="-1"/>
          <w:position w:val="2"/>
          <w:highlight w:val="none"/>
        </w:rPr>
        <w:t>地下水水质现状监测结果见表4.2-</w:t>
      </w:r>
      <w:r>
        <w:rPr>
          <w:rFonts w:hint="default" w:ascii="Times New Roman" w:hAnsi="Times New Roman" w:cs="Times New Roman"/>
          <w:color w:val="auto"/>
          <w:spacing w:val="-1"/>
          <w:position w:val="2"/>
          <w:highlight w:val="none"/>
          <w:lang w:val="en-US" w:eastAsia="zh-CN"/>
        </w:rPr>
        <w:t>6</w:t>
      </w:r>
      <w:r>
        <w:rPr>
          <w:rFonts w:hint="default" w:ascii="Times New Roman" w:hAnsi="Times New Roman" w:cs="Times New Roman"/>
          <w:color w:val="auto"/>
          <w:spacing w:val="-1"/>
          <w:position w:val="2"/>
          <w:highlight w:val="none"/>
        </w:rPr>
        <w:t>。</w:t>
      </w:r>
    </w:p>
    <w:p w14:paraId="6F143C61">
      <w:pPr>
        <w:adjustRightInd w:val="0"/>
        <w:snapToGrid w:val="0"/>
        <w:ind w:firstLine="0" w:firstLineChars="0"/>
        <w:jc w:val="center"/>
        <w:rPr>
          <w:rFonts w:hint="default" w:ascii="Times New Roman" w:hAnsi="Times New Roman" w:cs="Times New Roman"/>
          <w:b/>
          <w:color w:val="auto"/>
          <w:kern w:val="0"/>
          <w:szCs w:val="22"/>
          <w:highlight w:val="none"/>
        </w:rPr>
      </w:pPr>
      <w:r>
        <w:rPr>
          <w:rFonts w:hint="default" w:ascii="Times New Roman" w:hAnsi="Times New Roman" w:cs="Times New Roman"/>
          <w:b/>
          <w:color w:val="auto"/>
          <w:kern w:val="0"/>
          <w:szCs w:val="22"/>
          <w:highlight w:val="none"/>
          <w:lang w:val="zh-CN"/>
        </w:rPr>
        <w:t>表</w:t>
      </w:r>
      <w:r>
        <w:rPr>
          <w:rFonts w:hint="default" w:ascii="Times New Roman" w:hAnsi="Times New Roman" w:cs="Times New Roman"/>
          <w:b/>
          <w:color w:val="auto"/>
          <w:kern w:val="0"/>
          <w:szCs w:val="22"/>
          <w:highlight w:val="none"/>
        </w:rPr>
        <w:t>4</w:t>
      </w:r>
      <w:r>
        <w:rPr>
          <w:rFonts w:hint="default" w:ascii="Times New Roman" w:hAnsi="Times New Roman" w:cs="Times New Roman"/>
          <w:b/>
          <w:color w:val="auto"/>
          <w:kern w:val="0"/>
          <w:szCs w:val="22"/>
          <w:highlight w:val="none"/>
          <w:lang w:val="zh-CN"/>
        </w:rPr>
        <w:t>.</w:t>
      </w:r>
      <w:r>
        <w:rPr>
          <w:rFonts w:hint="default" w:ascii="Times New Roman" w:hAnsi="Times New Roman" w:cs="Times New Roman"/>
          <w:b/>
          <w:color w:val="auto"/>
          <w:kern w:val="0"/>
          <w:szCs w:val="22"/>
          <w:highlight w:val="none"/>
        </w:rPr>
        <w:t>2-</w:t>
      </w:r>
      <w:r>
        <w:rPr>
          <w:rFonts w:hint="default" w:ascii="Times New Roman" w:hAnsi="Times New Roman" w:cs="Times New Roman"/>
          <w:b/>
          <w:color w:val="auto"/>
          <w:kern w:val="0"/>
          <w:szCs w:val="22"/>
          <w:highlight w:val="none"/>
          <w:lang w:val="en-US" w:eastAsia="zh-CN"/>
        </w:rPr>
        <w:t>6</w:t>
      </w:r>
      <w:r>
        <w:rPr>
          <w:rFonts w:hint="default" w:ascii="Times New Roman" w:hAnsi="Times New Roman" w:cs="Times New Roman"/>
          <w:b/>
          <w:color w:val="auto"/>
          <w:kern w:val="0"/>
          <w:szCs w:val="22"/>
          <w:highlight w:val="none"/>
        </w:rPr>
        <w:t xml:space="preserve">    </w:t>
      </w:r>
      <w:r>
        <w:rPr>
          <w:rFonts w:hint="default" w:ascii="Times New Roman" w:hAnsi="Times New Roman" w:cs="Times New Roman"/>
          <w:b/>
          <w:color w:val="auto"/>
          <w:kern w:val="0"/>
          <w:szCs w:val="22"/>
          <w:highlight w:val="none"/>
          <w:lang w:val="zh-CN"/>
        </w:rPr>
        <w:t>地下水现状监测</w:t>
      </w:r>
      <w:r>
        <w:rPr>
          <w:rFonts w:hint="default" w:ascii="Times New Roman" w:hAnsi="Times New Roman" w:cs="Times New Roman"/>
          <w:b/>
          <w:color w:val="auto"/>
          <w:kern w:val="0"/>
          <w:szCs w:val="22"/>
          <w:highlight w:val="none"/>
        </w:rPr>
        <w:t>及评价</w:t>
      </w:r>
      <w:r>
        <w:rPr>
          <w:rFonts w:hint="default" w:ascii="Times New Roman" w:hAnsi="Times New Roman" w:cs="Times New Roman"/>
          <w:b/>
          <w:color w:val="auto"/>
          <w:kern w:val="0"/>
          <w:szCs w:val="22"/>
          <w:highlight w:val="none"/>
          <w:lang w:val="zh-CN"/>
        </w:rPr>
        <w:t>结果</w:t>
      </w:r>
    </w:p>
    <w:tbl>
      <w:tblPr>
        <w:tblStyle w:val="33"/>
        <w:tblW w:w="91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1"/>
        <w:gridCol w:w="1480"/>
        <w:gridCol w:w="993"/>
        <w:gridCol w:w="993"/>
        <w:gridCol w:w="991"/>
        <w:gridCol w:w="994"/>
        <w:gridCol w:w="848"/>
        <w:gridCol w:w="850"/>
        <w:gridCol w:w="853"/>
        <w:gridCol w:w="701"/>
      </w:tblGrid>
      <w:tr w14:paraId="407BBA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71" w:type="dxa"/>
            <w:vMerge w:val="restart"/>
            <w:vAlign w:val="center"/>
          </w:tcPr>
          <w:p w14:paraId="511E91D8">
            <w:pPr>
              <w:spacing w:line="360" w:lineRule="exact"/>
              <w:ind w:left="-120" w:leftChars="-50" w:right="-120" w:rightChars="-5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序号</w:t>
            </w:r>
          </w:p>
        </w:tc>
        <w:tc>
          <w:tcPr>
            <w:tcW w:w="1480" w:type="dxa"/>
            <w:vMerge w:val="restart"/>
            <w:vAlign w:val="center"/>
          </w:tcPr>
          <w:p w14:paraId="09DAAE7B">
            <w:pPr>
              <w:spacing w:line="360" w:lineRule="exact"/>
              <w:ind w:left="-120" w:leftChars="-50" w:right="-120" w:rightChars="-5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监测项目</w:t>
            </w:r>
          </w:p>
        </w:tc>
        <w:tc>
          <w:tcPr>
            <w:tcW w:w="993" w:type="dxa"/>
            <w:vMerge w:val="restart"/>
            <w:vAlign w:val="center"/>
          </w:tcPr>
          <w:p w14:paraId="4C245B91">
            <w:pPr>
              <w:spacing w:line="360" w:lineRule="exact"/>
              <w:ind w:left="-120" w:leftChars="-50" w:right="-120" w:rightChars="-5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单位</w:t>
            </w:r>
          </w:p>
        </w:tc>
        <w:tc>
          <w:tcPr>
            <w:tcW w:w="2978" w:type="dxa"/>
            <w:gridSpan w:val="3"/>
            <w:vAlign w:val="center"/>
          </w:tcPr>
          <w:p w14:paraId="49E85333">
            <w:pPr>
              <w:spacing w:line="360" w:lineRule="exact"/>
              <w:ind w:left="-50" w:right="-5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监测结果</w:t>
            </w:r>
          </w:p>
        </w:tc>
        <w:tc>
          <w:tcPr>
            <w:tcW w:w="2551" w:type="dxa"/>
            <w:gridSpan w:val="3"/>
          </w:tcPr>
          <w:p w14:paraId="600A689C">
            <w:pPr>
              <w:spacing w:line="360" w:lineRule="exact"/>
              <w:ind w:left="-50" w:right="-5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标准指数</w:t>
            </w:r>
          </w:p>
        </w:tc>
        <w:tc>
          <w:tcPr>
            <w:tcW w:w="701" w:type="dxa"/>
            <w:vMerge w:val="restart"/>
            <w:vAlign w:val="center"/>
          </w:tcPr>
          <w:p w14:paraId="234D5BB9">
            <w:pPr>
              <w:spacing w:line="360" w:lineRule="exact"/>
              <w:ind w:left="-50" w:right="-5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标准限值</w:t>
            </w:r>
          </w:p>
        </w:tc>
      </w:tr>
      <w:tr w14:paraId="122965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71" w:type="dxa"/>
            <w:vMerge w:val="continue"/>
            <w:vAlign w:val="center"/>
          </w:tcPr>
          <w:p w14:paraId="49661567">
            <w:pPr>
              <w:spacing w:line="360" w:lineRule="exact"/>
              <w:ind w:left="-120" w:leftChars="-50" w:right="-120" w:rightChars="-50" w:firstLine="0" w:firstLineChars="0"/>
              <w:jc w:val="center"/>
              <w:rPr>
                <w:rFonts w:hint="default" w:ascii="Times New Roman" w:hAnsi="Times New Roman" w:cs="Times New Roman"/>
                <w:b/>
                <w:color w:val="auto"/>
                <w:sz w:val="21"/>
                <w:szCs w:val="21"/>
                <w:highlight w:val="none"/>
              </w:rPr>
            </w:pPr>
          </w:p>
        </w:tc>
        <w:tc>
          <w:tcPr>
            <w:tcW w:w="1480" w:type="dxa"/>
            <w:vMerge w:val="continue"/>
            <w:vAlign w:val="center"/>
          </w:tcPr>
          <w:p w14:paraId="0F7334A4">
            <w:pPr>
              <w:spacing w:line="360" w:lineRule="exact"/>
              <w:ind w:left="-120" w:leftChars="-50" w:right="-120" w:rightChars="-50" w:firstLine="0" w:firstLineChars="0"/>
              <w:jc w:val="center"/>
              <w:rPr>
                <w:rFonts w:hint="default" w:ascii="Times New Roman" w:hAnsi="Times New Roman" w:cs="Times New Roman"/>
                <w:b/>
                <w:color w:val="auto"/>
                <w:sz w:val="21"/>
                <w:szCs w:val="21"/>
                <w:highlight w:val="none"/>
              </w:rPr>
            </w:pPr>
          </w:p>
        </w:tc>
        <w:tc>
          <w:tcPr>
            <w:tcW w:w="993" w:type="dxa"/>
            <w:vMerge w:val="continue"/>
            <w:vAlign w:val="center"/>
          </w:tcPr>
          <w:p w14:paraId="1C35EC31">
            <w:pPr>
              <w:spacing w:line="360" w:lineRule="exact"/>
              <w:ind w:left="-120" w:leftChars="-50" w:right="-120" w:rightChars="-50" w:firstLine="0" w:firstLineChars="0"/>
              <w:jc w:val="center"/>
              <w:rPr>
                <w:rFonts w:hint="default" w:ascii="Times New Roman" w:hAnsi="Times New Roman" w:cs="Times New Roman"/>
                <w:b/>
                <w:color w:val="auto"/>
                <w:sz w:val="21"/>
                <w:szCs w:val="21"/>
                <w:highlight w:val="none"/>
              </w:rPr>
            </w:pPr>
          </w:p>
        </w:tc>
        <w:tc>
          <w:tcPr>
            <w:tcW w:w="993" w:type="dxa"/>
            <w:vAlign w:val="center"/>
          </w:tcPr>
          <w:p w14:paraId="3D11B8C5">
            <w:pPr>
              <w:spacing w:line="360" w:lineRule="exact"/>
              <w:ind w:left="-50" w:right="-5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1#</w:t>
            </w:r>
          </w:p>
        </w:tc>
        <w:tc>
          <w:tcPr>
            <w:tcW w:w="991" w:type="dxa"/>
          </w:tcPr>
          <w:p w14:paraId="6933565A">
            <w:pPr>
              <w:spacing w:line="360" w:lineRule="exact"/>
              <w:ind w:left="-50" w:right="-5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2#</w:t>
            </w:r>
          </w:p>
        </w:tc>
        <w:tc>
          <w:tcPr>
            <w:tcW w:w="994" w:type="dxa"/>
          </w:tcPr>
          <w:p w14:paraId="73775626">
            <w:pPr>
              <w:spacing w:line="360" w:lineRule="exact"/>
              <w:ind w:left="-50" w:right="-5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3#</w:t>
            </w:r>
          </w:p>
        </w:tc>
        <w:tc>
          <w:tcPr>
            <w:tcW w:w="848" w:type="dxa"/>
            <w:vAlign w:val="center"/>
          </w:tcPr>
          <w:p w14:paraId="2A24EF83">
            <w:pPr>
              <w:spacing w:line="360" w:lineRule="exact"/>
              <w:ind w:left="-50" w:right="-5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1#</w:t>
            </w:r>
          </w:p>
        </w:tc>
        <w:tc>
          <w:tcPr>
            <w:tcW w:w="850" w:type="dxa"/>
          </w:tcPr>
          <w:p w14:paraId="703C46A0">
            <w:pPr>
              <w:spacing w:line="360" w:lineRule="exact"/>
              <w:ind w:left="-50" w:right="-5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2#</w:t>
            </w:r>
          </w:p>
        </w:tc>
        <w:tc>
          <w:tcPr>
            <w:tcW w:w="853" w:type="dxa"/>
          </w:tcPr>
          <w:p w14:paraId="69029F56">
            <w:pPr>
              <w:spacing w:line="360" w:lineRule="exact"/>
              <w:ind w:left="-50" w:right="-5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3#</w:t>
            </w:r>
          </w:p>
        </w:tc>
        <w:tc>
          <w:tcPr>
            <w:tcW w:w="701" w:type="dxa"/>
            <w:vMerge w:val="continue"/>
            <w:vAlign w:val="center"/>
          </w:tcPr>
          <w:p w14:paraId="01227A73">
            <w:pPr>
              <w:spacing w:line="360" w:lineRule="exact"/>
              <w:ind w:left="-50" w:right="-50" w:firstLine="0" w:firstLineChars="0"/>
              <w:jc w:val="center"/>
              <w:rPr>
                <w:rFonts w:hint="default" w:ascii="Times New Roman" w:hAnsi="Times New Roman" w:cs="Times New Roman"/>
                <w:b/>
                <w:color w:val="auto"/>
                <w:sz w:val="21"/>
                <w:szCs w:val="21"/>
                <w:highlight w:val="none"/>
              </w:rPr>
            </w:pPr>
          </w:p>
        </w:tc>
      </w:tr>
      <w:tr w14:paraId="1F461D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2E1CEB88">
            <w:pPr>
              <w:tabs>
                <w:tab w:val="left" w:pos="1080"/>
                <w:tab w:val="left" w:pos="6090"/>
              </w:tabs>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w:t>
            </w:r>
          </w:p>
        </w:tc>
        <w:tc>
          <w:tcPr>
            <w:tcW w:w="1480" w:type="dxa"/>
            <w:vAlign w:val="center"/>
          </w:tcPr>
          <w:p w14:paraId="445695A2">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pH值</w:t>
            </w:r>
          </w:p>
        </w:tc>
        <w:tc>
          <w:tcPr>
            <w:tcW w:w="993" w:type="dxa"/>
            <w:vAlign w:val="center"/>
          </w:tcPr>
          <w:p w14:paraId="6EAED3B2">
            <w:pPr>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无量纲</w:t>
            </w:r>
          </w:p>
        </w:tc>
        <w:tc>
          <w:tcPr>
            <w:tcW w:w="993" w:type="dxa"/>
            <w:vAlign w:val="center"/>
          </w:tcPr>
          <w:p w14:paraId="210F9A05">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7.8</w:t>
            </w:r>
          </w:p>
        </w:tc>
        <w:tc>
          <w:tcPr>
            <w:tcW w:w="991" w:type="dxa"/>
            <w:vAlign w:val="center"/>
          </w:tcPr>
          <w:p w14:paraId="64AED15C">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7.7</w:t>
            </w:r>
          </w:p>
        </w:tc>
        <w:tc>
          <w:tcPr>
            <w:tcW w:w="994" w:type="dxa"/>
            <w:vAlign w:val="center"/>
          </w:tcPr>
          <w:p w14:paraId="2A7E6718">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7.7</w:t>
            </w:r>
          </w:p>
        </w:tc>
        <w:tc>
          <w:tcPr>
            <w:tcW w:w="848" w:type="dxa"/>
            <w:vAlign w:val="center"/>
          </w:tcPr>
          <w:p w14:paraId="3E4272AF">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0.53</w:t>
            </w:r>
          </w:p>
        </w:tc>
        <w:tc>
          <w:tcPr>
            <w:tcW w:w="850" w:type="dxa"/>
            <w:vAlign w:val="center"/>
          </w:tcPr>
          <w:p w14:paraId="4E3A525A">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0.47</w:t>
            </w:r>
          </w:p>
        </w:tc>
        <w:tc>
          <w:tcPr>
            <w:tcW w:w="853" w:type="dxa"/>
            <w:vAlign w:val="center"/>
          </w:tcPr>
          <w:p w14:paraId="0CECBDA2">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0.47</w:t>
            </w:r>
          </w:p>
        </w:tc>
        <w:tc>
          <w:tcPr>
            <w:tcW w:w="701" w:type="dxa"/>
            <w:vAlign w:val="center"/>
          </w:tcPr>
          <w:p w14:paraId="47002C6B">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6.5~8.5</w:t>
            </w:r>
          </w:p>
        </w:tc>
      </w:tr>
      <w:tr w14:paraId="42B6D5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32115031">
            <w:pPr>
              <w:tabs>
                <w:tab w:val="left" w:pos="1080"/>
                <w:tab w:val="left" w:pos="6090"/>
              </w:tabs>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2</w:t>
            </w:r>
          </w:p>
        </w:tc>
        <w:tc>
          <w:tcPr>
            <w:tcW w:w="1480" w:type="dxa"/>
            <w:vAlign w:val="center"/>
          </w:tcPr>
          <w:p w14:paraId="3508C446">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溶解性总固体</w:t>
            </w:r>
          </w:p>
        </w:tc>
        <w:tc>
          <w:tcPr>
            <w:tcW w:w="993" w:type="dxa"/>
            <w:vAlign w:val="center"/>
          </w:tcPr>
          <w:p w14:paraId="70E25BBC">
            <w:pPr>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mg/L</w:t>
            </w:r>
          </w:p>
        </w:tc>
        <w:tc>
          <w:tcPr>
            <w:tcW w:w="993" w:type="dxa"/>
            <w:vAlign w:val="center"/>
          </w:tcPr>
          <w:p w14:paraId="02A9718C">
            <w:pPr>
              <w:snapToGrid w:val="0"/>
              <w:spacing w:line="360" w:lineRule="exact"/>
              <w:ind w:left="-120" w:leftChars="-50" w:right="-120" w:rightChars="-50" w:firstLine="0" w:firstLineChars="0"/>
              <w:jc w:val="center"/>
              <w:rPr>
                <w:rFonts w:hint="eastAsia"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2.81×10</w:t>
            </w:r>
            <w:r>
              <w:rPr>
                <w:rFonts w:hint="eastAsia" w:ascii="Times New Roman" w:hAnsi="Times New Roman" w:eastAsia="宋体" w:cs="Times New Roman"/>
                <w:color w:val="auto"/>
                <w:sz w:val="21"/>
                <w:highlight w:val="none"/>
                <w:vertAlign w:val="superscript"/>
                <w:lang w:val="en-US" w:eastAsia="zh-CN"/>
              </w:rPr>
              <w:t>4</w:t>
            </w:r>
          </w:p>
        </w:tc>
        <w:tc>
          <w:tcPr>
            <w:tcW w:w="991" w:type="dxa"/>
            <w:vAlign w:val="center"/>
          </w:tcPr>
          <w:p w14:paraId="21D2944C">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5.82×10</w:t>
            </w:r>
            <w:r>
              <w:rPr>
                <w:rFonts w:hint="eastAsia" w:ascii="Times New Roman" w:hAnsi="Times New Roman" w:eastAsia="宋体" w:cs="Times New Roman"/>
                <w:color w:val="auto"/>
                <w:sz w:val="21"/>
                <w:highlight w:val="none"/>
                <w:vertAlign w:val="superscript"/>
                <w:lang w:val="en-US" w:eastAsia="zh-CN"/>
              </w:rPr>
              <w:t>4</w:t>
            </w:r>
          </w:p>
        </w:tc>
        <w:tc>
          <w:tcPr>
            <w:tcW w:w="994" w:type="dxa"/>
            <w:vAlign w:val="center"/>
          </w:tcPr>
          <w:p w14:paraId="23A05A92">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6.18×10</w:t>
            </w:r>
            <w:r>
              <w:rPr>
                <w:rFonts w:hint="eastAsia" w:ascii="Times New Roman" w:hAnsi="Times New Roman" w:eastAsia="宋体" w:cs="Times New Roman"/>
                <w:color w:val="auto"/>
                <w:sz w:val="21"/>
                <w:highlight w:val="none"/>
                <w:vertAlign w:val="superscript"/>
                <w:lang w:val="en-US" w:eastAsia="zh-CN"/>
              </w:rPr>
              <w:t>4</w:t>
            </w:r>
          </w:p>
        </w:tc>
        <w:tc>
          <w:tcPr>
            <w:tcW w:w="848" w:type="dxa"/>
            <w:vAlign w:val="center"/>
          </w:tcPr>
          <w:p w14:paraId="17F83ABA">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28.10</w:t>
            </w:r>
          </w:p>
        </w:tc>
        <w:tc>
          <w:tcPr>
            <w:tcW w:w="850" w:type="dxa"/>
            <w:vAlign w:val="center"/>
          </w:tcPr>
          <w:p w14:paraId="0D4856F3">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58.20</w:t>
            </w:r>
          </w:p>
        </w:tc>
        <w:tc>
          <w:tcPr>
            <w:tcW w:w="853" w:type="dxa"/>
            <w:vAlign w:val="center"/>
          </w:tcPr>
          <w:p w14:paraId="400D1FA2">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61.80</w:t>
            </w:r>
          </w:p>
        </w:tc>
        <w:tc>
          <w:tcPr>
            <w:tcW w:w="701" w:type="dxa"/>
            <w:vAlign w:val="center"/>
          </w:tcPr>
          <w:p w14:paraId="297BA7F3">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szCs w:val="21"/>
                <w:highlight w:val="none"/>
              </w:rPr>
              <w:t>1000</w:t>
            </w:r>
          </w:p>
        </w:tc>
      </w:tr>
      <w:tr w14:paraId="7587B9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647BE09A">
            <w:pPr>
              <w:tabs>
                <w:tab w:val="left" w:pos="1080"/>
                <w:tab w:val="left" w:pos="6090"/>
              </w:tabs>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3</w:t>
            </w:r>
          </w:p>
        </w:tc>
        <w:tc>
          <w:tcPr>
            <w:tcW w:w="1480" w:type="dxa"/>
            <w:vAlign w:val="center"/>
          </w:tcPr>
          <w:p w14:paraId="00471692">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总硬度</w:t>
            </w:r>
          </w:p>
        </w:tc>
        <w:tc>
          <w:tcPr>
            <w:tcW w:w="993" w:type="dxa"/>
            <w:vAlign w:val="center"/>
          </w:tcPr>
          <w:p w14:paraId="2C2C16CC">
            <w:pPr>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mg/L</w:t>
            </w:r>
          </w:p>
        </w:tc>
        <w:tc>
          <w:tcPr>
            <w:tcW w:w="993" w:type="dxa"/>
            <w:vAlign w:val="center"/>
          </w:tcPr>
          <w:p w14:paraId="587C4C02">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612</w:t>
            </w:r>
          </w:p>
        </w:tc>
        <w:tc>
          <w:tcPr>
            <w:tcW w:w="991" w:type="dxa"/>
            <w:vAlign w:val="center"/>
          </w:tcPr>
          <w:p w14:paraId="46192264">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1.81×10</w:t>
            </w:r>
            <w:r>
              <w:rPr>
                <w:rFonts w:hint="eastAsia" w:ascii="Times New Roman" w:hAnsi="Times New Roman" w:eastAsia="宋体" w:cs="Times New Roman"/>
                <w:color w:val="auto"/>
                <w:sz w:val="21"/>
                <w:highlight w:val="none"/>
                <w:vertAlign w:val="superscript"/>
                <w:lang w:val="en-US" w:eastAsia="zh-CN"/>
              </w:rPr>
              <w:t>3</w:t>
            </w:r>
          </w:p>
        </w:tc>
        <w:tc>
          <w:tcPr>
            <w:tcW w:w="994" w:type="dxa"/>
            <w:vAlign w:val="center"/>
          </w:tcPr>
          <w:p w14:paraId="598C0CF9">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1.68×10</w:t>
            </w:r>
            <w:r>
              <w:rPr>
                <w:rFonts w:hint="eastAsia" w:ascii="Times New Roman" w:hAnsi="Times New Roman" w:eastAsia="宋体" w:cs="Times New Roman"/>
                <w:color w:val="auto"/>
                <w:sz w:val="21"/>
                <w:highlight w:val="none"/>
                <w:vertAlign w:val="superscript"/>
                <w:lang w:val="en-US" w:eastAsia="zh-CN"/>
              </w:rPr>
              <w:t>3</w:t>
            </w:r>
          </w:p>
        </w:tc>
        <w:tc>
          <w:tcPr>
            <w:tcW w:w="848" w:type="dxa"/>
            <w:vAlign w:val="center"/>
          </w:tcPr>
          <w:p w14:paraId="09D513B6">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1.36</w:t>
            </w:r>
          </w:p>
        </w:tc>
        <w:tc>
          <w:tcPr>
            <w:tcW w:w="850" w:type="dxa"/>
            <w:vAlign w:val="center"/>
          </w:tcPr>
          <w:p w14:paraId="5C94332E">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4.02</w:t>
            </w:r>
          </w:p>
        </w:tc>
        <w:tc>
          <w:tcPr>
            <w:tcW w:w="853" w:type="dxa"/>
            <w:vAlign w:val="center"/>
          </w:tcPr>
          <w:p w14:paraId="552ED3AE">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3.73</w:t>
            </w:r>
          </w:p>
        </w:tc>
        <w:tc>
          <w:tcPr>
            <w:tcW w:w="701" w:type="dxa"/>
            <w:vAlign w:val="center"/>
          </w:tcPr>
          <w:p w14:paraId="7C43C66A">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szCs w:val="21"/>
                <w:highlight w:val="none"/>
              </w:rPr>
              <w:t>450</w:t>
            </w:r>
          </w:p>
        </w:tc>
      </w:tr>
      <w:tr w14:paraId="706B48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2E54614D">
            <w:pPr>
              <w:tabs>
                <w:tab w:val="left" w:pos="1080"/>
                <w:tab w:val="left" w:pos="6090"/>
              </w:tabs>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4</w:t>
            </w:r>
          </w:p>
        </w:tc>
        <w:tc>
          <w:tcPr>
            <w:tcW w:w="1480" w:type="dxa"/>
            <w:vAlign w:val="center"/>
          </w:tcPr>
          <w:p w14:paraId="79899B4C">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氨氮</w:t>
            </w:r>
          </w:p>
        </w:tc>
        <w:tc>
          <w:tcPr>
            <w:tcW w:w="993" w:type="dxa"/>
            <w:vAlign w:val="center"/>
          </w:tcPr>
          <w:p w14:paraId="63C474EC">
            <w:pPr>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mg/L</w:t>
            </w:r>
          </w:p>
        </w:tc>
        <w:tc>
          <w:tcPr>
            <w:tcW w:w="993" w:type="dxa"/>
            <w:vAlign w:val="center"/>
          </w:tcPr>
          <w:p w14:paraId="0702E8FB">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&lt;0.025</w:t>
            </w:r>
          </w:p>
        </w:tc>
        <w:tc>
          <w:tcPr>
            <w:tcW w:w="991" w:type="dxa"/>
            <w:vAlign w:val="center"/>
          </w:tcPr>
          <w:p w14:paraId="75B4CE0F">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&lt;0.025</w:t>
            </w:r>
          </w:p>
        </w:tc>
        <w:tc>
          <w:tcPr>
            <w:tcW w:w="994" w:type="dxa"/>
            <w:vAlign w:val="center"/>
          </w:tcPr>
          <w:p w14:paraId="6BF0032B">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&lt;0.025</w:t>
            </w:r>
          </w:p>
        </w:tc>
        <w:tc>
          <w:tcPr>
            <w:tcW w:w="848" w:type="dxa"/>
            <w:vAlign w:val="center"/>
          </w:tcPr>
          <w:p w14:paraId="702CB2F2">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850" w:type="dxa"/>
            <w:vAlign w:val="center"/>
          </w:tcPr>
          <w:p w14:paraId="72A46E7F">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853" w:type="dxa"/>
            <w:vAlign w:val="center"/>
          </w:tcPr>
          <w:p w14:paraId="158EE04C">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701" w:type="dxa"/>
            <w:vAlign w:val="center"/>
          </w:tcPr>
          <w:p w14:paraId="3BD38C35">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szCs w:val="21"/>
                <w:highlight w:val="none"/>
              </w:rPr>
              <w:t>0.5</w:t>
            </w:r>
          </w:p>
        </w:tc>
      </w:tr>
      <w:tr w14:paraId="2626CE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59AB9D2D">
            <w:pPr>
              <w:tabs>
                <w:tab w:val="left" w:pos="1080"/>
                <w:tab w:val="left" w:pos="6090"/>
              </w:tabs>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5</w:t>
            </w:r>
          </w:p>
        </w:tc>
        <w:tc>
          <w:tcPr>
            <w:tcW w:w="1480" w:type="dxa"/>
            <w:vAlign w:val="center"/>
          </w:tcPr>
          <w:p w14:paraId="7BEC975B">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氰化物</w:t>
            </w:r>
          </w:p>
        </w:tc>
        <w:tc>
          <w:tcPr>
            <w:tcW w:w="993" w:type="dxa"/>
            <w:vAlign w:val="center"/>
          </w:tcPr>
          <w:p w14:paraId="6CF35014">
            <w:pPr>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mg/L</w:t>
            </w:r>
          </w:p>
        </w:tc>
        <w:tc>
          <w:tcPr>
            <w:tcW w:w="993" w:type="dxa"/>
            <w:vAlign w:val="center"/>
          </w:tcPr>
          <w:p w14:paraId="186198C0">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&lt;0.001</w:t>
            </w:r>
          </w:p>
        </w:tc>
        <w:tc>
          <w:tcPr>
            <w:tcW w:w="991" w:type="dxa"/>
            <w:vAlign w:val="center"/>
          </w:tcPr>
          <w:p w14:paraId="5843133D">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&lt;0.001</w:t>
            </w:r>
          </w:p>
        </w:tc>
        <w:tc>
          <w:tcPr>
            <w:tcW w:w="994" w:type="dxa"/>
            <w:vAlign w:val="center"/>
          </w:tcPr>
          <w:p w14:paraId="4873F602">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&lt;0.001</w:t>
            </w:r>
          </w:p>
        </w:tc>
        <w:tc>
          <w:tcPr>
            <w:tcW w:w="848" w:type="dxa"/>
            <w:vAlign w:val="center"/>
          </w:tcPr>
          <w:p w14:paraId="6631ACFF">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850" w:type="dxa"/>
            <w:vAlign w:val="center"/>
          </w:tcPr>
          <w:p w14:paraId="612A46F2">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853" w:type="dxa"/>
            <w:vAlign w:val="center"/>
          </w:tcPr>
          <w:p w14:paraId="7364E8BF">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701" w:type="dxa"/>
            <w:vAlign w:val="center"/>
          </w:tcPr>
          <w:p w14:paraId="2A2B2D98">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szCs w:val="21"/>
                <w:highlight w:val="none"/>
              </w:rPr>
              <w:t>0.05</w:t>
            </w:r>
          </w:p>
        </w:tc>
      </w:tr>
      <w:tr w14:paraId="0F34EA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6CB81E78">
            <w:pPr>
              <w:tabs>
                <w:tab w:val="left" w:pos="1080"/>
                <w:tab w:val="left" w:pos="6090"/>
              </w:tabs>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6</w:t>
            </w:r>
          </w:p>
        </w:tc>
        <w:tc>
          <w:tcPr>
            <w:tcW w:w="1480" w:type="dxa"/>
            <w:vAlign w:val="center"/>
          </w:tcPr>
          <w:p w14:paraId="27E839BA">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挥发酚</w:t>
            </w:r>
          </w:p>
        </w:tc>
        <w:tc>
          <w:tcPr>
            <w:tcW w:w="993" w:type="dxa"/>
            <w:vAlign w:val="center"/>
          </w:tcPr>
          <w:p w14:paraId="2B11C979">
            <w:pPr>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mg/L</w:t>
            </w:r>
          </w:p>
        </w:tc>
        <w:tc>
          <w:tcPr>
            <w:tcW w:w="993" w:type="dxa"/>
            <w:vAlign w:val="center"/>
          </w:tcPr>
          <w:p w14:paraId="44CAACCF">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&lt;0.0003</w:t>
            </w:r>
          </w:p>
        </w:tc>
        <w:tc>
          <w:tcPr>
            <w:tcW w:w="991" w:type="dxa"/>
            <w:vAlign w:val="center"/>
          </w:tcPr>
          <w:p w14:paraId="72079E37">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&lt;0.0003</w:t>
            </w:r>
          </w:p>
        </w:tc>
        <w:tc>
          <w:tcPr>
            <w:tcW w:w="994" w:type="dxa"/>
            <w:vAlign w:val="center"/>
          </w:tcPr>
          <w:p w14:paraId="681091E6">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&lt;0.0003</w:t>
            </w:r>
          </w:p>
        </w:tc>
        <w:tc>
          <w:tcPr>
            <w:tcW w:w="848" w:type="dxa"/>
            <w:vAlign w:val="center"/>
          </w:tcPr>
          <w:p w14:paraId="06A5E972">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850" w:type="dxa"/>
            <w:vAlign w:val="center"/>
          </w:tcPr>
          <w:p w14:paraId="080F6816">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853" w:type="dxa"/>
            <w:vAlign w:val="center"/>
          </w:tcPr>
          <w:p w14:paraId="3CEB9D07">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701" w:type="dxa"/>
            <w:vAlign w:val="center"/>
          </w:tcPr>
          <w:p w14:paraId="5DD051E1">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szCs w:val="21"/>
                <w:highlight w:val="none"/>
              </w:rPr>
              <w:t>0.002</w:t>
            </w:r>
          </w:p>
        </w:tc>
      </w:tr>
      <w:tr w14:paraId="0D1493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5C0706AC">
            <w:pPr>
              <w:tabs>
                <w:tab w:val="left" w:pos="1080"/>
                <w:tab w:val="left" w:pos="6090"/>
              </w:tabs>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7</w:t>
            </w:r>
          </w:p>
        </w:tc>
        <w:tc>
          <w:tcPr>
            <w:tcW w:w="1480" w:type="dxa"/>
            <w:vAlign w:val="center"/>
          </w:tcPr>
          <w:p w14:paraId="7FC64A43">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亚硝酸盐</w:t>
            </w:r>
          </w:p>
        </w:tc>
        <w:tc>
          <w:tcPr>
            <w:tcW w:w="993" w:type="dxa"/>
            <w:vAlign w:val="center"/>
          </w:tcPr>
          <w:p w14:paraId="42DD17EC">
            <w:pPr>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mg/L</w:t>
            </w:r>
          </w:p>
        </w:tc>
        <w:tc>
          <w:tcPr>
            <w:tcW w:w="993" w:type="dxa"/>
            <w:vAlign w:val="center"/>
          </w:tcPr>
          <w:p w14:paraId="0F75E6DE">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&lt;0.003</w:t>
            </w:r>
          </w:p>
        </w:tc>
        <w:tc>
          <w:tcPr>
            <w:tcW w:w="991" w:type="dxa"/>
            <w:vAlign w:val="center"/>
          </w:tcPr>
          <w:p w14:paraId="6026E155">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&lt;0.003</w:t>
            </w:r>
          </w:p>
        </w:tc>
        <w:tc>
          <w:tcPr>
            <w:tcW w:w="994" w:type="dxa"/>
            <w:vAlign w:val="center"/>
          </w:tcPr>
          <w:p w14:paraId="0945C234">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&lt;0.003</w:t>
            </w:r>
          </w:p>
        </w:tc>
        <w:tc>
          <w:tcPr>
            <w:tcW w:w="848" w:type="dxa"/>
            <w:vAlign w:val="center"/>
          </w:tcPr>
          <w:p w14:paraId="41D94712">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850" w:type="dxa"/>
            <w:vAlign w:val="center"/>
          </w:tcPr>
          <w:p w14:paraId="019D9935">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853" w:type="dxa"/>
            <w:vAlign w:val="center"/>
          </w:tcPr>
          <w:p w14:paraId="7BAE7832">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701" w:type="dxa"/>
            <w:vAlign w:val="center"/>
          </w:tcPr>
          <w:p w14:paraId="520DAC5E">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szCs w:val="21"/>
                <w:highlight w:val="none"/>
              </w:rPr>
              <w:t>1.0</w:t>
            </w:r>
          </w:p>
        </w:tc>
      </w:tr>
      <w:tr w14:paraId="1E3A20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4A81823C">
            <w:pPr>
              <w:tabs>
                <w:tab w:val="left" w:pos="1080"/>
                <w:tab w:val="left" w:pos="6090"/>
              </w:tabs>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8</w:t>
            </w:r>
          </w:p>
        </w:tc>
        <w:tc>
          <w:tcPr>
            <w:tcW w:w="1480" w:type="dxa"/>
            <w:vAlign w:val="center"/>
          </w:tcPr>
          <w:p w14:paraId="3B3E752C">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锌</w:t>
            </w:r>
          </w:p>
        </w:tc>
        <w:tc>
          <w:tcPr>
            <w:tcW w:w="993" w:type="dxa"/>
            <w:vAlign w:val="center"/>
          </w:tcPr>
          <w:p w14:paraId="24905CE9">
            <w:pPr>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mg/L</w:t>
            </w:r>
          </w:p>
        </w:tc>
        <w:tc>
          <w:tcPr>
            <w:tcW w:w="993" w:type="dxa"/>
            <w:vAlign w:val="center"/>
          </w:tcPr>
          <w:p w14:paraId="4AC5B03A">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0.010</w:t>
            </w:r>
          </w:p>
        </w:tc>
        <w:tc>
          <w:tcPr>
            <w:tcW w:w="991" w:type="dxa"/>
            <w:vAlign w:val="center"/>
          </w:tcPr>
          <w:p w14:paraId="34242F8D">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0.063</w:t>
            </w:r>
          </w:p>
        </w:tc>
        <w:tc>
          <w:tcPr>
            <w:tcW w:w="994" w:type="dxa"/>
            <w:vAlign w:val="center"/>
          </w:tcPr>
          <w:p w14:paraId="12CB5269">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0.067</w:t>
            </w:r>
          </w:p>
        </w:tc>
        <w:tc>
          <w:tcPr>
            <w:tcW w:w="848" w:type="dxa"/>
            <w:vAlign w:val="center"/>
          </w:tcPr>
          <w:p w14:paraId="406E38B3">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0.010</w:t>
            </w:r>
          </w:p>
        </w:tc>
        <w:tc>
          <w:tcPr>
            <w:tcW w:w="850" w:type="dxa"/>
            <w:vAlign w:val="center"/>
          </w:tcPr>
          <w:p w14:paraId="5F36745E">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0.063</w:t>
            </w:r>
          </w:p>
        </w:tc>
        <w:tc>
          <w:tcPr>
            <w:tcW w:w="853" w:type="dxa"/>
            <w:vAlign w:val="center"/>
          </w:tcPr>
          <w:p w14:paraId="5971A839">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0.067</w:t>
            </w:r>
          </w:p>
        </w:tc>
        <w:tc>
          <w:tcPr>
            <w:tcW w:w="701" w:type="dxa"/>
            <w:vAlign w:val="center"/>
          </w:tcPr>
          <w:p w14:paraId="16B7CAA2">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szCs w:val="21"/>
                <w:highlight w:val="none"/>
              </w:rPr>
              <w:t>1.0</w:t>
            </w:r>
          </w:p>
        </w:tc>
      </w:tr>
      <w:tr w14:paraId="781AF7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2AA72B4E">
            <w:pPr>
              <w:tabs>
                <w:tab w:val="left" w:pos="1080"/>
                <w:tab w:val="left" w:pos="6090"/>
              </w:tabs>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9</w:t>
            </w:r>
          </w:p>
        </w:tc>
        <w:tc>
          <w:tcPr>
            <w:tcW w:w="1480" w:type="dxa"/>
            <w:vAlign w:val="center"/>
          </w:tcPr>
          <w:p w14:paraId="5E1F19DF">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铅</w:t>
            </w:r>
          </w:p>
        </w:tc>
        <w:tc>
          <w:tcPr>
            <w:tcW w:w="993" w:type="dxa"/>
            <w:vAlign w:val="center"/>
          </w:tcPr>
          <w:p w14:paraId="2B51600A">
            <w:pPr>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m</w:t>
            </w:r>
            <w:r>
              <w:rPr>
                <w:rFonts w:hint="default" w:ascii="Times New Roman" w:hAnsi="Times New Roman" w:cs="Times New Roman"/>
                <w:color w:val="auto"/>
                <w:sz w:val="21"/>
                <w:highlight w:val="none"/>
              </w:rPr>
              <w:t>g/L</w:t>
            </w:r>
          </w:p>
        </w:tc>
        <w:tc>
          <w:tcPr>
            <w:tcW w:w="993" w:type="dxa"/>
            <w:vAlign w:val="center"/>
          </w:tcPr>
          <w:p w14:paraId="3DF969C1">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&lt;0.0025</w:t>
            </w:r>
          </w:p>
        </w:tc>
        <w:tc>
          <w:tcPr>
            <w:tcW w:w="991" w:type="dxa"/>
            <w:vAlign w:val="center"/>
          </w:tcPr>
          <w:p w14:paraId="45445507">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&lt;0.0025</w:t>
            </w:r>
          </w:p>
        </w:tc>
        <w:tc>
          <w:tcPr>
            <w:tcW w:w="994" w:type="dxa"/>
            <w:vAlign w:val="center"/>
          </w:tcPr>
          <w:p w14:paraId="190EF3CA">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&lt;0.0025</w:t>
            </w:r>
          </w:p>
        </w:tc>
        <w:tc>
          <w:tcPr>
            <w:tcW w:w="848" w:type="dxa"/>
            <w:vAlign w:val="center"/>
          </w:tcPr>
          <w:p w14:paraId="5EACD4F4">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lang w:val="en-US" w:eastAsia="zh-CN"/>
              </w:rPr>
              <w:t>/</w:t>
            </w:r>
          </w:p>
        </w:tc>
        <w:tc>
          <w:tcPr>
            <w:tcW w:w="850" w:type="dxa"/>
            <w:vAlign w:val="center"/>
          </w:tcPr>
          <w:p w14:paraId="6B101243">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853" w:type="dxa"/>
            <w:vAlign w:val="center"/>
          </w:tcPr>
          <w:p w14:paraId="73A2EB85">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701" w:type="dxa"/>
            <w:vAlign w:val="center"/>
          </w:tcPr>
          <w:p w14:paraId="777CE46D">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szCs w:val="21"/>
                <w:highlight w:val="none"/>
              </w:rPr>
              <w:t>0.</w:t>
            </w:r>
            <w:r>
              <w:rPr>
                <w:rFonts w:hint="default" w:ascii="Times New Roman" w:hAnsi="Times New Roman" w:cs="Times New Roman"/>
                <w:color w:val="auto"/>
                <w:sz w:val="21"/>
                <w:szCs w:val="21"/>
                <w:highlight w:val="none"/>
                <w:lang w:val="en-US" w:eastAsia="zh-CN"/>
              </w:rPr>
              <w:t>01</w:t>
            </w:r>
          </w:p>
        </w:tc>
      </w:tr>
      <w:tr w14:paraId="660860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5AF61677">
            <w:pPr>
              <w:tabs>
                <w:tab w:val="left" w:pos="1080"/>
                <w:tab w:val="left" w:pos="6090"/>
              </w:tabs>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10</w:t>
            </w:r>
          </w:p>
        </w:tc>
        <w:tc>
          <w:tcPr>
            <w:tcW w:w="1480" w:type="dxa"/>
            <w:vAlign w:val="center"/>
          </w:tcPr>
          <w:p w14:paraId="2334A12D">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砷</w:t>
            </w:r>
          </w:p>
        </w:tc>
        <w:tc>
          <w:tcPr>
            <w:tcW w:w="993" w:type="dxa"/>
            <w:vAlign w:val="center"/>
          </w:tcPr>
          <w:p w14:paraId="2B651C50">
            <w:pPr>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m</w:t>
            </w:r>
            <w:r>
              <w:rPr>
                <w:rFonts w:hint="default" w:ascii="Times New Roman" w:hAnsi="Times New Roman" w:cs="Times New Roman"/>
                <w:color w:val="auto"/>
                <w:sz w:val="21"/>
                <w:highlight w:val="none"/>
              </w:rPr>
              <w:t>g/L</w:t>
            </w:r>
          </w:p>
        </w:tc>
        <w:tc>
          <w:tcPr>
            <w:tcW w:w="993" w:type="dxa"/>
            <w:vAlign w:val="center"/>
          </w:tcPr>
          <w:p w14:paraId="371E4761">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&lt;0.0003</w:t>
            </w:r>
          </w:p>
        </w:tc>
        <w:tc>
          <w:tcPr>
            <w:tcW w:w="991" w:type="dxa"/>
            <w:vAlign w:val="center"/>
          </w:tcPr>
          <w:p w14:paraId="3B417A86">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&lt;0.0003</w:t>
            </w:r>
          </w:p>
        </w:tc>
        <w:tc>
          <w:tcPr>
            <w:tcW w:w="994" w:type="dxa"/>
            <w:vAlign w:val="center"/>
          </w:tcPr>
          <w:p w14:paraId="585CCCFF">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&lt;0.0003</w:t>
            </w:r>
          </w:p>
        </w:tc>
        <w:tc>
          <w:tcPr>
            <w:tcW w:w="848" w:type="dxa"/>
            <w:vAlign w:val="center"/>
          </w:tcPr>
          <w:p w14:paraId="24DD6C18">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lang w:val="en-US" w:eastAsia="zh-CN"/>
              </w:rPr>
              <w:t>/</w:t>
            </w:r>
          </w:p>
        </w:tc>
        <w:tc>
          <w:tcPr>
            <w:tcW w:w="850" w:type="dxa"/>
            <w:vAlign w:val="center"/>
          </w:tcPr>
          <w:p w14:paraId="5251044E">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853" w:type="dxa"/>
            <w:vAlign w:val="center"/>
          </w:tcPr>
          <w:p w14:paraId="422618EA">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701" w:type="dxa"/>
            <w:vAlign w:val="center"/>
          </w:tcPr>
          <w:p w14:paraId="3F4ABF6A">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szCs w:val="21"/>
                <w:highlight w:val="none"/>
              </w:rPr>
              <w:t>0.</w:t>
            </w:r>
            <w:r>
              <w:rPr>
                <w:rFonts w:hint="default" w:ascii="Times New Roman" w:hAnsi="Times New Roman" w:cs="Times New Roman"/>
                <w:color w:val="auto"/>
                <w:sz w:val="21"/>
                <w:szCs w:val="21"/>
                <w:highlight w:val="none"/>
                <w:lang w:val="en-US" w:eastAsia="zh-CN"/>
              </w:rPr>
              <w:t>01</w:t>
            </w:r>
          </w:p>
        </w:tc>
      </w:tr>
      <w:tr w14:paraId="1AF0D1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4CE2107A">
            <w:pPr>
              <w:tabs>
                <w:tab w:val="left" w:pos="1080"/>
                <w:tab w:val="left" w:pos="6090"/>
              </w:tabs>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11</w:t>
            </w:r>
          </w:p>
        </w:tc>
        <w:tc>
          <w:tcPr>
            <w:tcW w:w="1480" w:type="dxa"/>
            <w:vAlign w:val="center"/>
          </w:tcPr>
          <w:p w14:paraId="21BB8CAE">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汞</w:t>
            </w:r>
          </w:p>
        </w:tc>
        <w:tc>
          <w:tcPr>
            <w:tcW w:w="993" w:type="dxa"/>
            <w:vAlign w:val="center"/>
          </w:tcPr>
          <w:p w14:paraId="483EDB31">
            <w:pPr>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m</w:t>
            </w:r>
            <w:r>
              <w:rPr>
                <w:rFonts w:hint="default" w:ascii="Times New Roman" w:hAnsi="Times New Roman" w:cs="Times New Roman"/>
                <w:color w:val="auto"/>
                <w:sz w:val="21"/>
                <w:highlight w:val="none"/>
              </w:rPr>
              <w:t>g/L</w:t>
            </w:r>
          </w:p>
        </w:tc>
        <w:tc>
          <w:tcPr>
            <w:tcW w:w="993" w:type="dxa"/>
            <w:vAlign w:val="center"/>
          </w:tcPr>
          <w:p w14:paraId="11CF6A96">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&lt;0.00004</w:t>
            </w:r>
          </w:p>
        </w:tc>
        <w:tc>
          <w:tcPr>
            <w:tcW w:w="991" w:type="dxa"/>
            <w:vAlign w:val="center"/>
          </w:tcPr>
          <w:p w14:paraId="606EF861">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&lt;0.00004</w:t>
            </w:r>
          </w:p>
        </w:tc>
        <w:tc>
          <w:tcPr>
            <w:tcW w:w="994" w:type="dxa"/>
            <w:vAlign w:val="center"/>
          </w:tcPr>
          <w:p w14:paraId="2684B840">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&lt;0.00004</w:t>
            </w:r>
          </w:p>
        </w:tc>
        <w:tc>
          <w:tcPr>
            <w:tcW w:w="848" w:type="dxa"/>
            <w:vAlign w:val="center"/>
          </w:tcPr>
          <w:p w14:paraId="1DF4242A">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lang w:val="en-US" w:eastAsia="zh-CN"/>
              </w:rPr>
              <w:t>/</w:t>
            </w:r>
          </w:p>
        </w:tc>
        <w:tc>
          <w:tcPr>
            <w:tcW w:w="850" w:type="dxa"/>
            <w:vAlign w:val="center"/>
          </w:tcPr>
          <w:p w14:paraId="6456DD94">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853" w:type="dxa"/>
            <w:vAlign w:val="center"/>
          </w:tcPr>
          <w:p w14:paraId="7795C6A9">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701" w:type="dxa"/>
            <w:vAlign w:val="center"/>
          </w:tcPr>
          <w:p w14:paraId="67972261">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0.001</w:t>
            </w:r>
          </w:p>
        </w:tc>
      </w:tr>
      <w:tr w14:paraId="35DD09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408698EE">
            <w:pPr>
              <w:tabs>
                <w:tab w:val="left" w:pos="1080"/>
                <w:tab w:val="left" w:pos="6090"/>
              </w:tabs>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12</w:t>
            </w:r>
          </w:p>
        </w:tc>
        <w:tc>
          <w:tcPr>
            <w:tcW w:w="1480" w:type="dxa"/>
            <w:vAlign w:val="center"/>
          </w:tcPr>
          <w:p w14:paraId="6D849FCA">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镉</w:t>
            </w:r>
          </w:p>
        </w:tc>
        <w:tc>
          <w:tcPr>
            <w:tcW w:w="993" w:type="dxa"/>
            <w:vAlign w:val="center"/>
          </w:tcPr>
          <w:p w14:paraId="5C30C4D3">
            <w:pPr>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m</w:t>
            </w:r>
            <w:r>
              <w:rPr>
                <w:rFonts w:hint="default" w:ascii="Times New Roman" w:hAnsi="Times New Roman" w:cs="Times New Roman"/>
                <w:color w:val="auto"/>
                <w:sz w:val="21"/>
                <w:highlight w:val="none"/>
              </w:rPr>
              <w:t>g/L</w:t>
            </w:r>
          </w:p>
        </w:tc>
        <w:tc>
          <w:tcPr>
            <w:tcW w:w="993" w:type="dxa"/>
            <w:vAlign w:val="center"/>
          </w:tcPr>
          <w:p w14:paraId="7FE5316D">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&lt;0.004</w:t>
            </w:r>
          </w:p>
        </w:tc>
        <w:tc>
          <w:tcPr>
            <w:tcW w:w="991" w:type="dxa"/>
            <w:vAlign w:val="center"/>
          </w:tcPr>
          <w:p w14:paraId="36048FBB">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&lt;0.004</w:t>
            </w:r>
          </w:p>
        </w:tc>
        <w:tc>
          <w:tcPr>
            <w:tcW w:w="994" w:type="dxa"/>
            <w:vAlign w:val="center"/>
          </w:tcPr>
          <w:p w14:paraId="4289A7E1">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&lt;0.004</w:t>
            </w:r>
          </w:p>
        </w:tc>
        <w:tc>
          <w:tcPr>
            <w:tcW w:w="848" w:type="dxa"/>
            <w:vAlign w:val="center"/>
          </w:tcPr>
          <w:p w14:paraId="0C8F94CE">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lang w:val="en-US" w:eastAsia="zh-CN"/>
              </w:rPr>
              <w:t>/</w:t>
            </w:r>
          </w:p>
        </w:tc>
        <w:tc>
          <w:tcPr>
            <w:tcW w:w="850" w:type="dxa"/>
            <w:vAlign w:val="center"/>
          </w:tcPr>
          <w:p w14:paraId="244FB383">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853" w:type="dxa"/>
            <w:vAlign w:val="center"/>
          </w:tcPr>
          <w:p w14:paraId="25739A91">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701" w:type="dxa"/>
            <w:vAlign w:val="center"/>
          </w:tcPr>
          <w:p w14:paraId="7934EEE3">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0.005</w:t>
            </w:r>
          </w:p>
        </w:tc>
      </w:tr>
      <w:tr w14:paraId="391845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2D6747FD">
            <w:pPr>
              <w:tabs>
                <w:tab w:val="left" w:pos="1080"/>
                <w:tab w:val="left" w:pos="6090"/>
              </w:tabs>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13</w:t>
            </w:r>
          </w:p>
        </w:tc>
        <w:tc>
          <w:tcPr>
            <w:tcW w:w="1480" w:type="dxa"/>
            <w:vAlign w:val="center"/>
          </w:tcPr>
          <w:p w14:paraId="71E4A4BF">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六价铬</w:t>
            </w:r>
          </w:p>
        </w:tc>
        <w:tc>
          <w:tcPr>
            <w:tcW w:w="993" w:type="dxa"/>
            <w:vAlign w:val="center"/>
          </w:tcPr>
          <w:p w14:paraId="2C9AF4EF">
            <w:pPr>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mg/L</w:t>
            </w:r>
          </w:p>
        </w:tc>
        <w:tc>
          <w:tcPr>
            <w:tcW w:w="993" w:type="dxa"/>
            <w:vAlign w:val="center"/>
          </w:tcPr>
          <w:p w14:paraId="35202858">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&lt;0.004</w:t>
            </w:r>
          </w:p>
        </w:tc>
        <w:tc>
          <w:tcPr>
            <w:tcW w:w="991" w:type="dxa"/>
            <w:vAlign w:val="center"/>
          </w:tcPr>
          <w:p w14:paraId="2B0B904E">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&lt;0.004</w:t>
            </w:r>
          </w:p>
        </w:tc>
        <w:tc>
          <w:tcPr>
            <w:tcW w:w="994" w:type="dxa"/>
            <w:vAlign w:val="center"/>
          </w:tcPr>
          <w:p w14:paraId="61418C76">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&lt;0.004</w:t>
            </w:r>
          </w:p>
        </w:tc>
        <w:tc>
          <w:tcPr>
            <w:tcW w:w="848" w:type="dxa"/>
            <w:vAlign w:val="center"/>
          </w:tcPr>
          <w:p w14:paraId="50C772E7">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850" w:type="dxa"/>
            <w:vAlign w:val="center"/>
          </w:tcPr>
          <w:p w14:paraId="7224AA14">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853" w:type="dxa"/>
            <w:vAlign w:val="center"/>
          </w:tcPr>
          <w:p w14:paraId="748F9B0D">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701" w:type="dxa"/>
            <w:vAlign w:val="center"/>
          </w:tcPr>
          <w:p w14:paraId="761A63D1">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szCs w:val="21"/>
                <w:highlight w:val="none"/>
              </w:rPr>
              <w:t>0.05</w:t>
            </w:r>
          </w:p>
        </w:tc>
      </w:tr>
      <w:tr w14:paraId="66FF55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71" w:type="dxa"/>
            <w:vAlign w:val="center"/>
          </w:tcPr>
          <w:p w14:paraId="26292DB8">
            <w:pPr>
              <w:tabs>
                <w:tab w:val="left" w:pos="1080"/>
                <w:tab w:val="left" w:pos="6090"/>
              </w:tabs>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14</w:t>
            </w:r>
          </w:p>
        </w:tc>
        <w:tc>
          <w:tcPr>
            <w:tcW w:w="1480" w:type="dxa"/>
            <w:vAlign w:val="center"/>
          </w:tcPr>
          <w:p w14:paraId="385E1527">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钾</w:t>
            </w:r>
          </w:p>
        </w:tc>
        <w:tc>
          <w:tcPr>
            <w:tcW w:w="993" w:type="dxa"/>
            <w:vAlign w:val="center"/>
          </w:tcPr>
          <w:p w14:paraId="1B09C767">
            <w:pPr>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mg/L</w:t>
            </w:r>
          </w:p>
        </w:tc>
        <w:tc>
          <w:tcPr>
            <w:tcW w:w="993" w:type="dxa"/>
            <w:vAlign w:val="center"/>
          </w:tcPr>
          <w:p w14:paraId="726F43E0">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87.0</w:t>
            </w:r>
          </w:p>
        </w:tc>
        <w:tc>
          <w:tcPr>
            <w:tcW w:w="991" w:type="dxa"/>
            <w:vAlign w:val="center"/>
          </w:tcPr>
          <w:p w14:paraId="4F1F3E60">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91.1</w:t>
            </w:r>
          </w:p>
        </w:tc>
        <w:tc>
          <w:tcPr>
            <w:tcW w:w="994" w:type="dxa"/>
            <w:vAlign w:val="center"/>
          </w:tcPr>
          <w:p w14:paraId="7686987F">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94.1</w:t>
            </w:r>
          </w:p>
        </w:tc>
        <w:tc>
          <w:tcPr>
            <w:tcW w:w="848" w:type="dxa"/>
            <w:vAlign w:val="center"/>
          </w:tcPr>
          <w:p w14:paraId="6EC9A0C4">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850" w:type="dxa"/>
            <w:vAlign w:val="center"/>
          </w:tcPr>
          <w:p w14:paraId="1BDA765C">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853" w:type="dxa"/>
            <w:vAlign w:val="center"/>
          </w:tcPr>
          <w:p w14:paraId="648E4F23">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701" w:type="dxa"/>
            <w:vAlign w:val="center"/>
          </w:tcPr>
          <w:p w14:paraId="4BC57256">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w:t>
            </w:r>
          </w:p>
        </w:tc>
      </w:tr>
      <w:tr w14:paraId="6A9D5B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317F8752">
            <w:pPr>
              <w:tabs>
                <w:tab w:val="left" w:pos="1080"/>
                <w:tab w:val="left" w:pos="6090"/>
              </w:tabs>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15</w:t>
            </w:r>
          </w:p>
        </w:tc>
        <w:tc>
          <w:tcPr>
            <w:tcW w:w="1480" w:type="dxa"/>
            <w:vAlign w:val="center"/>
          </w:tcPr>
          <w:p w14:paraId="6A95FB03">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钠</w:t>
            </w:r>
          </w:p>
        </w:tc>
        <w:tc>
          <w:tcPr>
            <w:tcW w:w="993" w:type="dxa"/>
            <w:vAlign w:val="center"/>
          </w:tcPr>
          <w:p w14:paraId="7A5FD1CA">
            <w:pPr>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mg/L</w:t>
            </w:r>
          </w:p>
        </w:tc>
        <w:tc>
          <w:tcPr>
            <w:tcW w:w="993" w:type="dxa"/>
            <w:vAlign w:val="center"/>
          </w:tcPr>
          <w:p w14:paraId="68135306">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9.99×10</w:t>
            </w:r>
            <w:r>
              <w:rPr>
                <w:rFonts w:hint="eastAsia" w:ascii="Times New Roman" w:hAnsi="Times New Roman" w:eastAsia="宋体" w:cs="Times New Roman"/>
                <w:color w:val="auto"/>
                <w:sz w:val="21"/>
                <w:highlight w:val="none"/>
                <w:vertAlign w:val="superscript"/>
                <w:lang w:val="en-US" w:eastAsia="zh-CN"/>
              </w:rPr>
              <w:t>3</w:t>
            </w:r>
          </w:p>
        </w:tc>
        <w:tc>
          <w:tcPr>
            <w:tcW w:w="991" w:type="dxa"/>
            <w:vAlign w:val="center"/>
          </w:tcPr>
          <w:p w14:paraId="7E34D8CE">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2.17×10</w:t>
            </w:r>
            <w:r>
              <w:rPr>
                <w:rFonts w:hint="eastAsia" w:ascii="Times New Roman" w:hAnsi="Times New Roman" w:eastAsia="宋体" w:cs="Times New Roman"/>
                <w:color w:val="auto"/>
                <w:sz w:val="21"/>
                <w:highlight w:val="none"/>
                <w:vertAlign w:val="superscript"/>
                <w:lang w:val="en-US" w:eastAsia="zh-CN"/>
              </w:rPr>
              <w:t>4</w:t>
            </w:r>
          </w:p>
        </w:tc>
        <w:tc>
          <w:tcPr>
            <w:tcW w:w="994" w:type="dxa"/>
            <w:vAlign w:val="center"/>
          </w:tcPr>
          <w:p w14:paraId="697F55DD">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2.13×10</w:t>
            </w:r>
            <w:r>
              <w:rPr>
                <w:rFonts w:hint="eastAsia" w:ascii="Times New Roman" w:hAnsi="Times New Roman" w:eastAsia="宋体" w:cs="Times New Roman"/>
                <w:color w:val="auto"/>
                <w:sz w:val="21"/>
                <w:highlight w:val="none"/>
                <w:vertAlign w:val="superscript"/>
                <w:lang w:val="en-US" w:eastAsia="zh-CN"/>
              </w:rPr>
              <w:t>4</w:t>
            </w:r>
          </w:p>
        </w:tc>
        <w:tc>
          <w:tcPr>
            <w:tcW w:w="848" w:type="dxa"/>
            <w:vAlign w:val="center"/>
          </w:tcPr>
          <w:p w14:paraId="3705A014">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49.95</w:t>
            </w:r>
          </w:p>
        </w:tc>
        <w:tc>
          <w:tcPr>
            <w:tcW w:w="850" w:type="dxa"/>
            <w:vAlign w:val="center"/>
          </w:tcPr>
          <w:p w14:paraId="792C1DE7">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108.5</w:t>
            </w:r>
          </w:p>
        </w:tc>
        <w:tc>
          <w:tcPr>
            <w:tcW w:w="853" w:type="dxa"/>
            <w:vAlign w:val="center"/>
          </w:tcPr>
          <w:p w14:paraId="2B6833AE">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106.5</w:t>
            </w:r>
          </w:p>
        </w:tc>
        <w:tc>
          <w:tcPr>
            <w:tcW w:w="701" w:type="dxa"/>
            <w:vAlign w:val="center"/>
          </w:tcPr>
          <w:p w14:paraId="4E97BECC">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200</w:t>
            </w:r>
          </w:p>
        </w:tc>
      </w:tr>
      <w:tr w14:paraId="7A5E1D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5606ABBB">
            <w:pPr>
              <w:tabs>
                <w:tab w:val="left" w:pos="1080"/>
                <w:tab w:val="left" w:pos="6090"/>
              </w:tabs>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16</w:t>
            </w:r>
          </w:p>
        </w:tc>
        <w:tc>
          <w:tcPr>
            <w:tcW w:w="1480" w:type="dxa"/>
            <w:vAlign w:val="center"/>
          </w:tcPr>
          <w:p w14:paraId="7C7B3474">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总大肠菌群</w:t>
            </w:r>
          </w:p>
        </w:tc>
        <w:tc>
          <w:tcPr>
            <w:tcW w:w="993" w:type="dxa"/>
            <w:vAlign w:val="center"/>
          </w:tcPr>
          <w:p w14:paraId="5F08A14C">
            <w:pPr>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MPN/L</w:t>
            </w:r>
          </w:p>
        </w:tc>
        <w:tc>
          <w:tcPr>
            <w:tcW w:w="993" w:type="dxa"/>
            <w:vAlign w:val="center"/>
          </w:tcPr>
          <w:p w14:paraId="42818C66">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&lt;20</w:t>
            </w:r>
          </w:p>
        </w:tc>
        <w:tc>
          <w:tcPr>
            <w:tcW w:w="991" w:type="dxa"/>
            <w:vAlign w:val="center"/>
          </w:tcPr>
          <w:p w14:paraId="78BCD693">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&lt;20</w:t>
            </w:r>
          </w:p>
        </w:tc>
        <w:tc>
          <w:tcPr>
            <w:tcW w:w="994" w:type="dxa"/>
            <w:vAlign w:val="center"/>
          </w:tcPr>
          <w:p w14:paraId="5867B6D3">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&lt;20</w:t>
            </w:r>
          </w:p>
        </w:tc>
        <w:tc>
          <w:tcPr>
            <w:tcW w:w="848" w:type="dxa"/>
            <w:vAlign w:val="center"/>
          </w:tcPr>
          <w:p w14:paraId="21BD5184">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850" w:type="dxa"/>
            <w:vAlign w:val="center"/>
          </w:tcPr>
          <w:p w14:paraId="103DFB0D">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853" w:type="dxa"/>
            <w:vAlign w:val="center"/>
          </w:tcPr>
          <w:p w14:paraId="76E7ACF6">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701" w:type="dxa"/>
            <w:vAlign w:val="center"/>
          </w:tcPr>
          <w:p w14:paraId="1C3010CE">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30</w:t>
            </w:r>
          </w:p>
        </w:tc>
      </w:tr>
      <w:tr w14:paraId="721CF1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6B547677">
            <w:pPr>
              <w:tabs>
                <w:tab w:val="left" w:pos="1080"/>
                <w:tab w:val="left" w:pos="6090"/>
              </w:tabs>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17</w:t>
            </w:r>
          </w:p>
        </w:tc>
        <w:tc>
          <w:tcPr>
            <w:tcW w:w="1480" w:type="dxa"/>
            <w:vAlign w:val="center"/>
          </w:tcPr>
          <w:p w14:paraId="1E9972C2">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铜</w:t>
            </w:r>
          </w:p>
        </w:tc>
        <w:tc>
          <w:tcPr>
            <w:tcW w:w="993" w:type="dxa"/>
            <w:vAlign w:val="center"/>
          </w:tcPr>
          <w:p w14:paraId="73CF1BEC">
            <w:pPr>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mg/L</w:t>
            </w:r>
          </w:p>
        </w:tc>
        <w:tc>
          <w:tcPr>
            <w:tcW w:w="993" w:type="dxa"/>
            <w:vAlign w:val="center"/>
          </w:tcPr>
          <w:p w14:paraId="17A7D7DD">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&lt;0.009</w:t>
            </w:r>
          </w:p>
        </w:tc>
        <w:tc>
          <w:tcPr>
            <w:tcW w:w="991" w:type="dxa"/>
            <w:vAlign w:val="center"/>
          </w:tcPr>
          <w:p w14:paraId="1CFFD3AE">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&lt;0.009</w:t>
            </w:r>
          </w:p>
        </w:tc>
        <w:tc>
          <w:tcPr>
            <w:tcW w:w="994" w:type="dxa"/>
            <w:vAlign w:val="center"/>
          </w:tcPr>
          <w:p w14:paraId="267F94E9">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&lt;0.009</w:t>
            </w:r>
          </w:p>
        </w:tc>
        <w:tc>
          <w:tcPr>
            <w:tcW w:w="848" w:type="dxa"/>
            <w:vAlign w:val="center"/>
          </w:tcPr>
          <w:p w14:paraId="0659C480">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850" w:type="dxa"/>
            <w:vAlign w:val="center"/>
          </w:tcPr>
          <w:p w14:paraId="298271D9">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853" w:type="dxa"/>
            <w:vAlign w:val="center"/>
          </w:tcPr>
          <w:p w14:paraId="2C29224C">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701" w:type="dxa"/>
            <w:vAlign w:val="center"/>
          </w:tcPr>
          <w:p w14:paraId="1824F0F1">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1.00</w:t>
            </w:r>
          </w:p>
        </w:tc>
      </w:tr>
      <w:tr w14:paraId="175D92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2EBBAC31">
            <w:pPr>
              <w:tabs>
                <w:tab w:val="left" w:pos="1080"/>
                <w:tab w:val="left" w:pos="6090"/>
              </w:tabs>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18</w:t>
            </w:r>
          </w:p>
        </w:tc>
        <w:tc>
          <w:tcPr>
            <w:tcW w:w="1480" w:type="dxa"/>
            <w:vAlign w:val="center"/>
          </w:tcPr>
          <w:p w14:paraId="1068FB53">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氯化物</w:t>
            </w:r>
          </w:p>
        </w:tc>
        <w:tc>
          <w:tcPr>
            <w:tcW w:w="993" w:type="dxa"/>
            <w:vAlign w:val="center"/>
          </w:tcPr>
          <w:p w14:paraId="15052A14">
            <w:pPr>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mg/L</w:t>
            </w:r>
          </w:p>
        </w:tc>
        <w:tc>
          <w:tcPr>
            <w:tcW w:w="993" w:type="dxa"/>
            <w:vAlign w:val="center"/>
          </w:tcPr>
          <w:p w14:paraId="5EDCB762">
            <w:pPr>
              <w:snapToGrid w:val="0"/>
              <w:spacing w:line="360" w:lineRule="exact"/>
              <w:ind w:left="-120" w:leftChars="-50" w:right="-120" w:rightChars="-50" w:firstLine="0" w:firstLineChars="0"/>
              <w:jc w:val="center"/>
              <w:rPr>
                <w:rFonts w:hint="eastAsia"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9.59×10</w:t>
            </w:r>
            <w:r>
              <w:rPr>
                <w:rFonts w:hint="eastAsia" w:ascii="Times New Roman" w:hAnsi="Times New Roman" w:eastAsia="宋体" w:cs="Times New Roman"/>
                <w:color w:val="auto"/>
                <w:sz w:val="21"/>
                <w:highlight w:val="none"/>
                <w:vertAlign w:val="superscript"/>
                <w:lang w:val="en-US" w:eastAsia="zh-CN"/>
              </w:rPr>
              <w:t>3</w:t>
            </w:r>
          </w:p>
        </w:tc>
        <w:tc>
          <w:tcPr>
            <w:tcW w:w="991" w:type="dxa"/>
            <w:vAlign w:val="center"/>
          </w:tcPr>
          <w:p w14:paraId="7076A3C8">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2.50×10</w:t>
            </w:r>
            <w:r>
              <w:rPr>
                <w:rFonts w:hint="eastAsia" w:ascii="Times New Roman" w:hAnsi="Times New Roman" w:eastAsia="宋体" w:cs="Times New Roman"/>
                <w:color w:val="auto"/>
                <w:sz w:val="21"/>
                <w:highlight w:val="none"/>
                <w:vertAlign w:val="superscript"/>
                <w:lang w:val="en-US" w:eastAsia="zh-CN"/>
              </w:rPr>
              <w:t>4</w:t>
            </w:r>
          </w:p>
        </w:tc>
        <w:tc>
          <w:tcPr>
            <w:tcW w:w="994" w:type="dxa"/>
            <w:vAlign w:val="center"/>
          </w:tcPr>
          <w:p w14:paraId="326A7289">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2.69×10</w:t>
            </w:r>
            <w:r>
              <w:rPr>
                <w:rFonts w:hint="eastAsia" w:ascii="Times New Roman" w:hAnsi="Times New Roman" w:eastAsia="宋体" w:cs="Times New Roman"/>
                <w:color w:val="auto"/>
                <w:sz w:val="21"/>
                <w:highlight w:val="none"/>
                <w:vertAlign w:val="superscript"/>
                <w:lang w:val="en-US" w:eastAsia="zh-CN"/>
              </w:rPr>
              <w:t>4</w:t>
            </w:r>
          </w:p>
        </w:tc>
        <w:tc>
          <w:tcPr>
            <w:tcW w:w="848" w:type="dxa"/>
            <w:vAlign w:val="center"/>
          </w:tcPr>
          <w:p w14:paraId="7EED810B">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38.36</w:t>
            </w:r>
          </w:p>
        </w:tc>
        <w:tc>
          <w:tcPr>
            <w:tcW w:w="850" w:type="dxa"/>
            <w:vAlign w:val="center"/>
          </w:tcPr>
          <w:p w14:paraId="06BEBE64">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100.0</w:t>
            </w:r>
          </w:p>
        </w:tc>
        <w:tc>
          <w:tcPr>
            <w:tcW w:w="853" w:type="dxa"/>
            <w:vAlign w:val="center"/>
          </w:tcPr>
          <w:p w14:paraId="6E471219">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107.6</w:t>
            </w:r>
          </w:p>
        </w:tc>
        <w:tc>
          <w:tcPr>
            <w:tcW w:w="701" w:type="dxa"/>
            <w:vAlign w:val="center"/>
          </w:tcPr>
          <w:p w14:paraId="75CAD5ED">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szCs w:val="21"/>
                <w:highlight w:val="none"/>
              </w:rPr>
              <w:t>250</w:t>
            </w:r>
          </w:p>
        </w:tc>
      </w:tr>
      <w:tr w14:paraId="117898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1E19F5B1">
            <w:pPr>
              <w:tabs>
                <w:tab w:val="left" w:pos="1080"/>
                <w:tab w:val="left" w:pos="6090"/>
              </w:tabs>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19</w:t>
            </w:r>
          </w:p>
        </w:tc>
        <w:tc>
          <w:tcPr>
            <w:tcW w:w="1480" w:type="dxa"/>
            <w:vAlign w:val="center"/>
          </w:tcPr>
          <w:p w14:paraId="7518FEBA">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硫酸盐</w:t>
            </w:r>
          </w:p>
        </w:tc>
        <w:tc>
          <w:tcPr>
            <w:tcW w:w="993" w:type="dxa"/>
            <w:vAlign w:val="center"/>
          </w:tcPr>
          <w:p w14:paraId="21D5C00A">
            <w:pPr>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mg/L</w:t>
            </w:r>
          </w:p>
        </w:tc>
        <w:tc>
          <w:tcPr>
            <w:tcW w:w="993" w:type="dxa"/>
            <w:vAlign w:val="center"/>
          </w:tcPr>
          <w:p w14:paraId="7394A91A">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6.84×10</w:t>
            </w:r>
            <w:r>
              <w:rPr>
                <w:rFonts w:hint="eastAsia" w:ascii="Times New Roman" w:hAnsi="Times New Roman" w:eastAsia="宋体" w:cs="Times New Roman"/>
                <w:color w:val="auto"/>
                <w:sz w:val="21"/>
                <w:highlight w:val="none"/>
                <w:vertAlign w:val="superscript"/>
                <w:lang w:val="en-US" w:eastAsia="zh-CN"/>
              </w:rPr>
              <w:t>3</w:t>
            </w:r>
          </w:p>
        </w:tc>
        <w:tc>
          <w:tcPr>
            <w:tcW w:w="991" w:type="dxa"/>
            <w:vAlign w:val="center"/>
          </w:tcPr>
          <w:p w14:paraId="23F798F1">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8.23×10</w:t>
            </w:r>
            <w:r>
              <w:rPr>
                <w:rFonts w:hint="eastAsia" w:ascii="Times New Roman" w:hAnsi="Times New Roman" w:eastAsia="宋体" w:cs="Times New Roman"/>
                <w:color w:val="auto"/>
                <w:sz w:val="21"/>
                <w:highlight w:val="none"/>
                <w:vertAlign w:val="superscript"/>
                <w:lang w:val="en-US" w:eastAsia="zh-CN"/>
              </w:rPr>
              <w:t>3</w:t>
            </w:r>
          </w:p>
        </w:tc>
        <w:tc>
          <w:tcPr>
            <w:tcW w:w="994" w:type="dxa"/>
            <w:vAlign w:val="center"/>
          </w:tcPr>
          <w:p w14:paraId="48B5DEE6">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7.37×10</w:t>
            </w:r>
            <w:r>
              <w:rPr>
                <w:rFonts w:hint="eastAsia" w:ascii="Times New Roman" w:hAnsi="Times New Roman" w:eastAsia="宋体" w:cs="Times New Roman"/>
                <w:color w:val="auto"/>
                <w:sz w:val="21"/>
                <w:highlight w:val="none"/>
                <w:vertAlign w:val="superscript"/>
                <w:lang w:val="en-US" w:eastAsia="zh-CN"/>
              </w:rPr>
              <w:t>3</w:t>
            </w:r>
          </w:p>
        </w:tc>
        <w:tc>
          <w:tcPr>
            <w:tcW w:w="848" w:type="dxa"/>
            <w:vAlign w:val="center"/>
          </w:tcPr>
          <w:p w14:paraId="59121A21">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27.36</w:t>
            </w:r>
          </w:p>
        </w:tc>
        <w:tc>
          <w:tcPr>
            <w:tcW w:w="850" w:type="dxa"/>
            <w:vAlign w:val="center"/>
          </w:tcPr>
          <w:p w14:paraId="23DEAEFA">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32.92</w:t>
            </w:r>
          </w:p>
        </w:tc>
        <w:tc>
          <w:tcPr>
            <w:tcW w:w="853" w:type="dxa"/>
            <w:vAlign w:val="center"/>
          </w:tcPr>
          <w:p w14:paraId="18FB9E8A">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29.48</w:t>
            </w:r>
          </w:p>
        </w:tc>
        <w:tc>
          <w:tcPr>
            <w:tcW w:w="701" w:type="dxa"/>
            <w:vAlign w:val="center"/>
          </w:tcPr>
          <w:p w14:paraId="4230A411">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szCs w:val="21"/>
                <w:highlight w:val="none"/>
              </w:rPr>
              <w:t>250</w:t>
            </w:r>
          </w:p>
        </w:tc>
      </w:tr>
      <w:tr w14:paraId="632649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68292A6A">
            <w:pPr>
              <w:tabs>
                <w:tab w:val="left" w:pos="1080"/>
                <w:tab w:val="left" w:pos="6090"/>
              </w:tabs>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20</w:t>
            </w:r>
          </w:p>
        </w:tc>
        <w:tc>
          <w:tcPr>
            <w:tcW w:w="1480" w:type="dxa"/>
            <w:vAlign w:val="center"/>
          </w:tcPr>
          <w:p w14:paraId="1F7F4279">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硝酸盐</w:t>
            </w:r>
          </w:p>
        </w:tc>
        <w:tc>
          <w:tcPr>
            <w:tcW w:w="993" w:type="dxa"/>
            <w:vAlign w:val="center"/>
          </w:tcPr>
          <w:p w14:paraId="4D0BD420">
            <w:pPr>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mg/L</w:t>
            </w:r>
          </w:p>
        </w:tc>
        <w:tc>
          <w:tcPr>
            <w:tcW w:w="993" w:type="dxa"/>
            <w:vAlign w:val="center"/>
          </w:tcPr>
          <w:p w14:paraId="76C6BB5E">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2.14</w:t>
            </w:r>
          </w:p>
        </w:tc>
        <w:tc>
          <w:tcPr>
            <w:tcW w:w="991" w:type="dxa"/>
            <w:vAlign w:val="center"/>
          </w:tcPr>
          <w:p w14:paraId="54CEDCAC">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1.58</w:t>
            </w:r>
          </w:p>
        </w:tc>
        <w:tc>
          <w:tcPr>
            <w:tcW w:w="994" w:type="dxa"/>
            <w:vAlign w:val="center"/>
          </w:tcPr>
          <w:p w14:paraId="644C4B09">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1.76</w:t>
            </w:r>
          </w:p>
        </w:tc>
        <w:tc>
          <w:tcPr>
            <w:tcW w:w="848" w:type="dxa"/>
            <w:vAlign w:val="center"/>
          </w:tcPr>
          <w:p w14:paraId="5119F141">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0.107</w:t>
            </w:r>
          </w:p>
        </w:tc>
        <w:tc>
          <w:tcPr>
            <w:tcW w:w="850" w:type="dxa"/>
            <w:vAlign w:val="center"/>
          </w:tcPr>
          <w:p w14:paraId="7D63C0B1">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0.079</w:t>
            </w:r>
          </w:p>
        </w:tc>
        <w:tc>
          <w:tcPr>
            <w:tcW w:w="853" w:type="dxa"/>
            <w:vAlign w:val="center"/>
          </w:tcPr>
          <w:p w14:paraId="36691D92">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0.088</w:t>
            </w:r>
          </w:p>
        </w:tc>
        <w:tc>
          <w:tcPr>
            <w:tcW w:w="701" w:type="dxa"/>
            <w:vAlign w:val="center"/>
          </w:tcPr>
          <w:p w14:paraId="1D7A52EA">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20</w:t>
            </w:r>
          </w:p>
        </w:tc>
      </w:tr>
      <w:tr w14:paraId="620B8A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6C2D312F">
            <w:pPr>
              <w:tabs>
                <w:tab w:val="left" w:pos="1080"/>
                <w:tab w:val="left" w:pos="6090"/>
              </w:tabs>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21</w:t>
            </w:r>
          </w:p>
        </w:tc>
        <w:tc>
          <w:tcPr>
            <w:tcW w:w="1480" w:type="dxa"/>
            <w:vAlign w:val="center"/>
          </w:tcPr>
          <w:p w14:paraId="30AC6560">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铁</w:t>
            </w:r>
          </w:p>
        </w:tc>
        <w:tc>
          <w:tcPr>
            <w:tcW w:w="993" w:type="dxa"/>
            <w:vAlign w:val="center"/>
          </w:tcPr>
          <w:p w14:paraId="5AC6A59D">
            <w:pPr>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mg/L</w:t>
            </w:r>
          </w:p>
        </w:tc>
        <w:tc>
          <w:tcPr>
            <w:tcW w:w="993" w:type="dxa"/>
            <w:vAlign w:val="center"/>
          </w:tcPr>
          <w:p w14:paraId="6F2180EB">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0.80</w:t>
            </w:r>
          </w:p>
        </w:tc>
        <w:tc>
          <w:tcPr>
            <w:tcW w:w="991" w:type="dxa"/>
            <w:vAlign w:val="center"/>
          </w:tcPr>
          <w:p w14:paraId="05E37F01">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1.00</w:t>
            </w:r>
          </w:p>
        </w:tc>
        <w:tc>
          <w:tcPr>
            <w:tcW w:w="994" w:type="dxa"/>
            <w:vAlign w:val="center"/>
          </w:tcPr>
          <w:p w14:paraId="0AF751E4">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1.01</w:t>
            </w:r>
          </w:p>
        </w:tc>
        <w:tc>
          <w:tcPr>
            <w:tcW w:w="848" w:type="dxa"/>
            <w:vAlign w:val="center"/>
          </w:tcPr>
          <w:p w14:paraId="07EAFD6F">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2.67</w:t>
            </w:r>
          </w:p>
        </w:tc>
        <w:tc>
          <w:tcPr>
            <w:tcW w:w="850" w:type="dxa"/>
            <w:vAlign w:val="center"/>
          </w:tcPr>
          <w:p w14:paraId="23E05D32">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3.33</w:t>
            </w:r>
          </w:p>
        </w:tc>
        <w:tc>
          <w:tcPr>
            <w:tcW w:w="853" w:type="dxa"/>
            <w:vAlign w:val="center"/>
          </w:tcPr>
          <w:p w14:paraId="0553DCC3">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3.37</w:t>
            </w:r>
          </w:p>
        </w:tc>
        <w:tc>
          <w:tcPr>
            <w:tcW w:w="701" w:type="dxa"/>
            <w:vAlign w:val="center"/>
          </w:tcPr>
          <w:p w14:paraId="6C00288D">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szCs w:val="21"/>
                <w:highlight w:val="none"/>
              </w:rPr>
              <w:t>0.3</w:t>
            </w:r>
          </w:p>
        </w:tc>
      </w:tr>
      <w:tr w14:paraId="747F29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0DCDEA06">
            <w:pPr>
              <w:tabs>
                <w:tab w:val="left" w:pos="1080"/>
                <w:tab w:val="left" w:pos="6090"/>
              </w:tabs>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22</w:t>
            </w:r>
          </w:p>
        </w:tc>
        <w:tc>
          <w:tcPr>
            <w:tcW w:w="1480" w:type="dxa"/>
            <w:vAlign w:val="center"/>
          </w:tcPr>
          <w:p w14:paraId="2973C90E">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锰</w:t>
            </w:r>
          </w:p>
        </w:tc>
        <w:tc>
          <w:tcPr>
            <w:tcW w:w="993" w:type="dxa"/>
            <w:vAlign w:val="center"/>
          </w:tcPr>
          <w:p w14:paraId="3D01A8C6">
            <w:pPr>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mg/L</w:t>
            </w:r>
          </w:p>
        </w:tc>
        <w:tc>
          <w:tcPr>
            <w:tcW w:w="993" w:type="dxa"/>
            <w:vAlign w:val="center"/>
          </w:tcPr>
          <w:p w14:paraId="69B827DF">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0.08</w:t>
            </w:r>
          </w:p>
        </w:tc>
        <w:tc>
          <w:tcPr>
            <w:tcW w:w="991" w:type="dxa"/>
            <w:vAlign w:val="center"/>
          </w:tcPr>
          <w:p w14:paraId="5AFEC6D3">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0.24</w:t>
            </w:r>
          </w:p>
        </w:tc>
        <w:tc>
          <w:tcPr>
            <w:tcW w:w="994" w:type="dxa"/>
            <w:vAlign w:val="center"/>
          </w:tcPr>
          <w:p w14:paraId="546FEF11">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0.25</w:t>
            </w:r>
          </w:p>
        </w:tc>
        <w:tc>
          <w:tcPr>
            <w:tcW w:w="848" w:type="dxa"/>
            <w:vAlign w:val="center"/>
          </w:tcPr>
          <w:p w14:paraId="02439133">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0.80</w:t>
            </w:r>
          </w:p>
        </w:tc>
        <w:tc>
          <w:tcPr>
            <w:tcW w:w="850" w:type="dxa"/>
            <w:vAlign w:val="center"/>
          </w:tcPr>
          <w:p w14:paraId="4BBEEE05">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2.40</w:t>
            </w:r>
          </w:p>
        </w:tc>
        <w:tc>
          <w:tcPr>
            <w:tcW w:w="853" w:type="dxa"/>
            <w:vAlign w:val="center"/>
          </w:tcPr>
          <w:p w14:paraId="25E73841">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2.50</w:t>
            </w:r>
          </w:p>
        </w:tc>
        <w:tc>
          <w:tcPr>
            <w:tcW w:w="701" w:type="dxa"/>
            <w:vAlign w:val="center"/>
          </w:tcPr>
          <w:p w14:paraId="37D8955B">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szCs w:val="21"/>
                <w:highlight w:val="none"/>
              </w:rPr>
              <w:t>0.10</w:t>
            </w:r>
          </w:p>
        </w:tc>
      </w:tr>
      <w:tr w14:paraId="2F78C8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4C88A193">
            <w:pPr>
              <w:tabs>
                <w:tab w:val="left" w:pos="1080"/>
                <w:tab w:val="left" w:pos="6090"/>
              </w:tabs>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23</w:t>
            </w:r>
          </w:p>
        </w:tc>
        <w:tc>
          <w:tcPr>
            <w:tcW w:w="1480" w:type="dxa"/>
            <w:vAlign w:val="center"/>
          </w:tcPr>
          <w:p w14:paraId="56681BA9">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钙</w:t>
            </w:r>
          </w:p>
        </w:tc>
        <w:tc>
          <w:tcPr>
            <w:tcW w:w="993" w:type="dxa"/>
            <w:vAlign w:val="center"/>
          </w:tcPr>
          <w:p w14:paraId="7622C524">
            <w:pPr>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mg/L</w:t>
            </w:r>
          </w:p>
        </w:tc>
        <w:tc>
          <w:tcPr>
            <w:tcW w:w="993" w:type="dxa"/>
            <w:vAlign w:val="center"/>
          </w:tcPr>
          <w:p w14:paraId="551ABC8D">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162</w:t>
            </w:r>
          </w:p>
        </w:tc>
        <w:tc>
          <w:tcPr>
            <w:tcW w:w="991" w:type="dxa"/>
            <w:vAlign w:val="center"/>
          </w:tcPr>
          <w:p w14:paraId="6290E84E">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284</w:t>
            </w:r>
          </w:p>
        </w:tc>
        <w:tc>
          <w:tcPr>
            <w:tcW w:w="994" w:type="dxa"/>
            <w:vAlign w:val="center"/>
          </w:tcPr>
          <w:p w14:paraId="6DD06B8D">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281</w:t>
            </w:r>
          </w:p>
        </w:tc>
        <w:tc>
          <w:tcPr>
            <w:tcW w:w="848" w:type="dxa"/>
            <w:vAlign w:val="center"/>
          </w:tcPr>
          <w:p w14:paraId="69DF6F12">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lang w:val="en-US" w:eastAsia="zh-CN"/>
              </w:rPr>
              <w:t>/</w:t>
            </w:r>
          </w:p>
        </w:tc>
        <w:tc>
          <w:tcPr>
            <w:tcW w:w="850" w:type="dxa"/>
            <w:vAlign w:val="center"/>
          </w:tcPr>
          <w:p w14:paraId="4CACF6E9">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853" w:type="dxa"/>
            <w:vAlign w:val="center"/>
          </w:tcPr>
          <w:p w14:paraId="426F38FF">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701" w:type="dxa"/>
            <w:vAlign w:val="center"/>
          </w:tcPr>
          <w:p w14:paraId="0D61F08C">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w:t>
            </w:r>
          </w:p>
        </w:tc>
      </w:tr>
      <w:tr w14:paraId="05CA62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57B90422">
            <w:pPr>
              <w:tabs>
                <w:tab w:val="left" w:pos="1080"/>
                <w:tab w:val="left" w:pos="6090"/>
              </w:tabs>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24</w:t>
            </w:r>
          </w:p>
        </w:tc>
        <w:tc>
          <w:tcPr>
            <w:tcW w:w="1480" w:type="dxa"/>
            <w:vAlign w:val="center"/>
          </w:tcPr>
          <w:p w14:paraId="14572FD9">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镁</w:t>
            </w:r>
          </w:p>
        </w:tc>
        <w:tc>
          <w:tcPr>
            <w:tcW w:w="993" w:type="dxa"/>
            <w:vAlign w:val="center"/>
          </w:tcPr>
          <w:p w14:paraId="7510BCA9">
            <w:pPr>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mg/L</w:t>
            </w:r>
          </w:p>
        </w:tc>
        <w:tc>
          <w:tcPr>
            <w:tcW w:w="993" w:type="dxa"/>
            <w:vAlign w:val="center"/>
          </w:tcPr>
          <w:p w14:paraId="07AF1BBA">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41.8</w:t>
            </w:r>
          </w:p>
        </w:tc>
        <w:tc>
          <w:tcPr>
            <w:tcW w:w="991" w:type="dxa"/>
            <w:vAlign w:val="center"/>
          </w:tcPr>
          <w:p w14:paraId="72E3285B">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237</w:t>
            </w:r>
          </w:p>
        </w:tc>
        <w:tc>
          <w:tcPr>
            <w:tcW w:w="994" w:type="dxa"/>
            <w:vAlign w:val="center"/>
          </w:tcPr>
          <w:p w14:paraId="605A233F">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258</w:t>
            </w:r>
          </w:p>
        </w:tc>
        <w:tc>
          <w:tcPr>
            <w:tcW w:w="848" w:type="dxa"/>
            <w:vAlign w:val="center"/>
          </w:tcPr>
          <w:p w14:paraId="2B9D20ED">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lang w:val="en-US" w:eastAsia="zh-CN"/>
              </w:rPr>
              <w:t>/</w:t>
            </w:r>
          </w:p>
        </w:tc>
        <w:tc>
          <w:tcPr>
            <w:tcW w:w="850" w:type="dxa"/>
            <w:vAlign w:val="center"/>
          </w:tcPr>
          <w:p w14:paraId="53EED91F">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853" w:type="dxa"/>
            <w:vAlign w:val="center"/>
          </w:tcPr>
          <w:p w14:paraId="27839036">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701" w:type="dxa"/>
            <w:vAlign w:val="center"/>
          </w:tcPr>
          <w:p w14:paraId="61D9A6DA">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w:t>
            </w:r>
          </w:p>
        </w:tc>
      </w:tr>
      <w:tr w14:paraId="23B9AA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0E0526DC">
            <w:pPr>
              <w:tabs>
                <w:tab w:val="left" w:pos="1080"/>
                <w:tab w:val="left" w:pos="6090"/>
              </w:tabs>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25</w:t>
            </w:r>
          </w:p>
        </w:tc>
        <w:tc>
          <w:tcPr>
            <w:tcW w:w="1480" w:type="dxa"/>
            <w:vAlign w:val="center"/>
          </w:tcPr>
          <w:p w14:paraId="34DCD8EF">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碳酸盐</w:t>
            </w:r>
          </w:p>
        </w:tc>
        <w:tc>
          <w:tcPr>
            <w:tcW w:w="993" w:type="dxa"/>
            <w:vAlign w:val="center"/>
          </w:tcPr>
          <w:p w14:paraId="0412EC57">
            <w:pPr>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mmol/L</w:t>
            </w:r>
          </w:p>
        </w:tc>
        <w:tc>
          <w:tcPr>
            <w:tcW w:w="993" w:type="dxa"/>
            <w:vAlign w:val="center"/>
          </w:tcPr>
          <w:p w14:paraId="47AABBDB">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&lt;0.08</w:t>
            </w:r>
          </w:p>
        </w:tc>
        <w:tc>
          <w:tcPr>
            <w:tcW w:w="991" w:type="dxa"/>
            <w:vAlign w:val="center"/>
          </w:tcPr>
          <w:p w14:paraId="4CB896A7">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&lt;0.08</w:t>
            </w:r>
          </w:p>
        </w:tc>
        <w:tc>
          <w:tcPr>
            <w:tcW w:w="994" w:type="dxa"/>
            <w:vAlign w:val="center"/>
          </w:tcPr>
          <w:p w14:paraId="3A612503">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&lt;0.08</w:t>
            </w:r>
          </w:p>
        </w:tc>
        <w:tc>
          <w:tcPr>
            <w:tcW w:w="848" w:type="dxa"/>
            <w:vAlign w:val="center"/>
          </w:tcPr>
          <w:p w14:paraId="552B868D">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lang w:val="en-US" w:eastAsia="zh-CN"/>
              </w:rPr>
              <w:t>/</w:t>
            </w:r>
          </w:p>
        </w:tc>
        <w:tc>
          <w:tcPr>
            <w:tcW w:w="850" w:type="dxa"/>
            <w:vAlign w:val="center"/>
          </w:tcPr>
          <w:p w14:paraId="524F1CBA">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853" w:type="dxa"/>
            <w:vAlign w:val="center"/>
          </w:tcPr>
          <w:p w14:paraId="496E4067">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701" w:type="dxa"/>
            <w:vAlign w:val="center"/>
          </w:tcPr>
          <w:p w14:paraId="43F6366F">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w:t>
            </w:r>
          </w:p>
        </w:tc>
      </w:tr>
      <w:tr w14:paraId="7F371A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6A6C1FB3">
            <w:pPr>
              <w:tabs>
                <w:tab w:val="left" w:pos="1080"/>
                <w:tab w:val="left" w:pos="6090"/>
              </w:tabs>
              <w:snapToGrid w:val="0"/>
              <w:spacing w:line="360" w:lineRule="exact"/>
              <w:ind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26</w:t>
            </w:r>
          </w:p>
        </w:tc>
        <w:tc>
          <w:tcPr>
            <w:tcW w:w="1480" w:type="dxa"/>
            <w:vAlign w:val="center"/>
          </w:tcPr>
          <w:p w14:paraId="73AE5DEC">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重碳酸盐</w:t>
            </w:r>
          </w:p>
        </w:tc>
        <w:tc>
          <w:tcPr>
            <w:tcW w:w="993" w:type="dxa"/>
            <w:vAlign w:val="center"/>
          </w:tcPr>
          <w:p w14:paraId="61E6DA54">
            <w:pPr>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mmol/L</w:t>
            </w:r>
          </w:p>
        </w:tc>
        <w:tc>
          <w:tcPr>
            <w:tcW w:w="993" w:type="dxa"/>
            <w:vAlign w:val="center"/>
          </w:tcPr>
          <w:p w14:paraId="6FE6111B">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1.89</w:t>
            </w:r>
          </w:p>
        </w:tc>
        <w:tc>
          <w:tcPr>
            <w:tcW w:w="991" w:type="dxa"/>
            <w:vAlign w:val="center"/>
          </w:tcPr>
          <w:p w14:paraId="76A4EDA7">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2.15</w:t>
            </w:r>
          </w:p>
        </w:tc>
        <w:tc>
          <w:tcPr>
            <w:tcW w:w="994" w:type="dxa"/>
            <w:vAlign w:val="center"/>
          </w:tcPr>
          <w:p w14:paraId="1AB9C342">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2.02</w:t>
            </w:r>
          </w:p>
        </w:tc>
        <w:tc>
          <w:tcPr>
            <w:tcW w:w="848" w:type="dxa"/>
            <w:vAlign w:val="center"/>
          </w:tcPr>
          <w:p w14:paraId="389F605D">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lang w:val="en-US" w:eastAsia="zh-CN"/>
              </w:rPr>
              <w:t>/</w:t>
            </w:r>
          </w:p>
        </w:tc>
        <w:tc>
          <w:tcPr>
            <w:tcW w:w="850" w:type="dxa"/>
            <w:vAlign w:val="center"/>
          </w:tcPr>
          <w:p w14:paraId="4B1C8C02">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853" w:type="dxa"/>
            <w:vAlign w:val="center"/>
          </w:tcPr>
          <w:p w14:paraId="638AC3A6">
            <w:pPr>
              <w:keepNext w:val="0"/>
              <w:keepLines w:val="0"/>
              <w:pageBreakBefore w:val="0"/>
              <w:widowControl w:val="0"/>
              <w:kinsoku/>
              <w:wordWrap/>
              <w:overflowPunct/>
              <w:topLinePunct w:val="0"/>
              <w:autoSpaceDE/>
              <w:autoSpaceDN/>
              <w:bidi w:val="0"/>
              <w:adjustRightInd/>
              <w:snapToGrid w:val="0"/>
              <w:spacing w:line="360" w:lineRule="exact"/>
              <w:ind w:left="-120" w:leftChars="-50" w:right="-120" w:rightChars="-50"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t>
            </w:r>
          </w:p>
        </w:tc>
        <w:tc>
          <w:tcPr>
            <w:tcW w:w="701" w:type="dxa"/>
            <w:vAlign w:val="center"/>
          </w:tcPr>
          <w:p w14:paraId="60FD967B">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w:t>
            </w:r>
          </w:p>
        </w:tc>
      </w:tr>
      <w:tr w14:paraId="7C9760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 w:type="dxa"/>
            <w:vAlign w:val="center"/>
          </w:tcPr>
          <w:p w14:paraId="6C7EEBDE">
            <w:pPr>
              <w:tabs>
                <w:tab w:val="left" w:pos="1080"/>
                <w:tab w:val="left" w:pos="6090"/>
              </w:tabs>
              <w:snapToGrid w:val="0"/>
              <w:spacing w:line="360" w:lineRule="exact"/>
              <w:ind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rPr>
              <w:t>27</w:t>
            </w:r>
          </w:p>
        </w:tc>
        <w:tc>
          <w:tcPr>
            <w:tcW w:w="1480" w:type="dxa"/>
            <w:vAlign w:val="center"/>
          </w:tcPr>
          <w:p w14:paraId="4615986D">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氟化物</w:t>
            </w:r>
          </w:p>
        </w:tc>
        <w:tc>
          <w:tcPr>
            <w:tcW w:w="993" w:type="dxa"/>
            <w:vAlign w:val="center"/>
          </w:tcPr>
          <w:p w14:paraId="67711D85">
            <w:pPr>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mg/L</w:t>
            </w:r>
          </w:p>
        </w:tc>
        <w:tc>
          <w:tcPr>
            <w:tcW w:w="993" w:type="dxa"/>
            <w:vAlign w:val="center"/>
          </w:tcPr>
          <w:p w14:paraId="2B3C31A8">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0.44</w:t>
            </w:r>
          </w:p>
        </w:tc>
        <w:tc>
          <w:tcPr>
            <w:tcW w:w="991" w:type="dxa"/>
            <w:vAlign w:val="center"/>
          </w:tcPr>
          <w:p w14:paraId="5378270F">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0.41</w:t>
            </w:r>
          </w:p>
        </w:tc>
        <w:tc>
          <w:tcPr>
            <w:tcW w:w="994" w:type="dxa"/>
            <w:vAlign w:val="center"/>
          </w:tcPr>
          <w:p w14:paraId="0221F994">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0.48</w:t>
            </w:r>
          </w:p>
        </w:tc>
        <w:tc>
          <w:tcPr>
            <w:tcW w:w="848" w:type="dxa"/>
            <w:vAlign w:val="center"/>
          </w:tcPr>
          <w:p w14:paraId="1A789E58">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0.44</w:t>
            </w:r>
          </w:p>
        </w:tc>
        <w:tc>
          <w:tcPr>
            <w:tcW w:w="850" w:type="dxa"/>
            <w:vAlign w:val="center"/>
          </w:tcPr>
          <w:p w14:paraId="7D4B7292">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0.41</w:t>
            </w:r>
          </w:p>
        </w:tc>
        <w:tc>
          <w:tcPr>
            <w:tcW w:w="853" w:type="dxa"/>
            <w:vAlign w:val="center"/>
          </w:tcPr>
          <w:p w14:paraId="2D0CF2CA">
            <w:pPr>
              <w:snapToGrid w:val="0"/>
              <w:spacing w:line="360" w:lineRule="exact"/>
              <w:ind w:left="-120" w:leftChars="-50" w:right="-120" w:rightChars="-50" w:firstLine="0" w:firstLineChars="0"/>
              <w:jc w:val="center"/>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0.48</w:t>
            </w:r>
          </w:p>
        </w:tc>
        <w:tc>
          <w:tcPr>
            <w:tcW w:w="701" w:type="dxa"/>
            <w:vAlign w:val="center"/>
          </w:tcPr>
          <w:p w14:paraId="356C0C22">
            <w:pPr>
              <w:tabs>
                <w:tab w:val="left" w:pos="1080"/>
                <w:tab w:val="left" w:pos="6090"/>
              </w:tabs>
              <w:snapToGrid w:val="0"/>
              <w:spacing w:line="360" w:lineRule="exact"/>
              <w:ind w:left="-120" w:leftChars="-50" w:right="-120" w:rightChars="-50" w:firstLine="0" w:firstLineChars="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1.0</w:t>
            </w:r>
          </w:p>
        </w:tc>
      </w:tr>
    </w:tbl>
    <w:p w14:paraId="78AB9DC0">
      <w:pPr>
        <w:pStyle w:val="42"/>
        <w:widowControl/>
        <w:overflowPunct w:val="0"/>
        <w:topLinePunct/>
        <w:spacing w:line="480" w:lineRule="exact"/>
        <w:ind w:firstLine="480"/>
        <w:jc w:val="both"/>
        <w:rPr>
          <w:rFonts w:hint="default" w:ascii="Times New Roman" w:hAnsi="Times New Roman" w:cs="Times New Roman"/>
          <w:color w:val="auto"/>
          <w:szCs w:val="24"/>
          <w:highlight w:val="none"/>
        </w:rPr>
      </w:pPr>
      <w:r>
        <w:rPr>
          <w:rFonts w:hint="default" w:ascii="Times New Roman" w:hAnsi="Times New Roman" w:cs="Times New Roman"/>
          <w:color w:val="auto"/>
          <w:kern w:val="2"/>
          <w:szCs w:val="24"/>
          <w:highlight w:val="none"/>
        </w:rPr>
        <w:t>根据评价结果，</w:t>
      </w:r>
      <w:r>
        <w:rPr>
          <w:rFonts w:hint="eastAsia" w:cs="Times New Roman"/>
          <w:color w:val="auto"/>
          <w:kern w:val="2"/>
          <w:szCs w:val="24"/>
          <w:highlight w:val="none"/>
          <w:lang w:val="en-US" w:eastAsia="zh-CN"/>
        </w:rPr>
        <w:t>各</w:t>
      </w:r>
      <w:r>
        <w:rPr>
          <w:rFonts w:hint="default" w:ascii="Times New Roman" w:hAnsi="Times New Roman" w:cs="Times New Roman"/>
          <w:color w:val="auto"/>
          <w:kern w:val="2"/>
          <w:szCs w:val="24"/>
          <w:highlight w:val="none"/>
        </w:rPr>
        <w:t>点位溶解性总固体、总硬度、硫酸盐、氯化物、钠、铁等指标均超过《地下水质量标准》（GB/T14848-2017）Ⅲ类标准限值</w:t>
      </w:r>
      <w:r>
        <w:rPr>
          <w:rFonts w:hint="eastAsia" w:cs="Times New Roman"/>
          <w:color w:val="auto"/>
          <w:kern w:val="2"/>
          <w:szCs w:val="24"/>
          <w:highlight w:val="none"/>
          <w:lang w:eastAsia="zh-CN"/>
        </w:rPr>
        <w:t>，</w:t>
      </w:r>
      <w:r>
        <w:rPr>
          <w:rFonts w:hint="default" w:ascii="Times New Roman" w:hAnsi="Times New Roman" w:cs="Times New Roman"/>
          <w:color w:val="auto"/>
          <w:kern w:val="2"/>
          <w:szCs w:val="24"/>
          <w:highlight w:val="none"/>
        </w:rPr>
        <w:t>锰在1#点位达标外，</w:t>
      </w:r>
      <w:r>
        <w:rPr>
          <w:rFonts w:hint="eastAsia" w:ascii="Times New Roman" w:hAnsi="Times New Roman" w:cs="Times New Roman"/>
          <w:color w:val="auto"/>
          <w:kern w:val="2"/>
          <w:szCs w:val="24"/>
          <w:highlight w:val="none"/>
          <w:lang w:val="en-US" w:eastAsia="zh-CN"/>
        </w:rPr>
        <w:t>其余点位已超过</w:t>
      </w:r>
      <w:r>
        <w:rPr>
          <w:rFonts w:hint="default" w:ascii="Times New Roman" w:hAnsi="Times New Roman" w:cs="Times New Roman"/>
          <w:color w:val="auto"/>
          <w:kern w:val="2"/>
          <w:szCs w:val="24"/>
          <w:highlight w:val="none"/>
        </w:rPr>
        <w:t>《地下水质量标准》（GB/T14848-2017）Ⅲ类标准限值</w:t>
      </w:r>
      <w:r>
        <w:rPr>
          <w:rFonts w:hint="eastAsia" w:cs="Times New Roman"/>
          <w:color w:val="auto"/>
          <w:kern w:val="2"/>
          <w:szCs w:val="24"/>
          <w:highlight w:val="none"/>
          <w:lang w:eastAsia="zh-CN"/>
        </w:rPr>
        <w:t>。</w:t>
      </w:r>
      <w:r>
        <w:rPr>
          <w:rFonts w:hint="default" w:ascii="Times New Roman" w:hAnsi="Times New Roman" w:cs="Times New Roman"/>
          <w:color w:val="auto"/>
          <w:kern w:val="2"/>
          <w:szCs w:val="24"/>
          <w:highlight w:val="none"/>
        </w:rPr>
        <w:t>本次监测地下水超标指标主要为常规无机盐类和硬度指标，其超标原因是区域天然地质背景及干旱气候条件下地下水长期蒸发浓缩所致。</w:t>
      </w:r>
    </w:p>
    <w:p w14:paraId="6D997C15">
      <w:pPr>
        <w:pStyle w:val="4"/>
        <w:rPr>
          <w:rFonts w:hint="default" w:ascii="Times New Roman" w:hAnsi="Times New Roman" w:cs="Times New Roman"/>
          <w:color w:val="auto"/>
          <w:highlight w:val="none"/>
        </w:rPr>
      </w:pPr>
      <w:bookmarkStart w:id="631" w:name="_Toc24500"/>
      <w:bookmarkStart w:id="632" w:name="_Toc17201"/>
      <w:bookmarkStart w:id="633" w:name="_Toc22779"/>
      <w:bookmarkStart w:id="634" w:name="_Toc31393"/>
      <w:bookmarkStart w:id="635" w:name="_Toc9872"/>
      <w:bookmarkStart w:id="636" w:name="_Toc2142"/>
      <w:bookmarkStart w:id="637" w:name="_Toc23819"/>
      <w:bookmarkStart w:id="638" w:name="_Toc16093"/>
      <w:bookmarkStart w:id="639" w:name="_Toc15076"/>
      <w:bookmarkStart w:id="640" w:name="_Toc8719"/>
      <w:bookmarkStart w:id="641" w:name="_Toc13408"/>
      <w:r>
        <w:rPr>
          <w:rFonts w:hint="default" w:ascii="Times New Roman" w:hAnsi="Times New Roman" w:cs="Times New Roman"/>
          <w:color w:val="auto"/>
          <w:highlight w:val="none"/>
        </w:rPr>
        <w:t>4.2.4声环境质量现状评价</w:t>
      </w:r>
      <w:bookmarkEnd w:id="631"/>
      <w:bookmarkEnd w:id="632"/>
      <w:bookmarkEnd w:id="633"/>
      <w:bookmarkEnd w:id="634"/>
      <w:bookmarkEnd w:id="635"/>
      <w:bookmarkEnd w:id="636"/>
      <w:bookmarkEnd w:id="637"/>
      <w:bookmarkEnd w:id="638"/>
      <w:bookmarkEnd w:id="639"/>
      <w:bookmarkEnd w:id="640"/>
      <w:bookmarkEnd w:id="641"/>
    </w:p>
    <w:p w14:paraId="4AF793F6">
      <w:pPr>
        <w:pStyle w:val="42"/>
        <w:widowControl/>
        <w:overflowPunct w:val="0"/>
        <w:topLinePunct/>
        <w:spacing w:line="480" w:lineRule="exact"/>
        <w:ind w:firstLine="480"/>
        <w:jc w:val="both"/>
        <w:rPr>
          <w:rFonts w:hint="default" w:ascii="Times New Roman" w:hAnsi="Times New Roman" w:cs="Times New Roman"/>
          <w:color w:val="auto"/>
          <w:kern w:val="2"/>
          <w:szCs w:val="24"/>
          <w:highlight w:val="none"/>
        </w:rPr>
      </w:pPr>
      <w:r>
        <w:rPr>
          <w:rFonts w:hint="default" w:ascii="Times New Roman" w:hAnsi="Times New Roman" w:cs="Times New Roman"/>
          <w:color w:val="auto"/>
          <w:szCs w:val="24"/>
          <w:highlight w:val="none"/>
        </w:rPr>
        <w:t>本次评价委托</w:t>
      </w:r>
      <w:r>
        <w:rPr>
          <w:rFonts w:hint="eastAsia" w:cs="Times New Roman"/>
          <w:color w:val="auto"/>
          <w:szCs w:val="24"/>
          <w:highlight w:val="none"/>
          <w:lang w:eastAsia="zh-CN"/>
        </w:rPr>
        <w:t>新疆齐新环境服务有限公司</w:t>
      </w:r>
      <w:r>
        <w:rPr>
          <w:rFonts w:hint="default" w:ascii="Times New Roman" w:hAnsi="Times New Roman" w:cs="Times New Roman"/>
          <w:color w:val="auto"/>
          <w:szCs w:val="24"/>
          <w:highlight w:val="none"/>
        </w:rPr>
        <w:t>对选矿工程、尾矿库进行噪声监测，于选矿工程、尾矿库边界各布设了4个噪声监测点，监测时间为2025</w:t>
      </w:r>
      <w:r>
        <w:rPr>
          <w:rFonts w:hint="eastAsia" w:cs="Times New Roman"/>
          <w:color w:val="auto"/>
          <w:szCs w:val="24"/>
          <w:highlight w:val="none"/>
          <w:lang w:val="en-US" w:eastAsia="zh-CN"/>
        </w:rPr>
        <w:t>年</w:t>
      </w:r>
      <w:r>
        <w:rPr>
          <w:rFonts w:hint="default" w:ascii="Times New Roman" w:hAnsi="Times New Roman" w:cs="Times New Roman"/>
          <w:color w:val="auto"/>
          <w:szCs w:val="24"/>
          <w:highlight w:val="none"/>
        </w:rPr>
        <w:t>12</w:t>
      </w:r>
      <w:r>
        <w:rPr>
          <w:rFonts w:hint="eastAsia" w:cs="Times New Roman"/>
          <w:color w:val="auto"/>
          <w:szCs w:val="24"/>
          <w:highlight w:val="none"/>
          <w:lang w:val="en-US" w:eastAsia="zh-CN"/>
        </w:rPr>
        <w:t>月29~</w:t>
      </w:r>
      <w:r>
        <w:rPr>
          <w:rFonts w:hint="default" w:ascii="Times New Roman" w:hAnsi="Times New Roman" w:cs="Times New Roman"/>
          <w:color w:val="auto"/>
          <w:szCs w:val="24"/>
          <w:highlight w:val="none"/>
        </w:rPr>
        <w:t>30</w:t>
      </w:r>
      <w:r>
        <w:rPr>
          <w:rFonts w:hint="eastAsia" w:cs="Times New Roman"/>
          <w:color w:val="auto"/>
          <w:szCs w:val="24"/>
          <w:highlight w:val="none"/>
          <w:lang w:val="en-US" w:eastAsia="zh-CN"/>
        </w:rPr>
        <w:t>日</w:t>
      </w:r>
      <w:r>
        <w:rPr>
          <w:rFonts w:hint="default" w:ascii="Times New Roman" w:hAnsi="Times New Roman" w:cs="Times New Roman"/>
          <w:color w:val="auto"/>
          <w:szCs w:val="24"/>
          <w:highlight w:val="none"/>
        </w:rPr>
        <w:t>。监测点位具体见图4.2-1。</w:t>
      </w:r>
    </w:p>
    <w:p w14:paraId="12CA90B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（2）评价标准</w:t>
      </w:r>
    </w:p>
    <w:p w14:paraId="12BEFC0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执行《声环境质量标准》（GB3096-2008）</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类标准。</w:t>
      </w:r>
    </w:p>
    <w:p w14:paraId="7F50F92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（3）监测结果</w:t>
      </w:r>
    </w:p>
    <w:p w14:paraId="2EF8EE6E">
      <w:pPr>
        <w:pStyle w:val="42"/>
        <w:widowControl/>
        <w:overflowPunct w:val="0"/>
        <w:topLinePunct/>
        <w:spacing w:line="480" w:lineRule="exact"/>
        <w:ind w:firstLine="480"/>
        <w:jc w:val="both"/>
        <w:rPr>
          <w:rFonts w:hint="default" w:ascii="Times New Roman" w:hAnsi="Times New Roman" w:cs="Times New Roman"/>
          <w:color w:val="auto"/>
          <w:kern w:val="2"/>
          <w:szCs w:val="24"/>
          <w:highlight w:val="none"/>
        </w:rPr>
      </w:pPr>
      <w:r>
        <w:rPr>
          <w:rFonts w:hint="default" w:ascii="Times New Roman" w:hAnsi="Times New Roman" w:cs="Times New Roman"/>
          <w:color w:val="auto"/>
          <w:szCs w:val="24"/>
          <w:highlight w:val="none"/>
        </w:rPr>
        <w:t>根据现场实测声环境现状监测结果见表4.2-</w:t>
      </w:r>
      <w:r>
        <w:rPr>
          <w:rFonts w:hint="default" w:ascii="Times New Roman" w:hAnsi="Times New Roman" w:cs="Times New Roman"/>
          <w:color w:val="auto"/>
          <w:szCs w:val="24"/>
          <w:highlight w:val="none"/>
          <w:lang w:val="en-US" w:eastAsia="zh-CN"/>
        </w:rPr>
        <w:t>7</w:t>
      </w:r>
      <w:r>
        <w:rPr>
          <w:rFonts w:hint="default" w:ascii="Times New Roman" w:hAnsi="Times New Roman" w:cs="Times New Roman"/>
          <w:color w:val="auto"/>
          <w:szCs w:val="24"/>
          <w:highlight w:val="none"/>
        </w:rPr>
        <w:t>。</w:t>
      </w:r>
    </w:p>
    <w:p w14:paraId="2F309F62">
      <w:pPr>
        <w:adjustRightInd w:val="0"/>
        <w:snapToGrid w:val="0"/>
        <w:ind w:firstLine="0" w:firstLineChars="0"/>
        <w:jc w:val="center"/>
        <w:rPr>
          <w:rFonts w:hint="default" w:ascii="Times New Roman" w:hAnsi="Times New Roman" w:cs="Times New Roman"/>
          <w:b/>
          <w:color w:val="auto"/>
          <w:kern w:val="0"/>
          <w:szCs w:val="22"/>
          <w:highlight w:val="none"/>
          <w:lang w:val="zh-CN"/>
        </w:rPr>
      </w:pPr>
      <w:r>
        <w:rPr>
          <w:rFonts w:hint="default" w:ascii="Times New Roman" w:hAnsi="Times New Roman" w:cs="Times New Roman"/>
          <w:b/>
          <w:color w:val="auto"/>
          <w:kern w:val="0"/>
          <w:szCs w:val="22"/>
          <w:highlight w:val="none"/>
        </w:rPr>
        <w:t>表4.2-</w:t>
      </w:r>
      <w:r>
        <w:rPr>
          <w:rFonts w:hint="default" w:ascii="Times New Roman" w:hAnsi="Times New Roman" w:cs="Times New Roman"/>
          <w:b/>
          <w:color w:val="auto"/>
          <w:kern w:val="0"/>
          <w:szCs w:val="22"/>
          <w:highlight w:val="none"/>
          <w:lang w:val="en-US" w:eastAsia="zh-CN"/>
        </w:rPr>
        <w:t>7</w:t>
      </w:r>
      <w:r>
        <w:rPr>
          <w:rFonts w:hint="default" w:ascii="Times New Roman" w:hAnsi="Times New Roman" w:cs="Times New Roman"/>
          <w:b/>
          <w:color w:val="auto"/>
          <w:kern w:val="0"/>
          <w:szCs w:val="22"/>
          <w:highlight w:val="none"/>
        </w:rPr>
        <w:t xml:space="preserve">    噪声监测及评价结果</w:t>
      </w:r>
    </w:p>
    <w:tbl>
      <w:tblPr>
        <w:tblStyle w:val="33"/>
        <w:tblW w:w="4998"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2096"/>
        <w:gridCol w:w="1523"/>
        <w:gridCol w:w="1526"/>
        <w:gridCol w:w="1370"/>
        <w:gridCol w:w="1167"/>
        <w:gridCol w:w="1488"/>
      </w:tblGrid>
      <w:tr w14:paraId="646EBB1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27" w:hRule="atLeast"/>
          <w:tblHeader/>
        </w:trPr>
        <w:tc>
          <w:tcPr>
            <w:tcW w:w="1143" w:type="pct"/>
            <w:vMerge w:val="restart"/>
            <w:vAlign w:val="center"/>
          </w:tcPr>
          <w:p w14:paraId="355EBB82">
            <w:pPr>
              <w:pStyle w:val="83"/>
              <w:keepNext w:val="0"/>
              <w:keepLines w:val="0"/>
              <w:pageBreakBefore w:val="0"/>
              <w:kinsoku/>
              <w:wordWrap/>
              <w:overflowPunct/>
              <w:topLinePunct w:val="0"/>
              <w:bidi w:val="0"/>
              <w:snapToGrid/>
              <w:spacing w:line="360" w:lineRule="exact"/>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监测点位</w:t>
            </w:r>
          </w:p>
        </w:tc>
        <w:tc>
          <w:tcPr>
            <w:tcW w:w="1662" w:type="pct"/>
            <w:gridSpan w:val="2"/>
            <w:vAlign w:val="center"/>
          </w:tcPr>
          <w:p w14:paraId="582742E4">
            <w:pPr>
              <w:pStyle w:val="83"/>
              <w:keepNext w:val="0"/>
              <w:keepLines w:val="0"/>
              <w:pageBreakBefore w:val="0"/>
              <w:kinsoku/>
              <w:wordWrap/>
              <w:overflowPunct/>
              <w:topLinePunct w:val="0"/>
              <w:bidi w:val="0"/>
              <w:snapToGrid/>
              <w:spacing w:line="360" w:lineRule="exact"/>
              <w:textAlignment w:val="auto"/>
              <w:rPr>
                <w:rFonts w:hint="default" w:ascii="Times New Roman" w:hAnsi="Times New Roman" w:eastAsia="宋体" w:cs="Times New Roman"/>
                <w:b/>
                <w:bCs/>
                <w:color w:val="auto"/>
                <w:highlight w:val="none"/>
                <w:lang w:eastAsia="zh-CN"/>
              </w:rPr>
            </w:pPr>
            <w:r>
              <w:rPr>
                <w:rFonts w:hint="default" w:ascii="Times New Roman" w:hAnsi="Times New Roman" w:cs="Times New Roman"/>
                <w:b/>
                <w:bCs/>
                <w:color w:val="auto"/>
                <w:highlight w:val="none"/>
              </w:rPr>
              <w:t>Leq dB</w:t>
            </w:r>
            <w:r>
              <w:rPr>
                <w:rFonts w:hint="eastAsia" w:cs="Times New Roman"/>
                <w:b/>
                <w:bCs/>
                <w:color w:val="auto"/>
                <w:highlight w:val="none"/>
                <w:lang w:eastAsia="zh-CN"/>
              </w:rPr>
              <w:t>（</w:t>
            </w:r>
            <w:r>
              <w:rPr>
                <w:rFonts w:hint="default" w:ascii="Times New Roman" w:hAnsi="Times New Roman" w:cs="Times New Roman"/>
                <w:b/>
                <w:bCs/>
                <w:color w:val="auto"/>
                <w:highlight w:val="none"/>
              </w:rPr>
              <w:t>A</w:t>
            </w:r>
            <w:r>
              <w:rPr>
                <w:rFonts w:hint="eastAsia" w:cs="Times New Roman"/>
                <w:b/>
                <w:bCs/>
                <w:color w:val="auto"/>
                <w:highlight w:val="none"/>
                <w:lang w:eastAsia="zh-CN"/>
              </w:rPr>
              <w:t>）</w:t>
            </w:r>
          </w:p>
        </w:tc>
        <w:tc>
          <w:tcPr>
            <w:tcW w:w="1383" w:type="pct"/>
            <w:gridSpan w:val="2"/>
            <w:vAlign w:val="center"/>
          </w:tcPr>
          <w:p w14:paraId="631148FE">
            <w:pPr>
              <w:pStyle w:val="83"/>
              <w:keepNext w:val="0"/>
              <w:keepLines w:val="0"/>
              <w:pageBreakBefore w:val="0"/>
              <w:kinsoku/>
              <w:wordWrap/>
              <w:overflowPunct/>
              <w:topLinePunct w:val="0"/>
              <w:bidi w:val="0"/>
              <w:snapToGrid/>
              <w:spacing w:line="360" w:lineRule="exact"/>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 xml:space="preserve">GB3096-2008 </w:t>
            </w:r>
            <w:r>
              <w:rPr>
                <w:rFonts w:hint="default" w:ascii="Times New Roman" w:hAnsi="Times New Roman" w:cs="Times New Roman"/>
                <w:b/>
                <w:bCs/>
                <w:color w:val="auto"/>
                <w:highlight w:val="none"/>
                <w:lang w:val="en-US" w:eastAsia="zh-CN"/>
              </w:rPr>
              <w:t xml:space="preserve"> 2</w:t>
            </w:r>
            <w:r>
              <w:rPr>
                <w:rFonts w:hint="default" w:ascii="Times New Roman" w:hAnsi="Times New Roman" w:cs="Times New Roman"/>
                <w:b/>
                <w:bCs/>
                <w:color w:val="auto"/>
                <w:highlight w:val="none"/>
              </w:rPr>
              <w:t>类</w:t>
            </w:r>
          </w:p>
        </w:tc>
        <w:tc>
          <w:tcPr>
            <w:tcW w:w="811" w:type="pct"/>
            <w:vMerge w:val="restart"/>
            <w:vAlign w:val="center"/>
          </w:tcPr>
          <w:p w14:paraId="6C891B2A">
            <w:pPr>
              <w:pStyle w:val="83"/>
              <w:keepNext w:val="0"/>
              <w:keepLines w:val="0"/>
              <w:pageBreakBefore w:val="0"/>
              <w:kinsoku/>
              <w:wordWrap/>
              <w:overflowPunct/>
              <w:topLinePunct w:val="0"/>
              <w:bidi w:val="0"/>
              <w:snapToGrid/>
              <w:spacing w:line="360" w:lineRule="exact"/>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评价结果</w:t>
            </w:r>
          </w:p>
        </w:tc>
      </w:tr>
      <w:tr w14:paraId="09FFBB4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27" w:hRule="atLeast"/>
          <w:tblHeader/>
        </w:trPr>
        <w:tc>
          <w:tcPr>
            <w:tcW w:w="1143" w:type="pct"/>
            <w:vMerge w:val="continue"/>
            <w:vAlign w:val="center"/>
          </w:tcPr>
          <w:p w14:paraId="01E0E04F">
            <w:pPr>
              <w:pStyle w:val="83"/>
              <w:keepNext w:val="0"/>
              <w:keepLines w:val="0"/>
              <w:pageBreakBefore w:val="0"/>
              <w:kinsoku/>
              <w:wordWrap/>
              <w:overflowPunct/>
              <w:topLinePunct w:val="0"/>
              <w:bidi w:val="0"/>
              <w:snapToGrid/>
              <w:spacing w:line="360" w:lineRule="exact"/>
              <w:textAlignment w:val="auto"/>
              <w:rPr>
                <w:rFonts w:hint="default" w:ascii="Times New Roman" w:hAnsi="Times New Roman" w:cs="Times New Roman"/>
                <w:b/>
                <w:bCs/>
                <w:color w:val="auto"/>
                <w:highlight w:val="none"/>
              </w:rPr>
            </w:pPr>
          </w:p>
        </w:tc>
        <w:tc>
          <w:tcPr>
            <w:tcW w:w="830" w:type="pct"/>
            <w:vAlign w:val="center"/>
          </w:tcPr>
          <w:p w14:paraId="7F9630F2">
            <w:pPr>
              <w:pStyle w:val="83"/>
              <w:keepNext w:val="0"/>
              <w:keepLines w:val="0"/>
              <w:pageBreakBefore w:val="0"/>
              <w:kinsoku/>
              <w:wordWrap/>
              <w:overflowPunct/>
              <w:topLinePunct w:val="0"/>
              <w:bidi w:val="0"/>
              <w:snapToGrid/>
              <w:spacing w:line="360" w:lineRule="exact"/>
              <w:textAlignment w:val="auto"/>
              <w:rPr>
                <w:rFonts w:hint="default" w:ascii="Times New Roman" w:hAnsi="Times New Roman" w:eastAsia="宋体" w:cs="Times New Roman"/>
                <w:b/>
                <w:bCs/>
                <w:color w:val="auto"/>
                <w:highlight w:val="none"/>
                <w:lang w:eastAsia="zh-CN"/>
              </w:rPr>
            </w:pPr>
            <w:r>
              <w:rPr>
                <w:rFonts w:hint="default" w:ascii="Times New Roman" w:hAnsi="Times New Roman" w:cs="Times New Roman"/>
                <w:b/>
                <w:bCs/>
                <w:color w:val="auto"/>
                <w:highlight w:val="none"/>
              </w:rPr>
              <w:t>昼</w:t>
            </w:r>
            <w:r>
              <w:rPr>
                <w:rFonts w:hint="default" w:ascii="Times New Roman" w:hAnsi="Times New Roman" w:cs="Times New Roman"/>
                <w:b/>
                <w:bCs/>
                <w:color w:val="auto"/>
                <w:highlight w:val="none"/>
                <w:lang w:eastAsia="zh-CN"/>
              </w:rPr>
              <w:t>间</w:t>
            </w:r>
          </w:p>
        </w:tc>
        <w:tc>
          <w:tcPr>
            <w:tcW w:w="831" w:type="pct"/>
            <w:vAlign w:val="center"/>
          </w:tcPr>
          <w:p w14:paraId="2748CF15">
            <w:pPr>
              <w:pStyle w:val="83"/>
              <w:keepNext w:val="0"/>
              <w:keepLines w:val="0"/>
              <w:pageBreakBefore w:val="0"/>
              <w:kinsoku/>
              <w:wordWrap/>
              <w:overflowPunct/>
              <w:topLinePunct w:val="0"/>
              <w:bidi w:val="0"/>
              <w:snapToGrid/>
              <w:spacing w:line="360" w:lineRule="exact"/>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夜</w:t>
            </w:r>
            <w:r>
              <w:rPr>
                <w:rFonts w:hint="default" w:ascii="Times New Roman" w:hAnsi="Times New Roman" w:cs="Times New Roman"/>
                <w:b/>
                <w:bCs/>
                <w:color w:val="auto"/>
                <w:highlight w:val="none"/>
                <w:lang w:eastAsia="zh-CN"/>
              </w:rPr>
              <w:t>间</w:t>
            </w:r>
          </w:p>
        </w:tc>
        <w:tc>
          <w:tcPr>
            <w:tcW w:w="747" w:type="pct"/>
            <w:vAlign w:val="center"/>
          </w:tcPr>
          <w:p w14:paraId="46EBCB18">
            <w:pPr>
              <w:pStyle w:val="83"/>
              <w:keepNext w:val="0"/>
              <w:keepLines w:val="0"/>
              <w:pageBreakBefore w:val="0"/>
              <w:kinsoku/>
              <w:wordWrap/>
              <w:overflowPunct/>
              <w:topLinePunct w:val="0"/>
              <w:bidi w:val="0"/>
              <w:snapToGrid/>
              <w:spacing w:line="360" w:lineRule="exact"/>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昼</w:t>
            </w:r>
          </w:p>
        </w:tc>
        <w:tc>
          <w:tcPr>
            <w:tcW w:w="635" w:type="pct"/>
            <w:vAlign w:val="center"/>
          </w:tcPr>
          <w:p w14:paraId="730A3275">
            <w:pPr>
              <w:pStyle w:val="83"/>
              <w:keepNext w:val="0"/>
              <w:keepLines w:val="0"/>
              <w:pageBreakBefore w:val="0"/>
              <w:kinsoku/>
              <w:wordWrap/>
              <w:overflowPunct/>
              <w:topLinePunct w:val="0"/>
              <w:bidi w:val="0"/>
              <w:snapToGrid/>
              <w:spacing w:line="360" w:lineRule="exact"/>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夜</w:t>
            </w:r>
          </w:p>
        </w:tc>
        <w:tc>
          <w:tcPr>
            <w:tcW w:w="811" w:type="pct"/>
            <w:vMerge w:val="continue"/>
            <w:vAlign w:val="center"/>
          </w:tcPr>
          <w:p w14:paraId="6A90A121">
            <w:pPr>
              <w:pStyle w:val="83"/>
              <w:keepNext w:val="0"/>
              <w:keepLines w:val="0"/>
              <w:pageBreakBefore w:val="0"/>
              <w:kinsoku/>
              <w:wordWrap/>
              <w:overflowPunct/>
              <w:topLinePunct w:val="0"/>
              <w:bidi w:val="0"/>
              <w:snapToGrid/>
              <w:spacing w:line="360" w:lineRule="exact"/>
              <w:textAlignment w:val="auto"/>
              <w:rPr>
                <w:rFonts w:hint="default" w:ascii="Times New Roman" w:hAnsi="Times New Roman" w:cs="Times New Roman"/>
                <w:b/>
                <w:bCs/>
                <w:color w:val="auto"/>
                <w:highlight w:val="none"/>
              </w:rPr>
            </w:pPr>
          </w:p>
        </w:tc>
      </w:tr>
      <w:tr w14:paraId="7FA4B64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43" w:type="pct"/>
            <w:vAlign w:val="center"/>
          </w:tcPr>
          <w:p w14:paraId="407322DC">
            <w:pPr>
              <w:pStyle w:val="83"/>
              <w:keepNext w:val="0"/>
              <w:keepLines w:val="0"/>
              <w:pageBreakBefore w:val="0"/>
              <w:kinsoku/>
              <w:wordWrap/>
              <w:overflowPunct/>
              <w:topLinePunct w:val="0"/>
              <w:bidi w:val="0"/>
              <w:snapToGrid/>
              <w:spacing w:line="360" w:lineRule="exac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选矿厂</w:t>
            </w:r>
            <w:r>
              <w:rPr>
                <w:rFonts w:hint="default" w:ascii="Times New Roman" w:hAnsi="Times New Roman" w:cs="Times New Roman"/>
                <w:color w:val="auto"/>
                <w:highlight w:val="none"/>
                <w:lang w:eastAsia="zh-CN"/>
              </w:rPr>
              <w:t>北侧</w:t>
            </w:r>
          </w:p>
        </w:tc>
        <w:tc>
          <w:tcPr>
            <w:tcW w:w="1523" w:type="dxa"/>
            <w:vAlign w:val="center"/>
          </w:tcPr>
          <w:p w14:paraId="36AC3F7D">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sz w:val="21"/>
                <w:szCs w:val="21"/>
                <w:highlight w:val="none"/>
                <w:lang w:val="en-US" w:eastAsia="zh-CN"/>
              </w:rPr>
              <w:t>39</w:t>
            </w:r>
          </w:p>
        </w:tc>
        <w:tc>
          <w:tcPr>
            <w:tcW w:w="1526" w:type="dxa"/>
            <w:vAlign w:val="center"/>
          </w:tcPr>
          <w:p w14:paraId="1B2C1BE5">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sz w:val="21"/>
                <w:szCs w:val="21"/>
                <w:highlight w:val="none"/>
                <w:lang w:val="en-US" w:eastAsia="zh-CN"/>
              </w:rPr>
              <w:t>40</w:t>
            </w:r>
          </w:p>
        </w:tc>
        <w:tc>
          <w:tcPr>
            <w:tcW w:w="747" w:type="pct"/>
            <w:vMerge w:val="restart"/>
            <w:vAlign w:val="center"/>
          </w:tcPr>
          <w:p w14:paraId="306898BE">
            <w:pPr>
              <w:pStyle w:val="83"/>
              <w:keepNext w:val="0"/>
              <w:keepLines w:val="0"/>
              <w:pageBreakBefore w:val="0"/>
              <w:kinsoku/>
              <w:wordWrap/>
              <w:overflowPunct/>
              <w:topLinePunct w:val="0"/>
              <w:bidi w:val="0"/>
              <w:snapToGrid/>
              <w:spacing w:line="360" w:lineRule="exact"/>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6</w:t>
            </w:r>
            <w:r>
              <w:rPr>
                <w:rFonts w:hint="default" w:ascii="Times New Roman" w:hAnsi="Times New Roman" w:cs="Times New Roman"/>
                <w:color w:val="auto"/>
                <w:highlight w:val="none"/>
                <w:lang w:val="en-US" w:eastAsia="zh-CN"/>
              </w:rPr>
              <w:t>0</w:t>
            </w:r>
          </w:p>
        </w:tc>
        <w:tc>
          <w:tcPr>
            <w:tcW w:w="635" w:type="pct"/>
            <w:vMerge w:val="restart"/>
            <w:vAlign w:val="center"/>
          </w:tcPr>
          <w:p w14:paraId="6F54DFAE">
            <w:pPr>
              <w:pStyle w:val="83"/>
              <w:keepNext w:val="0"/>
              <w:keepLines w:val="0"/>
              <w:pageBreakBefore w:val="0"/>
              <w:kinsoku/>
              <w:wordWrap/>
              <w:overflowPunct/>
              <w:topLinePunct w:val="0"/>
              <w:bidi w:val="0"/>
              <w:snapToGrid/>
              <w:spacing w:line="360" w:lineRule="exact"/>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5</w:t>
            </w:r>
            <w:r>
              <w:rPr>
                <w:rFonts w:hint="default" w:ascii="Times New Roman" w:hAnsi="Times New Roman" w:cs="Times New Roman"/>
                <w:color w:val="auto"/>
                <w:highlight w:val="none"/>
                <w:lang w:val="en-US" w:eastAsia="zh-CN"/>
              </w:rPr>
              <w:t>0</w:t>
            </w:r>
          </w:p>
        </w:tc>
        <w:tc>
          <w:tcPr>
            <w:tcW w:w="811" w:type="pct"/>
            <w:vAlign w:val="center"/>
          </w:tcPr>
          <w:p w14:paraId="5DE05D61">
            <w:pPr>
              <w:pStyle w:val="83"/>
              <w:keepNext w:val="0"/>
              <w:keepLines w:val="0"/>
              <w:pageBreakBefore w:val="0"/>
              <w:kinsoku/>
              <w:wordWrap/>
              <w:overflowPunct/>
              <w:topLinePunct w:val="0"/>
              <w:bidi w:val="0"/>
              <w:snapToGrid/>
              <w:spacing w:line="36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14:paraId="730979E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43" w:type="pct"/>
            <w:vAlign w:val="center"/>
          </w:tcPr>
          <w:p w14:paraId="3462891B">
            <w:pPr>
              <w:pStyle w:val="83"/>
              <w:keepNext w:val="0"/>
              <w:keepLines w:val="0"/>
              <w:pageBreakBefore w:val="0"/>
              <w:kinsoku/>
              <w:wordWrap/>
              <w:overflowPunct/>
              <w:topLinePunct w:val="0"/>
              <w:bidi w:val="0"/>
              <w:snapToGrid/>
              <w:spacing w:line="360" w:lineRule="exact"/>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选矿厂</w:t>
            </w:r>
            <w:r>
              <w:rPr>
                <w:rFonts w:hint="default" w:ascii="Times New Roman" w:hAnsi="Times New Roman" w:cs="Times New Roman"/>
                <w:color w:val="auto"/>
                <w:highlight w:val="none"/>
                <w:lang w:eastAsia="zh-CN"/>
              </w:rPr>
              <w:t>东侧</w:t>
            </w:r>
          </w:p>
        </w:tc>
        <w:tc>
          <w:tcPr>
            <w:tcW w:w="1523" w:type="dxa"/>
            <w:vAlign w:val="center"/>
          </w:tcPr>
          <w:p w14:paraId="71885F3D">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sz w:val="21"/>
                <w:szCs w:val="21"/>
                <w:highlight w:val="none"/>
                <w:lang w:val="en-US" w:eastAsia="zh-CN"/>
              </w:rPr>
              <w:t>38</w:t>
            </w:r>
          </w:p>
        </w:tc>
        <w:tc>
          <w:tcPr>
            <w:tcW w:w="1526" w:type="dxa"/>
            <w:vAlign w:val="center"/>
          </w:tcPr>
          <w:p w14:paraId="687A9771">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sz w:val="21"/>
                <w:szCs w:val="21"/>
                <w:highlight w:val="none"/>
                <w:lang w:val="en-US" w:eastAsia="zh-CN"/>
              </w:rPr>
              <w:t>37</w:t>
            </w:r>
          </w:p>
        </w:tc>
        <w:tc>
          <w:tcPr>
            <w:tcW w:w="747" w:type="pct"/>
            <w:vMerge w:val="continue"/>
            <w:vAlign w:val="center"/>
          </w:tcPr>
          <w:p w14:paraId="53F480B2">
            <w:pPr>
              <w:pStyle w:val="83"/>
              <w:keepNext w:val="0"/>
              <w:keepLines w:val="0"/>
              <w:pageBreakBefore w:val="0"/>
              <w:kinsoku/>
              <w:wordWrap/>
              <w:overflowPunct/>
              <w:topLinePunct w:val="0"/>
              <w:bidi w:val="0"/>
              <w:snapToGrid/>
              <w:spacing w:line="360" w:lineRule="exact"/>
              <w:textAlignment w:val="auto"/>
              <w:rPr>
                <w:rFonts w:hint="default" w:ascii="Times New Roman" w:hAnsi="Times New Roman" w:cs="Times New Roman"/>
                <w:color w:val="auto"/>
                <w:highlight w:val="none"/>
              </w:rPr>
            </w:pPr>
          </w:p>
        </w:tc>
        <w:tc>
          <w:tcPr>
            <w:tcW w:w="635" w:type="pct"/>
            <w:vMerge w:val="continue"/>
            <w:vAlign w:val="center"/>
          </w:tcPr>
          <w:p w14:paraId="12EE1363">
            <w:pPr>
              <w:pStyle w:val="83"/>
              <w:keepNext w:val="0"/>
              <w:keepLines w:val="0"/>
              <w:pageBreakBefore w:val="0"/>
              <w:kinsoku/>
              <w:wordWrap/>
              <w:overflowPunct/>
              <w:topLinePunct w:val="0"/>
              <w:bidi w:val="0"/>
              <w:snapToGrid/>
              <w:spacing w:line="360" w:lineRule="exact"/>
              <w:textAlignment w:val="auto"/>
              <w:rPr>
                <w:rFonts w:hint="default" w:ascii="Times New Roman" w:hAnsi="Times New Roman" w:cs="Times New Roman"/>
                <w:color w:val="auto"/>
                <w:highlight w:val="none"/>
              </w:rPr>
            </w:pPr>
          </w:p>
        </w:tc>
        <w:tc>
          <w:tcPr>
            <w:tcW w:w="811" w:type="pct"/>
            <w:vAlign w:val="center"/>
          </w:tcPr>
          <w:p w14:paraId="1ABCF2A4">
            <w:pPr>
              <w:pStyle w:val="83"/>
              <w:keepNext w:val="0"/>
              <w:keepLines w:val="0"/>
              <w:pageBreakBefore w:val="0"/>
              <w:kinsoku/>
              <w:wordWrap/>
              <w:overflowPunct/>
              <w:topLinePunct w:val="0"/>
              <w:bidi w:val="0"/>
              <w:snapToGrid/>
              <w:spacing w:line="36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14:paraId="39887BB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43" w:type="pct"/>
            <w:vAlign w:val="center"/>
          </w:tcPr>
          <w:p w14:paraId="50968DB1">
            <w:pPr>
              <w:pStyle w:val="83"/>
              <w:keepNext w:val="0"/>
              <w:keepLines w:val="0"/>
              <w:pageBreakBefore w:val="0"/>
              <w:kinsoku/>
              <w:wordWrap/>
              <w:overflowPunct/>
              <w:topLinePunct w:val="0"/>
              <w:bidi w:val="0"/>
              <w:snapToGrid/>
              <w:spacing w:line="360" w:lineRule="exact"/>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选矿厂</w:t>
            </w:r>
            <w:r>
              <w:rPr>
                <w:rFonts w:hint="eastAsia" w:cs="Times New Roman"/>
                <w:color w:val="auto"/>
                <w:highlight w:val="none"/>
                <w:lang w:val="en-US" w:eastAsia="zh-CN"/>
              </w:rPr>
              <w:t>西</w:t>
            </w:r>
            <w:r>
              <w:rPr>
                <w:rFonts w:hint="default" w:ascii="Times New Roman" w:hAnsi="Times New Roman" w:cs="Times New Roman"/>
                <w:color w:val="auto"/>
                <w:highlight w:val="none"/>
                <w:lang w:eastAsia="zh-CN"/>
              </w:rPr>
              <w:t>侧</w:t>
            </w:r>
          </w:p>
        </w:tc>
        <w:tc>
          <w:tcPr>
            <w:tcW w:w="1523" w:type="dxa"/>
            <w:vAlign w:val="center"/>
          </w:tcPr>
          <w:p w14:paraId="196BF259">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sz w:val="21"/>
                <w:szCs w:val="21"/>
                <w:highlight w:val="none"/>
                <w:lang w:val="en-US" w:eastAsia="zh-CN"/>
              </w:rPr>
              <w:t>40</w:t>
            </w:r>
          </w:p>
        </w:tc>
        <w:tc>
          <w:tcPr>
            <w:tcW w:w="1526" w:type="dxa"/>
            <w:vAlign w:val="center"/>
          </w:tcPr>
          <w:p w14:paraId="669DC53C">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sz w:val="21"/>
                <w:szCs w:val="21"/>
                <w:highlight w:val="none"/>
                <w:lang w:val="en-US" w:eastAsia="zh-CN"/>
              </w:rPr>
              <w:t>38</w:t>
            </w:r>
          </w:p>
        </w:tc>
        <w:tc>
          <w:tcPr>
            <w:tcW w:w="747" w:type="pct"/>
            <w:vMerge w:val="continue"/>
            <w:vAlign w:val="center"/>
          </w:tcPr>
          <w:p w14:paraId="30093476">
            <w:pPr>
              <w:pStyle w:val="83"/>
              <w:keepNext w:val="0"/>
              <w:keepLines w:val="0"/>
              <w:pageBreakBefore w:val="0"/>
              <w:kinsoku/>
              <w:wordWrap/>
              <w:overflowPunct/>
              <w:topLinePunct w:val="0"/>
              <w:bidi w:val="0"/>
              <w:snapToGrid/>
              <w:spacing w:line="360" w:lineRule="exact"/>
              <w:textAlignment w:val="auto"/>
              <w:rPr>
                <w:rFonts w:hint="default" w:ascii="Times New Roman" w:hAnsi="Times New Roman" w:cs="Times New Roman"/>
                <w:color w:val="auto"/>
                <w:highlight w:val="none"/>
              </w:rPr>
            </w:pPr>
          </w:p>
        </w:tc>
        <w:tc>
          <w:tcPr>
            <w:tcW w:w="635" w:type="pct"/>
            <w:vMerge w:val="continue"/>
            <w:vAlign w:val="center"/>
          </w:tcPr>
          <w:p w14:paraId="0F5E086C">
            <w:pPr>
              <w:pStyle w:val="83"/>
              <w:keepNext w:val="0"/>
              <w:keepLines w:val="0"/>
              <w:pageBreakBefore w:val="0"/>
              <w:kinsoku/>
              <w:wordWrap/>
              <w:overflowPunct/>
              <w:topLinePunct w:val="0"/>
              <w:bidi w:val="0"/>
              <w:snapToGrid/>
              <w:spacing w:line="360" w:lineRule="exact"/>
              <w:textAlignment w:val="auto"/>
              <w:rPr>
                <w:rFonts w:hint="default" w:ascii="Times New Roman" w:hAnsi="Times New Roman" w:cs="Times New Roman"/>
                <w:color w:val="auto"/>
                <w:highlight w:val="none"/>
              </w:rPr>
            </w:pPr>
          </w:p>
        </w:tc>
        <w:tc>
          <w:tcPr>
            <w:tcW w:w="811" w:type="pct"/>
            <w:vAlign w:val="center"/>
          </w:tcPr>
          <w:p w14:paraId="02A7980A">
            <w:pPr>
              <w:pStyle w:val="83"/>
              <w:keepNext w:val="0"/>
              <w:keepLines w:val="0"/>
              <w:pageBreakBefore w:val="0"/>
              <w:kinsoku/>
              <w:wordWrap/>
              <w:overflowPunct/>
              <w:topLinePunct w:val="0"/>
              <w:bidi w:val="0"/>
              <w:snapToGrid/>
              <w:spacing w:line="36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14:paraId="3358589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43" w:type="pct"/>
            <w:vAlign w:val="center"/>
          </w:tcPr>
          <w:p w14:paraId="27C5D0E7">
            <w:pPr>
              <w:pStyle w:val="83"/>
              <w:keepNext w:val="0"/>
              <w:keepLines w:val="0"/>
              <w:pageBreakBefore w:val="0"/>
              <w:kinsoku/>
              <w:wordWrap/>
              <w:overflowPunct/>
              <w:topLinePunct w:val="0"/>
              <w:bidi w:val="0"/>
              <w:snapToGrid/>
              <w:spacing w:line="360" w:lineRule="exact"/>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选矿厂</w:t>
            </w:r>
            <w:r>
              <w:rPr>
                <w:rFonts w:hint="eastAsia" w:cs="Times New Roman"/>
                <w:color w:val="auto"/>
                <w:highlight w:val="none"/>
                <w:lang w:val="en-US" w:eastAsia="zh-CN"/>
              </w:rPr>
              <w:t>南</w:t>
            </w:r>
            <w:r>
              <w:rPr>
                <w:rFonts w:hint="default" w:ascii="Times New Roman" w:hAnsi="Times New Roman" w:cs="Times New Roman"/>
                <w:color w:val="auto"/>
                <w:highlight w:val="none"/>
                <w:lang w:eastAsia="zh-CN"/>
              </w:rPr>
              <w:t>侧</w:t>
            </w:r>
          </w:p>
        </w:tc>
        <w:tc>
          <w:tcPr>
            <w:tcW w:w="1523" w:type="dxa"/>
            <w:vAlign w:val="center"/>
          </w:tcPr>
          <w:p w14:paraId="3226197E">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sz w:val="21"/>
                <w:szCs w:val="21"/>
                <w:highlight w:val="none"/>
                <w:lang w:val="en-US" w:eastAsia="zh-CN"/>
              </w:rPr>
              <w:t>40</w:t>
            </w:r>
          </w:p>
        </w:tc>
        <w:tc>
          <w:tcPr>
            <w:tcW w:w="1526" w:type="dxa"/>
            <w:vAlign w:val="center"/>
          </w:tcPr>
          <w:p w14:paraId="2FA83224">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sz w:val="21"/>
                <w:szCs w:val="21"/>
                <w:highlight w:val="none"/>
                <w:lang w:val="en-US" w:eastAsia="zh-CN"/>
              </w:rPr>
              <w:t>39</w:t>
            </w:r>
          </w:p>
        </w:tc>
        <w:tc>
          <w:tcPr>
            <w:tcW w:w="747" w:type="pct"/>
            <w:vMerge w:val="continue"/>
            <w:vAlign w:val="center"/>
          </w:tcPr>
          <w:p w14:paraId="0F56F646">
            <w:pPr>
              <w:pStyle w:val="83"/>
              <w:keepNext w:val="0"/>
              <w:keepLines w:val="0"/>
              <w:pageBreakBefore w:val="0"/>
              <w:kinsoku/>
              <w:wordWrap/>
              <w:overflowPunct/>
              <w:topLinePunct w:val="0"/>
              <w:bidi w:val="0"/>
              <w:snapToGrid/>
              <w:spacing w:line="360" w:lineRule="exact"/>
              <w:textAlignment w:val="auto"/>
              <w:rPr>
                <w:rFonts w:hint="default" w:ascii="Times New Roman" w:hAnsi="Times New Roman" w:cs="Times New Roman"/>
                <w:color w:val="auto"/>
                <w:highlight w:val="none"/>
              </w:rPr>
            </w:pPr>
          </w:p>
        </w:tc>
        <w:tc>
          <w:tcPr>
            <w:tcW w:w="635" w:type="pct"/>
            <w:vMerge w:val="continue"/>
            <w:vAlign w:val="center"/>
          </w:tcPr>
          <w:p w14:paraId="316A5832">
            <w:pPr>
              <w:pStyle w:val="83"/>
              <w:keepNext w:val="0"/>
              <w:keepLines w:val="0"/>
              <w:pageBreakBefore w:val="0"/>
              <w:kinsoku/>
              <w:wordWrap/>
              <w:overflowPunct/>
              <w:topLinePunct w:val="0"/>
              <w:bidi w:val="0"/>
              <w:snapToGrid/>
              <w:spacing w:line="360" w:lineRule="exact"/>
              <w:textAlignment w:val="auto"/>
              <w:rPr>
                <w:rFonts w:hint="default" w:ascii="Times New Roman" w:hAnsi="Times New Roman" w:cs="Times New Roman"/>
                <w:color w:val="auto"/>
                <w:highlight w:val="none"/>
              </w:rPr>
            </w:pPr>
          </w:p>
        </w:tc>
        <w:tc>
          <w:tcPr>
            <w:tcW w:w="811" w:type="pct"/>
            <w:vAlign w:val="center"/>
          </w:tcPr>
          <w:p w14:paraId="7D241303">
            <w:pPr>
              <w:pStyle w:val="83"/>
              <w:keepNext w:val="0"/>
              <w:keepLines w:val="0"/>
              <w:pageBreakBefore w:val="0"/>
              <w:kinsoku/>
              <w:wordWrap/>
              <w:overflowPunct/>
              <w:topLinePunct w:val="0"/>
              <w:bidi w:val="0"/>
              <w:snapToGrid/>
              <w:spacing w:line="36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14:paraId="6FE3161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43" w:type="pct"/>
            <w:vAlign w:val="center"/>
          </w:tcPr>
          <w:p w14:paraId="4B3ECC8D">
            <w:pPr>
              <w:pStyle w:val="83"/>
              <w:keepNext w:val="0"/>
              <w:keepLines w:val="0"/>
              <w:pageBreakBefore w:val="0"/>
              <w:kinsoku/>
              <w:wordWrap/>
              <w:overflowPunct/>
              <w:topLinePunct w:val="0"/>
              <w:bidi w:val="0"/>
              <w:snapToGrid/>
              <w:spacing w:line="360" w:lineRule="exact"/>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尾矿库</w:t>
            </w:r>
            <w:r>
              <w:rPr>
                <w:rFonts w:hint="default" w:ascii="Times New Roman" w:hAnsi="Times New Roman" w:cs="Times New Roman"/>
                <w:color w:val="auto"/>
                <w:highlight w:val="none"/>
                <w:lang w:eastAsia="zh-CN"/>
              </w:rPr>
              <w:t>北侧</w:t>
            </w:r>
          </w:p>
        </w:tc>
        <w:tc>
          <w:tcPr>
            <w:tcW w:w="1523" w:type="dxa"/>
            <w:vAlign w:val="center"/>
          </w:tcPr>
          <w:p w14:paraId="6E65AF8A">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sz w:val="21"/>
                <w:szCs w:val="21"/>
                <w:highlight w:val="none"/>
                <w:lang w:val="en-US" w:eastAsia="zh-CN"/>
              </w:rPr>
              <w:t>42</w:t>
            </w:r>
          </w:p>
        </w:tc>
        <w:tc>
          <w:tcPr>
            <w:tcW w:w="1526" w:type="dxa"/>
            <w:vAlign w:val="center"/>
          </w:tcPr>
          <w:p w14:paraId="11095C0F">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sz w:val="21"/>
                <w:szCs w:val="21"/>
                <w:highlight w:val="none"/>
                <w:lang w:val="en-US" w:eastAsia="zh-CN"/>
              </w:rPr>
              <w:t>41</w:t>
            </w:r>
          </w:p>
        </w:tc>
        <w:tc>
          <w:tcPr>
            <w:tcW w:w="747" w:type="pct"/>
            <w:vMerge w:val="continue"/>
            <w:vAlign w:val="center"/>
          </w:tcPr>
          <w:p w14:paraId="7E00D384">
            <w:pPr>
              <w:pStyle w:val="83"/>
              <w:keepNext w:val="0"/>
              <w:keepLines w:val="0"/>
              <w:pageBreakBefore w:val="0"/>
              <w:kinsoku/>
              <w:wordWrap/>
              <w:overflowPunct/>
              <w:topLinePunct w:val="0"/>
              <w:bidi w:val="0"/>
              <w:snapToGrid/>
              <w:spacing w:line="360" w:lineRule="exact"/>
              <w:textAlignment w:val="auto"/>
              <w:rPr>
                <w:rFonts w:hint="default" w:ascii="Times New Roman" w:hAnsi="Times New Roman" w:cs="Times New Roman"/>
                <w:color w:val="auto"/>
                <w:highlight w:val="none"/>
              </w:rPr>
            </w:pPr>
          </w:p>
        </w:tc>
        <w:tc>
          <w:tcPr>
            <w:tcW w:w="635" w:type="pct"/>
            <w:vMerge w:val="continue"/>
            <w:vAlign w:val="center"/>
          </w:tcPr>
          <w:p w14:paraId="6EF258B8">
            <w:pPr>
              <w:pStyle w:val="83"/>
              <w:keepNext w:val="0"/>
              <w:keepLines w:val="0"/>
              <w:pageBreakBefore w:val="0"/>
              <w:kinsoku/>
              <w:wordWrap/>
              <w:overflowPunct/>
              <w:topLinePunct w:val="0"/>
              <w:bidi w:val="0"/>
              <w:snapToGrid/>
              <w:spacing w:line="360" w:lineRule="exact"/>
              <w:textAlignment w:val="auto"/>
              <w:rPr>
                <w:rFonts w:hint="default" w:ascii="Times New Roman" w:hAnsi="Times New Roman" w:cs="Times New Roman"/>
                <w:color w:val="auto"/>
                <w:highlight w:val="none"/>
              </w:rPr>
            </w:pPr>
          </w:p>
        </w:tc>
        <w:tc>
          <w:tcPr>
            <w:tcW w:w="811" w:type="pct"/>
            <w:vAlign w:val="center"/>
          </w:tcPr>
          <w:p w14:paraId="4D54BF12">
            <w:pPr>
              <w:pStyle w:val="83"/>
              <w:keepNext w:val="0"/>
              <w:keepLines w:val="0"/>
              <w:pageBreakBefore w:val="0"/>
              <w:kinsoku/>
              <w:wordWrap/>
              <w:overflowPunct/>
              <w:topLinePunct w:val="0"/>
              <w:bidi w:val="0"/>
              <w:snapToGrid/>
              <w:spacing w:line="36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14:paraId="7130383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43" w:type="pct"/>
            <w:vAlign w:val="center"/>
          </w:tcPr>
          <w:p w14:paraId="4653A19B">
            <w:pPr>
              <w:pStyle w:val="83"/>
              <w:keepNext w:val="0"/>
              <w:keepLines w:val="0"/>
              <w:pageBreakBefore w:val="0"/>
              <w:kinsoku/>
              <w:wordWrap/>
              <w:overflowPunct/>
              <w:topLinePunct w:val="0"/>
              <w:bidi w:val="0"/>
              <w:snapToGrid/>
              <w:spacing w:line="360" w:lineRule="exact"/>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尾矿库</w:t>
            </w:r>
            <w:r>
              <w:rPr>
                <w:rFonts w:hint="eastAsia" w:cs="Times New Roman"/>
                <w:color w:val="auto"/>
                <w:highlight w:val="none"/>
                <w:lang w:val="en-US" w:eastAsia="zh-CN"/>
              </w:rPr>
              <w:t>东</w:t>
            </w:r>
            <w:r>
              <w:rPr>
                <w:rFonts w:hint="default" w:ascii="Times New Roman" w:hAnsi="Times New Roman" w:cs="Times New Roman"/>
                <w:color w:val="auto"/>
                <w:highlight w:val="none"/>
                <w:lang w:eastAsia="zh-CN"/>
              </w:rPr>
              <w:t>侧</w:t>
            </w:r>
          </w:p>
        </w:tc>
        <w:tc>
          <w:tcPr>
            <w:tcW w:w="1523" w:type="dxa"/>
            <w:vAlign w:val="center"/>
          </w:tcPr>
          <w:p w14:paraId="06041F5C">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sz w:val="21"/>
                <w:szCs w:val="21"/>
                <w:highlight w:val="none"/>
                <w:lang w:val="en-US" w:eastAsia="zh-CN"/>
              </w:rPr>
              <w:t>40</w:t>
            </w:r>
          </w:p>
        </w:tc>
        <w:tc>
          <w:tcPr>
            <w:tcW w:w="1526" w:type="dxa"/>
            <w:vAlign w:val="center"/>
          </w:tcPr>
          <w:p w14:paraId="2D5D2A03">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sz w:val="21"/>
                <w:szCs w:val="21"/>
                <w:highlight w:val="none"/>
                <w:lang w:val="en-US" w:eastAsia="zh-CN"/>
              </w:rPr>
              <w:t>41</w:t>
            </w:r>
          </w:p>
        </w:tc>
        <w:tc>
          <w:tcPr>
            <w:tcW w:w="747" w:type="pct"/>
            <w:vMerge w:val="continue"/>
            <w:vAlign w:val="center"/>
          </w:tcPr>
          <w:p w14:paraId="5EB59DB3">
            <w:pPr>
              <w:pStyle w:val="83"/>
              <w:keepNext w:val="0"/>
              <w:keepLines w:val="0"/>
              <w:pageBreakBefore w:val="0"/>
              <w:kinsoku/>
              <w:wordWrap/>
              <w:overflowPunct/>
              <w:topLinePunct w:val="0"/>
              <w:bidi w:val="0"/>
              <w:snapToGrid/>
              <w:spacing w:line="360" w:lineRule="exact"/>
              <w:textAlignment w:val="auto"/>
              <w:rPr>
                <w:rFonts w:hint="default" w:ascii="Times New Roman" w:hAnsi="Times New Roman" w:cs="Times New Roman"/>
                <w:color w:val="auto"/>
                <w:highlight w:val="none"/>
              </w:rPr>
            </w:pPr>
          </w:p>
        </w:tc>
        <w:tc>
          <w:tcPr>
            <w:tcW w:w="635" w:type="pct"/>
            <w:vMerge w:val="continue"/>
            <w:vAlign w:val="center"/>
          </w:tcPr>
          <w:p w14:paraId="0B34D352">
            <w:pPr>
              <w:pStyle w:val="83"/>
              <w:keepNext w:val="0"/>
              <w:keepLines w:val="0"/>
              <w:pageBreakBefore w:val="0"/>
              <w:kinsoku/>
              <w:wordWrap/>
              <w:overflowPunct/>
              <w:topLinePunct w:val="0"/>
              <w:bidi w:val="0"/>
              <w:snapToGrid/>
              <w:spacing w:line="360" w:lineRule="exact"/>
              <w:textAlignment w:val="auto"/>
              <w:rPr>
                <w:rFonts w:hint="default" w:ascii="Times New Roman" w:hAnsi="Times New Roman" w:cs="Times New Roman"/>
                <w:color w:val="auto"/>
                <w:highlight w:val="none"/>
              </w:rPr>
            </w:pPr>
          </w:p>
        </w:tc>
        <w:tc>
          <w:tcPr>
            <w:tcW w:w="811" w:type="pct"/>
            <w:vAlign w:val="center"/>
          </w:tcPr>
          <w:p w14:paraId="75C5B018">
            <w:pPr>
              <w:pStyle w:val="83"/>
              <w:keepNext w:val="0"/>
              <w:keepLines w:val="0"/>
              <w:pageBreakBefore w:val="0"/>
              <w:kinsoku/>
              <w:wordWrap/>
              <w:overflowPunct/>
              <w:topLinePunct w:val="0"/>
              <w:bidi w:val="0"/>
              <w:snapToGrid/>
              <w:spacing w:line="36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14:paraId="0FF4691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43" w:type="pct"/>
            <w:vAlign w:val="center"/>
          </w:tcPr>
          <w:p w14:paraId="47DEFB11">
            <w:pPr>
              <w:pStyle w:val="83"/>
              <w:keepNext w:val="0"/>
              <w:keepLines w:val="0"/>
              <w:pageBreakBefore w:val="0"/>
              <w:kinsoku/>
              <w:wordWrap/>
              <w:overflowPunct/>
              <w:topLinePunct w:val="0"/>
              <w:bidi w:val="0"/>
              <w:snapToGrid/>
              <w:spacing w:line="360" w:lineRule="exact"/>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尾矿库</w:t>
            </w:r>
            <w:r>
              <w:rPr>
                <w:rFonts w:hint="default" w:ascii="Times New Roman" w:hAnsi="Times New Roman" w:cs="Times New Roman"/>
                <w:color w:val="auto"/>
                <w:highlight w:val="none"/>
                <w:lang w:eastAsia="zh-CN"/>
              </w:rPr>
              <w:t>南侧</w:t>
            </w:r>
          </w:p>
        </w:tc>
        <w:tc>
          <w:tcPr>
            <w:tcW w:w="1523" w:type="dxa"/>
            <w:vAlign w:val="center"/>
          </w:tcPr>
          <w:p w14:paraId="10A4BAA6">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sz w:val="21"/>
                <w:szCs w:val="21"/>
                <w:highlight w:val="none"/>
                <w:lang w:val="en-US" w:eastAsia="zh-CN"/>
              </w:rPr>
              <w:t>43</w:t>
            </w:r>
          </w:p>
        </w:tc>
        <w:tc>
          <w:tcPr>
            <w:tcW w:w="1526" w:type="dxa"/>
            <w:vAlign w:val="center"/>
          </w:tcPr>
          <w:p w14:paraId="33F065F8">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sz w:val="21"/>
                <w:szCs w:val="21"/>
                <w:highlight w:val="none"/>
                <w:lang w:val="en-US" w:eastAsia="zh-CN"/>
              </w:rPr>
              <w:t>39</w:t>
            </w:r>
          </w:p>
        </w:tc>
        <w:tc>
          <w:tcPr>
            <w:tcW w:w="747" w:type="pct"/>
            <w:vMerge w:val="continue"/>
            <w:vAlign w:val="center"/>
          </w:tcPr>
          <w:p w14:paraId="1DC14FAF">
            <w:pPr>
              <w:pStyle w:val="83"/>
              <w:keepNext w:val="0"/>
              <w:keepLines w:val="0"/>
              <w:pageBreakBefore w:val="0"/>
              <w:kinsoku/>
              <w:wordWrap/>
              <w:overflowPunct/>
              <w:topLinePunct w:val="0"/>
              <w:bidi w:val="0"/>
              <w:snapToGrid/>
              <w:spacing w:line="360" w:lineRule="exact"/>
              <w:textAlignment w:val="auto"/>
              <w:rPr>
                <w:rFonts w:hint="default" w:ascii="Times New Roman" w:hAnsi="Times New Roman" w:cs="Times New Roman"/>
                <w:color w:val="auto"/>
                <w:highlight w:val="none"/>
              </w:rPr>
            </w:pPr>
          </w:p>
        </w:tc>
        <w:tc>
          <w:tcPr>
            <w:tcW w:w="635" w:type="pct"/>
            <w:vMerge w:val="continue"/>
            <w:vAlign w:val="center"/>
          </w:tcPr>
          <w:p w14:paraId="7001F5B1">
            <w:pPr>
              <w:pStyle w:val="83"/>
              <w:keepNext w:val="0"/>
              <w:keepLines w:val="0"/>
              <w:pageBreakBefore w:val="0"/>
              <w:kinsoku/>
              <w:wordWrap/>
              <w:overflowPunct/>
              <w:topLinePunct w:val="0"/>
              <w:bidi w:val="0"/>
              <w:snapToGrid/>
              <w:spacing w:line="360" w:lineRule="exact"/>
              <w:textAlignment w:val="auto"/>
              <w:rPr>
                <w:rFonts w:hint="default" w:ascii="Times New Roman" w:hAnsi="Times New Roman" w:cs="Times New Roman"/>
                <w:color w:val="auto"/>
                <w:highlight w:val="none"/>
              </w:rPr>
            </w:pPr>
          </w:p>
        </w:tc>
        <w:tc>
          <w:tcPr>
            <w:tcW w:w="811" w:type="pct"/>
            <w:vAlign w:val="center"/>
          </w:tcPr>
          <w:p w14:paraId="223AB0EA">
            <w:pPr>
              <w:pStyle w:val="83"/>
              <w:keepNext w:val="0"/>
              <w:keepLines w:val="0"/>
              <w:pageBreakBefore w:val="0"/>
              <w:kinsoku/>
              <w:wordWrap/>
              <w:overflowPunct/>
              <w:topLinePunct w:val="0"/>
              <w:bidi w:val="0"/>
              <w:snapToGrid/>
              <w:spacing w:line="36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14:paraId="4B42130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27" w:hRule="atLeast"/>
        </w:trPr>
        <w:tc>
          <w:tcPr>
            <w:tcW w:w="1143" w:type="pct"/>
            <w:vAlign w:val="center"/>
          </w:tcPr>
          <w:p w14:paraId="24DDCCD6">
            <w:pPr>
              <w:pStyle w:val="83"/>
              <w:keepNext w:val="0"/>
              <w:keepLines w:val="0"/>
              <w:pageBreakBefore w:val="0"/>
              <w:kinsoku/>
              <w:wordWrap/>
              <w:overflowPunct/>
              <w:topLinePunct w:val="0"/>
              <w:bidi w:val="0"/>
              <w:snapToGrid/>
              <w:spacing w:line="360" w:lineRule="exact"/>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尾矿库西</w:t>
            </w:r>
            <w:r>
              <w:rPr>
                <w:rFonts w:hint="default" w:ascii="Times New Roman" w:hAnsi="Times New Roman" w:cs="Times New Roman"/>
                <w:color w:val="auto"/>
                <w:highlight w:val="none"/>
                <w:lang w:eastAsia="zh-CN"/>
              </w:rPr>
              <w:t>侧</w:t>
            </w:r>
          </w:p>
        </w:tc>
        <w:tc>
          <w:tcPr>
            <w:tcW w:w="1523" w:type="dxa"/>
            <w:vAlign w:val="center"/>
          </w:tcPr>
          <w:p w14:paraId="3E5538E5">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sz w:val="21"/>
                <w:szCs w:val="21"/>
                <w:highlight w:val="none"/>
                <w:lang w:val="en-US" w:eastAsia="zh-CN"/>
              </w:rPr>
              <w:t>41</w:t>
            </w:r>
          </w:p>
        </w:tc>
        <w:tc>
          <w:tcPr>
            <w:tcW w:w="1526" w:type="dxa"/>
            <w:vAlign w:val="center"/>
          </w:tcPr>
          <w:p w14:paraId="305B1EF9">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sz w:val="21"/>
                <w:szCs w:val="21"/>
                <w:highlight w:val="none"/>
                <w:lang w:val="en-US" w:eastAsia="zh-CN"/>
              </w:rPr>
              <w:t>40</w:t>
            </w:r>
          </w:p>
        </w:tc>
        <w:tc>
          <w:tcPr>
            <w:tcW w:w="747" w:type="pct"/>
            <w:vMerge w:val="continue"/>
            <w:vAlign w:val="center"/>
          </w:tcPr>
          <w:p w14:paraId="24A6CBC3">
            <w:pPr>
              <w:pStyle w:val="83"/>
              <w:keepNext w:val="0"/>
              <w:keepLines w:val="0"/>
              <w:pageBreakBefore w:val="0"/>
              <w:kinsoku/>
              <w:wordWrap/>
              <w:overflowPunct/>
              <w:topLinePunct w:val="0"/>
              <w:bidi w:val="0"/>
              <w:snapToGrid/>
              <w:spacing w:line="360" w:lineRule="exact"/>
              <w:textAlignment w:val="auto"/>
              <w:rPr>
                <w:rFonts w:hint="default" w:ascii="Times New Roman" w:hAnsi="Times New Roman" w:cs="Times New Roman"/>
                <w:color w:val="auto"/>
                <w:highlight w:val="none"/>
              </w:rPr>
            </w:pPr>
          </w:p>
        </w:tc>
        <w:tc>
          <w:tcPr>
            <w:tcW w:w="635" w:type="pct"/>
            <w:vMerge w:val="continue"/>
            <w:vAlign w:val="center"/>
          </w:tcPr>
          <w:p w14:paraId="346DE320">
            <w:pPr>
              <w:pStyle w:val="83"/>
              <w:keepNext w:val="0"/>
              <w:keepLines w:val="0"/>
              <w:pageBreakBefore w:val="0"/>
              <w:kinsoku/>
              <w:wordWrap/>
              <w:overflowPunct/>
              <w:topLinePunct w:val="0"/>
              <w:bidi w:val="0"/>
              <w:snapToGrid/>
              <w:spacing w:line="360" w:lineRule="exact"/>
              <w:textAlignment w:val="auto"/>
              <w:rPr>
                <w:rFonts w:hint="default" w:ascii="Times New Roman" w:hAnsi="Times New Roman" w:cs="Times New Roman"/>
                <w:color w:val="auto"/>
                <w:highlight w:val="none"/>
              </w:rPr>
            </w:pPr>
          </w:p>
        </w:tc>
        <w:tc>
          <w:tcPr>
            <w:tcW w:w="811" w:type="pct"/>
            <w:vAlign w:val="center"/>
          </w:tcPr>
          <w:p w14:paraId="322E0BD7">
            <w:pPr>
              <w:pStyle w:val="83"/>
              <w:keepNext w:val="0"/>
              <w:keepLines w:val="0"/>
              <w:pageBreakBefore w:val="0"/>
              <w:kinsoku/>
              <w:wordWrap/>
              <w:overflowPunct/>
              <w:topLinePunct w:val="0"/>
              <w:bidi w:val="0"/>
              <w:snapToGrid/>
              <w:spacing w:line="36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bl>
    <w:p w14:paraId="136BA4A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由上表可知，</w:t>
      </w:r>
      <w:r>
        <w:rPr>
          <w:rFonts w:hint="eastAsia" w:cs="Times New Roman"/>
          <w:color w:val="auto"/>
          <w:highlight w:val="none"/>
          <w:lang w:val="en-US" w:eastAsia="zh-CN"/>
        </w:rPr>
        <w:t>本项目选矿厂、尾矿库</w:t>
      </w:r>
      <w:r>
        <w:rPr>
          <w:rFonts w:hint="default" w:ascii="Times New Roman" w:hAnsi="Times New Roman" w:cs="Times New Roman"/>
          <w:color w:val="auto"/>
          <w:highlight w:val="none"/>
        </w:rPr>
        <w:t>厂界四周昼间、夜间噪声均满足《工业企业厂界环境噪声标准》（GB12348-2008）中</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类标准限值要求</w:t>
      </w:r>
      <w:r>
        <w:rPr>
          <w:rFonts w:hint="eastAsia" w:cs="Times New Roman"/>
          <w:color w:val="auto"/>
          <w:highlight w:val="none"/>
          <w:lang w:eastAsia="zh-CN"/>
        </w:rPr>
        <w:t>，</w:t>
      </w:r>
      <w:r>
        <w:rPr>
          <w:rFonts w:hint="eastAsia" w:cs="Times New Roman"/>
          <w:color w:val="auto"/>
          <w:highlight w:val="none"/>
          <w:lang w:val="en-US" w:eastAsia="zh-CN"/>
        </w:rPr>
        <w:t>评价区域声环境质量良好</w:t>
      </w:r>
      <w:r>
        <w:rPr>
          <w:rFonts w:hint="default" w:ascii="Times New Roman" w:hAnsi="Times New Roman" w:cs="Times New Roman"/>
          <w:color w:val="auto"/>
          <w:highlight w:val="none"/>
        </w:rPr>
        <w:t>。</w:t>
      </w:r>
    </w:p>
    <w:p w14:paraId="21D91C45">
      <w:pPr>
        <w:pStyle w:val="4"/>
        <w:rPr>
          <w:rFonts w:hint="default" w:ascii="Times New Roman" w:hAnsi="Times New Roman" w:cs="Times New Roman"/>
          <w:color w:val="auto"/>
          <w:highlight w:val="none"/>
        </w:rPr>
      </w:pPr>
      <w:bookmarkStart w:id="642" w:name="_Toc173"/>
      <w:bookmarkStart w:id="643" w:name="_Toc23597"/>
      <w:bookmarkStart w:id="644" w:name="_Toc19078"/>
      <w:bookmarkStart w:id="645" w:name="_Toc22122"/>
      <w:bookmarkStart w:id="646" w:name="_Toc25512"/>
      <w:r>
        <w:rPr>
          <w:rFonts w:hint="default" w:ascii="Times New Roman" w:hAnsi="Times New Roman" w:cs="Times New Roman"/>
          <w:color w:val="auto"/>
          <w:highlight w:val="none"/>
        </w:rPr>
        <w:t>4.2.5土壤环境质量现状评价</w:t>
      </w:r>
      <w:bookmarkEnd w:id="642"/>
      <w:bookmarkEnd w:id="643"/>
      <w:bookmarkEnd w:id="644"/>
      <w:bookmarkEnd w:id="645"/>
      <w:bookmarkEnd w:id="646"/>
    </w:p>
    <w:p w14:paraId="642B365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本次土壤现状调查采用</w:t>
      </w:r>
      <w:r>
        <w:rPr>
          <w:rFonts w:hint="eastAsia" w:cs="Times New Roman"/>
          <w:color w:val="auto"/>
          <w:highlight w:val="none"/>
          <w:lang w:eastAsia="zh-CN"/>
        </w:rPr>
        <w:t>新疆齐新环境服务有限公司</w:t>
      </w:r>
      <w:r>
        <w:rPr>
          <w:rFonts w:hint="default" w:ascii="Times New Roman" w:hAnsi="Times New Roman" w:cs="Times New Roman"/>
          <w:color w:val="auto"/>
          <w:highlight w:val="none"/>
        </w:rPr>
        <w:t>对评价区域进行土壤质量监测的数据。</w:t>
      </w:r>
    </w:p>
    <w:p w14:paraId="1CF7DA3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监测项目</w:t>
      </w:r>
    </w:p>
    <w:p w14:paraId="1C6DC3C3">
      <w:pPr>
        <w:overflowPunct w:val="0"/>
        <w:topLinePunct/>
        <w:ind w:firstLine="48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建设用地土壤监测项目包括《土壤环境质量</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建设用地土壤污染风险管控标准（试行）》（GB36600-2018）中表1建设用地土壤污染风险筛选值（基本项目）45项</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pH</w:t>
      </w:r>
      <w:r>
        <w:rPr>
          <w:rFonts w:hint="default" w:ascii="Times New Roman" w:hAnsi="Times New Roman" w:cs="Times New Roman"/>
          <w:color w:val="auto"/>
          <w:highlight w:val="none"/>
          <w:lang w:eastAsia="zh-CN"/>
        </w:rPr>
        <w:t>。</w:t>
      </w:r>
    </w:p>
    <w:p w14:paraId="35937B4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监测布点</w:t>
      </w:r>
    </w:p>
    <w:p w14:paraId="68331A92">
      <w:pPr>
        <w:overflowPunct w:val="0"/>
        <w:topLinePunct/>
        <w:ind w:firstLine="480"/>
        <w:rPr>
          <w:rFonts w:hint="default" w:ascii="Times New Roman" w:hAnsi="Times New Roman" w:cs="Times New Roman"/>
          <w:color w:val="auto"/>
          <w:szCs w:val="22"/>
          <w:highlight w:val="none"/>
        </w:rPr>
      </w:pPr>
      <w:r>
        <w:rPr>
          <w:rFonts w:hint="default" w:ascii="Times New Roman" w:hAnsi="Times New Roman" w:cs="Times New Roman"/>
          <w:color w:val="auto"/>
          <w:highlight w:val="none"/>
        </w:rPr>
        <w:t>选厂及</w:t>
      </w:r>
      <w:r>
        <w:rPr>
          <w:rFonts w:hint="default" w:ascii="Times New Roman" w:hAnsi="Times New Roman" w:cs="Times New Roman"/>
          <w:color w:val="auto"/>
          <w:highlight w:val="none"/>
          <w:lang w:eastAsia="zh-CN"/>
        </w:rPr>
        <w:t>尾矿库</w:t>
      </w:r>
      <w:r>
        <w:rPr>
          <w:rFonts w:hint="default" w:ascii="Times New Roman" w:hAnsi="Times New Roman" w:cs="Times New Roman"/>
          <w:color w:val="auto"/>
          <w:highlight w:val="none"/>
        </w:rPr>
        <w:t>共</w:t>
      </w:r>
      <w:r>
        <w:rPr>
          <w:rFonts w:hint="eastAsia" w:cs="Times New Roman"/>
          <w:color w:val="auto"/>
          <w:highlight w:val="none"/>
          <w:lang w:val="en-US" w:eastAsia="zh-CN"/>
        </w:rPr>
        <w:t>4</w:t>
      </w:r>
      <w:r>
        <w:rPr>
          <w:rFonts w:hint="default" w:ascii="Times New Roman" w:hAnsi="Times New Roman" w:cs="Times New Roman"/>
          <w:color w:val="auto"/>
          <w:highlight w:val="none"/>
        </w:rPr>
        <w:t>个点，其中选厂内</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个点，尾矿库内</w:t>
      </w:r>
      <w:r>
        <w:rPr>
          <w:rFonts w:hint="eastAsia" w:cs="Times New Roman"/>
          <w:color w:val="auto"/>
          <w:highlight w:val="none"/>
          <w:lang w:val="en-US" w:eastAsia="zh-CN"/>
        </w:rPr>
        <w:t>1</w:t>
      </w:r>
      <w:r>
        <w:rPr>
          <w:rFonts w:hint="default" w:ascii="Times New Roman" w:hAnsi="Times New Roman" w:cs="Times New Roman"/>
          <w:color w:val="auto"/>
          <w:highlight w:val="none"/>
        </w:rPr>
        <w:t>个点</w:t>
      </w:r>
      <w:r>
        <w:rPr>
          <w:rFonts w:hint="eastAsia" w:cs="Times New Roman"/>
          <w:color w:val="auto"/>
          <w:highlight w:val="none"/>
          <w:lang w:eastAsia="zh-CN"/>
        </w:rPr>
        <w:t>，</w:t>
      </w:r>
      <w:r>
        <w:rPr>
          <w:rFonts w:hint="default" w:ascii="Times New Roman" w:hAnsi="Times New Roman" w:cs="Times New Roman"/>
          <w:color w:val="auto"/>
          <w:highlight w:val="none"/>
        </w:rPr>
        <w:t>选厂</w:t>
      </w:r>
      <w:r>
        <w:rPr>
          <w:rFonts w:hint="eastAsia" w:ascii="Times New Roman" w:hAnsi="Times New Roman" w:cs="Times New Roman"/>
          <w:color w:val="auto"/>
          <w:highlight w:val="none"/>
          <w:lang w:val="en-US" w:eastAsia="zh-CN"/>
        </w:rPr>
        <w:t>外</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个点，尾矿库</w:t>
      </w:r>
      <w:r>
        <w:rPr>
          <w:rFonts w:hint="eastAsia" w:ascii="Times New Roman" w:hAnsi="Times New Roman" w:cs="Times New Roman"/>
          <w:color w:val="auto"/>
          <w:highlight w:val="none"/>
          <w:lang w:val="en-US" w:eastAsia="zh-CN"/>
        </w:rPr>
        <w:t>外</w:t>
      </w:r>
      <w:r>
        <w:rPr>
          <w:rFonts w:hint="eastAsia" w:cs="Times New Roman"/>
          <w:color w:val="auto"/>
          <w:highlight w:val="none"/>
          <w:lang w:val="en-US" w:eastAsia="zh-CN"/>
        </w:rPr>
        <w:t>1</w:t>
      </w:r>
      <w:r>
        <w:rPr>
          <w:rFonts w:hint="default" w:ascii="Times New Roman" w:hAnsi="Times New Roman" w:cs="Times New Roman"/>
          <w:color w:val="auto"/>
          <w:highlight w:val="none"/>
        </w:rPr>
        <w:t>个点。</w:t>
      </w:r>
    </w:p>
    <w:p w14:paraId="0D56E72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土壤监测点布设情况见表4.2-</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w:t>
      </w:r>
    </w:p>
    <w:p w14:paraId="6D6568CA">
      <w:pPr>
        <w:adjustRightInd w:val="0"/>
        <w:snapToGrid w:val="0"/>
        <w:ind w:firstLine="0" w:firstLineChars="0"/>
        <w:jc w:val="center"/>
        <w:rPr>
          <w:rFonts w:hint="default" w:ascii="Times New Roman" w:hAnsi="Times New Roman" w:cs="Times New Roman"/>
          <w:b/>
          <w:color w:val="auto"/>
          <w:kern w:val="0"/>
          <w:szCs w:val="22"/>
          <w:highlight w:val="none"/>
        </w:rPr>
      </w:pPr>
      <w:r>
        <w:rPr>
          <w:rFonts w:hint="default" w:ascii="Times New Roman" w:hAnsi="Times New Roman" w:cs="Times New Roman"/>
          <w:b/>
          <w:color w:val="auto"/>
          <w:kern w:val="0"/>
          <w:szCs w:val="22"/>
          <w:highlight w:val="none"/>
        </w:rPr>
        <w:t>表4.2-</w:t>
      </w:r>
      <w:r>
        <w:rPr>
          <w:rFonts w:hint="default" w:ascii="Times New Roman" w:hAnsi="Times New Roman" w:cs="Times New Roman"/>
          <w:b/>
          <w:color w:val="auto"/>
          <w:kern w:val="0"/>
          <w:szCs w:val="22"/>
          <w:highlight w:val="none"/>
          <w:lang w:val="en-US" w:eastAsia="zh-CN"/>
        </w:rPr>
        <w:t>8</w:t>
      </w:r>
      <w:r>
        <w:rPr>
          <w:rFonts w:hint="default" w:ascii="Times New Roman" w:hAnsi="Times New Roman" w:cs="Times New Roman"/>
          <w:b/>
          <w:color w:val="auto"/>
          <w:kern w:val="0"/>
          <w:szCs w:val="22"/>
          <w:highlight w:val="none"/>
        </w:rPr>
        <w:t xml:space="preserve">    项目土壤监测点布设情况一览表</w:t>
      </w:r>
    </w:p>
    <w:tbl>
      <w:tblPr>
        <w:tblStyle w:val="33"/>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6" w:type="dxa"/>
          <w:bottom w:w="0" w:type="dxa"/>
          <w:right w:w="6" w:type="dxa"/>
        </w:tblCellMar>
      </w:tblPr>
      <w:tblGrid>
        <w:gridCol w:w="467"/>
        <w:gridCol w:w="1701"/>
        <w:gridCol w:w="2681"/>
        <w:gridCol w:w="1039"/>
        <w:gridCol w:w="3098"/>
      </w:tblGrid>
      <w:tr w14:paraId="68ABBA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cantSplit/>
          <w:trHeight w:val="340" w:hRule="atLeast"/>
          <w:tblHeader/>
          <w:jc w:val="center"/>
        </w:trPr>
        <w:tc>
          <w:tcPr>
            <w:tcW w:w="265" w:type="pct"/>
            <w:tcBorders>
              <w:tl2br w:val="nil"/>
              <w:tr2bl w:val="nil"/>
            </w:tcBorders>
            <w:vAlign w:val="center"/>
          </w:tcPr>
          <w:p w14:paraId="46BA3957">
            <w:pPr>
              <w:pStyle w:val="83"/>
              <w:spacing w:line="360" w:lineRule="exact"/>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编号</w:t>
            </w:r>
          </w:p>
        </w:tc>
        <w:tc>
          <w:tcPr>
            <w:tcW w:w="951" w:type="pct"/>
            <w:tcBorders>
              <w:tl2br w:val="nil"/>
              <w:tr2bl w:val="nil"/>
            </w:tcBorders>
            <w:vAlign w:val="center"/>
          </w:tcPr>
          <w:p w14:paraId="31D1C2E6">
            <w:pPr>
              <w:pStyle w:val="83"/>
              <w:spacing w:line="360" w:lineRule="exact"/>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位置</w:t>
            </w:r>
          </w:p>
        </w:tc>
        <w:tc>
          <w:tcPr>
            <w:tcW w:w="1471" w:type="pct"/>
            <w:tcBorders>
              <w:tl2br w:val="nil"/>
              <w:tr2bl w:val="nil"/>
            </w:tcBorders>
            <w:vAlign w:val="center"/>
          </w:tcPr>
          <w:p w14:paraId="42928C61">
            <w:pPr>
              <w:pStyle w:val="83"/>
              <w:spacing w:line="360" w:lineRule="exact"/>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监测点坐标</w:t>
            </w:r>
          </w:p>
        </w:tc>
        <w:tc>
          <w:tcPr>
            <w:tcW w:w="2311" w:type="pct"/>
            <w:gridSpan w:val="2"/>
            <w:tcBorders>
              <w:tl2br w:val="nil"/>
              <w:tr2bl w:val="nil"/>
            </w:tcBorders>
            <w:vAlign w:val="center"/>
          </w:tcPr>
          <w:p w14:paraId="6BC5100C">
            <w:pPr>
              <w:pStyle w:val="83"/>
              <w:spacing w:line="360" w:lineRule="exact"/>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监测项目</w:t>
            </w:r>
          </w:p>
        </w:tc>
      </w:tr>
      <w:tr w14:paraId="6440CD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cantSplit/>
          <w:trHeight w:val="340" w:hRule="atLeast"/>
          <w:jc w:val="center"/>
        </w:trPr>
        <w:tc>
          <w:tcPr>
            <w:tcW w:w="265" w:type="pct"/>
            <w:tcBorders>
              <w:tl2br w:val="nil"/>
              <w:tr2bl w:val="nil"/>
            </w:tcBorders>
            <w:vAlign w:val="center"/>
          </w:tcPr>
          <w:p w14:paraId="3C6BA398">
            <w:pPr>
              <w:pStyle w:val="83"/>
              <w:spacing w:line="36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p>
        </w:tc>
        <w:tc>
          <w:tcPr>
            <w:tcW w:w="951" w:type="pct"/>
            <w:tcBorders>
              <w:tl2br w:val="nil"/>
              <w:tr2bl w:val="nil"/>
            </w:tcBorders>
            <w:vAlign w:val="center"/>
          </w:tcPr>
          <w:p w14:paraId="3B6C0FC1">
            <w:pPr>
              <w:pStyle w:val="83"/>
              <w:spacing w:line="360" w:lineRule="exac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选厂外</w:t>
            </w:r>
          </w:p>
        </w:tc>
        <w:tc>
          <w:tcPr>
            <w:tcW w:w="1471" w:type="pct"/>
            <w:tcBorders>
              <w:tl2br w:val="nil"/>
              <w:tr2bl w:val="nil"/>
            </w:tcBorders>
            <w:vAlign w:val="center"/>
          </w:tcPr>
          <w:p w14:paraId="3E10BF6B">
            <w:pPr>
              <w:keepNext w:val="0"/>
              <w:keepLines w:val="0"/>
              <w:widowControl/>
              <w:suppressLineNumbers w:val="0"/>
              <w:tabs>
                <w:tab w:val="left" w:pos="1119"/>
              </w:tabs>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highlight w:val="none"/>
              </w:rPr>
            </w:pPr>
            <w:r>
              <w:rPr>
                <w:rFonts w:hint="default" w:ascii="Times New Roman" w:hAnsi="Times New Roman" w:eastAsia="宋体" w:cs="Times New Roman"/>
                <w:snapToGrid w:val="0"/>
                <w:color w:val="auto"/>
                <w:sz w:val="21"/>
                <w:szCs w:val="21"/>
                <w:highlight w:val="none"/>
                <w:lang w:val="en-US" w:eastAsia="zh-CN" w:bidi="ar-SA"/>
              </w:rPr>
              <w:t>N:4</w:t>
            </w:r>
            <w:r>
              <w:rPr>
                <w:rFonts w:hint="eastAsia" w:ascii="Times New Roman" w:hAnsi="Times New Roman" w:eastAsia="宋体" w:cs="Times New Roman"/>
                <w:snapToGrid w:val="0"/>
                <w:color w:val="auto"/>
                <w:sz w:val="21"/>
                <w:szCs w:val="21"/>
                <w:highlight w:val="none"/>
                <w:lang w:val="en-US" w:eastAsia="zh-CN" w:bidi="ar-SA"/>
              </w:rPr>
              <w:t>1</w:t>
            </w:r>
            <w:r>
              <w:rPr>
                <w:rFonts w:hint="default" w:ascii="Times New Roman" w:hAnsi="Times New Roman" w:eastAsia="宋体" w:cs="Times New Roman"/>
                <w:snapToGrid w:val="0"/>
                <w:color w:val="auto"/>
                <w:sz w:val="21"/>
                <w:szCs w:val="21"/>
                <w:highlight w:val="none"/>
                <w:lang w:val="en-US" w:eastAsia="zh-CN" w:bidi="ar-SA"/>
              </w:rPr>
              <w:t>°</w:t>
            </w:r>
            <w:r>
              <w:rPr>
                <w:rFonts w:hint="eastAsia" w:ascii="Times New Roman" w:hAnsi="Times New Roman" w:eastAsia="宋体" w:cs="Times New Roman"/>
                <w:snapToGrid w:val="0"/>
                <w:color w:val="auto"/>
                <w:sz w:val="21"/>
                <w:szCs w:val="21"/>
                <w:highlight w:val="none"/>
                <w:lang w:val="en-US" w:eastAsia="zh-CN" w:bidi="ar-SA"/>
              </w:rPr>
              <w:t>12</w:t>
            </w:r>
            <w:r>
              <w:rPr>
                <w:rFonts w:hint="default" w:ascii="Times New Roman" w:hAnsi="Times New Roman" w:eastAsia="宋体" w:cs="Times New Roman"/>
                <w:snapToGrid w:val="0"/>
                <w:color w:val="auto"/>
                <w:sz w:val="21"/>
                <w:szCs w:val="21"/>
                <w:highlight w:val="none"/>
                <w:lang w:val="en-US" w:eastAsia="zh-CN" w:bidi="ar-SA"/>
              </w:rPr>
              <w:t>′</w:t>
            </w:r>
            <w:r>
              <w:rPr>
                <w:rFonts w:hint="eastAsia" w:ascii="Times New Roman" w:hAnsi="Times New Roman" w:eastAsia="宋体" w:cs="Times New Roman"/>
                <w:snapToGrid w:val="0"/>
                <w:color w:val="auto"/>
                <w:sz w:val="21"/>
                <w:szCs w:val="21"/>
                <w:highlight w:val="none"/>
                <w:lang w:val="en-US" w:eastAsia="zh-CN" w:bidi="ar-SA"/>
              </w:rPr>
              <w:t>05.65</w:t>
            </w:r>
            <w:r>
              <w:rPr>
                <w:rFonts w:hint="default" w:ascii="Times New Roman" w:hAnsi="Times New Roman" w:eastAsia="宋体" w:cs="Times New Roman"/>
                <w:snapToGrid w:val="0"/>
                <w:color w:val="auto"/>
                <w:sz w:val="21"/>
                <w:szCs w:val="21"/>
                <w:highlight w:val="none"/>
                <w:lang w:val="en-US" w:eastAsia="zh-CN" w:bidi="ar-SA"/>
              </w:rPr>
              <w:t>″</w:t>
            </w:r>
            <w:r>
              <w:rPr>
                <w:rFonts w:hint="eastAsia" w:ascii="Times New Roman" w:hAnsi="Times New Roman" w:eastAsia="宋体" w:cs="Times New Roman"/>
                <w:snapToGrid w:val="0"/>
                <w:color w:val="auto"/>
                <w:sz w:val="21"/>
                <w:szCs w:val="21"/>
                <w:highlight w:val="none"/>
                <w:lang w:val="en-US" w:eastAsia="zh-CN" w:bidi="ar-SA"/>
              </w:rPr>
              <w:t>,</w:t>
            </w:r>
            <w:r>
              <w:rPr>
                <w:rFonts w:hint="default" w:ascii="Times New Roman" w:hAnsi="Times New Roman" w:cs="Times New Roman"/>
                <w:color w:val="auto"/>
                <w:sz w:val="21"/>
                <w:szCs w:val="21"/>
                <w:highlight w:val="none"/>
              </w:rPr>
              <w:t>E:</w:t>
            </w:r>
            <w:r>
              <w:rPr>
                <w:rFonts w:hint="eastAsia" w:cs="Times New Roman"/>
                <w:color w:val="auto"/>
                <w:sz w:val="21"/>
                <w:szCs w:val="21"/>
                <w:highlight w:val="none"/>
                <w:lang w:val="en-US" w:eastAsia="zh-CN"/>
              </w:rPr>
              <w:t>93</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55</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2</w:t>
            </w:r>
            <w:r>
              <w:rPr>
                <w:rFonts w:hint="eastAsia" w:cs="Times New Roman"/>
                <w:color w:val="auto"/>
                <w:sz w:val="21"/>
                <w:szCs w:val="21"/>
                <w:highlight w:val="none"/>
                <w:lang w:val="en-US" w:eastAsia="zh-CN"/>
              </w:rPr>
              <w:t>3.02</w:t>
            </w:r>
            <w:r>
              <w:rPr>
                <w:rFonts w:hint="default" w:ascii="Times New Roman" w:hAnsi="Times New Roman" w:cs="Times New Roman"/>
                <w:color w:val="auto"/>
                <w:sz w:val="21"/>
                <w:szCs w:val="21"/>
                <w:highlight w:val="none"/>
              </w:rPr>
              <w:t>″</w:t>
            </w:r>
          </w:p>
        </w:tc>
        <w:tc>
          <w:tcPr>
            <w:tcW w:w="583" w:type="pct"/>
            <w:tcBorders>
              <w:tl2br w:val="nil"/>
              <w:tr2bl w:val="nil"/>
            </w:tcBorders>
            <w:vAlign w:val="center"/>
          </w:tcPr>
          <w:p w14:paraId="73CB692B">
            <w:pPr>
              <w:pStyle w:val="83"/>
              <w:spacing w:line="36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表层样</w:t>
            </w:r>
          </w:p>
        </w:tc>
        <w:tc>
          <w:tcPr>
            <w:tcW w:w="1727" w:type="pct"/>
            <w:tcBorders>
              <w:tl2br w:val="nil"/>
              <w:tr2bl w:val="nil"/>
            </w:tcBorders>
            <w:vAlign w:val="center"/>
          </w:tcPr>
          <w:p w14:paraId="70683B46">
            <w:pPr>
              <w:pStyle w:val="83"/>
              <w:spacing w:line="360" w:lineRule="exact"/>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eastAsia="zh-CN"/>
              </w:rPr>
              <w:t>汞、砷、镉、六价铬、铜、铅、镍</w:t>
            </w:r>
          </w:p>
        </w:tc>
      </w:tr>
      <w:tr w14:paraId="7C73E6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cantSplit/>
          <w:trHeight w:val="340" w:hRule="atLeast"/>
          <w:jc w:val="center"/>
        </w:trPr>
        <w:tc>
          <w:tcPr>
            <w:tcW w:w="265" w:type="pct"/>
            <w:tcBorders>
              <w:tl2br w:val="nil"/>
              <w:tr2bl w:val="nil"/>
            </w:tcBorders>
            <w:vAlign w:val="center"/>
          </w:tcPr>
          <w:p w14:paraId="505D2352">
            <w:pPr>
              <w:pStyle w:val="83"/>
              <w:spacing w:line="36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p>
        </w:tc>
        <w:tc>
          <w:tcPr>
            <w:tcW w:w="951" w:type="pct"/>
            <w:tcBorders>
              <w:tl2br w:val="nil"/>
              <w:tr2bl w:val="nil"/>
            </w:tcBorders>
            <w:vAlign w:val="center"/>
          </w:tcPr>
          <w:p w14:paraId="4F9E9EF9">
            <w:pPr>
              <w:pStyle w:val="83"/>
              <w:spacing w:line="360" w:lineRule="exact"/>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选厂内</w:t>
            </w:r>
          </w:p>
        </w:tc>
        <w:tc>
          <w:tcPr>
            <w:tcW w:w="1471" w:type="pct"/>
            <w:tcBorders>
              <w:tl2br w:val="nil"/>
              <w:tr2bl w:val="nil"/>
            </w:tcBorders>
            <w:vAlign w:val="center"/>
          </w:tcPr>
          <w:p w14:paraId="182809A8">
            <w:pPr>
              <w:keepNext w:val="0"/>
              <w:keepLines w:val="0"/>
              <w:widowControl/>
              <w:suppressLineNumbers w:val="0"/>
              <w:tabs>
                <w:tab w:val="left" w:pos="1119"/>
              </w:tabs>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Cs w:val="21"/>
                <w:highlight w:val="none"/>
              </w:rPr>
            </w:pPr>
            <w:r>
              <w:rPr>
                <w:rFonts w:hint="default" w:ascii="Times New Roman" w:hAnsi="Times New Roman" w:eastAsia="宋体" w:cs="Times New Roman"/>
                <w:snapToGrid w:val="0"/>
                <w:color w:val="auto"/>
                <w:sz w:val="21"/>
                <w:szCs w:val="21"/>
                <w:highlight w:val="none"/>
                <w:lang w:val="en-US" w:eastAsia="zh-CN" w:bidi="ar-SA"/>
              </w:rPr>
              <w:t>N:4</w:t>
            </w:r>
            <w:r>
              <w:rPr>
                <w:rFonts w:hint="eastAsia" w:ascii="Times New Roman" w:hAnsi="Times New Roman" w:eastAsia="宋体" w:cs="Times New Roman"/>
                <w:snapToGrid w:val="0"/>
                <w:color w:val="auto"/>
                <w:sz w:val="21"/>
                <w:szCs w:val="21"/>
                <w:highlight w:val="none"/>
                <w:lang w:val="en-US" w:eastAsia="zh-CN" w:bidi="ar-SA"/>
              </w:rPr>
              <w:t>1</w:t>
            </w:r>
            <w:r>
              <w:rPr>
                <w:rFonts w:hint="default" w:ascii="Times New Roman" w:hAnsi="Times New Roman" w:eastAsia="宋体" w:cs="Times New Roman"/>
                <w:snapToGrid w:val="0"/>
                <w:color w:val="auto"/>
                <w:sz w:val="21"/>
                <w:szCs w:val="21"/>
                <w:highlight w:val="none"/>
                <w:lang w:val="en-US" w:eastAsia="zh-CN" w:bidi="ar-SA"/>
              </w:rPr>
              <w:t>°</w:t>
            </w:r>
            <w:r>
              <w:rPr>
                <w:rFonts w:hint="eastAsia" w:ascii="Times New Roman" w:hAnsi="Times New Roman" w:eastAsia="宋体" w:cs="Times New Roman"/>
                <w:snapToGrid w:val="0"/>
                <w:color w:val="auto"/>
                <w:sz w:val="21"/>
                <w:szCs w:val="21"/>
                <w:highlight w:val="none"/>
                <w:lang w:val="en-US" w:eastAsia="zh-CN" w:bidi="ar-SA"/>
              </w:rPr>
              <w:t>11</w:t>
            </w:r>
            <w:r>
              <w:rPr>
                <w:rFonts w:hint="default" w:ascii="Times New Roman" w:hAnsi="Times New Roman" w:eastAsia="宋体" w:cs="Times New Roman"/>
                <w:snapToGrid w:val="0"/>
                <w:color w:val="auto"/>
                <w:sz w:val="21"/>
                <w:szCs w:val="21"/>
                <w:highlight w:val="none"/>
                <w:lang w:val="en-US" w:eastAsia="zh-CN" w:bidi="ar-SA"/>
              </w:rPr>
              <w:t>′</w:t>
            </w:r>
            <w:r>
              <w:rPr>
                <w:rFonts w:hint="eastAsia" w:ascii="Times New Roman" w:hAnsi="Times New Roman" w:eastAsia="宋体" w:cs="Times New Roman"/>
                <w:snapToGrid w:val="0"/>
                <w:color w:val="auto"/>
                <w:sz w:val="21"/>
                <w:szCs w:val="21"/>
                <w:highlight w:val="none"/>
                <w:lang w:val="en-US" w:eastAsia="zh-CN" w:bidi="ar-SA"/>
              </w:rPr>
              <w:t>56.74</w:t>
            </w:r>
            <w:r>
              <w:rPr>
                <w:rFonts w:hint="default" w:ascii="Times New Roman" w:hAnsi="Times New Roman" w:eastAsia="宋体" w:cs="Times New Roman"/>
                <w:snapToGrid w:val="0"/>
                <w:color w:val="auto"/>
                <w:sz w:val="21"/>
                <w:szCs w:val="21"/>
                <w:highlight w:val="none"/>
                <w:lang w:val="en-US" w:eastAsia="zh-CN" w:bidi="ar-SA"/>
              </w:rPr>
              <w:t>″</w:t>
            </w:r>
            <w:r>
              <w:rPr>
                <w:rFonts w:hint="eastAsia" w:ascii="Times New Roman" w:hAnsi="Times New Roman" w:eastAsia="宋体" w:cs="Times New Roman"/>
                <w:snapToGrid w:val="0"/>
                <w:color w:val="auto"/>
                <w:sz w:val="21"/>
                <w:szCs w:val="21"/>
                <w:highlight w:val="none"/>
                <w:lang w:val="en-US" w:eastAsia="zh-CN" w:bidi="ar-SA"/>
              </w:rPr>
              <w:t>,</w:t>
            </w:r>
            <w:r>
              <w:rPr>
                <w:rFonts w:hint="default" w:ascii="Times New Roman" w:hAnsi="Times New Roman" w:cs="Times New Roman"/>
                <w:color w:val="auto"/>
                <w:sz w:val="21"/>
                <w:szCs w:val="21"/>
                <w:highlight w:val="none"/>
              </w:rPr>
              <w:t>E:</w:t>
            </w:r>
            <w:r>
              <w:rPr>
                <w:rFonts w:hint="eastAsia" w:cs="Times New Roman"/>
                <w:color w:val="auto"/>
                <w:sz w:val="21"/>
                <w:szCs w:val="21"/>
                <w:highlight w:val="none"/>
                <w:lang w:val="en-US" w:eastAsia="zh-CN"/>
              </w:rPr>
              <w:t>93</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55</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2</w:t>
            </w:r>
            <w:r>
              <w:rPr>
                <w:rFonts w:hint="eastAsia" w:cs="Times New Roman"/>
                <w:color w:val="auto"/>
                <w:sz w:val="21"/>
                <w:szCs w:val="21"/>
                <w:highlight w:val="none"/>
                <w:lang w:val="en-US" w:eastAsia="zh-CN"/>
              </w:rPr>
              <w:t>6.02</w:t>
            </w:r>
            <w:r>
              <w:rPr>
                <w:rFonts w:hint="default" w:ascii="Times New Roman" w:hAnsi="Times New Roman" w:cs="Times New Roman"/>
                <w:color w:val="auto"/>
                <w:sz w:val="21"/>
                <w:szCs w:val="21"/>
                <w:highlight w:val="none"/>
              </w:rPr>
              <w:t>″</w:t>
            </w:r>
          </w:p>
        </w:tc>
        <w:tc>
          <w:tcPr>
            <w:tcW w:w="583" w:type="pct"/>
            <w:tcBorders>
              <w:tl2br w:val="nil"/>
              <w:tr2bl w:val="nil"/>
            </w:tcBorders>
            <w:vAlign w:val="center"/>
          </w:tcPr>
          <w:p w14:paraId="2D1AEF0B">
            <w:pPr>
              <w:pStyle w:val="83"/>
              <w:spacing w:line="36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表层样</w:t>
            </w:r>
          </w:p>
        </w:tc>
        <w:tc>
          <w:tcPr>
            <w:tcW w:w="1727" w:type="pct"/>
            <w:tcBorders>
              <w:tl2br w:val="nil"/>
              <w:tr2bl w:val="nil"/>
            </w:tcBorders>
            <w:vAlign w:val="center"/>
          </w:tcPr>
          <w:p w14:paraId="00882415">
            <w:pPr>
              <w:pStyle w:val="83"/>
              <w:spacing w:line="360" w:lineRule="exact"/>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汞、砷、镉、六价铬、铜、铅、镍</w:t>
            </w:r>
          </w:p>
        </w:tc>
      </w:tr>
      <w:tr w14:paraId="69E818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cantSplit/>
          <w:trHeight w:val="340" w:hRule="atLeast"/>
          <w:jc w:val="center"/>
        </w:trPr>
        <w:tc>
          <w:tcPr>
            <w:tcW w:w="265" w:type="pct"/>
            <w:tcBorders>
              <w:tl2br w:val="nil"/>
              <w:tr2bl w:val="nil"/>
            </w:tcBorders>
            <w:vAlign w:val="center"/>
          </w:tcPr>
          <w:p w14:paraId="621171E1">
            <w:pPr>
              <w:pStyle w:val="83"/>
              <w:spacing w:line="36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p>
        </w:tc>
        <w:tc>
          <w:tcPr>
            <w:tcW w:w="951" w:type="pct"/>
            <w:tcBorders>
              <w:tl2br w:val="nil"/>
              <w:tr2bl w:val="nil"/>
            </w:tcBorders>
            <w:vAlign w:val="center"/>
          </w:tcPr>
          <w:p w14:paraId="031A9133">
            <w:pPr>
              <w:pStyle w:val="83"/>
              <w:spacing w:line="360" w:lineRule="exact"/>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尾矿库内</w:t>
            </w:r>
          </w:p>
        </w:tc>
        <w:tc>
          <w:tcPr>
            <w:tcW w:w="1471" w:type="pct"/>
            <w:tcBorders>
              <w:tl2br w:val="nil"/>
              <w:tr2bl w:val="nil"/>
            </w:tcBorders>
            <w:vAlign w:val="center"/>
          </w:tcPr>
          <w:p w14:paraId="5124A106">
            <w:pPr>
              <w:keepNext w:val="0"/>
              <w:keepLines w:val="0"/>
              <w:widowControl/>
              <w:suppressLineNumbers w:val="0"/>
              <w:tabs>
                <w:tab w:val="left" w:pos="1119"/>
              </w:tabs>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Cs w:val="21"/>
                <w:highlight w:val="none"/>
              </w:rPr>
            </w:pPr>
            <w:r>
              <w:rPr>
                <w:rFonts w:hint="default" w:ascii="Times New Roman" w:hAnsi="Times New Roman" w:eastAsia="宋体" w:cs="Times New Roman"/>
                <w:snapToGrid w:val="0"/>
                <w:color w:val="auto"/>
                <w:sz w:val="21"/>
                <w:szCs w:val="21"/>
                <w:highlight w:val="none"/>
                <w:lang w:val="en-US" w:eastAsia="zh-CN" w:bidi="ar-SA"/>
              </w:rPr>
              <w:t>N:4</w:t>
            </w:r>
            <w:r>
              <w:rPr>
                <w:rFonts w:hint="eastAsia" w:ascii="Times New Roman" w:hAnsi="Times New Roman" w:eastAsia="宋体" w:cs="Times New Roman"/>
                <w:snapToGrid w:val="0"/>
                <w:color w:val="auto"/>
                <w:sz w:val="21"/>
                <w:szCs w:val="21"/>
                <w:highlight w:val="none"/>
                <w:lang w:val="en-US" w:eastAsia="zh-CN" w:bidi="ar-SA"/>
              </w:rPr>
              <w:t>1</w:t>
            </w:r>
            <w:r>
              <w:rPr>
                <w:rFonts w:hint="default" w:ascii="Times New Roman" w:hAnsi="Times New Roman" w:eastAsia="宋体" w:cs="Times New Roman"/>
                <w:snapToGrid w:val="0"/>
                <w:color w:val="auto"/>
                <w:sz w:val="21"/>
                <w:szCs w:val="21"/>
                <w:highlight w:val="none"/>
                <w:lang w:val="en-US" w:eastAsia="zh-CN" w:bidi="ar-SA"/>
              </w:rPr>
              <w:t>°</w:t>
            </w:r>
            <w:r>
              <w:rPr>
                <w:rFonts w:hint="eastAsia" w:ascii="Times New Roman" w:hAnsi="Times New Roman" w:eastAsia="宋体" w:cs="Times New Roman"/>
                <w:snapToGrid w:val="0"/>
                <w:color w:val="auto"/>
                <w:sz w:val="21"/>
                <w:szCs w:val="21"/>
                <w:highlight w:val="none"/>
                <w:lang w:val="en-US" w:eastAsia="zh-CN" w:bidi="ar-SA"/>
              </w:rPr>
              <w:t>12</w:t>
            </w:r>
            <w:r>
              <w:rPr>
                <w:rFonts w:hint="default" w:ascii="Times New Roman" w:hAnsi="Times New Roman" w:eastAsia="宋体" w:cs="Times New Roman"/>
                <w:snapToGrid w:val="0"/>
                <w:color w:val="auto"/>
                <w:sz w:val="21"/>
                <w:szCs w:val="21"/>
                <w:highlight w:val="none"/>
                <w:lang w:val="en-US" w:eastAsia="zh-CN" w:bidi="ar-SA"/>
              </w:rPr>
              <w:t>′</w:t>
            </w:r>
            <w:r>
              <w:rPr>
                <w:rFonts w:hint="eastAsia" w:ascii="Times New Roman" w:hAnsi="Times New Roman" w:eastAsia="宋体" w:cs="Times New Roman"/>
                <w:snapToGrid w:val="0"/>
                <w:color w:val="auto"/>
                <w:sz w:val="21"/>
                <w:szCs w:val="21"/>
                <w:highlight w:val="none"/>
                <w:lang w:val="en-US" w:eastAsia="zh-CN" w:bidi="ar-SA"/>
              </w:rPr>
              <w:t>21.05</w:t>
            </w:r>
            <w:r>
              <w:rPr>
                <w:rFonts w:hint="default" w:ascii="Times New Roman" w:hAnsi="Times New Roman" w:eastAsia="宋体" w:cs="Times New Roman"/>
                <w:snapToGrid w:val="0"/>
                <w:color w:val="auto"/>
                <w:sz w:val="21"/>
                <w:szCs w:val="21"/>
                <w:highlight w:val="none"/>
                <w:lang w:val="en-US" w:eastAsia="zh-CN" w:bidi="ar-SA"/>
              </w:rPr>
              <w:t>″</w:t>
            </w:r>
            <w:r>
              <w:rPr>
                <w:rFonts w:hint="eastAsia" w:ascii="Times New Roman" w:hAnsi="Times New Roman" w:eastAsia="宋体" w:cs="Times New Roman"/>
                <w:snapToGrid w:val="0"/>
                <w:color w:val="auto"/>
                <w:sz w:val="21"/>
                <w:szCs w:val="21"/>
                <w:highlight w:val="none"/>
                <w:lang w:val="en-US" w:eastAsia="zh-CN" w:bidi="ar-SA"/>
              </w:rPr>
              <w:t>,</w:t>
            </w:r>
            <w:r>
              <w:rPr>
                <w:rFonts w:hint="default" w:ascii="Times New Roman" w:hAnsi="Times New Roman" w:cs="Times New Roman"/>
                <w:color w:val="auto"/>
                <w:sz w:val="21"/>
                <w:szCs w:val="21"/>
                <w:highlight w:val="none"/>
              </w:rPr>
              <w:t>E:</w:t>
            </w:r>
            <w:r>
              <w:rPr>
                <w:rFonts w:hint="eastAsia" w:cs="Times New Roman"/>
                <w:color w:val="auto"/>
                <w:sz w:val="21"/>
                <w:szCs w:val="21"/>
                <w:highlight w:val="none"/>
                <w:lang w:val="en-US" w:eastAsia="zh-CN"/>
              </w:rPr>
              <w:t>93</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55</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48.28</w:t>
            </w:r>
            <w:r>
              <w:rPr>
                <w:rFonts w:hint="default" w:ascii="Times New Roman" w:hAnsi="Times New Roman" w:cs="Times New Roman"/>
                <w:color w:val="auto"/>
                <w:sz w:val="21"/>
                <w:szCs w:val="21"/>
                <w:highlight w:val="none"/>
              </w:rPr>
              <w:t>″</w:t>
            </w:r>
          </w:p>
        </w:tc>
        <w:tc>
          <w:tcPr>
            <w:tcW w:w="583" w:type="pct"/>
            <w:tcBorders>
              <w:tl2br w:val="nil"/>
              <w:tr2bl w:val="nil"/>
            </w:tcBorders>
            <w:vAlign w:val="center"/>
          </w:tcPr>
          <w:p w14:paraId="07153DF1">
            <w:pPr>
              <w:pStyle w:val="83"/>
              <w:spacing w:line="36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表层样</w:t>
            </w:r>
          </w:p>
        </w:tc>
        <w:tc>
          <w:tcPr>
            <w:tcW w:w="1727" w:type="pct"/>
            <w:tcBorders>
              <w:tl2br w:val="nil"/>
              <w:tr2bl w:val="nil"/>
            </w:tcBorders>
            <w:vAlign w:val="center"/>
          </w:tcPr>
          <w:p w14:paraId="6A815BE6">
            <w:pPr>
              <w:pStyle w:val="83"/>
              <w:spacing w:line="36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汞、砷、镉、六价铬、铜、铅、镍</w:t>
            </w:r>
          </w:p>
        </w:tc>
      </w:tr>
      <w:tr w14:paraId="7288FD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cantSplit/>
          <w:trHeight w:val="340" w:hRule="atLeast"/>
          <w:jc w:val="center"/>
        </w:trPr>
        <w:tc>
          <w:tcPr>
            <w:tcW w:w="265" w:type="pct"/>
            <w:tcBorders>
              <w:tl2br w:val="nil"/>
              <w:tr2bl w:val="nil"/>
            </w:tcBorders>
            <w:vAlign w:val="center"/>
          </w:tcPr>
          <w:p w14:paraId="75200CEF">
            <w:pPr>
              <w:pStyle w:val="83"/>
              <w:spacing w:line="360" w:lineRule="exact"/>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4#</w:t>
            </w:r>
          </w:p>
        </w:tc>
        <w:tc>
          <w:tcPr>
            <w:tcW w:w="951" w:type="pct"/>
            <w:tcBorders>
              <w:tl2br w:val="nil"/>
              <w:tr2bl w:val="nil"/>
            </w:tcBorders>
            <w:vAlign w:val="center"/>
          </w:tcPr>
          <w:p w14:paraId="4550BE30">
            <w:pPr>
              <w:pStyle w:val="83"/>
              <w:spacing w:line="360" w:lineRule="exact"/>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highlight w:val="none"/>
              </w:rPr>
              <w:t>尾矿库</w:t>
            </w:r>
            <w:r>
              <w:rPr>
                <w:rFonts w:hint="eastAsia" w:ascii="Times New Roman" w:hAnsi="Times New Roman" w:cs="Times New Roman"/>
                <w:color w:val="auto"/>
                <w:highlight w:val="none"/>
                <w:lang w:val="en-US" w:eastAsia="zh-CN"/>
              </w:rPr>
              <w:t>外</w:t>
            </w:r>
          </w:p>
        </w:tc>
        <w:tc>
          <w:tcPr>
            <w:tcW w:w="1471" w:type="pct"/>
            <w:tcBorders>
              <w:tl2br w:val="nil"/>
              <w:tr2bl w:val="nil"/>
            </w:tcBorders>
            <w:vAlign w:val="center"/>
          </w:tcPr>
          <w:p w14:paraId="190A4310">
            <w:pPr>
              <w:keepNext w:val="0"/>
              <w:keepLines w:val="0"/>
              <w:widowControl/>
              <w:suppressLineNumbers w:val="0"/>
              <w:tabs>
                <w:tab w:val="left" w:pos="1119"/>
              </w:tabs>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bidi="ar-SA"/>
              </w:rPr>
              <w:t>N:4</w:t>
            </w:r>
            <w:r>
              <w:rPr>
                <w:rFonts w:hint="eastAsia" w:ascii="Times New Roman" w:hAnsi="Times New Roman" w:eastAsia="宋体" w:cs="Times New Roman"/>
                <w:snapToGrid w:val="0"/>
                <w:color w:val="auto"/>
                <w:sz w:val="21"/>
                <w:szCs w:val="21"/>
                <w:highlight w:val="none"/>
                <w:lang w:val="en-US" w:eastAsia="zh-CN" w:bidi="ar-SA"/>
              </w:rPr>
              <w:t>1</w:t>
            </w:r>
            <w:r>
              <w:rPr>
                <w:rFonts w:hint="default" w:ascii="Times New Roman" w:hAnsi="Times New Roman" w:eastAsia="宋体" w:cs="Times New Roman"/>
                <w:snapToGrid w:val="0"/>
                <w:color w:val="auto"/>
                <w:sz w:val="21"/>
                <w:szCs w:val="21"/>
                <w:highlight w:val="none"/>
                <w:lang w:val="en-US" w:eastAsia="zh-CN" w:bidi="ar-SA"/>
              </w:rPr>
              <w:t>°</w:t>
            </w:r>
            <w:r>
              <w:rPr>
                <w:rFonts w:hint="eastAsia" w:ascii="Times New Roman" w:hAnsi="Times New Roman" w:eastAsia="宋体" w:cs="Times New Roman"/>
                <w:snapToGrid w:val="0"/>
                <w:color w:val="auto"/>
                <w:sz w:val="21"/>
                <w:szCs w:val="21"/>
                <w:highlight w:val="none"/>
                <w:lang w:val="en-US" w:eastAsia="zh-CN" w:bidi="ar-SA"/>
              </w:rPr>
              <w:t>12</w:t>
            </w:r>
            <w:r>
              <w:rPr>
                <w:rFonts w:hint="default" w:ascii="Times New Roman" w:hAnsi="Times New Roman" w:eastAsia="宋体" w:cs="Times New Roman"/>
                <w:snapToGrid w:val="0"/>
                <w:color w:val="auto"/>
                <w:sz w:val="21"/>
                <w:szCs w:val="21"/>
                <w:highlight w:val="none"/>
                <w:lang w:val="en-US" w:eastAsia="zh-CN" w:bidi="ar-SA"/>
              </w:rPr>
              <w:t>′</w:t>
            </w:r>
            <w:r>
              <w:rPr>
                <w:rFonts w:hint="eastAsia" w:ascii="Times New Roman" w:hAnsi="Times New Roman" w:eastAsia="宋体" w:cs="Times New Roman"/>
                <w:snapToGrid w:val="0"/>
                <w:color w:val="auto"/>
                <w:sz w:val="21"/>
                <w:szCs w:val="21"/>
                <w:highlight w:val="none"/>
                <w:lang w:val="en-US" w:eastAsia="zh-CN" w:bidi="ar-SA"/>
              </w:rPr>
              <w:t>13.85</w:t>
            </w:r>
            <w:r>
              <w:rPr>
                <w:rFonts w:hint="default" w:ascii="Times New Roman" w:hAnsi="Times New Roman" w:eastAsia="宋体" w:cs="Times New Roman"/>
                <w:snapToGrid w:val="0"/>
                <w:color w:val="auto"/>
                <w:sz w:val="21"/>
                <w:szCs w:val="21"/>
                <w:highlight w:val="none"/>
                <w:lang w:val="en-US" w:eastAsia="zh-CN" w:bidi="ar-SA"/>
              </w:rPr>
              <w:t>″</w:t>
            </w:r>
            <w:r>
              <w:rPr>
                <w:rFonts w:hint="eastAsia" w:ascii="Times New Roman" w:hAnsi="Times New Roman" w:eastAsia="宋体" w:cs="Times New Roman"/>
                <w:snapToGrid w:val="0"/>
                <w:color w:val="auto"/>
                <w:sz w:val="21"/>
                <w:szCs w:val="21"/>
                <w:highlight w:val="none"/>
                <w:lang w:val="en-US" w:eastAsia="zh-CN" w:bidi="ar-SA"/>
              </w:rPr>
              <w:t>,</w:t>
            </w:r>
            <w:r>
              <w:rPr>
                <w:rFonts w:hint="default" w:ascii="Times New Roman" w:hAnsi="Times New Roman" w:eastAsia="宋体" w:cs="Times New Roman"/>
                <w:snapToGrid w:val="0"/>
                <w:color w:val="auto"/>
                <w:sz w:val="21"/>
                <w:szCs w:val="21"/>
                <w:highlight w:val="none"/>
                <w:lang w:val="en-US" w:eastAsia="zh-CN" w:bidi="ar-SA"/>
              </w:rPr>
              <w:t>E:</w:t>
            </w:r>
            <w:r>
              <w:rPr>
                <w:rFonts w:hint="eastAsia" w:ascii="Times New Roman" w:hAnsi="Times New Roman" w:eastAsia="宋体" w:cs="Times New Roman"/>
                <w:snapToGrid w:val="0"/>
                <w:color w:val="auto"/>
                <w:sz w:val="21"/>
                <w:szCs w:val="21"/>
                <w:highlight w:val="none"/>
                <w:lang w:val="en-US" w:eastAsia="zh-CN" w:bidi="ar-SA"/>
              </w:rPr>
              <w:t>93</w:t>
            </w:r>
            <w:r>
              <w:rPr>
                <w:rFonts w:hint="default" w:ascii="Times New Roman" w:hAnsi="Times New Roman" w:eastAsia="宋体" w:cs="Times New Roman"/>
                <w:snapToGrid w:val="0"/>
                <w:color w:val="auto"/>
                <w:sz w:val="21"/>
                <w:szCs w:val="21"/>
                <w:highlight w:val="none"/>
                <w:lang w:val="en-US" w:eastAsia="zh-CN" w:bidi="ar-SA"/>
              </w:rPr>
              <w:t>°</w:t>
            </w:r>
            <w:r>
              <w:rPr>
                <w:rFonts w:hint="eastAsia" w:ascii="Times New Roman" w:hAnsi="Times New Roman" w:eastAsia="宋体" w:cs="Times New Roman"/>
                <w:snapToGrid w:val="0"/>
                <w:color w:val="auto"/>
                <w:sz w:val="21"/>
                <w:szCs w:val="21"/>
                <w:highlight w:val="none"/>
                <w:lang w:val="en-US" w:eastAsia="zh-CN" w:bidi="ar-SA"/>
              </w:rPr>
              <w:t>55</w:t>
            </w:r>
            <w:r>
              <w:rPr>
                <w:rFonts w:hint="default" w:ascii="Times New Roman" w:hAnsi="Times New Roman" w:eastAsia="宋体" w:cs="Times New Roman"/>
                <w:snapToGrid w:val="0"/>
                <w:color w:val="auto"/>
                <w:sz w:val="21"/>
                <w:szCs w:val="21"/>
                <w:highlight w:val="none"/>
                <w:lang w:val="en-US" w:eastAsia="zh-CN" w:bidi="ar-SA"/>
              </w:rPr>
              <w:t>′</w:t>
            </w:r>
            <w:r>
              <w:rPr>
                <w:rFonts w:hint="eastAsia" w:ascii="Times New Roman" w:hAnsi="Times New Roman" w:eastAsia="宋体" w:cs="Times New Roman"/>
                <w:snapToGrid w:val="0"/>
                <w:color w:val="auto"/>
                <w:sz w:val="21"/>
                <w:szCs w:val="21"/>
                <w:highlight w:val="none"/>
                <w:lang w:val="en-US" w:eastAsia="zh-CN" w:bidi="ar-SA"/>
              </w:rPr>
              <w:t>35.97</w:t>
            </w:r>
            <w:r>
              <w:rPr>
                <w:rFonts w:hint="default" w:ascii="Times New Roman" w:hAnsi="Times New Roman" w:eastAsia="宋体" w:cs="Times New Roman"/>
                <w:snapToGrid w:val="0"/>
                <w:color w:val="auto"/>
                <w:sz w:val="21"/>
                <w:szCs w:val="21"/>
                <w:highlight w:val="none"/>
                <w:lang w:val="en-US" w:eastAsia="zh-CN" w:bidi="ar-SA"/>
              </w:rPr>
              <w:t>″</w:t>
            </w:r>
          </w:p>
        </w:tc>
        <w:tc>
          <w:tcPr>
            <w:tcW w:w="583" w:type="pct"/>
            <w:tcBorders>
              <w:tl2br w:val="nil"/>
              <w:tr2bl w:val="nil"/>
            </w:tcBorders>
            <w:vAlign w:val="center"/>
          </w:tcPr>
          <w:p w14:paraId="7261FD68">
            <w:pPr>
              <w:pStyle w:val="83"/>
              <w:spacing w:line="36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表层样</w:t>
            </w:r>
          </w:p>
        </w:tc>
        <w:tc>
          <w:tcPr>
            <w:tcW w:w="1727" w:type="pct"/>
            <w:tcBorders>
              <w:tl2br w:val="nil"/>
              <w:tr2bl w:val="nil"/>
            </w:tcBorders>
            <w:vAlign w:val="center"/>
          </w:tcPr>
          <w:p w14:paraId="51B8CD38">
            <w:pPr>
              <w:pStyle w:val="83"/>
              <w:spacing w:line="360" w:lineRule="exact"/>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基本项目45项+pH</w:t>
            </w:r>
          </w:p>
        </w:tc>
      </w:tr>
    </w:tbl>
    <w:p w14:paraId="768790B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kern w:val="0"/>
          <w:highlight w:val="none"/>
        </w:rPr>
        <w:t>监测</w:t>
      </w:r>
      <w:r>
        <w:rPr>
          <w:rFonts w:hint="default" w:ascii="Times New Roman" w:hAnsi="Times New Roman" w:cs="Times New Roman"/>
          <w:color w:val="auto"/>
          <w:highlight w:val="none"/>
        </w:rPr>
        <w:t>时间</w:t>
      </w:r>
    </w:p>
    <w:p w14:paraId="27B2049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监测时间为20</w:t>
      </w:r>
      <w:r>
        <w:rPr>
          <w:rFonts w:hint="eastAsia" w:cs="Times New Roman"/>
          <w:color w:val="auto"/>
          <w:kern w:val="0"/>
          <w:highlight w:val="none"/>
          <w:lang w:val="en-US" w:eastAsia="zh-CN"/>
        </w:rPr>
        <w:t>25</w:t>
      </w:r>
      <w:r>
        <w:rPr>
          <w:rFonts w:hint="default" w:ascii="Times New Roman" w:hAnsi="Times New Roman" w:cs="Times New Roman"/>
          <w:color w:val="auto"/>
          <w:kern w:val="0"/>
          <w:highlight w:val="none"/>
        </w:rPr>
        <w:t>年</w:t>
      </w:r>
      <w:r>
        <w:rPr>
          <w:rFonts w:hint="default" w:ascii="Times New Roman" w:hAnsi="Times New Roman" w:cs="Times New Roman"/>
          <w:color w:val="auto"/>
          <w:szCs w:val="24"/>
          <w:highlight w:val="none"/>
          <w:lang w:val="en-US" w:eastAsia="zh-CN"/>
        </w:rPr>
        <w:t>1</w:t>
      </w:r>
      <w:r>
        <w:rPr>
          <w:rFonts w:hint="eastAsia" w:cs="Times New Roman"/>
          <w:color w:val="auto"/>
          <w:szCs w:val="24"/>
          <w:highlight w:val="none"/>
          <w:lang w:val="en-US" w:eastAsia="zh-CN"/>
        </w:rPr>
        <w:t>2</w:t>
      </w:r>
      <w:r>
        <w:rPr>
          <w:rFonts w:hint="default" w:ascii="Times New Roman" w:hAnsi="Times New Roman" w:cs="Times New Roman"/>
          <w:color w:val="auto"/>
          <w:szCs w:val="24"/>
          <w:highlight w:val="none"/>
        </w:rPr>
        <w:t>月</w:t>
      </w:r>
      <w:r>
        <w:rPr>
          <w:rFonts w:hint="eastAsia" w:cs="Times New Roman"/>
          <w:color w:val="auto"/>
          <w:szCs w:val="24"/>
          <w:highlight w:val="none"/>
          <w:lang w:val="en-US" w:eastAsia="zh-CN"/>
        </w:rPr>
        <w:t>30</w:t>
      </w:r>
      <w:r>
        <w:rPr>
          <w:rFonts w:hint="default" w:ascii="Times New Roman" w:hAnsi="Times New Roman" w:cs="Times New Roman"/>
          <w:color w:val="auto"/>
          <w:szCs w:val="24"/>
          <w:highlight w:val="none"/>
        </w:rPr>
        <w:t>日</w:t>
      </w:r>
      <w:r>
        <w:rPr>
          <w:rFonts w:hint="default" w:ascii="Times New Roman" w:hAnsi="Times New Roman" w:cs="Times New Roman"/>
          <w:color w:val="auto"/>
          <w:kern w:val="0"/>
          <w:highlight w:val="none"/>
        </w:rPr>
        <w:t>。</w:t>
      </w:r>
    </w:p>
    <w:p w14:paraId="5835192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采样深度</w:t>
      </w:r>
    </w:p>
    <w:p w14:paraId="16E00812">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表层样采样深度为20cm。</w:t>
      </w:r>
    </w:p>
    <w:p w14:paraId="44F76A0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评价标准</w:t>
      </w:r>
    </w:p>
    <w:p w14:paraId="76837D36">
      <w:pPr>
        <w:overflowPunct w:val="0"/>
        <w:topLinePunct/>
        <w:ind w:firstLine="476"/>
        <w:rPr>
          <w:rFonts w:hint="default" w:ascii="Times New Roman" w:hAnsi="Times New Roman" w:cs="Times New Roman"/>
          <w:color w:val="auto"/>
          <w:highlight w:val="none"/>
        </w:rPr>
      </w:pPr>
      <w:r>
        <w:rPr>
          <w:rFonts w:hint="default" w:ascii="Times New Roman" w:hAnsi="Times New Roman" w:cs="Times New Roman"/>
          <w:color w:val="auto"/>
          <w:spacing w:val="-1"/>
          <w:kern w:val="0"/>
          <w:highlight w:val="none"/>
          <w:lang w:bidi="ar"/>
        </w:rPr>
        <w:t>本项目</w:t>
      </w:r>
      <w:r>
        <w:rPr>
          <w:rFonts w:hint="eastAsia" w:cs="Times New Roman"/>
          <w:color w:val="auto"/>
          <w:spacing w:val="-1"/>
          <w:kern w:val="0"/>
          <w:highlight w:val="none"/>
          <w:lang w:val="en-US" w:eastAsia="zh-CN" w:bidi="ar"/>
        </w:rPr>
        <w:t>项目区内、外</w:t>
      </w:r>
      <w:r>
        <w:rPr>
          <w:rFonts w:hint="default" w:ascii="Times New Roman" w:hAnsi="Times New Roman" w:cs="Times New Roman"/>
          <w:color w:val="auto"/>
          <w:spacing w:val="-1"/>
          <w:kern w:val="0"/>
          <w:highlight w:val="none"/>
          <w:lang w:bidi="ar"/>
        </w:rPr>
        <w:t>土壤</w:t>
      </w:r>
      <w:r>
        <w:rPr>
          <w:rFonts w:hint="eastAsia" w:cs="Times New Roman"/>
          <w:color w:val="auto"/>
          <w:spacing w:val="-1"/>
          <w:kern w:val="0"/>
          <w:highlight w:val="none"/>
          <w:lang w:val="en-US" w:eastAsia="zh-CN" w:bidi="ar"/>
        </w:rPr>
        <w:t>环境质量</w:t>
      </w:r>
      <w:r>
        <w:rPr>
          <w:rFonts w:hint="default" w:ascii="Times New Roman" w:hAnsi="Times New Roman" w:cs="Times New Roman"/>
          <w:color w:val="auto"/>
          <w:spacing w:val="-1"/>
          <w:kern w:val="0"/>
          <w:highlight w:val="none"/>
          <w:lang w:bidi="ar"/>
        </w:rPr>
        <w:t>执行《土壤环境质量 建设用地土壤污染风险管控标准（试行）》（GB36600-2018）第二类用地</w:t>
      </w:r>
      <w:r>
        <w:rPr>
          <w:rFonts w:hint="default" w:ascii="Times New Roman" w:hAnsi="Times New Roman" w:cs="Times New Roman"/>
          <w:color w:val="auto"/>
          <w:highlight w:val="none"/>
        </w:rPr>
        <w:t>筛选值标准。</w:t>
      </w:r>
    </w:p>
    <w:p w14:paraId="7AA18E9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评价方法</w:t>
      </w:r>
    </w:p>
    <w:p w14:paraId="6145054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采用直接比较的方法。</w:t>
      </w:r>
    </w:p>
    <w:p w14:paraId="686D5C0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监测结果</w:t>
      </w:r>
    </w:p>
    <w:p w14:paraId="6E2E81C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监测数据见表4.2-</w:t>
      </w:r>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，土壤监测布点图4.2-1。</w:t>
      </w:r>
    </w:p>
    <w:p w14:paraId="7E8E81A5">
      <w:pPr>
        <w:ind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表4.2-</w:t>
      </w:r>
      <w:r>
        <w:rPr>
          <w:rFonts w:hint="eastAsia" w:ascii="Times New Roman" w:hAnsi="Times New Roman" w:eastAsia="宋体" w:cs="Times New Roman"/>
          <w:b/>
          <w:bCs/>
          <w:color w:val="auto"/>
          <w:highlight w:val="none"/>
          <w:lang w:val="en-US" w:eastAsia="zh-CN"/>
        </w:rPr>
        <w:t>9</w:t>
      </w:r>
      <w:r>
        <w:rPr>
          <w:rFonts w:hint="default" w:ascii="Times New Roman" w:hAnsi="Times New Roman" w:eastAsia="宋体" w:cs="Times New Roman"/>
          <w:b/>
          <w:bCs/>
          <w:color w:val="auto"/>
          <w:highlight w:val="none"/>
        </w:rPr>
        <w:t xml:space="preserve">    </w:t>
      </w:r>
      <w:r>
        <w:rPr>
          <w:rFonts w:hint="eastAsia" w:ascii="Times New Roman" w:hAnsi="Times New Roman" w:eastAsia="宋体" w:cs="Times New Roman"/>
          <w:b/>
          <w:bCs/>
          <w:color w:val="auto"/>
          <w:highlight w:val="none"/>
          <w:lang w:val="en-US" w:eastAsia="zh-CN"/>
        </w:rPr>
        <w:t>T1</w:t>
      </w:r>
      <w:r>
        <w:rPr>
          <w:rFonts w:hint="eastAsia" w:ascii="Times New Roman" w:hAnsi="Times New Roman" w:eastAsia="宋体" w:cs="Times New Roman"/>
          <w:b/>
          <w:bCs/>
          <w:color w:val="auto"/>
          <w:highlight w:val="none"/>
          <w:lang w:eastAsia="zh-CN"/>
        </w:rPr>
        <w:t>、</w:t>
      </w:r>
      <w:r>
        <w:rPr>
          <w:rFonts w:hint="default" w:ascii="Times New Roman" w:hAnsi="Times New Roman" w:eastAsia="宋体" w:cs="Times New Roman"/>
          <w:b/>
          <w:bCs/>
          <w:color w:val="auto"/>
          <w:highlight w:val="none"/>
        </w:rPr>
        <w:t>T2、T3土壤环境质量监测结果</w:t>
      </w:r>
    </w:p>
    <w:tbl>
      <w:tblPr>
        <w:tblStyle w:val="33"/>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15" w:type="dxa"/>
          <w:left w:w="15" w:type="dxa"/>
          <w:bottom w:w="15" w:type="dxa"/>
          <w:right w:w="15" w:type="dxa"/>
        </w:tblCellMar>
      </w:tblPr>
      <w:tblGrid>
        <w:gridCol w:w="1561"/>
        <w:gridCol w:w="1799"/>
        <w:gridCol w:w="1134"/>
        <w:gridCol w:w="1385"/>
        <w:gridCol w:w="1553"/>
        <w:gridCol w:w="1551"/>
      </w:tblGrid>
      <w:tr w14:paraId="35504A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tblHeader/>
          <w:jc w:val="center"/>
        </w:trPr>
        <w:tc>
          <w:tcPr>
            <w:tcW w:w="1870" w:type="pct"/>
            <w:gridSpan w:val="2"/>
            <w:tcBorders>
              <w:tl2br w:val="nil"/>
              <w:tr2bl w:val="nil"/>
            </w:tcBorders>
            <w:vAlign w:val="center"/>
          </w:tcPr>
          <w:p w14:paraId="0901397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kern w:val="0"/>
                <w:sz w:val="21"/>
                <w:szCs w:val="21"/>
                <w:highlight w:val="none"/>
                <w:lang w:bidi="ar"/>
              </w:rPr>
              <w:t>样品编码</w:t>
            </w:r>
          </w:p>
        </w:tc>
        <w:tc>
          <w:tcPr>
            <w:tcW w:w="631" w:type="pct"/>
            <w:tcBorders>
              <w:tl2br w:val="nil"/>
              <w:tr2bl w:val="nil"/>
            </w:tcBorders>
            <w:vAlign w:val="center"/>
          </w:tcPr>
          <w:p w14:paraId="20A2BBC8">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T1</w:t>
            </w:r>
          </w:p>
        </w:tc>
        <w:tc>
          <w:tcPr>
            <w:tcW w:w="771" w:type="pct"/>
            <w:tcBorders>
              <w:tl2br w:val="nil"/>
              <w:tr2bl w:val="nil"/>
            </w:tcBorders>
            <w:vAlign w:val="center"/>
          </w:tcPr>
          <w:p w14:paraId="54B59165">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rPr>
              <w:t>T</w:t>
            </w:r>
            <w:r>
              <w:rPr>
                <w:rFonts w:hint="eastAsia" w:ascii="Times New Roman" w:hAnsi="Times New Roman" w:eastAsia="宋体" w:cs="Times New Roman"/>
                <w:b/>
                <w:color w:val="auto"/>
                <w:sz w:val="21"/>
                <w:szCs w:val="21"/>
                <w:highlight w:val="none"/>
                <w:lang w:val="en-US" w:eastAsia="zh-CN"/>
              </w:rPr>
              <w:t>2</w:t>
            </w:r>
          </w:p>
        </w:tc>
        <w:tc>
          <w:tcPr>
            <w:tcW w:w="863" w:type="pct"/>
            <w:tcBorders>
              <w:tl2br w:val="nil"/>
              <w:tr2bl w:val="nil"/>
            </w:tcBorders>
            <w:vAlign w:val="center"/>
          </w:tcPr>
          <w:p w14:paraId="3F94540D">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T3</w:t>
            </w:r>
          </w:p>
        </w:tc>
        <w:tc>
          <w:tcPr>
            <w:tcW w:w="863" w:type="pct"/>
            <w:vMerge w:val="restart"/>
            <w:tcBorders>
              <w:tl2br w:val="nil"/>
              <w:tr2bl w:val="nil"/>
            </w:tcBorders>
            <w:vAlign w:val="center"/>
          </w:tcPr>
          <w:p w14:paraId="4F1290DE">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标准值</w:t>
            </w:r>
          </w:p>
        </w:tc>
      </w:tr>
      <w:tr w14:paraId="581674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tblHeader/>
          <w:jc w:val="center"/>
        </w:trPr>
        <w:tc>
          <w:tcPr>
            <w:tcW w:w="869" w:type="pct"/>
            <w:tcBorders>
              <w:tl2br w:val="nil"/>
              <w:tr2bl w:val="nil"/>
            </w:tcBorders>
            <w:vAlign w:val="center"/>
          </w:tcPr>
          <w:p w14:paraId="2707E21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kern w:val="0"/>
                <w:sz w:val="21"/>
                <w:szCs w:val="21"/>
                <w:highlight w:val="none"/>
                <w:lang w:bidi="ar"/>
              </w:rPr>
              <w:t>检测项目</w:t>
            </w:r>
          </w:p>
        </w:tc>
        <w:tc>
          <w:tcPr>
            <w:tcW w:w="1001" w:type="pct"/>
            <w:tcBorders>
              <w:tl2br w:val="nil"/>
              <w:tr2bl w:val="nil"/>
            </w:tcBorders>
            <w:vAlign w:val="center"/>
          </w:tcPr>
          <w:p w14:paraId="6F8DBC9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kern w:val="0"/>
                <w:sz w:val="21"/>
                <w:szCs w:val="21"/>
                <w:highlight w:val="none"/>
                <w:lang w:bidi="ar"/>
              </w:rPr>
              <w:t>单位</w:t>
            </w:r>
          </w:p>
        </w:tc>
        <w:tc>
          <w:tcPr>
            <w:tcW w:w="2266" w:type="pct"/>
            <w:gridSpan w:val="3"/>
            <w:tcBorders>
              <w:tl2br w:val="nil"/>
              <w:tr2bl w:val="nil"/>
            </w:tcBorders>
            <w:vAlign w:val="center"/>
          </w:tcPr>
          <w:p w14:paraId="0007FD9C">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检测结果</w:t>
            </w:r>
          </w:p>
        </w:tc>
        <w:tc>
          <w:tcPr>
            <w:tcW w:w="863" w:type="pct"/>
            <w:vMerge w:val="continue"/>
            <w:tcBorders>
              <w:tl2br w:val="nil"/>
              <w:tr2bl w:val="nil"/>
            </w:tcBorders>
            <w:vAlign w:val="center"/>
          </w:tcPr>
          <w:p w14:paraId="4C34FE47">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b/>
                <w:color w:val="auto"/>
                <w:sz w:val="21"/>
                <w:szCs w:val="21"/>
                <w:highlight w:val="none"/>
              </w:rPr>
            </w:pPr>
          </w:p>
        </w:tc>
      </w:tr>
      <w:tr w14:paraId="662786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869" w:type="pct"/>
            <w:tcBorders>
              <w:tl2br w:val="nil"/>
              <w:tr2bl w:val="nil"/>
            </w:tcBorders>
            <w:vAlign w:val="center"/>
          </w:tcPr>
          <w:p w14:paraId="20B8C72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Cs/>
                <w:color w:val="auto"/>
                <w:kern w:val="0"/>
                <w:sz w:val="21"/>
                <w:szCs w:val="21"/>
                <w:highlight w:val="none"/>
                <w:lang w:bidi="ar"/>
              </w:rPr>
            </w:pPr>
            <w:r>
              <w:rPr>
                <w:rFonts w:hint="default" w:ascii="Times New Roman" w:hAnsi="Times New Roman" w:eastAsia="宋体" w:cs="Times New Roman"/>
                <w:bCs/>
                <w:color w:val="auto"/>
                <w:sz w:val="21"/>
                <w:szCs w:val="21"/>
                <w:highlight w:val="none"/>
              </w:rPr>
              <w:t>砷</w:t>
            </w:r>
          </w:p>
        </w:tc>
        <w:tc>
          <w:tcPr>
            <w:tcW w:w="1001" w:type="pct"/>
            <w:tcBorders>
              <w:tl2br w:val="nil"/>
              <w:tr2bl w:val="nil"/>
            </w:tcBorders>
            <w:vAlign w:val="center"/>
          </w:tcPr>
          <w:p w14:paraId="559EC08B">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bCs/>
                <w:color w:val="auto"/>
                <w:kern w:val="0"/>
                <w:sz w:val="21"/>
                <w:szCs w:val="21"/>
                <w:highlight w:val="none"/>
                <w:lang w:bidi="ar"/>
              </w:rPr>
            </w:pPr>
            <w:r>
              <w:rPr>
                <w:rFonts w:hint="default" w:ascii="Times New Roman" w:hAnsi="Times New Roman" w:eastAsia="宋体" w:cs="Times New Roman"/>
                <w:bCs/>
                <w:color w:val="auto"/>
                <w:kern w:val="0"/>
                <w:sz w:val="21"/>
                <w:szCs w:val="21"/>
                <w:highlight w:val="none"/>
                <w:lang w:bidi="ar"/>
              </w:rPr>
              <w:t>mg/kg</w:t>
            </w:r>
          </w:p>
        </w:tc>
        <w:tc>
          <w:tcPr>
            <w:tcW w:w="1134" w:type="dxa"/>
            <w:tcBorders>
              <w:tl2br w:val="nil"/>
              <w:tr2bl w:val="nil"/>
            </w:tcBorders>
            <w:vAlign w:val="center"/>
          </w:tcPr>
          <w:p w14:paraId="4A221B6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bidi="ar"/>
              </w:rPr>
              <w:t>7.66</w:t>
            </w:r>
          </w:p>
        </w:tc>
        <w:tc>
          <w:tcPr>
            <w:tcW w:w="1385" w:type="dxa"/>
            <w:tcBorders>
              <w:tl2br w:val="nil"/>
              <w:tr2bl w:val="nil"/>
            </w:tcBorders>
            <w:vAlign w:val="center"/>
          </w:tcPr>
          <w:p w14:paraId="7CBC51E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bidi="ar"/>
              </w:rPr>
              <w:t>8.17</w:t>
            </w:r>
          </w:p>
        </w:tc>
        <w:tc>
          <w:tcPr>
            <w:tcW w:w="1553" w:type="dxa"/>
            <w:tcBorders>
              <w:tl2br w:val="nil"/>
              <w:tr2bl w:val="nil"/>
            </w:tcBorders>
            <w:vAlign w:val="center"/>
          </w:tcPr>
          <w:p w14:paraId="36AC510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bidi="ar"/>
              </w:rPr>
              <w:t>7.22</w:t>
            </w:r>
          </w:p>
        </w:tc>
        <w:tc>
          <w:tcPr>
            <w:tcW w:w="863" w:type="pct"/>
            <w:tcBorders>
              <w:tl2br w:val="nil"/>
              <w:tr2bl w:val="nil"/>
            </w:tcBorders>
            <w:vAlign w:val="center"/>
          </w:tcPr>
          <w:p w14:paraId="20662E37">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60</w:t>
            </w:r>
          </w:p>
        </w:tc>
      </w:tr>
      <w:tr w14:paraId="242852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869" w:type="pct"/>
            <w:tcBorders>
              <w:tl2br w:val="nil"/>
              <w:tr2bl w:val="nil"/>
            </w:tcBorders>
            <w:vAlign w:val="center"/>
          </w:tcPr>
          <w:p w14:paraId="003103EA">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bCs/>
                <w:color w:val="auto"/>
                <w:kern w:val="0"/>
                <w:sz w:val="21"/>
                <w:szCs w:val="21"/>
                <w:highlight w:val="none"/>
                <w:lang w:bidi="ar"/>
              </w:rPr>
            </w:pPr>
            <w:r>
              <w:rPr>
                <w:rFonts w:hint="default" w:ascii="Times New Roman" w:hAnsi="Times New Roman" w:eastAsia="宋体" w:cs="Times New Roman"/>
                <w:bCs/>
                <w:color w:val="auto"/>
                <w:kern w:val="0"/>
                <w:sz w:val="21"/>
                <w:szCs w:val="21"/>
                <w:highlight w:val="none"/>
                <w:lang w:bidi="ar"/>
              </w:rPr>
              <w:t>镉</w:t>
            </w:r>
          </w:p>
        </w:tc>
        <w:tc>
          <w:tcPr>
            <w:tcW w:w="1001" w:type="pct"/>
            <w:tcBorders>
              <w:tl2br w:val="nil"/>
              <w:tr2bl w:val="nil"/>
            </w:tcBorders>
            <w:vAlign w:val="center"/>
          </w:tcPr>
          <w:p w14:paraId="6A577EE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Cs/>
                <w:color w:val="auto"/>
                <w:kern w:val="0"/>
                <w:sz w:val="21"/>
                <w:szCs w:val="21"/>
                <w:highlight w:val="none"/>
                <w:lang w:bidi="ar"/>
              </w:rPr>
            </w:pPr>
            <w:r>
              <w:rPr>
                <w:rFonts w:hint="default" w:ascii="Times New Roman" w:hAnsi="Times New Roman" w:eastAsia="宋体" w:cs="Times New Roman"/>
                <w:bCs/>
                <w:color w:val="auto"/>
                <w:kern w:val="0"/>
                <w:sz w:val="21"/>
                <w:szCs w:val="21"/>
                <w:highlight w:val="none"/>
                <w:lang w:bidi="ar"/>
              </w:rPr>
              <w:t>mg/kg</w:t>
            </w:r>
          </w:p>
        </w:tc>
        <w:tc>
          <w:tcPr>
            <w:tcW w:w="1134" w:type="dxa"/>
            <w:tcBorders>
              <w:tl2br w:val="nil"/>
              <w:tr2bl w:val="nil"/>
            </w:tcBorders>
            <w:vAlign w:val="center"/>
          </w:tcPr>
          <w:p w14:paraId="215315F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bidi="ar"/>
              </w:rPr>
              <w:t>0.22</w:t>
            </w:r>
          </w:p>
        </w:tc>
        <w:tc>
          <w:tcPr>
            <w:tcW w:w="1385" w:type="dxa"/>
            <w:tcBorders>
              <w:tl2br w:val="nil"/>
              <w:tr2bl w:val="nil"/>
            </w:tcBorders>
            <w:vAlign w:val="center"/>
          </w:tcPr>
          <w:p w14:paraId="7C7EB47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bidi="ar"/>
              </w:rPr>
              <w:t>0.26</w:t>
            </w:r>
          </w:p>
        </w:tc>
        <w:tc>
          <w:tcPr>
            <w:tcW w:w="1553" w:type="dxa"/>
            <w:tcBorders>
              <w:tl2br w:val="nil"/>
              <w:tr2bl w:val="nil"/>
            </w:tcBorders>
            <w:vAlign w:val="center"/>
          </w:tcPr>
          <w:p w14:paraId="3D66B3C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bidi="ar"/>
              </w:rPr>
              <w:t>0.27</w:t>
            </w:r>
          </w:p>
        </w:tc>
        <w:tc>
          <w:tcPr>
            <w:tcW w:w="863" w:type="pct"/>
            <w:tcBorders>
              <w:tl2br w:val="nil"/>
              <w:tr2bl w:val="nil"/>
            </w:tcBorders>
            <w:vAlign w:val="center"/>
          </w:tcPr>
          <w:p w14:paraId="176EAD07">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65</w:t>
            </w:r>
          </w:p>
        </w:tc>
      </w:tr>
      <w:tr w14:paraId="18148D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869" w:type="pct"/>
            <w:tcBorders>
              <w:tl2br w:val="nil"/>
              <w:tr2bl w:val="nil"/>
            </w:tcBorders>
            <w:vAlign w:val="center"/>
          </w:tcPr>
          <w:p w14:paraId="30114AED">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bCs/>
                <w:color w:val="auto"/>
                <w:kern w:val="0"/>
                <w:sz w:val="21"/>
                <w:szCs w:val="21"/>
                <w:highlight w:val="none"/>
                <w:lang w:bidi="ar"/>
              </w:rPr>
            </w:pPr>
            <w:r>
              <w:rPr>
                <w:rFonts w:hint="default" w:ascii="Times New Roman" w:hAnsi="Times New Roman" w:eastAsia="宋体" w:cs="Times New Roman"/>
                <w:bCs/>
                <w:color w:val="auto"/>
                <w:kern w:val="0"/>
                <w:sz w:val="21"/>
                <w:szCs w:val="21"/>
                <w:highlight w:val="none"/>
                <w:lang w:bidi="ar"/>
              </w:rPr>
              <w:t>六价铬</w:t>
            </w:r>
          </w:p>
        </w:tc>
        <w:tc>
          <w:tcPr>
            <w:tcW w:w="1001" w:type="pct"/>
            <w:tcBorders>
              <w:tl2br w:val="nil"/>
              <w:tr2bl w:val="nil"/>
            </w:tcBorders>
            <w:vAlign w:val="center"/>
          </w:tcPr>
          <w:p w14:paraId="187F2298">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bCs/>
                <w:color w:val="auto"/>
                <w:kern w:val="0"/>
                <w:sz w:val="21"/>
                <w:szCs w:val="21"/>
                <w:highlight w:val="none"/>
                <w:lang w:bidi="ar"/>
              </w:rPr>
            </w:pPr>
            <w:r>
              <w:rPr>
                <w:rFonts w:hint="default" w:ascii="Times New Roman" w:hAnsi="Times New Roman" w:eastAsia="宋体" w:cs="Times New Roman"/>
                <w:bCs/>
                <w:color w:val="auto"/>
                <w:kern w:val="0"/>
                <w:sz w:val="21"/>
                <w:szCs w:val="21"/>
                <w:highlight w:val="none"/>
                <w:lang w:bidi="ar"/>
              </w:rPr>
              <w:t>mg/kg</w:t>
            </w:r>
          </w:p>
        </w:tc>
        <w:tc>
          <w:tcPr>
            <w:tcW w:w="1134" w:type="dxa"/>
            <w:tcBorders>
              <w:tl2br w:val="nil"/>
              <w:tr2bl w:val="nil"/>
            </w:tcBorders>
            <w:vAlign w:val="center"/>
          </w:tcPr>
          <w:p w14:paraId="35F859A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bidi="ar"/>
              </w:rPr>
              <w:t>&lt;0.5</w:t>
            </w:r>
          </w:p>
        </w:tc>
        <w:tc>
          <w:tcPr>
            <w:tcW w:w="1385" w:type="dxa"/>
            <w:tcBorders>
              <w:tl2br w:val="nil"/>
              <w:tr2bl w:val="nil"/>
            </w:tcBorders>
            <w:vAlign w:val="center"/>
          </w:tcPr>
          <w:p w14:paraId="2FCF72C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Cs/>
                <w:color w:val="auto"/>
                <w:kern w:val="0"/>
                <w:sz w:val="21"/>
                <w:szCs w:val="21"/>
                <w:highlight w:val="none"/>
                <w:lang w:bidi="ar"/>
              </w:rPr>
            </w:pPr>
            <w:r>
              <w:rPr>
                <w:rFonts w:hint="default" w:ascii="Times New Roman" w:hAnsi="Times New Roman" w:eastAsia="宋体" w:cs="Times New Roman"/>
                <w:bCs/>
                <w:color w:val="auto"/>
                <w:kern w:val="0"/>
                <w:sz w:val="21"/>
                <w:szCs w:val="21"/>
                <w:highlight w:val="none"/>
                <w:lang w:bidi="ar"/>
              </w:rPr>
              <w:t>&lt;0.5</w:t>
            </w:r>
          </w:p>
        </w:tc>
        <w:tc>
          <w:tcPr>
            <w:tcW w:w="1553" w:type="dxa"/>
            <w:tcBorders>
              <w:tl2br w:val="nil"/>
              <w:tr2bl w:val="nil"/>
            </w:tcBorders>
            <w:vAlign w:val="center"/>
          </w:tcPr>
          <w:p w14:paraId="02484F8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bidi="ar"/>
              </w:rPr>
              <w:t>&lt;0.5</w:t>
            </w:r>
          </w:p>
        </w:tc>
        <w:tc>
          <w:tcPr>
            <w:tcW w:w="863" w:type="pct"/>
            <w:tcBorders>
              <w:tl2br w:val="nil"/>
              <w:tr2bl w:val="nil"/>
            </w:tcBorders>
            <w:vAlign w:val="center"/>
          </w:tcPr>
          <w:p w14:paraId="54086663">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5.7</w:t>
            </w:r>
          </w:p>
        </w:tc>
      </w:tr>
      <w:tr w14:paraId="32010F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869" w:type="pct"/>
            <w:tcBorders>
              <w:tl2br w:val="nil"/>
              <w:tr2bl w:val="nil"/>
            </w:tcBorders>
            <w:vAlign w:val="center"/>
          </w:tcPr>
          <w:p w14:paraId="421D3A60">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bCs/>
                <w:color w:val="auto"/>
                <w:kern w:val="0"/>
                <w:sz w:val="21"/>
                <w:szCs w:val="21"/>
                <w:highlight w:val="none"/>
                <w:lang w:bidi="ar"/>
              </w:rPr>
            </w:pPr>
            <w:r>
              <w:rPr>
                <w:rFonts w:hint="default" w:ascii="Times New Roman" w:hAnsi="Times New Roman" w:eastAsia="宋体" w:cs="Times New Roman"/>
                <w:bCs/>
                <w:color w:val="auto"/>
                <w:kern w:val="0"/>
                <w:sz w:val="21"/>
                <w:szCs w:val="21"/>
                <w:highlight w:val="none"/>
                <w:lang w:bidi="ar"/>
              </w:rPr>
              <w:t>铜</w:t>
            </w:r>
          </w:p>
        </w:tc>
        <w:tc>
          <w:tcPr>
            <w:tcW w:w="1001" w:type="pct"/>
            <w:tcBorders>
              <w:tl2br w:val="nil"/>
              <w:tr2bl w:val="nil"/>
            </w:tcBorders>
            <w:vAlign w:val="center"/>
          </w:tcPr>
          <w:p w14:paraId="6C16DDE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Cs/>
                <w:color w:val="auto"/>
                <w:kern w:val="0"/>
                <w:sz w:val="21"/>
                <w:szCs w:val="21"/>
                <w:highlight w:val="none"/>
                <w:lang w:bidi="ar"/>
              </w:rPr>
            </w:pPr>
            <w:r>
              <w:rPr>
                <w:rFonts w:hint="default" w:ascii="Times New Roman" w:hAnsi="Times New Roman" w:eastAsia="宋体" w:cs="Times New Roman"/>
                <w:bCs/>
                <w:color w:val="auto"/>
                <w:kern w:val="0"/>
                <w:sz w:val="21"/>
                <w:szCs w:val="21"/>
                <w:highlight w:val="none"/>
                <w:lang w:bidi="ar"/>
              </w:rPr>
              <w:t>mg/kg</w:t>
            </w:r>
          </w:p>
        </w:tc>
        <w:tc>
          <w:tcPr>
            <w:tcW w:w="1134" w:type="dxa"/>
            <w:tcBorders>
              <w:tl2br w:val="nil"/>
              <w:tr2bl w:val="nil"/>
            </w:tcBorders>
            <w:vAlign w:val="center"/>
          </w:tcPr>
          <w:p w14:paraId="1188053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bidi="ar"/>
              </w:rPr>
              <w:t>16</w:t>
            </w:r>
          </w:p>
        </w:tc>
        <w:tc>
          <w:tcPr>
            <w:tcW w:w="1385" w:type="dxa"/>
            <w:tcBorders>
              <w:tl2br w:val="nil"/>
              <w:tr2bl w:val="nil"/>
            </w:tcBorders>
            <w:vAlign w:val="center"/>
          </w:tcPr>
          <w:p w14:paraId="7FAB04A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bidi="ar"/>
              </w:rPr>
              <w:t>16</w:t>
            </w:r>
          </w:p>
        </w:tc>
        <w:tc>
          <w:tcPr>
            <w:tcW w:w="1553" w:type="dxa"/>
            <w:tcBorders>
              <w:tl2br w:val="nil"/>
              <w:tr2bl w:val="nil"/>
            </w:tcBorders>
            <w:vAlign w:val="center"/>
          </w:tcPr>
          <w:p w14:paraId="5607FE7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bidi="ar"/>
              </w:rPr>
              <w:t>16</w:t>
            </w:r>
          </w:p>
        </w:tc>
        <w:tc>
          <w:tcPr>
            <w:tcW w:w="863" w:type="pct"/>
            <w:tcBorders>
              <w:tl2br w:val="nil"/>
              <w:tr2bl w:val="nil"/>
            </w:tcBorders>
            <w:vAlign w:val="center"/>
          </w:tcPr>
          <w:p w14:paraId="2C02C034">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18000</w:t>
            </w:r>
          </w:p>
        </w:tc>
      </w:tr>
      <w:tr w14:paraId="039876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869" w:type="pct"/>
            <w:tcBorders>
              <w:tl2br w:val="nil"/>
              <w:tr2bl w:val="nil"/>
            </w:tcBorders>
            <w:vAlign w:val="center"/>
          </w:tcPr>
          <w:p w14:paraId="7841B84E">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bCs/>
                <w:color w:val="auto"/>
                <w:kern w:val="0"/>
                <w:sz w:val="21"/>
                <w:szCs w:val="21"/>
                <w:highlight w:val="none"/>
                <w:lang w:bidi="ar"/>
              </w:rPr>
            </w:pPr>
            <w:r>
              <w:rPr>
                <w:rFonts w:hint="default" w:ascii="Times New Roman" w:hAnsi="Times New Roman" w:eastAsia="宋体" w:cs="Times New Roman"/>
                <w:bCs/>
                <w:color w:val="auto"/>
                <w:kern w:val="0"/>
                <w:sz w:val="21"/>
                <w:szCs w:val="21"/>
                <w:highlight w:val="none"/>
                <w:lang w:bidi="ar"/>
              </w:rPr>
              <w:t>铅</w:t>
            </w:r>
          </w:p>
        </w:tc>
        <w:tc>
          <w:tcPr>
            <w:tcW w:w="1001" w:type="pct"/>
            <w:tcBorders>
              <w:tl2br w:val="nil"/>
              <w:tr2bl w:val="nil"/>
            </w:tcBorders>
            <w:vAlign w:val="center"/>
          </w:tcPr>
          <w:p w14:paraId="32BE5295">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bCs/>
                <w:color w:val="auto"/>
                <w:kern w:val="0"/>
                <w:sz w:val="21"/>
                <w:szCs w:val="21"/>
                <w:highlight w:val="none"/>
                <w:lang w:bidi="ar"/>
              </w:rPr>
            </w:pPr>
            <w:r>
              <w:rPr>
                <w:rFonts w:hint="default" w:ascii="Times New Roman" w:hAnsi="Times New Roman" w:eastAsia="宋体" w:cs="Times New Roman"/>
                <w:bCs/>
                <w:color w:val="auto"/>
                <w:kern w:val="0"/>
                <w:sz w:val="21"/>
                <w:szCs w:val="21"/>
                <w:highlight w:val="none"/>
                <w:lang w:bidi="ar"/>
              </w:rPr>
              <w:t>mg/kg</w:t>
            </w:r>
          </w:p>
        </w:tc>
        <w:tc>
          <w:tcPr>
            <w:tcW w:w="1134" w:type="dxa"/>
            <w:tcBorders>
              <w:tl2br w:val="nil"/>
              <w:tr2bl w:val="nil"/>
            </w:tcBorders>
            <w:vAlign w:val="center"/>
          </w:tcPr>
          <w:p w14:paraId="5F9F0F5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bidi="ar"/>
              </w:rPr>
              <w:t>13.6</w:t>
            </w:r>
          </w:p>
        </w:tc>
        <w:tc>
          <w:tcPr>
            <w:tcW w:w="1385" w:type="dxa"/>
            <w:tcBorders>
              <w:tl2br w:val="nil"/>
              <w:tr2bl w:val="nil"/>
            </w:tcBorders>
            <w:vAlign w:val="center"/>
          </w:tcPr>
          <w:p w14:paraId="3E1EC38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bidi="ar"/>
              </w:rPr>
              <w:t>12.7</w:t>
            </w:r>
          </w:p>
        </w:tc>
        <w:tc>
          <w:tcPr>
            <w:tcW w:w="1553" w:type="dxa"/>
            <w:tcBorders>
              <w:tl2br w:val="nil"/>
              <w:tr2bl w:val="nil"/>
            </w:tcBorders>
            <w:vAlign w:val="center"/>
          </w:tcPr>
          <w:p w14:paraId="2D1A207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bidi="ar"/>
              </w:rPr>
              <w:t>10.7</w:t>
            </w:r>
          </w:p>
        </w:tc>
        <w:tc>
          <w:tcPr>
            <w:tcW w:w="863" w:type="pct"/>
            <w:tcBorders>
              <w:tl2br w:val="nil"/>
              <w:tr2bl w:val="nil"/>
            </w:tcBorders>
            <w:vAlign w:val="center"/>
          </w:tcPr>
          <w:p w14:paraId="76CE08A0">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800</w:t>
            </w:r>
          </w:p>
        </w:tc>
      </w:tr>
      <w:tr w14:paraId="75B5A3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869" w:type="pct"/>
            <w:tcBorders>
              <w:tl2br w:val="nil"/>
              <w:tr2bl w:val="nil"/>
            </w:tcBorders>
            <w:vAlign w:val="center"/>
          </w:tcPr>
          <w:p w14:paraId="1D97E68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汞</w:t>
            </w:r>
          </w:p>
        </w:tc>
        <w:tc>
          <w:tcPr>
            <w:tcW w:w="1001" w:type="pct"/>
            <w:tcBorders>
              <w:tl2br w:val="nil"/>
              <w:tr2bl w:val="nil"/>
            </w:tcBorders>
            <w:vAlign w:val="center"/>
          </w:tcPr>
          <w:p w14:paraId="06AFDB40">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bCs/>
                <w:color w:val="auto"/>
                <w:kern w:val="0"/>
                <w:sz w:val="21"/>
                <w:szCs w:val="21"/>
                <w:highlight w:val="none"/>
                <w:lang w:bidi="ar"/>
              </w:rPr>
            </w:pPr>
            <w:r>
              <w:rPr>
                <w:rFonts w:hint="default" w:ascii="Times New Roman" w:hAnsi="Times New Roman" w:eastAsia="宋体" w:cs="Times New Roman"/>
                <w:bCs/>
                <w:color w:val="auto"/>
                <w:kern w:val="0"/>
                <w:sz w:val="21"/>
                <w:szCs w:val="21"/>
                <w:highlight w:val="none"/>
                <w:lang w:bidi="ar"/>
              </w:rPr>
              <w:t>mg/kg</w:t>
            </w:r>
          </w:p>
        </w:tc>
        <w:tc>
          <w:tcPr>
            <w:tcW w:w="1134" w:type="dxa"/>
            <w:tcBorders>
              <w:tl2br w:val="nil"/>
              <w:tr2bl w:val="nil"/>
            </w:tcBorders>
            <w:vAlign w:val="center"/>
          </w:tcPr>
          <w:p w14:paraId="1A988E8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bidi="ar"/>
              </w:rPr>
              <w:t>0.053</w:t>
            </w:r>
          </w:p>
        </w:tc>
        <w:tc>
          <w:tcPr>
            <w:tcW w:w="1385" w:type="dxa"/>
            <w:tcBorders>
              <w:tl2br w:val="nil"/>
              <w:tr2bl w:val="nil"/>
            </w:tcBorders>
            <w:vAlign w:val="center"/>
          </w:tcPr>
          <w:p w14:paraId="04C20EE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bidi="ar"/>
              </w:rPr>
              <w:t>0.100</w:t>
            </w:r>
          </w:p>
        </w:tc>
        <w:tc>
          <w:tcPr>
            <w:tcW w:w="1553" w:type="dxa"/>
            <w:tcBorders>
              <w:tl2br w:val="nil"/>
              <w:tr2bl w:val="nil"/>
            </w:tcBorders>
            <w:vAlign w:val="center"/>
          </w:tcPr>
          <w:p w14:paraId="705B09C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bidi="ar"/>
              </w:rPr>
              <w:t>0.037</w:t>
            </w:r>
          </w:p>
        </w:tc>
        <w:tc>
          <w:tcPr>
            <w:tcW w:w="863" w:type="pct"/>
            <w:tcBorders>
              <w:tl2br w:val="nil"/>
              <w:tr2bl w:val="nil"/>
            </w:tcBorders>
            <w:vAlign w:val="center"/>
          </w:tcPr>
          <w:p w14:paraId="4E2CBBED">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38</w:t>
            </w:r>
          </w:p>
        </w:tc>
      </w:tr>
      <w:tr w14:paraId="37C68A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869" w:type="pct"/>
            <w:tcBorders>
              <w:tl2br w:val="nil"/>
              <w:tr2bl w:val="nil"/>
            </w:tcBorders>
            <w:vAlign w:val="center"/>
          </w:tcPr>
          <w:p w14:paraId="4F242142">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bCs/>
                <w:color w:val="auto"/>
                <w:kern w:val="0"/>
                <w:sz w:val="21"/>
                <w:szCs w:val="21"/>
                <w:highlight w:val="none"/>
                <w:lang w:bidi="ar"/>
              </w:rPr>
            </w:pPr>
            <w:r>
              <w:rPr>
                <w:rFonts w:hint="default" w:ascii="Times New Roman" w:hAnsi="Times New Roman" w:eastAsia="宋体" w:cs="Times New Roman"/>
                <w:bCs/>
                <w:color w:val="auto"/>
                <w:kern w:val="0"/>
                <w:sz w:val="21"/>
                <w:szCs w:val="21"/>
                <w:highlight w:val="none"/>
                <w:lang w:bidi="ar"/>
              </w:rPr>
              <w:t>镍</w:t>
            </w:r>
          </w:p>
        </w:tc>
        <w:tc>
          <w:tcPr>
            <w:tcW w:w="1001" w:type="pct"/>
            <w:tcBorders>
              <w:tl2br w:val="nil"/>
              <w:tr2bl w:val="nil"/>
            </w:tcBorders>
            <w:vAlign w:val="center"/>
          </w:tcPr>
          <w:p w14:paraId="5809C72A">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bCs/>
                <w:color w:val="auto"/>
                <w:kern w:val="0"/>
                <w:sz w:val="21"/>
                <w:szCs w:val="21"/>
                <w:highlight w:val="none"/>
                <w:lang w:bidi="ar"/>
              </w:rPr>
            </w:pPr>
            <w:r>
              <w:rPr>
                <w:rFonts w:hint="default" w:ascii="Times New Roman" w:hAnsi="Times New Roman" w:eastAsia="宋体" w:cs="Times New Roman"/>
                <w:bCs/>
                <w:color w:val="auto"/>
                <w:kern w:val="0"/>
                <w:sz w:val="21"/>
                <w:szCs w:val="21"/>
                <w:highlight w:val="none"/>
                <w:lang w:bidi="ar"/>
              </w:rPr>
              <w:t>mg/kg</w:t>
            </w:r>
          </w:p>
        </w:tc>
        <w:tc>
          <w:tcPr>
            <w:tcW w:w="1134" w:type="dxa"/>
            <w:tcBorders>
              <w:tl2br w:val="nil"/>
              <w:tr2bl w:val="nil"/>
            </w:tcBorders>
            <w:vAlign w:val="center"/>
          </w:tcPr>
          <w:p w14:paraId="0C15CB3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bidi="ar"/>
              </w:rPr>
              <w:t>24</w:t>
            </w:r>
          </w:p>
        </w:tc>
        <w:tc>
          <w:tcPr>
            <w:tcW w:w="1385" w:type="dxa"/>
            <w:tcBorders>
              <w:tl2br w:val="nil"/>
              <w:tr2bl w:val="nil"/>
            </w:tcBorders>
            <w:vAlign w:val="center"/>
          </w:tcPr>
          <w:p w14:paraId="7613307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bidi="ar"/>
              </w:rPr>
              <w:t>23</w:t>
            </w:r>
          </w:p>
        </w:tc>
        <w:tc>
          <w:tcPr>
            <w:tcW w:w="1553" w:type="dxa"/>
            <w:tcBorders>
              <w:tl2br w:val="nil"/>
              <w:tr2bl w:val="nil"/>
            </w:tcBorders>
            <w:vAlign w:val="center"/>
          </w:tcPr>
          <w:p w14:paraId="669B6D3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r>
              <w:rPr>
                <w:rFonts w:hint="default" w:ascii="Times New Roman" w:hAnsi="Times New Roman" w:eastAsia="宋体" w:cs="Times New Roman"/>
                <w:bCs/>
                <w:color w:val="auto"/>
                <w:kern w:val="0"/>
                <w:sz w:val="21"/>
                <w:szCs w:val="21"/>
                <w:highlight w:val="none"/>
                <w:lang w:bidi="ar"/>
              </w:rPr>
              <w:t>22</w:t>
            </w:r>
          </w:p>
        </w:tc>
        <w:tc>
          <w:tcPr>
            <w:tcW w:w="863" w:type="pct"/>
            <w:tcBorders>
              <w:tl2br w:val="nil"/>
              <w:tr2bl w:val="nil"/>
            </w:tcBorders>
            <w:vAlign w:val="center"/>
          </w:tcPr>
          <w:p w14:paraId="3C6F6605">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900</w:t>
            </w:r>
          </w:p>
        </w:tc>
      </w:tr>
    </w:tbl>
    <w:p w14:paraId="58C7C5AC">
      <w:pPr>
        <w:pStyle w:val="41"/>
        <w:spacing w:line="480" w:lineRule="exact"/>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表4.2-</w:t>
      </w:r>
      <w:r>
        <w:rPr>
          <w:rFonts w:hint="eastAsia" w:ascii="Times New Roman" w:cs="Times New Roman"/>
          <w:b/>
          <w:bCs/>
          <w:color w:val="auto"/>
          <w:highlight w:val="none"/>
          <w:lang w:val="en-US" w:eastAsia="zh-CN"/>
        </w:rPr>
        <w:t>10</w:t>
      </w:r>
      <w:r>
        <w:rPr>
          <w:rFonts w:hint="default" w:ascii="Times New Roman" w:hAnsi="Times New Roman" w:cs="Times New Roman"/>
          <w:b/>
          <w:bCs/>
          <w:color w:val="auto"/>
          <w:highlight w:val="none"/>
        </w:rPr>
        <w:t xml:space="preserve">    </w:t>
      </w:r>
      <w:r>
        <w:rPr>
          <w:rFonts w:hint="eastAsia" w:ascii="Times New Roman" w:hAnsi="Times New Roman" w:eastAsia="宋体" w:cs="Times New Roman"/>
          <w:b/>
          <w:bCs/>
          <w:color w:val="auto"/>
          <w:highlight w:val="none"/>
          <w:lang w:val="en-US" w:eastAsia="zh-CN"/>
        </w:rPr>
        <w:t>T4</w:t>
      </w:r>
      <w:r>
        <w:rPr>
          <w:rFonts w:hint="default" w:ascii="Times New Roman" w:hAnsi="Times New Roman" w:eastAsia="宋体" w:cs="Times New Roman"/>
          <w:b/>
          <w:bCs/>
          <w:color w:val="auto"/>
          <w:highlight w:val="none"/>
        </w:rPr>
        <w:t>土壤环境质量监测结果</w:t>
      </w:r>
    </w:p>
    <w:tbl>
      <w:tblPr>
        <w:tblStyle w:val="33"/>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15" w:type="dxa"/>
          <w:left w:w="15" w:type="dxa"/>
          <w:bottom w:w="15" w:type="dxa"/>
          <w:right w:w="15" w:type="dxa"/>
        </w:tblCellMar>
      </w:tblPr>
      <w:tblGrid>
        <w:gridCol w:w="2638"/>
        <w:gridCol w:w="2272"/>
        <w:gridCol w:w="2274"/>
        <w:gridCol w:w="1799"/>
      </w:tblGrid>
      <w:tr w14:paraId="4DA008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tblHeader/>
          <w:jc w:val="center"/>
        </w:trPr>
        <w:tc>
          <w:tcPr>
            <w:tcW w:w="1468" w:type="pct"/>
            <w:vMerge w:val="restart"/>
            <w:tcBorders>
              <w:tl2br w:val="nil"/>
              <w:tr2bl w:val="nil"/>
            </w:tcBorders>
            <w:vAlign w:val="center"/>
          </w:tcPr>
          <w:p w14:paraId="1F8DD8AD">
            <w:pPr>
              <w:widowControl/>
              <w:spacing w:line="360" w:lineRule="exact"/>
              <w:ind w:firstLine="0" w:firstLineChars="0"/>
              <w:jc w:val="center"/>
              <w:textAlignment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kern w:val="0"/>
                <w:sz w:val="21"/>
                <w:szCs w:val="21"/>
                <w:highlight w:val="none"/>
                <w:lang w:bidi="ar"/>
              </w:rPr>
              <w:t>检测项目</w:t>
            </w:r>
          </w:p>
        </w:tc>
        <w:tc>
          <w:tcPr>
            <w:tcW w:w="1264" w:type="pct"/>
            <w:vMerge w:val="restart"/>
            <w:tcBorders>
              <w:tl2br w:val="nil"/>
              <w:tr2bl w:val="nil"/>
            </w:tcBorders>
            <w:vAlign w:val="center"/>
          </w:tcPr>
          <w:p w14:paraId="16B65593">
            <w:pPr>
              <w:widowControl/>
              <w:spacing w:line="360" w:lineRule="exact"/>
              <w:ind w:firstLine="0" w:firstLineChars="0"/>
              <w:jc w:val="center"/>
              <w:textAlignment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kern w:val="0"/>
                <w:sz w:val="21"/>
                <w:szCs w:val="21"/>
                <w:highlight w:val="none"/>
                <w:lang w:bidi="ar"/>
              </w:rPr>
              <w:t>单位</w:t>
            </w:r>
          </w:p>
        </w:tc>
        <w:tc>
          <w:tcPr>
            <w:tcW w:w="1265" w:type="pct"/>
            <w:tcBorders>
              <w:tl2br w:val="nil"/>
              <w:tr2bl w:val="nil"/>
            </w:tcBorders>
            <w:vAlign w:val="center"/>
          </w:tcPr>
          <w:p w14:paraId="6BFF4617">
            <w:pPr>
              <w:pStyle w:val="24"/>
              <w:spacing w:line="360" w:lineRule="exact"/>
              <w:ind w:firstLine="0" w:firstLineChars="0"/>
              <w:jc w:val="center"/>
              <w:rPr>
                <w:rFonts w:hint="default" w:ascii="Times New Roman" w:hAnsi="Times New Roman" w:cs="Times New Roman"/>
                <w:b/>
                <w:color w:val="auto"/>
                <w:spacing w:val="20"/>
                <w:sz w:val="21"/>
                <w:szCs w:val="21"/>
                <w:highlight w:val="none"/>
              </w:rPr>
            </w:pPr>
            <w:r>
              <w:rPr>
                <w:rFonts w:hint="default" w:ascii="Times New Roman" w:hAnsi="Times New Roman" w:cs="Times New Roman"/>
                <w:b/>
                <w:color w:val="auto"/>
                <w:kern w:val="0"/>
                <w:sz w:val="21"/>
                <w:szCs w:val="21"/>
                <w:highlight w:val="none"/>
                <w:lang w:bidi="ar"/>
              </w:rPr>
              <w:t>检测结果</w:t>
            </w:r>
          </w:p>
        </w:tc>
        <w:tc>
          <w:tcPr>
            <w:tcW w:w="1001" w:type="pct"/>
            <w:vMerge w:val="restart"/>
            <w:tcBorders>
              <w:tl2br w:val="nil"/>
              <w:tr2bl w:val="nil"/>
            </w:tcBorders>
            <w:vAlign w:val="center"/>
          </w:tcPr>
          <w:p w14:paraId="58777345">
            <w:pPr>
              <w:pStyle w:val="24"/>
              <w:spacing w:line="360" w:lineRule="exact"/>
              <w:ind w:firstLine="0" w:firstLineChars="0"/>
              <w:jc w:val="center"/>
              <w:rPr>
                <w:rFonts w:hint="default" w:ascii="Times New Roman" w:hAnsi="Times New Roman" w:cs="Times New Roman"/>
                <w:b/>
                <w:color w:val="auto"/>
                <w:spacing w:val="20"/>
                <w:sz w:val="21"/>
                <w:szCs w:val="21"/>
                <w:highlight w:val="none"/>
              </w:rPr>
            </w:pPr>
            <w:r>
              <w:rPr>
                <w:rFonts w:hint="default" w:ascii="Times New Roman" w:hAnsi="Times New Roman" w:cs="Times New Roman"/>
                <w:b/>
                <w:color w:val="auto"/>
                <w:spacing w:val="20"/>
                <w:sz w:val="21"/>
                <w:szCs w:val="21"/>
                <w:highlight w:val="none"/>
              </w:rPr>
              <w:t>标准值</w:t>
            </w:r>
          </w:p>
        </w:tc>
      </w:tr>
      <w:tr w14:paraId="020911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tblHeader/>
          <w:jc w:val="center"/>
        </w:trPr>
        <w:tc>
          <w:tcPr>
            <w:tcW w:w="1468" w:type="pct"/>
            <w:vMerge w:val="continue"/>
            <w:tcBorders>
              <w:tl2br w:val="nil"/>
              <w:tr2bl w:val="nil"/>
            </w:tcBorders>
            <w:vAlign w:val="center"/>
          </w:tcPr>
          <w:p w14:paraId="7A016BDB">
            <w:pPr>
              <w:widowControl/>
              <w:spacing w:line="360" w:lineRule="exact"/>
              <w:ind w:firstLine="0" w:firstLineChars="0"/>
              <w:jc w:val="center"/>
              <w:textAlignment w:val="center"/>
              <w:rPr>
                <w:rFonts w:hint="default" w:ascii="Times New Roman" w:hAnsi="Times New Roman" w:cs="Times New Roman"/>
                <w:b/>
                <w:color w:val="auto"/>
                <w:sz w:val="21"/>
                <w:szCs w:val="21"/>
                <w:highlight w:val="none"/>
              </w:rPr>
            </w:pPr>
          </w:p>
        </w:tc>
        <w:tc>
          <w:tcPr>
            <w:tcW w:w="1264" w:type="pct"/>
            <w:vMerge w:val="continue"/>
            <w:tcBorders>
              <w:tl2br w:val="nil"/>
              <w:tr2bl w:val="nil"/>
            </w:tcBorders>
            <w:vAlign w:val="center"/>
          </w:tcPr>
          <w:p w14:paraId="40C6597A">
            <w:pPr>
              <w:widowControl/>
              <w:spacing w:line="360" w:lineRule="exact"/>
              <w:ind w:firstLine="0" w:firstLineChars="0"/>
              <w:jc w:val="center"/>
              <w:textAlignment w:val="center"/>
              <w:rPr>
                <w:rFonts w:hint="default" w:ascii="Times New Roman" w:hAnsi="Times New Roman" w:cs="Times New Roman"/>
                <w:b/>
                <w:color w:val="auto"/>
                <w:sz w:val="21"/>
                <w:szCs w:val="21"/>
                <w:highlight w:val="none"/>
              </w:rPr>
            </w:pPr>
          </w:p>
        </w:tc>
        <w:tc>
          <w:tcPr>
            <w:tcW w:w="1265" w:type="pct"/>
            <w:tcBorders>
              <w:tl2br w:val="nil"/>
              <w:tr2bl w:val="nil"/>
            </w:tcBorders>
            <w:vAlign w:val="center"/>
          </w:tcPr>
          <w:p w14:paraId="1FAF18C7">
            <w:pPr>
              <w:widowControl/>
              <w:spacing w:line="360" w:lineRule="exact"/>
              <w:ind w:firstLine="0" w:firstLineChars="0"/>
              <w:jc w:val="center"/>
              <w:textAlignment w:val="center"/>
              <w:rPr>
                <w:rFonts w:hint="default" w:ascii="Times New Roman" w:hAnsi="Times New Roman" w:cs="Times New Roman"/>
                <w:b/>
                <w:color w:val="auto"/>
                <w:kern w:val="0"/>
                <w:sz w:val="21"/>
                <w:szCs w:val="21"/>
                <w:highlight w:val="none"/>
                <w:lang w:bidi="ar"/>
              </w:rPr>
            </w:pPr>
            <w:r>
              <w:rPr>
                <w:rFonts w:hint="default" w:ascii="Times New Roman" w:hAnsi="Times New Roman" w:cs="Times New Roman"/>
                <w:b/>
                <w:color w:val="auto"/>
                <w:spacing w:val="20"/>
                <w:sz w:val="21"/>
                <w:szCs w:val="21"/>
                <w:highlight w:val="none"/>
              </w:rPr>
              <w:t>T4</w:t>
            </w:r>
          </w:p>
        </w:tc>
        <w:tc>
          <w:tcPr>
            <w:tcW w:w="1001" w:type="pct"/>
            <w:vMerge w:val="continue"/>
            <w:tcBorders>
              <w:tl2br w:val="nil"/>
              <w:tr2bl w:val="nil"/>
            </w:tcBorders>
            <w:vAlign w:val="center"/>
          </w:tcPr>
          <w:p w14:paraId="42BA8059">
            <w:pPr>
              <w:widowControl/>
              <w:spacing w:line="360" w:lineRule="exact"/>
              <w:ind w:firstLine="0" w:firstLineChars="0"/>
              <w:jc w:val="center"/>
              <w:textAlignment w:val="center"/>
              <w:rPr>
                <w:rFonts w:hint="default" w:ascii="Times New Roman" w:hAnsi="Times New Roman" w:cs="Times New Roman"/>
                <w:b/>
                <w:color w:val="auto"/>
                <w:kern w:val="0"/>
                <w:sz w:val="21"/>
                <w:szCs w:val="21"/>
                <w:highlight w:val="none"/>
                <w:lang w:bidi="ar"/>
              </w:rPr>
            </w:pPr>
          </w:p>
        </w:tc>
      </w:tr>
      <w:tr w14:paraId="6C45A6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7624E0C4">
            <w:pPr>
              <w:widowControl/>
              <w:spacing w:line="360" w:lineRule="exact"/>
              <w:ind w:firstLine="0" w:firstLineChars="0"/>
              <w:jc w:val="center"/>
              <w:textAlignment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pH</w:t>
            </w:r>
          </w:p>
        </w:tc>
        <w:tc>
          <w:tcPr>
            <w:tcW w:w="1264" w:type="pct"/>
            <w:tcBorders>
              <w:tl2br w:val="nil"/>
              <w:tr2bl w:val="nil"/>
            </w:tcBorders>
            <w:vAlign w:val="center"/>
          </w:tcPr>
          <w:p w14:paraId="7B1CF188">
            <w:pPr>
              <w:spacing w:line="360" w:lineRule="exact"/>
              <w:ind w:firstLine="0" w:firstLineChars="0"/>
              <w:jc w:val="center"/>
              <w:rPr>
                <w:rFonts w:hint="default" w:ascii="Times New Roman" w:hAnsi="Times New Roman" w:cs="Times New Roman"/>
                <w:bCs/>
                <w:color w:val="auto"/>
                <w:kern w:val="0"/>
                <w:sz w:val="21"/>
                <w:szCs w:val="21"/>
                <w:highlight w:val="none"/>
                <w:lang w:bidi="ar"/>
              </w:rPr>
            </w:pPr>
            <w:r>
              <w:rPr>
                <w:rFonts w:hint="default" w:ascii="Times New Roman" w:hAnsi="Times New Roman" w:cs="Times New Roman"/>
                <w:bCs/>
                <w:color w:val="auto"/>
                <w:kern w:val="0"/>
                <w:sz w:val="21"/>
                <w:szCs w:val="21"/>
                <w:highlight w:val="none"/>
                <w:lang w:bidi="ar"/>
              </w:rPr>
              <w:t>无量纲</w:t>
            </w:r>
          </w:p>
        </w:tc>
        <w:tc>
          <w:tcPr>
            <w:tcW w:w="1265" w:type="pct"/>
            <w:tcBorders>
              <w:tl2br w:val="nil"/>
              <w:tr2bl w:val="nil"/>
            </w:tcBorders>
            <w:vAlign w:val="center"/>
          </w:tcPr>
          <w:p w14:paraId="451C91C6">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8.55</w:t>
            </w:r>
          </w:p>
        </w:tc>
        <w:tc>
          <w:tcPr>
            <w:tcW w:w="1001" w:type="pct"/>
            <w:tcBorders>
              <w:tl2br w:val="nil"/>
              <w:tr2bl w:val="nil"/>
            </w:tcBorders>
            <w:vAlign w:val="center"/>
          </w:tcPr>
          <w:p w14:paraId="7F964294">
            <w:pPr>
              <w:pStyle w:val="24"/>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w:t>
            </w:r>
          </w:p>
        </w:tc>
      </w:tr>
      <w:tr w14:paraId="1F35DE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61C23E95">
            <w:pPr>
              <w:widowControl/>
              <w:spacing w:line="360" w:lineRule="exact"/>
              <w:ind w:firstLine="0" w:firstLineChars="0"/>
              <w:jc w:val="center"/>
              <w:textAlignment w:val="center"/>
              <w:rPr>
                <w:rFonts w:hint="default" w:ascii="Times New Roman" w:hAnsi="Times New Roman" w:cs="Times New Roman"/>
                <w:bCs/>
                <w:color w:val="auto"/>
                <w:kern w:val="0"/>
                <w:sz w:val="21"/>
                <w:szCs w:val="21"/>
                <w:highlight w:val="none"/>
                <w:lang w:bidi="ar"/>
              </w:rPr>
            </w:pPr>
            <w:r>
              <w:rPr>
                <w:rFonts w:hint="default" w:ascii="Times New Roman" w:hAnsi="Times New Roman" w:cs="Times New Roman"/>
                <w:bCs/>
                <w:color w:val="auto"/>
                <w:sz w:val="21"/>
                <w:szCs w:val="21"/>
                <w:highlight w:val="none"/>
              </w:rPr>
              <w:t>砷</w:t>
            </w:r>
          </w:p>
        </w:tc>
        <w:tc>
          <w:tcPr>
            <w:tcW w:w="1264" w:type="pct"/>
            <w:tcBorders>
              <w:tl2br w:val="nil"/>
              <w:tr2bl w:val="nil"/>
            </w:tcBorders>
            <w:vAlign w:val="center"/>
          </w:tcPr>
          <w:p w14:paraId="522ACCEF">
            <w:pPr>
              <w:spacing w:line="360" w:lineRule="exact"/>
              <w:ind w:firstLine="0" w:firstLineChars="0"/>
              <w:jc w:val="center"/>
              <w:rPr>
                <w:rFonts w:hint="default" w:ascii="Times New Roman" w:hAnsi="Times New Roman" w:cs="Times New Roman"/>
                <w:bCs/>
                <w:color w:val="auto"/>
                <w:kern w:val="0"/>
                <w:sz w:val="21"/>
                <w:szCs w:val="21"/>
                <w:highlight w:val="none"/>
                <w:lang w:bidi="ar"/>
              </w:rPr>
            </w:pPr>
            <w:r>
              <w:rPr>
                <w:rFonts w:hint="default" w:ascii="Times New Roman" w:hAnsi="Times New Roman" w:cs="Times New Roman"/>
                <w:bCs/>
                <w:color w:val="auto"/>
                <w:kern w:val="0"/>
                <w:sz w:val="21"/>
                <w:szCs w:val="21"/>
                <w:highlight w:val="none"/>
                <w:lang w:bidi="ar"/>
              </w:rPr>
              <w:t>mg/kg</w:t>
            </w:r>
          </w:p>
        </w:tc>
        <w:tc>
          <w:tcPr>
            <w:tcW w:w="1265" w:type="pct"/>
            <w:tcBorders>
              <w:tl2br w:val="nil"/>
              <w:tr2bl w:val="nil"/>
            </w:tcBorders>
            <w:vAlign w:val="center"/>
          </w:tcPr>
          <w:p w14:paraId="6156D00F">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8.80</w:t>
            </w:r>
          </w:p>
        </w:tc>
        <w:tc>
          <w:tcPr>
            <w:tcW w:w="1001" w:type="pct"/>
            <w:tcBorders>
              <w:tl2br w:val="nil"/>
              <w:tr2bl w:val="nil"/>
            </w:tcBorders>
            <w:vAlign w:val="center"/>
          </w:tcPr>
          <w:p w14:paraId="6435B885">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60</w:t>
            </w:r>
          </w:p>
        </w:tc>
      </w:tr>
      <w:tr w14:paraId="2CF151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70117128">
            <w:pPr>
              <w:spacing w:line="360" w:lineRule="exact"/>
              <w:ind w:firstLine="0" w:firstLineChars="0"/>
              <w:jc w:val="center"/>
              <w:rPr>
                <w:rFonts w:hint="default" w:ascii="Times New Roman" w:hAnsi="Times New Roman" w:cs="Times New Roman"/>
                <w:bCs/>
                <w:color w:val="auto"/>
                <w:kern w:val="0"/>
                <w:sz w:val="21"/>
                <w:szCs w:val="21"/>
                <w:highlight w:val="none"/>
                <w:lang w:bidi="ar"/>
              </w:rPr>
            </w:pPr>
            <w:r>
              <w:rPr>
                <w:rFonts w:hint="default" w:ascii="Times New Roman" w:hAnsi="Times New Roman" w:cs="Times New Roman"/>
                <w:bCs/>
                <w:color w:val="auto"/>
                <w:kern w:val="0"/>
                <w:sz w:val="21"/>
                <w:szCs w:val="21"/>
                <w:highlight w:val="none"/>
                <w:lang w:bidi="ar"/>
              </w:rPr>
              <w:t>镉</w:t>
            </w:r>
          </w:p>
        </w:tc>
        <w:tc>
          <w:tcPr>
            <w:tcW w:w="1264" w:type="pct"/>
            <w:tcBorders>
              <w:tl2br w:val="nil"/>
              <w:tr2bl w:val="nil"/>
            </w:tcBorders>
            <w:vAlign w:val="center"/>
          </w:tcPr>
          <w:p w14:paraId="00689EAC">
            <w:pPr>
              <w:widowControl/>
              <w:spacing w:line="360" w:lineRule="exact"/>
              <w:ind w:firstLine="0" w:firstLineChars="0"/>
              <w:jc w:val="center"/>
              <w:textAlignment w:val="center"/>
              <w:rPr>
                <w:rFonts w:hint="default" w:ascii="Times New Roman" w:hAnsi="Times New Roman" w:cs="Times New Roman"/>
                <w:bCs/>
                <w:color w:val="auto"/>
                <w:kern w:val="0"/>
                <w:sz w:val="21"/>
                <w:szCs w:val="21"/>
                <w:highlight w:val="none"/>
                <w:lang w:bidi="ar"/>
              </w:rPr>
            </w:pPr>
            <w:r>
              <w:rPr>
                <w:rFonts w:hint="default" w:ascii="Times New Roman" w:hAnsi="Times New Roman" w:cs="Times New Roman"/>
                <w:bCs/>
                <w:color w:val="auto"/>
                <w:kern w:val="0"/>
                <w:sz w:val="21"/>
                <w:szCs w:val="21"/>
                <w:highlight w:val="none"/>
                <w:lang w:bidi="ar"/>
              </w:rPr>
              <w:t>mg/kg</w:t>
            </w:r>
          </w:p>
        </w:tc>
        <w:tc>
          <w:tcPr>
            <w:tcW w:w="1265" w:type="pct"/>
            <w:tcBorders>
              <w:tl2br w:val="nil"/>
              <w:tr2bl w:val="nil"/>
            </w:tcBorders>
            <w:vAlign w:val="center"/>
          </w:tcPr>
          <w:p w14:paraId="7B272DB8">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0.17</w:t>
            </w:r>
          </w:p>
        </w:tc>
        <w:tc>
          <w:tcPr>
            <w:tcW w:w="1001" w:type="pct"/>
            <w:tcBorders>
              <w:tl2br w:val="nil"/>
              <w:tr2bl w:val="nil"/>
            </w:tcBorders>
            <w:vAlign w:val="center"/>
          </w:tcPr>
          <w:p w14:paraId="40CBB895">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65</w:t>
            </w:r>
          </w:p>
        </w:tc>
      </w:tr>
      <w:tr w14:paraId="266758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54BADFBA">
            <w:pPr>
              <w:spacing w:line="360" w:lineRule="exact"/>
              <w:ind w:firstLine="0" w:firstLineChars="0"/>
              <w:jc w:val="center"/>
              <w:rPr>
                <w:rFonts w:hint="default" w:ascii="Times New Roman" w:hAnsi="Times New Roman" w:cs="Times New Roman"/>
                <w:bCs/>
                <w:color w:val="auto"/>
                <w:kern w:val="0"/>
                <w:sz w:val="21"/>
                <w:szCs w:val="21"/>
                <w:highlight w:val="none"/>
                <w:lang w:bidi="ar"/>
              </w:rPr>
            </w:pPr>
            <w:r>
              <w:rPr>
                <w:rFonts w:hint="default" w:ascii="Times New Roman" w:hAnsi="Times New Roman" w:cs="Times New Roman"/>
                <w:bCs/>
                <w:color w:val="auto"/>
                <w:kern w:val="0"/>
                <w:sz w:val="21"/>
                <w:szCs w:val="21"/>
                <w:highlight w:val="none"/>
                <w:lang w:bidi="ar"/>
              </w:rPr>
              <w:t>六价铬</w:t>
            </w:r>
          </w:p>
        </w:tc>
        <w:tc>
          <w:tcPr>
            <w:tcW w:w="1264" w:type="pct"/>
            <w:tcBorders>
              <w:tl2br w:val="nil"/>
              <w:tr2bl w:val="nil"/>
            </w:tcBorders>
            <w:vAlign w:val="center"/>
          </w:tcPr>
          <w:p w14:paraId="601B9FBC">
            <w:pPr>
              <w:spacing w:line="360" w:lineRule="exact"/>
              <w:ind w:firstLine="0" w:firstLineChars="0"/>
              <w:jc w:val="center"/>
              <w:rPr>
                <w:rFonts w:hint="default" w:ascii="Times New Roman" w:hAnsi="Times New Roman" w:cs="Times New Roman"/>
                <w:bCs/>
                <w:color w:val="auto"/>
                <w:kern w:val="0"/>
                <w:sz w:val="21"/>
                <w:szCs w:val="21"/>
                <w:highlight w:val="none"/>
                <w:lang w:bidi="ar"/>
              </w:rPr>
            </w:pPr>
            <w:r>
              <w:rPr>
                <w:rFonts w:hint="default" w:ascii="Times New Roman" w:hAnsi="Times New Roman" w:cs="Times New Roman"/>
                <w:bCs/>
                <w:color w:val="auto"/>
                <w:kern w:val="0"/>
                <w:sz w:val="21"/>
                <w:szCs w:val="21"/>
                <w:highlight w:val="none"/>
                <w:lang w:bidi="ar"/>
              </w:rPr>
              <w:t>mg/kg</w:t>
            </w:r>
          </w:p>
        </w:tc>
        <w:tc>
          <w:tcPr>
            <w:tcW w:w="1265" w:type="pct"/>
            <w:tcBorders>
              <w:tl2br w:val="nil"/>
              <w:tr2bl w:val="nil"/>
            </w:tcBorders>
            <w:vAlign w:val="center"/>
          </w:tcPr>
          <w:p w14:paraId="6A6EC06D">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&lt;0.5</w:t>
            </w:r>
          </w:p>
        </w:tc>
        <w:tc>
          <w:tcPr>
            <w:tcW w:w="1001" w:type="pct"/>
            <w:tcBorders>
              <w:tl2br w:val="nil"/>
              <w:tr2bl w:val="nil"/>
            </w:tcBorders>
            <w:vAlign w:val="center"/>
          </w:tcPr>
          <w:p w14:paraId="73DCEB97">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5.7</w:t>
            </w:r>
          </w:p>
        </w:tc>
      </w:tr>
      <w:tr w14:paraId="67F965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1AA83F68">
            <w:pPr>
              <w:spacing w:line="360" w:lineRule="exact"/>
              <w:ind w:firstLine="0" w:firstLineChars="0"/>
              <w:jc w:val="center"/>
              <w:rPr>
                <w:rFonts w:hint="default" w:ascii="Times New Roman" w:hAnsi="Times New Roman" w:cs="Times New Roman"/>
                <w:bCs/>
                <w:color w:val="auto"/>
                <w:kern w:val="0"/>
                <w:sz w:val="21"/>
                <w:szCs w:val="21"/>
                <w:highlight w:val="none"/>
                <w:lang w:bidi="ar"/>
              </w:rPr>
            </w:pPr>
            <w:r>
              <w:rPr>
                <w:rFonts w:hint="default" w:ascii="Times New Roman" w:hAnsi="Times New Roman" w:cs="Times New Roman"/>
                <w:bCs/>
                <w:color w:val="auto"/>
                <w:kern w:val="0"/>
                <w:sz w:val="21"/>
                <w:szCs w:val="21"/>
                <w:highlight w:val="none"/>
                <w:lang w:bidi="ar"/>
              </w:rPr>
              <w:t>铜</w:t>
            </w:r>
          </w:p>
        </w:tc>
        <w:tc>
          <w:tcPr>
            <w:tcW w:w="1264" w:type="pct"/>
            <w:tcBorders>
              <w:tl2br w:val="nil"/>
              <w:tr2bl w:val="nil"/>
            </w:tcBorders>
            <w:vAlign w:val="center"/>
          </w:tcPr>
          <w:p w14:paraId="7269C67A">
            <w:pPr>
              <w:widowControl/>
              <w:spacing w:line="360" w:lineRule="exact"/>
              <w:ind w:firstLine="0" w:firstLineChars="0"/>
              <w:jc w:val="center"/>
              <w:textAlignment w:val="center"/>
              <w:rPr>
                <w:rFonts w:hint="default" w:ascii="Times New Roman" w:hAnsi="Times New Roman" w:cs="Times New Roman"/>
                <w:bCs/>
                <w:color w:val="auto"/>
                <w:kern w:val="0"/>
                <w:sz w:val="21"/>
                <w:szCs w:val="21"/>
                <w:highlight w:val="none"/>
                <w:lang w:bidi="ar"/>
              </w:rPr>
            </w:pPr>
            <w:r>
              <w:rPr>
                <w:rFonts w:hint="default" w:ascii="Times New Roman" w:hAnsi="Times New Roman" w:cs="Times New Roman"/>
                <w:bCs/>
                <w:color w:val="auto"/>
                <w:kern w:val="0"/>
                <w:sz w:val="21"/>
                <w:szCs w:val="21"/>
                <w:highlight w:val="none"/>
                <w:lang w:bidi="ar"/>
              </w:rPr>
              <w:t>mg/kg</w:t>
            </w:r>
          </w:p>
        </w:tc>
        <w:tc>
          <w:tcPr>
            <w:tcW w:w="1265" w:type="pct"/>
            <w:tcBorders>
              <w:tl2br w:val="nil"/>
              <w:tr2bl w:val="nil"/>
            </w:tcBorders>
            <w:vAlign w:val="center"/>
          </w:tcPr>
          <w:p w14:paraId="3ED10B6A">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21</w:t>
            </w:r>
          </w:p>
        </w:tc>
        <w:tc>
          <w:tcPr>
            <w:tcW w:w="1001" w:type="pct"/>
            <w:tcBorders>
              <w:tl2br w:val="nil"/>
              <w:tr2bl w:val="nil"/>
            </w:tcBorders>
            <w:vAlign w:val="center"/>
          </w:tcPr>
          <w:p w14:paraId="0A9432FB">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18000</w:t>
            </w:r>
          </w:p>
        </w:tc>
      </w:tr>
      <w:tr w14:paraId="478F1F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41CBA2B8">
            <w:pPr>
              <w:spacing w:line="360" w:lineRule="exact"/>
              <w:ind w:firstLine="0" w:firstLineChars="0"/>
              <w:jc w:val="center"/>
              <w:rPr>
                <w:rFonts w:hint="default" w:ascii="Times New Roman" w:hAnsi="Times New Roman" w:cs="Times New Roman"/>
                <w:bCs/>
                <w:color w:val="auto"/>
                <w:kern w:val="0"/>
                <w:sz w:val="21"/>
                <w:szCs w:val="21"/>
                <w:highlight w:val="none"/>
                <w:lang w:bidi="ar"/>
              </w:rPr>
            </w:pPr>
            <w:r>
              <w:rPr>
                <w:rFonts w:hint="default" w:ascii="Times New Roman" w:hAnsi="Times New Roman" w:cs="Times New Roman"/>
                <w:bCs/>
                <w:color w:val="auto"/>
                <w:kern w:val="0"/>
                <w:sz w:val="21"/>
                <w:szCs w:val="21"/>
                <w:highlight w:val="none"/>
                <w:lang w:bidi="ar"/>
              </w:rPr>
              <w:t>铅</w:t>
            </w:r>
          </w:p>
        </w:tc>
        <w:tc>
          <w:tcPr>
            <w:tcW w:w="1264" w:type="pct"/>
            <w:tcBorders>
              <w:tl2br w:val="nil"/>
              <w:tr2bl w:val="nil"/>
            </w:tcBorders>
            <w:vAlign w:val="center"/>
          </w:tcPr>
          <w:p w14:paraId="57847CD2">
            <w:pPr>
              <w:spacing w:line="360" w:lineRule="exact"/>
              <w:ind w:firstLine="0" w:firstLineChars="0"/>
              <w:jc w:val="center"/>
              <w:rPr>
                <w:rFonts w:hint="default" w:ascii="Times New Roman" w:hAnsi="Times New Roman" w:cs="Times New Roman"/>
                <w:bCs/>
                <w:color w:val="auto"/>
                <w:kern w:val="0"/>
                <w:sz w:val="21"/>
                <w:szCs w:val="21"/>
                <w:highlight w:val="none"/>
                <w:lang w:bidi="ar"/>
              </w:rPr>
            </w:pPr>
            <w:r>
              <w:rPr>
                <w:rFonts w:hint="default" w:ascii="Times New Roman" w:hAnsi="Times New Roman" w:cs="Times New Roman"/>
                <w:bCs/>
                <w:color w:val="auto"/>
                <w:kern w:val="0"/>
                <w:sz w:val="21"/>
                <w:szCs w:val="21"/>
                <w:highlight w:val="none"/>
                <w:lang w:bidi="ar"/>
              </w:rPr>
              <w:t>mg/kg</w:t>
            </w:r>
          </w:p>
        </w:tc>
        <w:tc>
          <w:tcPr>
            <w:tcW w:w="1265" w:type="pct"/>
            <w:tcBorders>
              <w:tl2br w:val="nil"/>
              <w:tr2bl w:val="nil"/>
            </w:tcBorders>
            <w:vAlign w:val="center"/>
          </w:tcPr>
          <w:p w14:paraId="7E308906">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13.0</w:t>
            </w:r>
          </w:p>
        </w:tc>
        <w:tc>
          <w:tcPr>
            <w:tcW w:w="1001" w:type="pct"/>
            <w:tcBorders>
              <w:tl2br w:val="nil"/>
              <w:tr2bl w:val="nil"/>
            </w:tcBorders>
            <w:vAlign w:val="center"/>
          </w:tcPr>
          <w:p w14:paraId="34663845">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800</w:t>
            </w:r>
          </w:p>
        </w:tc>
      </w:tr>
      <w:tr w14:paraId="7EA4B3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42EC912C">
            <w:pPr>
              <w:widowControl/>
              <w:spacing w:line="360" w:lineRule="exact"/>
              <w:ind w:firstLine="0" w:firstLineChars="0"/>
              <w:jc w:val="center"/>
              <w:textAlignment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汞</w:t>
            </w:r>
          </w:p>
        </w:tc>
        <w:tc>
          <w:tcPr>
            <w:tcW w:w="1264" w:type="pct"/>
            <w:tcBorders>
              <w:tl2br w:val="nil"/>
              <w:tr2bl w:val="nil"/>
            </w:tcBorders>
            <w:vAlign w:val="center"/>
          </w:tcPr>
          <w:p w14:paraId="6E0D655F">
            <w:pPr>
              <w:spacing w:line="360" w:lineRule="exact"/>
              <w:ind w:firstLine="0" w:firstLineChars="0"/>
              <w:jc w:val="center"/>
              <w:rPr>
                <w:rFonts w:hint="default" w:ascii="Times New Roman" w:hAnsi="Times New Roman" w:cs="Times New Roman"/>
                <w:bCs/>
                <w:color w:val="auto"/>
                <w:kern w:val="0"/>
                <w:sz w:val="21"/>
                <w:szCs w:val="21"/>
                <w:highlight w:val="none"/>
                <w:lang w:bidi="ar"/>
              </w:rPr>
            </w:pPr>
            <w:r>
              <w:rPr>
                <w:rFonts w:hint="default" w:ascii="Times New Roman" w:hAnsi="Times New Roman" w:cs="Times New Roman"/>
                <w:bCs/>
                <w:color w:val="auto"/>
                <w:kern w:val="0"/>
                <w:sz w:val="21"/>
                <w:szCs w:val="21"/>
                <w:highlight w:val="none"/>
                <w:lang w:bidi="ar"/>
              </w:rPr>
              <w:t>mg/kg</w:t>
            </w:r>
          </w:p>
        </w:tc>
        <w:tc>
          <w:tcPr>
            <w:tcW w:w="1265" w:type="pct"/>
            <w:tcBorders>
              <w:tl2br w:val="nil"/>
              <w:tr2bl w:val="nil"/>
            </w:tcBorders>
            <w:vAlign w:val="center"/>
          </w:tcPr>
          <w:p w14:paraId="20749553">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0.092</w:t>
            </w:r>
          </w:p>
        </w:tc>
        <w:tc>
          <w:tcPr>
            <w:tcW w:w="1001" w:type="pct"/>
            <w:tcBorders>
              <w:tl2br w:val="nil"/>
              <w:tr2bl w:val="nil"/>
            </w:tcBorders>
            <w:vAlign w:val="center"/>
          </w:tcPr>
          <w:p w14:paraId="562C5961">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38</w:t>
            </w:r>
          </w:p>
        </w:tc>
      </w:tr>
      <w:tr w14:paraId="0E7263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32AE8FED">
            <w:pPr>
              <w:spacing w:line="360" w:lineRule="exact"/>
              <w:ind w:firstLine="0" w:firstLineChars="0"/>
              <w:jc w:val="center"/>
              <w:rPr>
                <w:rFonts w:hint="default" w:ascii="Times New Roman" w:hAnsi="Times New Roman" w:cs="Times New Roman"/>
                <w:bCs/>
                <w:color w:val="auto"/>
                <w:kern w:val="0"/>
                <w:sz w:val="21"/>
                <w:szCs w:val="21"/>
                <w:highlight w:val="none"/>
                <w:lang w:bidi="ar"/>
              </w:rPr>
            </w:pPr>
            <w:r>
              <w:rPr>
                <w:rFonts w:hint="default" w:ascii="Times New Roman" w:hAnsi="Times New Roman" w:cs="Times New Roman"/>
                <w:bCs/>
                <w:color w:val="auto"/>
                <w:kern w:val="0"/>
                <w:sz w:val="21"/>
                <w:szCs w:val="21"/>
                <w:highlight w:val="none"/>
                <w:lang w:bidi="ar"/>
              </w:rPr>
              <w:t>镍</w:t>
            </w:r>
          </w:p>
        </w:tc>
        <w:tc>
          <w:tcPr>
            <w:tcW w:w="1264" w:type="pct"/>
            <w:tcBorders>
              <w:tl2br w:val="nil"/>
              <w:tr2bl w:val="nil"/>
            </w:tcBorders>
            <w:vAlign w:val="center"/>
          </w:tcPr>
          <w:p w14:paraId="74B77EB0">
            <w:pPr>
              <w:spacing w:line="360" w:lineRule="exact"/>
              <w:ind w:firstLine="0" w:firstLineChars="0"/>
              <w:jc w:val="center"/>
              <w:rPr>
                <w:rFonts w:hint="default" w:ascii="Times New Roman" w:hAnsi="Times New Roman" w:cs="Times New Roman"/>
                <w:bCs/>
                <w:color w:val="auto"/>
                <w:kern w:val="0"/>
                <w:sz w:val="21"/>
                <w:szCs w:val="21"/>
                <w:highlight w:val="none"/>
                <w:lang w:bidi="ar"/>
              </w:rPr>
            </w:pPr>
            <w:r>
              <w:rPr>
                <w:rFonts w:hint="default" w:ascii="Times New Roman" w:hAnsi="Times New Roman" w:cs="Times New Roman"/>
                <w:bCs/>
                <w:color w:val="auto"/>
                <w:kern w:val="0"/>
                <w:sz w:val="21"/>
                <w:szCs w:val="21"/>
                <w:highlight w:val="none"/>
                <w:lang w:bidi="ar"/>
              </w:rPr>
              <w:t>mg/kg</w:t>
            </w:r>
          </w:p>
        </w:tc>
        <w:tc>
          <w:tcPr>
            <w:tcW w:w="1265" w:type="pct"/>
            <w:tcBorders>
              <w:tl2br w:val="nil"/>
              <w:tr2bl w:val="nil"/>
            </w:tcBorders>
            <w:vAlign w:val="center"/>
          </w:tcPr>
          <w:p w14:paraId="71AF4834">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28</w:t>
            </w:r>
          </w:p>
        </w:tc>
        <w:tc>
          <w:tcPr>
            <w:tcW w:w="1001" w:type="pct"/>
            <w:tcBorders>
              <w:tl2br w:val="nil"/>
              <w:tr2bl w:val="nil"/>
            </w:tcBorders>
            <w:vAlign w:val="center"/>
          </w:tcPr>
          <w:p w14:paraId="4C197ED8">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900</w:t>
            </w:r>
          </w:p>
        </w:tc>
      </w:tr>
      <w:tr w14:paraId="28900C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366083D5">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kern w:val="0"/>
                <w:sz w:val="21"/>
                <w:szCs w:val="21"/>
                <w:highlight w:val="none"/>
                <w:lang w:bidi="ar"/>
              </w:rPr>
              <w:t>四氯化碳</w:t>
            </w:r>
          </w:p>
        </w:tc>
        <w:tc>
          <w:tcPr>
            <w:tcW w:w="1264" w:type="pct"/>
            <w:tcBorders>
              <w:tl2br w:val="nil"/>
              <w:tr2bl w:val="nil"/>
            </w:tcBorders>
            <w:vAlign w:val="center"/>
          </w:tcPr>
          <w:p w14:paraId="07969073">
            <w:pPr>
              <w:widowControl/>
              <w:spacing w:line="360" w:lineRule="exact"/>
              <w:ind w:firstLine="0" w:firstLineChars="0"/>
              <w:jc w:val="center"/>
              <w:textAlignment w:val="center"/>
              <w:rPr>
                <w:rFonts w:hint="default" w:ascii="Times New Roman" w:hAnsi="Times New Roman" w:cs="Times New Roman"/>
                <w:bCs/>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μg/kg</w:t>
            </w:r>
          </w:p>
        </w:tc>
        <w:tc>
          <w:tcPr>
            <w:tcW w:w="1265" w:type="pct"/>
            <w:tcBorders>
              <w:tl2br w:val="nil"/>
              <w:tr2bl w:val="nil"/>
            </w:tcBorders>
            <w:vAlign w:val="center"/>
          </w:tcPr>
          <w:p w14:paraId="51769927">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&lt;2.1</w:t>
            </w:r>
          </w:p>
        </w:tc>
        <w:tc>
          <w:tcPr>
            <w:tcW w:w="1001" w:type="pct"/>
            <w:tcBorders>
              <w:tl2br w:val="nil"/>
              <w:tr2bl w:val="nil"/>
            </w:tcBorders>
            <w:vAlign w:val="center"/>
          </w:tcPr>
          <w:p w14:paraId="1F710B59">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2800</w:t>
            </w:r>
          </w:p>
        </w:tc>
      </w:tr>
      <w:tr w14:paraId="6824B5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6E3981F8">
            <w:pPr>
              <w:spacing w:line="360" w:lineRule="exact"/>
              <w:ind w:firstLine="0" w:firstLineChars="0"/>
              <w:jc w:val="center"/>
              <w:rPr>
                <w:rFonts w:hint="default" w:ascii="Times New Roman" w:hAnsi="Times New Roman" w:cs="Times New Roman"/>
                <w:bCs/>
                <w:color w:val="auto"/>
                <w:kern w:val="0"/>
                <w:sz w:val="21"/>
                <w:szCs w:val="21"/>
                <w:highlight w:val="none"/>
                <w:lang w:bidi="ar"/>
              </w:rPr>
            </w:pPr>
            <w:r>
              <w:rPr>
                <w:rFonts w:hint="default" w:ascii="Times New Roman" w:hAnsi="Times New Roman" w:cs="Times New Roman"/>
                <w:bCs/>
                <w:color w:val="auto"/>
                <w:kern w:val="0"/>
                <w:sz w:val="21"/>
                <w:szCs w:val="21"/>
                <w:highlight w:val="none"/>
                <w:lang w:bidi="ar"/>
              </w:rPr>
              <w:t>三氯甲烷（氯仿）</w:t>
            </w:r>
          </w:p>
        </w:tc>
        <w:tc>
          <w:tcPr>
            <w:tcW w:w="1264" w:type="pct"/>
            <w:tcBorders>
              <w:tl2br w:val="nil"/>
              <w:tr2bl w:val="nil"/>
            </w:tcBorders>
            <w:vAlign w:val="center"/>
          </w:tcPr>
          <w:p w14:paraId="5E8DDA0E">
            <w:pPr>
              <w:spacing w:line="360" w:lineRule="exact"/>
              <w:ind w:firstLine="0" w:firstLineChars="0"/>
              <w:jc w:val="center"/>
              <w:rPr>
                <w:rFonts w:hint="default" w:ascii="Times New Roman" w:hAnsi="Times New Roman" w:cs="Times New Roman"/>
                <w:bCs/>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μg/kg</w:t>
            </w:r>
          </w:p>
        </w:tc>
        <w:tc>
          <w:tcPr>
            <w:tcW w:w="1265" w:type="pct"/>
            <w:tcBorders>
              <w:tl2br w:val="nil"/>
              <w:tr2bl w:val="nil"/>
            </w:tcBorders>
            <w:vAlign w:val="center"/>
          </w:tcPr>
          <w:p w14:paraId="18FB12FB">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&lt;1.5</w:t>
            </w:r>
          </w:p>
        </w:tc>
        <w:tc>
          <w:tcPr>
            <w:tcW w:w="1001" w:type="pct"/>
            <w:tcBorders>
              <w:tl2br w:val="nil"/>
              <w:tr2bl w:val="nil"/>
            </w:tcBorders>
            <w:vAlign w:val="center"/>
          </w:tcPr>
          <w:p w14:paraId="3C18F191">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900</w:t>
            </w:r>
          </w:p>
        </w:tc>
      </w:tr>
      <w:tr w14:paraId="5755A2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10873CC4">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氯甲烷</w:t>
            </w:r>
          </w:p>
        </w:tc>
        <w:tc>
          <w:tcPr>
            <w:tcW w:w="1264" w:type="pct"/>
            <w:tcBorders>
              <w:tl2br w:val="nil"/>
              <w:tr2bl w:val="nil"/>
            </w:tcBorders>
            <w:vAlign w:val="center"/>
          </w:tcPr>
          <w:p w14:paraId="4B13F18B">
            <w:pPr>
              <w:spacing w:line="360" w:lineRule="exact"/>
              <w:ind w:firstLine="0" w:firstLineChars="0"/>
              <w:jc w:val="center"/>
              <w:rPr>
                <w:rFonts w:hint="default" w:ascii="Times New Roman" w:hAnsi="Times New Roman" w:cs="Times New Roman"/>
                <w:bCs/>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μg/kg</w:t>
            </w:r>
          </w:p>
        </w:tc>
        <w:tc>
          <w:tcPr>
            <w:tcW w:w="1265" w:type="pct"/>
            <w:tcBorders>
              <w:tl2br w:val="nil"/>
              <w:tr2bl w:val="nil"/>
            </w:tcBorders>
            <w:vAlign w:val="center"/>
          </w:tcPr>
          <w:p w14:paraId="27C004C9">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&lt;3</w:t>
            </w:r>
          </w:p>
        </w:tc>
        <w:tc>
          <w:tcPr>
            <w:tcW w:w="1001" w:type="pct"/>
            <w:tcBorders>
              <w:tl2br w:val="nil"/>
              <w:tr2bl w:val="nil"/>
            </w:tcBorders>
            <w:vAlign w:val="center"/>
          </w:tcPr>
          <w:p w14:paraId="69493DED">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37000</w:t>
            </w:r>
          </w:p>
        </w:tc>
      </w:tr>
      <w:tr w14:paraId="421F95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7EF62BE7">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1,1-二氯乙烷</w:t>
            </w:r>
          </w:p>
        </w:tc>
        <w:tc>
          <w:tcPr>
            <w:tcW w:w="1264" w:type="pct"/>
            <w:tcBorders>
              <w:tl2br w:val="nil"/>
              <w:tr2bl w:val="nil"/>
            </w:tcBorders>
            <w:vAlign w:val="center"/>
          </w:tcPr>
          <w:p w14:paraId="13C39B5D">
            <w:pPr>
              <w:spacing w:line="360" w:lineRule="exact"/>
              <w:ind w:firstLine="0" w:firstLineChars="0"/>
              <w:jc w:val="center"/>
              <w:rPr>
                <w:rFonts w:hint="default" w:ascii="Times New Roman" w:hAnsi="Times New Roman" w:cs="Times New Roman"/>
                <w:bCs/>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μg/kg</w:t>
            </w:r>
          </w:p>
        </w:tc>
        <w:tc>
          <w:tcPr>
            <w:tcW w:w="1265" w:type="pct"/>
            <w:tcBorders>
              <w:tl2br w:val="nil"/>
              <w:tr2bl w:val="nil"/>
            </w:tcBorders>
            <w:vAlign w:val="center"/>
          </w:tcPr>
          <w:p w14:paraId="3512F76D">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&lt;1.6</w:t>
            </w:r>
          </w:p>
        </w:tc>
        <w:tc>
          <w:tcPr>
            <w:tcW w:w="1001" w:type="pct"/>
            <w:tcBorders>
              <w:tl2br w:val="nil"/>
              <w:tr2bl w:val="nil"/>
            </w:tcBorders>
            <w:vAlign w:val="center"/>
          </w:tcPr>
          <w:p w14:paraId="47A8702B">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9000</w:t>
            </w:r>
          </w:p>
        </w:tc>
      </w:tr>
      <w:tr w14:paraId="63E416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340958EE">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1,2-二氯乙烷</w:t>
            </w:r>
          </w:p>
        </w:tc>
        <w:tc>
          <w:tcPr>
            <w:tcW w:w="1264" w:type="pct"/>
            <w:tcBorders>
              <w:tl2br w:val="nil"/>
              <w:tr2bl w:val="nil"/>
            </w:tcBorders>
            <w:vAlign w:val="center"/>
          </w:tcPr>
          <w:p w14:paraId="6D3382EB">
            <w:pPr>
              <w:widowControl/>
              <w:spacing w:line="360" w:lineRule="exact"/>
              <w:ind w:firstLine="0" w:firstLineChars="0"/>
              <w:jc w:val="center"/>
              <w:textAlignment w:val="center"/>
              <w:rPr>
                <w:rFonts w:hint="default" w:ascii="Times New Roman" w:hAnsi="Times New Roman" w:cs="Times New Roman"/>
                <w:bCs/>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μg/kg</w:t>
            </w:r>
          </w:p>
        </w:tc>
        <w:tc>
          <w:tcPr>
            <w:tcW w:w="1265" w:type="pct"/>
            <w:tcBorders>
              <w:tl2br w:val="nil"/>
              <w:tr2bl w:val="nil"/>
            </w:tcBorders>
            <w:vAlign w:val="center"/>
          </w:tcPr>
          <w:p w14:paraId="18204083">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&lt;1.3</w:t>
            </w:r>
          </w:p>
        </w:tc>
        <w:tc>
          <w:tcPr>
            <w:tcW w:w="1001" w:type="pct"/>
            <w:tcBorders>
              <w:tl2br w:val="nil"/>
              <w:tr2bl w:val="nil"/>
            </w:tcBorders>
            <w:vAlign w:val="center"/>
          </w:tcPr>
          <w:p w14:paraId="75AC6629">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5000</w:t>
            </w:r>
          </w:p>
        </w:tc>
      </w:tr>
      <w:tr w14:paraId="4B5849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5000B8AA">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1，1-二氯乙烯</w:t>
            </w:r>
          </w:p>
        </w:tc>
        <w:tc>
          <w:tcPr>
            <w:tcW w:w="1264" w:type="pct"/>
            <w:tcBorders>
              <w:tl2br w:val="nil"/>
              <w:tr2bl w:val="nil"/>
            </w:tcBorders>
            <w:vAlign w:val="center"/>
          </w:tcPr>
          <w:p w14:paraId="210A6731">
            <w:pPr>
              <w:spacing w:line="360" w:lineRule="exact"/>
              <w:ind w:firstLine="0" w:firstLineChars="0"/>
              <w:jc w:val="center"/>
              <w:rPr>
                <w:rFonts w:hint="default" w:ascii="Times New Roman" w:hAnsi="Times New Roman" w:cs="Times New Roman"/>
                <w:bCs/>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μg/kg</w:t>
            </w:r>
          </w:p>
        </w:tc>
        <w:tc>
          <w:tcPr>
            <w:tcW w:w="1265" w:type="pct"/>
            <w:tcBorders>
              <w:tl2br w:val="nil"/>
              <w:tr2bl w:val="nil"/>
            </w:tcBorders>
            <w:vAlign w:val="center"/>
          </w:tcPr>
          <w:p w14:paraId="00CBC48A">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&lt;0.8</w:t>
            </w:r>
          </w:p>
        </w:tc>
        <w:tc>
          <w:tcPr>
            <w:tcW w:w="1001" w:type="pct"/>
            <w:tcBorders>
              <w:tl2br w:val="nil"/>
              <w:tr2bl w:val="nil"/>
            </w:tcBorders>
            <w:vAlign w:val="center"/>
          </w:tcPr>
          <w:p w14:paraId="3BE7A8D3">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66000</w:t>
            </w:r>
          </w:p>
        </w:tc>
      </w:tr>
      <w:tr w14:paraId="1FEDF5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2F03CC06">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顺-1,2-二氯乙烯</w:t>
            </w:r>
          </w:p>
        </w:tc>
        <w:tc>
          <w:tcPr>
            <w:tcW w:w="1264" w:type="pct"/>
            <w:tcBorders>
              <w:tl2br w:val="nil"/>
              <w:tr2bl w:val="nil"/>
            </w:tcBorders>
            <w:vAlign w:val="center"/>
          </w:tcPr>
          <w:p w14:paraId="0118FFF0">
            <w:pPr>
              <w:widowControl/>
              <w:spacing w:line="360" w:lineRule="exact"/>
              <w:ind w:firstLine="0" w:firstLineChars="0"/>
              <w:jc w:val="center"/>
              <w:textAlignment w:val="center"/>
              <w:rPr>
                <w:rFonts w:hint="default" w:ascii="Times New Roman" w:hAnsi="Times New Roman" w:cs="Times New Roman"/>
                <w:bCs/>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μg/kg</w:t>
            </w:r>
          </w:p>
        </w:tc>
        <w:tc>
          <w:tcPr>
            <w:tcW w:w="1265" w:type="pct"/>
            <w:tcBorders>
              <w:tl2br w:val="nil"/>
              <w:tr2bl w:val="nil"/>
            </w:tcBorders>
            <w:vAlign w:val="center"/>
          </w:tcPr>
          <w:p w14:paraId="22E355E4">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&lt;0.9</w:t>
            </w:r>
          </w:p>
        </w:tc>
        <w:tc>
          <w:tcPr>
            <w:tcW w:w="1001" w:type="pct"/>
            <w:tcBorders>
              <w:tl2br w:val="nil"/>
              <w:tr2bl w:val="nil"/>
            </w:tcBorders>
            <w:vAlign w:val="center"/>
          </w:tcPr>
          <w:p w14:paraId="565E3E52">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596000</w:t>
            </w:r>
          </w:p>
        </w:tc>
      </w:tr>
      <w:tr w14:paraId="7A0A78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696DF4EE">
            <w:pPr>
              <w:widowControl/>
              <w:spacing w:line="360" w:lineRule="exact"/>
              <w:ind w:firstLine="0" w:firstLineChars="0"/>
              <w:jc w:val="center"/>
              <w:textAlignment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反-1,2-二氯乙烯</w:t>
            </w:r>
          </w:p>
        </w:tc>
        <w:tc>
          <w:tcPr>
            <w:tcW w:w="1264" w:type="pct"/>
            <w:tcBorders>
              <w:tl2br w:val="nil"/>
              <w:tr2bl w:val="nil"/>
            </w:tcBorders>
            <w:vAlign w:val="center"/>
          </w:tcPr>
          <w:p w14:paraId="1E4AB79D">
            <w:pPr>
              <w:spacing w:line="360" w:lineRule="exact"/>
              <w:ind w:firstLine="0" w:firstLineChars="0"/>
              <w:jc w:val="center"/>
              <w:rPr>
                <w:rFonts w:hint="default" w:ascii="Times New Roman" w:hAnsi="Times New Roman" w:cs="Times New Roman"/>
                <w:bCs/>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μg/kg</w:t>
            </w:r>
          </w:p>
        </w:tc>
        <w:tc>
          <w:tcPr>
            <w:tcW w:w="1265" w:type="pct"/>
            <w:tcBorders>
              <w:tl2br w:val="nil"/>
              <w:tr2bl w:val="nil"/>
            </w:tcBorders>
            <w:vAlign w:val="center"/>
          </w:tcPr>
          <w:p w14:paraId="2714A67B">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&lt;0.9</w:t>
            </w:r>
          </w:p>
        </w:tc>
        <w:tc>
          <w:tcPr>
            <w:tcW w:w="1001" w:type="pct"/>
            <w:tcBorders>
              <w:tl2br w:val="nil"/>
              <w:tr2bl w:val="nil"/>
            </w:tcBorders>
            <w:vAlign w:val="center"/>
          </w:tcPr>
          <w:p w14:paraId="5717A6B7">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54000</w:t>
            </w:r>
          </w:p>
        </w:tc>
      </w:tr>
      <w:tr w14:paraId="786568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1252D9CF">
            <w:pPr>
              <w:widowControl/>
              <w:spacing w:line="360" w:lineRule="exact"/>
              <w:ind w:firstLine="0" w:firstLineChars="0"/>
              <w:jc w:val="center"/>
              <w:textAlignment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二氯甲烷</w:t>
            </w:r>
          </w:p>
        </w:tc>
        <w:tc>
          <w:tcPr>
            <w:tcW w:w="1264" w:type="pct"/>
            <w:tcBorders>
              <w:tl2br w:val="nil"/>
              <w:tr2bl w:val="nil"/>
            </w:tcBorders>
            <w:vAlign w:val="center"/>
          </w:tcPr>
          <w:p w14:paraId="6F74F1F3">
            <w:pPr>
              <w:widowControl/>
              <w:spacing w:line="360" w:lineRule="exact"/>
              <w:ind w:firstLine="0" w:firstLineChars="0"/>
              <w:jc w:val="center"/>
              <w:textAlignment w:val="center"/>
              <w:rPr>
                <w:rFonts w:hint="default" w:ascii="Times New Roman" w:hAnsi="Times New Roman" w:cs="Times New Roman"/>
                <w:bCs/>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μg/kg</w:t>
            </w:r>
          </w:p>
        </w:tc>
        <w:tc>
          <w:tcPr>
            <w:tcW w:w="1265" w:type="pct"/>
            <w:tcBorders>
              <w:tl2br w:val="nil"/>
              <w:tr2bl w:val="nil"/>
            </w:tcBorders>
            <w:vAlign w:val="center"/>
          </w:tcPr>
          <w:p w14:paraId="4C211F66">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&lt;2.6</w:t>
            </w:r>
          </w:p>
        </w:tc>
        <w:tc>
          <w:tcPr>
            <w:tcW w:w="1001" w:type="pct"/>
            <w:tcBorders>
              <w:tl2br w:val="nil"/>
              <w:tr2bl w:val="nil"/>
            </w:tcBorders>
            <w:vAlign w:val="center"/>
          </w:tcPr>
          <w:p w14:paraId="11DB7784">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616000</w:t>
            </w:r>
          </w:p>
        </w:tc>
      </w:tr>
      <w:tr w14:paraId="6FF97F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3C54CA64">
            <w:pPr>
              <w:widowControl/>
              <w:spacing w:line="360" w:lineRule="exact"/>
              <w:ind w:firstLine="0" w:firstLineChars="0"/>
              <w:jc w:val="center"/>
              <w:textAlignment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1,2-二氯丙烷</w:t>
            </w:r>
          </w:p>
        </w:tc>
        <w:tc>
          <w:tcPr>
            <w:tcW w:w="1264" w:type="pct"/>
            <w:tcBorders>
              <w:tl2br w:val="nil"/>
              <w:tr2bl w:val="nil"/>
            </w:tcBorders>
            <w:vAlign w:val="center"/>
          </w:tcPr>
          <w:p w14:paraId="53852078">
            <w:pPr>
              <w:spacing w:line="360" w:lineRule="exact"/>
              <w:ind w:firstLine="0" w:firstLineChars="0"/>
              <w:jc w:val="center"/>
              <w:rPr>
                <w:rFonts w:hint="default" w:ascii="Times New Roman" w:hAnsi="Times New Roman" w:cs="Times New Roman"/>
                <w:bCs/>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μg/kg</w:t>
            </w:r>
          </w:p>
        </w:tc>
        <w:tc>
          <w:tcPr>
            <w:tcW w:w="1265" w:type="pct"/>
            <w:tcBorders>
              <w:tl2br w:val="nil"/>
              <w:tr2bl w:val="nil"/>
            </w:tcBorders>
            <w:vAlign w:val="center"/>
          </w:tcPr>
          <w:p w14:paraId="09CFA940">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&lt;1.9</w:t>
            </w:r>
          </w:p>
        </w:tc>
        <w:tc>
          <w:tcPr>
            <w:tcW w:w="1001" w:type="pct"/>
            <w:tcBorders>
              <w:tl2br w:val="nil"/>
              <w:tr2bl w:val="nil"/>
            </w:tcBorders>
            <w:vAlign w:val="center"/>
          </w:tcPr>
          <w:p w14:paraId="5C4D898C">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5000</w:t>
            </w:r>
          </w:p>
        </w:tc>
      </w:tr>
      <w:tr w14:paraId="2B1D49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6622DFC2">
            <w:pPr>
              <w:widowControl/>
              <w:spacing w:line="360" w:lineRule="exact"/>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1,1,1,2-四氯乙烷</w:t>
            </w:r>
          </w:p>
        </w:tc>
        <w:tc>
          <w:tcPr>
            <w:tcW w:w="1264" w:type="pct"/>
            <w:tcBorders>
              <w:tl2br w:val="nil"/>
              <w:tr2bl w:val="nil"/>
            </w:tcBorders>
            <w:vAlign w:val="center"/>
          </w:tcPr>
          <w:p w14:paraId="7726A44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μg/kg</w:t>
            </w:r>
          </w:p>
        </w:tc>
        <w:tc>
          <w:tcPr>
            <w:tcW w:w="1265" w:type="pct"/>
            <w:tcBorders>
              <w:tl2br w:val="nil"/>
              <w:tr2bl w:val="nil"/>
            </w:tcBorders>
            <w:vAlign w:val="center"/>
          </w:tcPr>
          <w:p w14:paraId="6CB8BC42">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&lt;1.0</w:t>
            </w:r>
          </w:p>
        </w:tc>
        <w:tc>
          <w:tcPr>
            <w:tcW w:w="1001" w:type="pct"/>
            <w:tcBorders>
              <w:tl2br w:val="nil"/>
              <w:tr2bl w:val="nil"/>
            </w:tcBorders>
            <w:vAlign w:val="center"/>
          </w:tcPr>
          <w:p w14:paraId="5C29D827">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10000</w:t>
            </w:r>
          </w:p>
        </w:tc>
      </w:tr>
      <w:tr w14:paraId="1B9D2E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3F77082D">
            <w:pPr>
              <w:widowControl/>
              <w:spacing w:line="360" w:lineRule="exact"/>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1,1,2,2-四氯乙烷</w:t>
            </w:r>
          </w:p>
        </w:tc>
        <w:tc>
          <w:tcPr>
            <w:tcW w:w="1264" w:type="pct"/>
            <w:tcBorders>
              <w:tl2br w:val="nil"/>
              <w:tr2bl w:val="nil"/>
            </w:tcBorders>
            <w:vAlign w:val="center"/>
          </w:tcPr>
          <w:p w14:paraId="7DAB7C20">
            <w:pPr>
              <w:widowControl/>
              <w:spacing w:line="360" w:lineRule="exact"/>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μg/kg</w:t>
            </w:r>
          </w:p>
        </w:tc>
        <w:tc>
          <w:tcPr>
            <w:tcW w:w="1265" w:type="pct"/>
            <w:tcBorders>
              <w:tl2br w:val="nil"/>
              <w:tr2bl w:val="nil"/>
            </w:tcBorders>
            <w:vAlign w:val="center"/>
          </w:tcPr>
          <w:p w14:paraId="0E88F81B">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&lt;1.0</w:t>
            </w:r>
          </w:p>
        </w:tc>
        <w:tc>
          <w:tcPr>
            <w:tcW w:w="1001" w:type="pct"/>
            <w:tcBorders>
              <w:tl2br w:val="nil"/>
              <w:tr2bl w:val="nil"/>
            </w:tcBorders>
            <w:vAlign w:val="center"/>
          </w:tcPr>
          <w:p w14:paraId="41BD59FC">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6800</w:t>
            </w:r>
          </w:p>
        </w:tc>
      </w:tr>
      <w:tr w14:paraId="4FFA89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59800D5A">
            <w:pPr>
              <w:widowControl/>
              <w:spacing w:line="360" w:lineRule="exact"/>
              <w:ind w:firstLine="0" w:firstLineChars="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sz w:val="21"/>
                <w:szCs w:val="21"/>
                <w:highlight w:val="none"/>
              </w:rPr>
              <w:t>四氯乙烯</w:t>
            </w:r>
          </w:p>
        </w:tc>
        <w:tc>
          <w:tcPr>
            <w:tcW w:w="1264" w:type="pct"/>
            <w:tcBorders>
              <w:tl2br w:val="nil"/>
              <w:tr2bl w:val="nil"/>
            </w:tcBorders>
            <w:vAlign w:val="center"/>
          </w:tcPr>
          <w:p w14:paraId="09E52DCA">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μg/kg</w:t>
            </w:r>
          </w:p>
        </w:tc>
        <w:tc>
          <w:tcPr>
            <w:tcW w:w="1265" w:type="pct"/>
            <w:tcBorders>
              <w:tl2br w:val="nil"/>
              <w:tr2bl w:val="nil"/>
            </w:tcBorders>
            <w:vAlign w:val="center"/>
          </w:tcPr>
          <w:p w14:paraId="4C9A0D38">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&lt;0.8</w:t>
            </w:r>
          </w:p>
        </w:tc>
        <w:tc>
          <w:tcPr>
            <w:tcW w:w="1001" w:type="pct"/>
            <w:tcBorders>
              <w:tl2br w:val="nil"/>
              <w:tr2bl w:val="nil"/>
            </w:tcBorders>
            <w:vAlign w:val="center"/>
          </w:tcPr>
          <w:p w14:paraId="3E063567">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53000</w:t>
            </w:r>
          </w:p>
        </w:tc>
      </w:tr>
      <w:tr w14:paraId="2B99ED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1C596EDA">
            <w:pPr>
              <w:widowControl/>
              <w:spacing w:line="360" w:lineRule="exact"/>
              <w:ind w:firstLine="0" w:firstLineChars="0"/>
              <w:jc w:val="center"/>
              <w:textAlignment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1,1,1-三氯乙烷</w:t>
            </w:r>
          </w:p>
        </w:tc>
        <w:tc>
          <w:tcPr>
            <w:tcW w:w="1264" w:type="pct"/>
            <w:tcBorders>
              <w:tl2br w:val="nil"/>
              <w:tr2bl w:val="nil"/>
            </w:tcBorders>
            <w:vAlign w:val="center"/>
          </w:tcPr>
          <w:p w14:paraId="40A32AFA">
            <w:pPr>
              <w:spacing w:line="360" w:lineRule="exact"/>
              <w:ind w:firstLine="0" w:firstLineChars="0"/>
              <w:jc w:val="center"/>
              <w:rPr>
                <w:rFonts w:hint="default" w:ascii="Times New Roman" w:hAnsi="Times New Roman" w:cs="Times New Roman"/>
                <w:bCs/>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μg/kg</w:t>
            </w:r>
          </w:p>
        </w:tc>
        <w:tc>
          <w:tcPr>
            <w:tcW w:w="1265" w:type="pct"/>
            <w:tcBorders>
              <w:tl2br w:val="nil"/>
              <w:tr2bl w:val="nil"/>
            </w:tcBorders>
            <w:vAlign w:val="center"/>
          </w:tcPr>
          <w:p w14:paraId="31F6400E">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&lt;1.1</w:t>
            </w:r>
          </w:p>
        </w:tc>
        <w:tc>
          <w:tcPr>
            <w:tcW w:w="1001" w:type="pct"/>
            <w:tcBorders>
              <w:tl2br w:val="nil"/>
              <w:tr2bl w:val="nil"/>
            </w:tcBorders>
            <w:vAlign w:val="center"/>
          </w:tcPr>
          <w:p w14:paraId="64C814FF">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840000</w:t>
            </w:r>
          </w:p>
        </w:tc>
      </w:tr>
      <w:tr w14:paraId="2299AA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0DD4F806">
            <w:pPr>
              <w:widowControl/>
              <w:spacing w:line="360" w:lineRule="exact"/>
              <w:ind w:firstLine="0" w:firstLineChars="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sz w:val="21"/>
                <w:szCs w:val="21"/>
                <w:highlight w:val="none"/>
              </w:rPr>
              <w:t>1,1,2-三氯乙烷</w:t>
            </w:r>
          </w:p>
        </w:tc>
        <w:tc>
          <w:tcPr>
            <w:tcW w:w="1264" w:type="pct"/>
            <w:tcBorders>
              <w:tl2br w:val="nil"/>
              <w:tr2bl w:val="nil"/>
            </w:tcBorders>
            <w:vAlign w:val="center"/>
          </w:tcPr>
          <w:p w14:paraId="771C5D31">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μg/kg</w:t>
            </w:r>
          </w:p>
        </w:tc>
        <w:tc>
          <w:tcPr>
            <w:tcW w:w="1265" w:type="pct"/>
            <w:tcBorders>
              <w:tl2br w:val="nil"/>
              <w:tr2bl w:val="nil"/>
            </w:tcBorders>
            <w:vAlign w:val="center"/>
          </w:tcPr>
          <w:p w14:paraId="45EFD396">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&lt;1.4</w:t>
            </w:r>
          </w:p>
        </w:tc>
        <w:tc>
          <w:tcPr>
            <w:tcW w:w="1001" w:type="pct"/>
            <w:tcBorders>
              <w:tl2br w:val="nil"/>
              <w:tr2bl w:val="nil"/>
            </w:tcBorders>
            <w:vAlign w:val="center"/>
          </w:tcPr>
          <w:p w14:paraId="1906AB75">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2800</w:t>
            </w:r>
          </w:p>
        </w:tc>
      </w:tr>
      <w:tr w14:paraId="70E4D0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2F917071">
            <w:pPr>
              <w:widowControl/>
              <w:spacing w:line="360" w:lineRule="exact"/>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三氯乙烯</w:t>
            </w:r>
          </w:p>
        </w:tc>
        <w:tc>
          <w:tcPr>
            <w:tcW w:w="1264" w:type="pct"/>
            <w:tcBorders>
              <w:tl2br w:val="nil"/>
              <w:tr2bl w:val="nil"/>
            </w:tcBorders>
            <w:vAlign w:val="center"/>
          </w:tcPr>
          <w:p w14:paraId="6F57D004">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μg/kg</w:t>
            </w:r>
          </w:p>
        </w:tc>
        <w:tc>
          <w:tcPr>
            <w:tcW w:w="1265" w:type="pct"/>
            <w:tcBorders>
              <w:tl2br w:val="nil"/>
              <w:tr2bl w:val="nil"/>
            </w:tcBorders>
            <w:vAlign w:val="center"/>
          </w:tcPr>
          <w:p w14:paraId="5480B040">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&lt;0.9</w:t>
            </w:r>
          </w:p>
        </w:tc>
        <w:tc>
          <w:tcPr>
            <w:tcW w:w="1001" w:type="pct"/>
            <w:tcBorders>
              <w:tl2br w:val="nil"/>
              <w:tr2bl w:val="nil"/>
            </w:tcBorders>
            <w:vAlign w:val="center"/>
          </w:tcPr>
          <w:p w14:paraId="41F15AE4">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2800</w:t>
            </w:r>
          </w:p>
        </w:tc>
      </w:tr>
      <w:tr w14:paraId="4F9D22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54DC7562">
            <w:pPr>
              <w:widowControl/>
              <w:spacing w:line="360" w:lineRule="exact"/>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1,2,3-三氯丙烷</w:t>
            </w:r>
          </w:p>
        </w:tc>
        <w:tc>
          <w:tcPr>
            <w:tcW w:w="1264" w:type="pct"/>
            <w:tcBorders>
              <w:tl2br w:val="nil"/>
              <w:tr2bl w:val="nil"/>
            </w:tcBorders>
            <w:vAlign w:val="center"/>
          </w:tcPr>
          <w:p w14:paraId="70DE476B">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μg/kg</w:t>
            </w:r>
          </w:p>
        </w:tc>
        <w:tc>
          <w:tcPr>
            <w:tcW w:w="1265" w:type="pct"/>
            <w:tcBorders>
              <w:tl2br w:val="nil"/>
              <w:tr2bl w:val="nil"/>
            </w:tcBorders>
            <w:vAlign w:val="center"/>
          </w:tcPr>
          <w:p w14:paraId="071AE9FE">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&lt;1.0</w:t>
            </w:r>
          </w:p>
        </w:tc>
        <w:tc>
          <w:tcPr>
            <w:tcW w:w="1001" w:type="pct"/>
            <w:tcBorders>
              <w:tl2br w:val="nil"/>
              <w:tr2bl w:val="nil"/>
            </w:tcBorders>
            <w:vAlign w:val="center"/>
          </w:tcPr>
          <w:p w14:paraId="715B47BD">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500</w:t>
            </w:r>
          </w:p>
        </w:tc>
      </w:tr>
      <w:tr w14:paraId="476C14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3CC148DD">
            <w:pPr>
              <w:widowControl/>
              <w:spacing w:line="360" w:lineRule="exact"/>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氯乙烯</w:t>
            </w:r>
          </w:p>
        </w:tc>
        <w:tc>
          <w:tcPr>
            <w:tcW w:w="1264" w:type="pct"/>
            <w:tcBorders>
              <w:tl2br w:val="nil"/>
              <w:tr2bl w:val="nil"/>
            </w:tcBorders>
            <w:vAlign w:val="center"/>
          </w:tcPr>
          <w:p w14:paraId="2DBCDB4C">
            <w:pPr>
              <w:widowControl/>
              <w:spacing w:line="360" w:lineRule="exact"/>
              <w:ind w:firstLine="0" w:firstLineChars="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μg/kg</w:t>
            </w:r>
          </w:p>
        </w:tc>
        <w:tc>
          <w:tcPr>
            <w:tcW w:w="1265" w:type="pct"/>
            <w:tcBorders>
              <w:tl2br w:val="nil"/>
              <w:tr2bl w:val="nil"/>
            </w:tcBorders>
            <w:vAlign w:val="center"/>
          </w:tcPr>
          <w:p w14:paraId="4EC18E43">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&lt;1.5</w:t>
            </w:r>
          </w:p>
        </w:tc>
        <w:tc>
          <w:tcPr>
            <w:tcW w:w="1001" w:type="pct"/>
            <w:tcBorders>
              <w:tl2br w:val="nil"/>
              <w:tr2bl w:val="nil"/>
            </w:tcBorders>
            <w:vAlign w:val="center"/>
          </w:tcPr>
          <w:p w14:paraId="5F9BC500">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430</w:t>
            </w:r>
          </w:p>
        </w:tc>
      </w:tr>
      <w:tr w14:paraId="645A15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4D00B8A0">
            <w:pPr>
              <w:widowControl/>
              <w:spacing w:line="360" w:lineRule="exact"/>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苯</w:t>
            </w:r>
          </w:p>
        </w:tc>
        <w:tc>
          <w:tcPr>
            <w:tcW w:w="1264" w:type="pct"/>
            <w:tcBorders>
              <w:tl2br w:val="nil"/>
              <w:tr2bl w:val="nil"/>
            </w:tcBorders>
            <w:vAlign w:val="center"/>
          </w:tcPr>
          <w:p w14:paraId="050F73B1">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μg/kg</w:t>
            </w:r>
          </w:p>
        </w:tc>
        <w:tc>
          <w:tcPr>
            <w:tcW w:w="1265" w:type="pct"/>
            <w:tcBorders>
              <w:tl2br w:val="nil"/>
              <w:tr2bl w:val="nil"/>
            </w:tcBorders>
            <w:vAlign w:val="center"/>
          </w:tcPr>
          <w:p w14:paraId="76A9370F">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&lt;1.6</w:t>
            </w:r>
          </w:p>
        </w:tc>
        <w:tc>
          <w:tcPr>
            <w:tcW w:w="1001" w:type="pct"/>
            <w:tcBorders>
              <w:tl2br w:val="nil"/>
              <w:tr2bl w:val="nil"/>
            </w:tcBorders>
            <w:vAlign w:val="center"/>
          </w:tcPr>
          <w:p w14:paraId="3A7CC24D">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4000</w:t>
            </w:r>
          </w:p>
        </w:tc>
      </w:tr>
      <w:tr w14:paraId="08B29C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34823920">
            <w:pPr>
              <w:widowControl/>
              <w:spacing w:line="360" w:lineRule="exact"/>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氯苯</w:t>
            </w:r>
          </w:p>
        </w:tc>
        <w:tc>
          <w:tcPr>
            <w:tcW w:w="1264" w:type="pct"/>
            <w:tcBorders>
              <w:tl2br w:val="nil"/>
              <w:tr2bl w:val="nil"/>
            </w:tcBorders>
            <w:vAlign w:val="center"/>
          </w:tcPr>
          <w:p w14:paraId="57AC0CB6">
            <w:pPr>
              <w:widowControl/>
              <w:spacing w:line="360" w:lineRule="exact"/>
              <w:ind w:firstLine="0" w:firstLineChars="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μg/kg</w:t>
            </w:r>
          </w:p>
        </w:tc>
        <w:tc>
          <w:tcPr>
            <w:tcW w:w="1265" w:type="pct"/>
            <w:tcBorders>
              <w:tl2br w:val="nil"/>
              <w:tr2bl w:val="nil"/>
            </w:tcBorders>
            <w:vAlign w:val="center"/>
          </w:tcPr>
          <w:p w14:paraId="0C28EF52">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&lt;1.1</w:t>
            </w:r>
          </w:p>
        </w:tc>
        <w:tc>
          <w:tcPr>
            <w:tcW w:w="1001" w:type="pct"/>
            <w:tcBorders>
              <w:tl2br w:val="nil"/>
              <w:tr2bl w:val="nil"/>
            </w:tcBorders>
            <w:vAlign w:val="center"/>
          </w:tcPr>
          <w:p w14:paraId="300C6303">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270000</w:t>
            </w:r>
          </w:p>
        </w:tc>
      </w:tr>
      <w:tr w14:paraId="2E5401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5C9AC4CA">
            <w:pPr>
              <w:widowControl/>
              <w:spacing w:line="360" w:lineRule="exact"/>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1,2-二氯苯</w:t>
            </w:r>
          </w:p>
        </w:tc>
        <w:tc>
          <w:tcPr>
            <w:tcW w:w="1264" w:type="pct"/>
            <w:tcBorders>
              <w:tl2br w:val="nil"/>
              <w:tr2bl w:val="nil"/>
            </w:tcBorders>
            <w:vAlign w:val="center"/>
          </w:tcPr>
          <w:p w14:paraId="12D316D9">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μg/kg</w:t>
            </w:r>
          </w:p>
        </w:tc>
        <w:tc>
          <w:tcPr>
            <w:tcW w:w="1265" w:type="pct"/>
            <w:tcBorders>
              <w:tl2br w:val="nil"/>
              <w:tr2bl w:val="nil"/>
            </w:tcBorders>
            <w:vAlign w:val="center"/>
          </w:tcPr>
          <w:p w14:paraId="404A6B8F">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&lt;1.0</w:t>
            </w:r>
          </w:p>
        </w:tc>
        <w:tc>
          <w:tcPr>
            <w:tcW w:w="1001" w:type="pct"/>
            <w:tcBorders>
              <w:tl2br w:val="nil"/>
              <w:tr2bl w:val="nil"/>
            </w:tcBorders>
            <w:vAlign w:val="center"/>
          </w:tcPr>
          <w:p w14:paraId="17B0E703">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560000</w:t>
            </w:r>
          </w:p>
        </w:tc>
      </w:tr>
      <w:tr w14:paraId="18320F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0F4C68F9">
            <w:pPr>
              <w:widowControl/>
              <w:spacing w:line="360" w:lineRule="exact"/>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1,4-二氯苯</w:t>
            </w:r>
          </w:p>
        </w:tc>
        <w:tc>
          <w:tcPr>
            <w:tcW w:w="1264" w:type="pct"/>
            <w:tcBorders>
              <w:tl2br w:val="nil"/>
              <w:tr2bl w:val="nil"/>
            </w:tcBorders>
            <w:vAlign w:val="center"/>
          </w:tcPr>
          <w:p w14:paraId="2A8BFA31">
            <w:pPr>
              <w:widowControl/>
              <w:spacing w:line="360" w:lineRule="exact"/>
              <w:ind w:firstLine="0" w:firstLineChars="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μg/kg</w:t>
            </w:r>
          </w:p>
        </w:tc>
        <w:tc>
          <w:tcPr>
            <w:tcW w:w="1265" w:type="pct"/>
            <w:tcBorders>
              <w:tl2br w:val="nil"/>
              <w:tr2bl w:val="nil"/>
            </w:tcBorders>
            <w:vAlign w:val="center"/>
          </w:tcPr>
          <w:p w14:paraId="30480435">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&lt;1.2</w:t>
            </w:r>
          </w:p>
        </w:tc>
        <w:tc>
          <w:tcPr>
            <w:tcW w:w="1001" w:type="pct"/>
            <w:tcBorders>
              <w:tl2br w:val="nil"/>
              <w:tr2bl w:val="nil"/>
            </w:tcBorders>
            <w:vAlign w:val="center"/>
          </w:tcPr>
          <w:p w14:paraId="0026F2D7">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20000</w:t>
            </w:r>
          </w:p>
        </w:tc>
      </w:tr>
      <w:tr w14:paraId="0FFB0D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117811D2">
            <w:pPr>
              <w:widowControl/>
              <w:spacing w:line="360" w:lineRule="exact"/>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乙苯</w:t>
            </w:r>
          </w:p>
        </w:tc>
        <w:tc>
          <w:tcPr>
            <w:tcW w:w="1264" w:type="pct"/>
            <w:tcBorders>
              <w:tl2br w:val="nil"/>
              <w:tr2bl w:val="nil"/>
            </w:tcBorders>
            <w:vAlign w:val="center"/>
          </w:tcPr>
          <w:p w14:paraId="0D681004">
            <w:pPr>
              <w:widowControl/>
              <w:spacing w:line="360" w:lineRule="exact"/>
              <w:ind w:firstLine="0" w:firstLineChars="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μg/kg</w:t>
            </w:r>
          </w:p>
        </w:tc>
        <w:tc>
          <w:tcPr>
            <w:tcW w:w="1265" w:type="pct"/>
            <w:tcBorders>
              <w:tl2br w:val="nil"/>
              <w:tr2bl w:val="nil"/>
            </w:tcBorders>
            <w:vAlign w:val="center"/>
          </w:tcPr>
          <w:p w14:paraId="65A06CCD">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&lt;1.2</w:t>
            </w:r>
          </w:p>
        </w:tc>
        <w:tc>
          <w:tcPr>
            <w:tcW w:w="1001" w:type="pct"/>
            <w:tcBorders>
              <w:tl2br w:val="nil"/>
              <w:tr2bl w:val="nil"/>
            </w:tcBorders>
            <w:vAlign w:val="center"/>
          </w:tcPr>
          <w:p w14:paraId="560A1C6A">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28000</w:t>
            </w:r>
          </w:p>
        </w:tc>
      </w:tr>
      <w:tr w14:paraId="065AAA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2B1ACB2E">
            <w:pPr>
              <w:widowControl/>
              <w:spacing w:line="360" w:lineRule="exact"/>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苯乙烯</w:t>
            </w:r>
          </w:p>
        </w:tc>
        <w:tc>
          <w:tcPr>
            <w:tcW w:w="1264" w:type="pct"/>
            <w:tcBorders>
              <w:tl2br w:val="nil"/>
              <w:tr2bl w:val="nil"/>
            </w:tcBorders>
            <w:vAlign w:val="center"/>
          </w:tcPr>
          <w:p w14:paraId="317EE427">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μg/kg</w:t>
            </w:r>
          </w:p>
        </w:tc>
        <w:tc>
          <w:tcPr>
            <w:tcW w:w="1265" w:type="pct"/>
            <w:tcBorders>
              <w:tl2br w:val="nil"/>
              <w:tr2bl w:val="nil"/>
            </w:tcBorders>
            <w:vAlign w:val="center"/>
          </w:tcPr>
          <w:p w14:paraId="6522FFE6">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&lt;1.6</w:t>
            </w:r>
          </w:p>
        </w:tc>
        <w:tc>
          <w:tcPr>
            <w:tcW w:w="1001" w:type="pct"/>
            <w:tcBorders>
              <w:tl2br w:val="nil"/>
              <w:tr2bl w:val="nil"/>
            </w:tcBorders>
            <w:vAlign w:val="center"/>
          </w:tcPr>
          <w:p w14:paraId="068AC3E1">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1290000</w:t>
            </w:r>
          </w:p>
        </w:tc>
      </w:tr>
      <w:tr w14:paraId="4B4E50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002613A3">
            <w:pPr>
              <w:widowControl/>
              <w:spacing w:line="360" w:lineRule="exact"/>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甲苯</w:t>
            </w:r>
          </w:p>
        </w:tc>
        <w:tc>
          <w:tcPr>
            <w:tcW w:w="1264" w:type="pct"/>
            <w:tcBorders>
              <w:tl2br w:val="nil"/>
              <w:tr2bl w:val="nil"/>
            </w:tcBorders>
            <w:vAlign w:val="center"/>
          </w:tcPr>
          <w:p w14:paraId="3BE1C71D">
            <w:pPr>
              <w:widowControl/>
              <w:spacing w:line="360" w:lineRule="exact"/>
              <w:ind w:firstLine="0" w:firstLineChars="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μg/kg</w:t>
            </w:r>
          </w:p>
        </w:tc>
        <w:tc>
          <w:tcPr>
            <w:tcW w:w="1265" w:type="pct"/>
            <w:tcBorders>
              <w:tl2br w:val="nil"/>
              <w:tr2bl w:val="nil"/>
            </w:tcBorders>
            <w:vAlign w:val="center"/>
          </w:tcPr>
          <w:p w14:paraId="73AD4057">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&lt;2.0</w:t>
            </w:r>
          </w:p>
        </w:tc>
        <w:tc>
          <w:tcPr>
            <w:tcW w:w="1001" w:type="pct"/>
            <w:tcBorders>
              <w:tl2br w:val="nil"/>
              <w:tr2bl w:val="nil"/>
            </w:tcBorders>
            <w:vAlign w:val="center"/>
          </w:tcPr>
          <w:p w14:paraId="0D60353F">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1200000</w:t>
            </w:r>
          </w:p>
        </w:tc>
      </w:tr>
      <w:tr w14:paraId="0D22BE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0AB182DA">
            <w:pPr>
              <w:widowControl/>
              <w:spacing w:line="360" w:lineRule="exact"/>
              <w:ind w:firstLine="0" w:firstLineChars="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间,对二甲苯</w:t>
            </w:r>
          </w:p>
        </w:tc>
        <w:tc>
          <w:tcPr>
            <w:tcW w:w="1264" w:type="pct"/>
            <w:tcBorders>
              <w:tl2br w:val="nil"/>
              <w:tr2bl w:val="nil"/>
            </w:tcBorders>
            <w:vAlign w:val="center"/>
          </w:tcPr>
          <w:p w14:paraId="63CEC32D">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μg/kg</w:t>
            </w:r>
          </w:p>
        </w:tc>
        <w:tc>
          <w:tcPr>
            <w:tcW w:w="1265" w:type="pct"/>
            <w:tcBorders>
              <w:tl2br w:val="nil"/>
              <w:tr2bl w:val="nil"/>
            </w:tcBorders>
            <w:vAlign w:val="center"/>
          </w:tcPr>
          <w:p w14:paraId="0D1A0859">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&lt;3.6</w:t>
            </w:r>
          </w:p>
        </w:tc>
        <w:tc>
          <w:tcPr>
            <w:tcW w:w="1001" w:type="pct"/>
            <w:tcBorders>
              <w:tl2br w:val="nil"/>
              <w:tr2bl w:val="nil"/>
            </w:tcBorders>
            <w:vAlign w:val="center"/>
          </w:tcPr>
          <w:p w14:paraId="45EE5578">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570000</w:t>
            </w:r>
          </w:p>
        </w:tc>
      </w:tr>
      <w:tr w14:paraId="44526C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24496618">
            <w:pPr>
              <w:widowControl/>
              <w:spacing w:line="360" w:lineRule="exact"/>
              <w:ind w:firstLine="0" w:firstLineChars="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邻二甲苯</w:t>
            </w:r>
          </w:p>
        </w:tc>
        <w:tc>
          <w:tcPr>
            <w:tcW w:w="1264" w:type="pct"/>
            <w:tcBorders>
              <w:tl2br w:val="nil"/>
              <w:tr2bl w:val="nil"/>
            </w:tcBorders>
            <w:vAlign w:val="center"/>
          </w:tcPr>
          <w:p w14:paraId="525EA89B">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μg/kg</w:t>
            </w:r>
          </w:p>
        </w:tc>
        <w:tc>
          <w:tcPr>
            <w:tcW w:w="1265" w:type="pct"/>
            <w:tcBorders>
              <w:tl2br w:val="nil"/>
              <w:tr2bl w:val="nil"/>
            </w:tcBorders>
            <w:vAlign w:val="center"/>
          </w:tcPr>
          <w:p w14:paraId="1897B874">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&lt;1.3</w:t>
            </w:r>
          </w:p>
        </w:tc>
        <w:tc>
          <w:tcPr>
            <w:tcW w:w="1001" w:type="pct"/>
            <w:tcBorders>
              <w:tl2br w:val="nil"/>
              <w:tr2bl w:val="nil"/>
            </w:tcBorders>
            <w:vAlign w:val="center"/>
          </w:tcPr>
          <w:p w14:paraId="335C2692">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640000</w:t>
            </w:r>
          </w:p>
        </w:tc>
      </w:tr>
      <w:tr w14:paraId="65CD8A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107FB69F">
            <w:pPr>
              <w:widowControl/>
              <w:spacing w:line="360" w:lineRule="exact"/>
              <w:ind w:firstLine="0" w:firstLineChars="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sz w:val="21"/>
                <w:szCs w:val="21"/>
                <w:highlight w:val="none"/>
              </w:rPr>
              <w:t>硝基苯</w:t>
            </w:r>
          </w:p>
        </w:tc>
        <w:tc>
          <w:tcPr>
            <w:tcW w:w="1264" w:type="pct"/>
            <w:tcBorders>
              <w:tl2br w:val="nil"/>
              <w:tr2bl w:val="nil"/>
            </w:tcBorders>
            <w:vAlign w:val="center"/>
          </w:tcPr>
          <w:p w14:paraId="1B5E08B8">
            <w:pPr>
              <w:widowControl/>
              <w:spacing w:line="360" w:lineRule="exact"/>
              <w:ind w:firstLine="0" w:firstLineChars="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sz w:val="21"/>
                <w:szCs w:val="21"/>
                <w:highlight w:val="none"/>
              </w:rPr>
              <w:t>mg/kg</w:t>
            </w:r>
          </w:p>
        </w:tc>
        <w:tc>
          <w:tcPr>
            <w:tcW w:w="1265" w:type="pct"/>
            <w:tcBorders>
              <w:tl2br w:val="nil"/>
              <w:tr2bl w:val="nil"/>
            </w:tcBorders>
            <w:vAlign w:val="center"/>
          </w:tcPr>
          <w:p w14:paraId="29080D77">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&lt;0.09</w:t>
            </w:r>
          </w:p>
        </w:tc>
        <w:tc>
          <w:tcPr>
            <w:tcW w:w="1001" w:type="pct"/>
            <w:tcBorders>
              <w:tl2br w:val="nil"/>
              <w:tr2bl w:val="nil"/>
            </w:tcBorders>
            <w:vAlign w:val="center"/>
          </w:tcPr>
          <w:p w14:paraId="08A2C569">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76</w:t>
            </w:r>
          </w:p>
        </w:tc>
      </w:tr>
      <w:tr w14:paraId="665D10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0B0EF7C5">
            <w:pPr>
              <w:widowControl/>
              <w:spacing w:line="360" w:lineRule="exact"/>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苯胺</w:t>
            </w:r>
          </w:p>
        </w:tc>
        <w:tc>
          <w:tcPr>
            <w:tcW w:w="1264" w:type="pct"/>
            <w:tcBorders>
              <w:tl2br w:val="nil"/>
              <w:tr2bl w:val="nil"/>
            </w:tcBorders>
            <w:vAlign w:val="center"/>
          </w:tcPr>
          <w:p w14:paraId="629AAE4B">
            <w:pPr>
              <w:widowControl/>
              <w:spacing w:line="360" w:lineRule="exact"/>
              <w:ind w:firstLine="0" w:firstLineChars="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sz w:val="21"/>
                <w:szCs w:val="21"/>
                <w:highlight w:val="none"/>
              </w:rPr>
              <w:t>mg/kg</w:t>
            </w:r>
          </w:p>
        </w:tc>
        <w:tc>
          <w:tcPr>
            <w:tcW w:w="1265" w:type="pct"/>
            <w:tcBorders>
              <w:tl2br w:val="nil"/>
              <w:tr2bl w:val="nil"/>
            </w:tcBorders>
            <w:vAlign w:val="center"/>
          </w:tcPr>
          <w:p w14:paraId="7DE9C5F3">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&lt;0.08</w:t>
            </w:r>
          </w:p>
        </w:tc>
        <w:tc>
          <w:tcPr>
            <w:tcW w:w="1001" w:type="pct"/>
            <w:tcBorders>
              <w:tl2br w:val="nil"/>
              <w:tr2bl w:val="nil"/>
            </w:tcBorders>
            <w:vAlign w:val="center"/>
          </w:tcPr>
          <w:p w14:paraId="23B5900F">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260</w:t>
            </w:r>
          </w:p>
        </w:tc>
      </w:tr>
      <w:tr w14:paraId="06604B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75DF2277">
            <w:pPr>
              <w:widowControl/>
              <w:spacing w:line="360" w:lineRule="exact"/>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2-氯酚</w:t>
            </w:r>
          </w:p>
        </w:tc>
        <w:tc>
          <w:tcPr>
            <w:tcW w:w="1264" w:type="pct"/>
            <w:tcBorders>
              <w:tl2br w:val="nil"/>
              <w:tr2bl w:val="nil"/>
            </w:tcBorders>
            <w:vAlign w:val="center"/>
          </w:tcPr>
          <w:p w14:paraId="20274CE1">
            <w:pPr>
              <w:widowControl/>
              <w:spacing w:line="360" w:lineRule="exact"/>
              <w:ind w:firstLine="0" w:firstLineChars="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mg/kg</w:t>
            </w:r>
          </w:p>
        </w:tc>
        <w:tc>
          <w:tcPr>
            <w:tcW w:w="1265" w:type="pct"/>
            <w:tcBorders>
              <w:tl2br w:val="nil"/>
              <w:tr2bl w:val="nil"/>
            </w:tcBorders>
            <w:vAlign w:val="center"/>
          </w:tcPr>
          <w:p w14:paraId="30A8DB89">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&lt;0.06</w:t>
            </w:r>
          </w:p>
        </w:tc>
        <w:tc>
          <w:tcPr>
            <w:tcW w:w="1001" w:type="pct"/>
            <w:tcBorders>
              <w:tl2br w:val="nil"/>
              <w:tr2bl w:val="nil"/>
            </w:tcBorders>
            <w:vAlign w:val="center"/>
          </w:tcPr>
          <w:p w14:paraId="068D74AA">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2256</w:t>
            </w:r>
          </w:p>
        </w:tc>
      </w:tr>
      <w:tr w14:paraId="75FE32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46C554DA">
            <w:pPr>
              <w:widowControl/>
              <w:spacing w:line="360" w:lineRule="exact"/>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苯并[a]蒽</w:t>
            </w:r>
          </w:p>
        </w:tc>
        <w:tc>
          <w:tcPr>
            <w:tcW w:w="1264" w:type="pct"/>
            <w:tcBorders>
              <w:tl2br w:val="nil"/>
              <w:tr2bl w:val="nil"/>
            </w:tcBorders>
            <w:vAlign w:val="center"/>
          </w:tcPr>
          <w:p w14:paraId="6BB1BF64">
            <w:pPr>
              <w:widowControl/>
              <w:spacing w:line="360" w:lineRule="exact"/>
              <w:ind w:firstLine="0" w:firstLineChars="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mg/kg</w:t>
            </w:r>
          </w:p>
        </w:tc>
        <w:tc>
          <w:tcPr>
            <w:tcW w:w="1265" w:type="pct"/>
            <w:tcBorders>
              <w:tl2br w:val="nil"/>
              <w:tr2bl w:val="nil"/>
            </w:tcBorders>
            <w:vAlign w:val="center"/>
          </w:tcPr>
          <w:p w14:paraId="1C360E49">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&lt;0.1</w:t>
            </w:r>
          </w:p>
        </w:tc>
        <w:tc>
          <w:tcPr>
            <w:tcW w:w="1001" w:type="pct"/>
            <w:tcBorders>
              <w:tl2br w:val="nil"/>
              <w:tr2bl w:val="nil"/>
            </w:tcBorders>
            <w:vAlign w:val="center"/>
          </w:tcPr>
          <w:p w14:paraId="0930E75D">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r>
      <w:tr w14:paraId="24721F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40D1AAC0">
            <w:pPr>
              <w:widowControl/>
              <w:spacing w:line="360" w:lineRule="exact"/>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苯并[a]芘</w:t>
            </w:r>
          </w:p>
        </w:tc>
        <w:tc>
          <w:tcPr>
            <w:tcW w:w="1264" w:type="pct"/>
            <w:tcBorders>
              <w:tl2br w:val="nil"/>
              <w:tr2bl w:val="nil"/>
            </w:tcBorders>
            <w:vAlign w:val="center"/>
          </w:tcPr>
          <w:p w14:paraId="16229191">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mg/kg</w:t>
            </w:r>
          </w:p>
        </w:tc>
        <w:tc>
          <w:tcPr>
            <w:tcW w:w="1265" w:type="pct"/>
            <w:tcBorders>
              <w:tl2br w:val="nil"/>
              <w:tr2bl w:val="nil"/>
            </w:tcBorders>
            <w:vAlign w:val="center"/>
          </w:tcPr>
          <w:p w14:paraId="1E3C6B01">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&lt;0.1</w:t>
            </w:r>
          </w:p>
        </w:tc>
        <w:tc>
          <w:tcPr>
            <w:tcW w:w="1001" w:type="pct"/>
            <w:tcBorders>
              <w:tl2br w:val="nil"/>
              <w:tr2bl w:val="nil"/>
            </w:tcBorders>
            <w:vAlign w:val="center"/>
          </w:tcPr>
          <w:p w14:paraId="53C22DDF">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r>
      <w:tr w14:paraId="3F42EF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3A7E9390">
            <w:pPr>
              <w:widowControl/>
              <w:spacing w:line="360" w:lineRule="exact"/>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苯并[b]荧蒽</w:t>
            </w:r>
          </w:p>
        </w:tc>
        <w:tc>
          <w:tcPr>
            <w:tcW w:w="1264" w:type="pct"/>
            <w:tcBorders>
              <w:tl2br w:val="nil"/>
              <w:tr2bl w:val="nil"/>
            </w:tcBorders>
            <w:vAlign w:val="center"/>
          </w:tcPr>
          <w:p w14:paraId="7FD7202B">
            <w:pPr>
              <w:widowControl/>
              <w:spacing w:line="360" w:lineRule="exact"/>
              <w:ind w:firstLine="0" w:firstLineChars="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mg/kg</w:t>
            </w:r>
          </w:p>
        </w:tc>
        <w:tc>
          <w:tcPr>
            <w:tcW w:w="1265" w:type="pct"/>
            <w:tcBorders>
              <w:tl2br w:val="nil"/>
              <w:tr2bl w:val="nil"/>
            </w:tcBorders>
            <w:vAlign w:val="center"/>
          </w:tcPr>
          <w:p w14:paraId="21840712">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&lt;0.2</w:t>
            </w:r>
          </w:p>
        </w:tc>
        <w:tc>
          <w:tcPr>
            <w:tcW w:w="1001" w:type="pct"/>
            <w:tcBorders>
              <w:tl2br w:val="nil"/>
              <w:tr2bl w:val="nil"/>
            </w:tcBorders>
            <w:vAlign w:val="center"/>
          </w:tcPr>
          <w:p w14:paraId="219FD26F">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r>
      <w:tr w14:paraId="0097DD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28C02EF5">
            <w:pPr>
              <w:widowControl/>
              <w:spacing w:line="360" w:lineRule="exact"/>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苯并[k]荧蒽</w:t>
            </w:r>
          </w:p>
        </w:tc>
        <w:tc>
          <w:tcPr>
            <w:tcW w:w="1264" w:type="pct"/>
            <w:tcBorders>
              <w:tl2br w:val="nil"/>
              <w:tr2bl w:val="nil"/>
            </w:tcBorders>
            <w:vAlign w:val="center"/>
          </w:tcPr>
          <w:p w14:paraId="034B4A4A">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mg/kg</w:t>
            </w:r>
          </w:p>
        </w:tc>
        <w:tc>
          <w:tcPr>
            <w:tcW w:w="1265" w:type="pct"/>
            <w:tcBorders>
              <w:tl2br w:val="nil"/>
              <w:tr2bl w:val="nil"/>
            </w:tcBorders>
            <w:vAlign w:val="center"/>
          </w:tcPr>
          <w:p w14:paraId="692B27A4">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&lt;0.1</w:t>
            </w:r>
          </w:p>
        </w:tc>
        <w:tc>
          <w:tcPr>
            <w:tcW w:w="1001" w:type="pct"/>
            <w:tcBorders>
              <w:tl2br w:val="nil"/>
              <w:tr2bl w:val="nil"/>
            </w:tcBorders>
            <w:vAlign w:val="center"/>
          </w:tcPr>
          <w:p w14:paraId="64D98562">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151</w:t>
            </w:r>
          </w:p>
        </w:tc>
      </w:tr>
      <w:tr w14:paraId="20FF34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5ABD9256">
            <w:pPr>
              <w:widowControl/>
              <w:spacing w:line="360" w:lineRule="exact"/>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䓛</w:t>
            </w:r>
          </w:p>
        </w:tc>
        <w:tc>
          <w:tcPr>
            <w:tcW w:w="1264" w:type="pct"/>
            <w:tcBorders>
              <w:tl2br w:val="nil"/>
              <w:tr2bl w:val="nil"/>
            </w:tcBorders>
            <w:vAlign w:val="center"/>
          </w:tcPr>
          <w:p w14:paraId="65E29F90">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mg/kg</w:t>
            </w:r>
          </w:p>
        </w:tc>
        <w:tc>
          <w:tcPr>
            <w:tcW w:w="1265" w:type="pct"/>
            <w:tcBorders>
              <w:tl2br w:val="nil"/>
              <w:tr2bl w:val="nil"/>
            </w:tcBorders>
            <w:vAlign w:val="center"/>
          </w:tcPr>
          <w:p w14:paraId="6BE8F5DB">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&lt;0.1</w:t>
            </w:r>
          </w:p>
        </w:tc>
        <w:tc>
          <w:tcPr>
            <w:tcW w:w="1001" w:type="pct"/>
            <w:tcBorders>
              <w:tl2br w:val="nil"/>
              <w:tr2bl w:val="nil"/>
            </w:tcBorders>
            <w:vAlign w:val="center"/>
          </w:tcPr>
          <w:p w14:paraId="5321BAF1">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1293</w:t>
            </w:r>
          </w:p>
        </w:tc>
      </w:tr>
      <w:tr w14:paraId="22631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0E277587">
            <w:pPr>
              <w:widowControl/>
              <w:spacing w:line="360" w:lineRule="exact"/>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二苯并</w:t>
            </w:r>
            <w:r>
              <w:rPr>
                <w:rFonts w:hint="default" w:ascii="Times New Roman" w:hAnsi="Times New Roman" w:cs="Times New Roman"/>
                <w:color w:val="auto"/>
                <w:sz w:val="21"/>
                <w:szCs w:val="21"/>
                <w:highlight w:val="none"/>
              </w:rPr>
              <w:t>[a，h]蒽</w:t>
            </w:r>
          </w:p>
        </w:tc>
        <w:tc>
          <w:tcPr>
            <w:tcW w:w="1264" w:type="pct"/>
            <w:tcBorders>
              <w:tl2br w:val="nil"/>
              <w:tr2bl w:val="nil"/>
            </w:tcBorders>
            <w:vAlign w:val="center"/>
          </w:tcPr>
          <w:p w14:paraId="092C9648">
            <w:pPr>
              <w:widowControl/>
              <w:spacing w:line="360" w:lineRule="exact"/>
              <w:ind w:firstLine="0" w:firstLineChars="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mg/kg</w:t>
            </w:r>
          </w:p>
        </w:tc>
        <w:tc>
          <w:tcPr>
            <w:tcW w:w="1265" w:type="pct"/>
            <w:tcBorders>
              <w:tl2br w:val="nil"/>
              <w:tr2bl w:val="nil"/>
            </w:tcBorders>
            <w:vAlign w:val="center"/>
          </w:tcPr>
          <w:p w14:paraId="404291DF">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&lt;0.1</w:t>
            </w:r>
          </w:p>
        </w:tc>
        <w:tc>
          <w:tcPr>
            <w:tcW w:w="1001" w:type="pct"/>
            <w:tcBorders>
              <w:tl2br w:val="nil"/>
              <w:tr2bl w:val="nil"/>
            </w:tcBorders>
            <w:vAlign w:val="center"/>
          </w:tcPr>
          <w:p w14:paraId="7AEBCC84">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r>
      <w:tr w14:paraId="1E502F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4E05CACE">
            <w:pPr>
              <w:widowControl/>
              <w:spacing w:line="360" w:lineRule="exact"/>
              <w:ind w:firstLine="0" w:firstLineChars="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茚并[1、2、3-cd]芘</w:t>
            </w:r>
          </w:p>
        </w:tc>
        <w:tc>
          <w:tcPr>
            <w:tcW w:w="1264" w:type="pct"/>
            <w:tcBorders>
              <w:tl2br w:val="nil"/>
              <w:tr2bl w:val="nil"/>
            </w:tcBorders>
            <w:vAlign w:val="center"/>
          </w:tcPr>
          <w:p w14:paraId="08B48BD4">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mg/kg</w:t>
            </w:r>
          </w:p>
        </w:tc>
        <w:tc>
          <w:tcPr>
            <w:tcW w:w="1265" w:type="pct"/>
            <w:tcBorders>
              <w:tl2br w:val="nil"/>
              <w:tr2bl w:val="nil"/>
            </w:tcBorders>
            <w:vAlign w:val="center"/>
          </w:tcPr>
          <w:p w14:paraId="0F3D71B0">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&lt;0.1</w:t>
            </w:r>
          </w:p>
        </w:tc>
        <w:tc>
          <w:tcPr>
            <w:tcW w:w="1001" w:type="pct"/>
            <w:tcBorders>
              <w:tl2br w:val="nil"/>
              <w:tr2bl w:val="nil"/>
            </w:tcBorders>
            <w:vAlign w:val="center"/>
          </w:tcPr>
          <w:p w14:paraId="302AF380">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r>
      <w:tr w14:paraId="70BDAF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777C18A8">
            <w:pPr>
              <w:widowControl/>
              <w:spacing w:line="360" w:lineRule="exact"/>
              <w:ind w:firstLine="0" w:firstLineChars="0"/>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萘</w:t>
            </w:r>
          </w:p>
        </w:tc>
        <w:tc>
          <w:tcPr>
            <w:tcW w:w="1264" w:type="pct"/>
            <w:tcBorders>
              <w:tl2br w:val="nil"/>
              <w:tr2bl w:val="nil"/>
            </w:tcBorders>
            <w:vAlign w:val="center"/>
          </w:tcPr>
          <w:p w14:paraId="4650A14E">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mg/kg</w:t>
            </w:r>
          </w:p>
        </w:tc>
        <w:tc>
          <w:tcPr>
            <w:tcW w:w="1265" w:type="pct"/>
            <w:tcBorders>
              <w:tl2br w:val="nil"/>
              <w:tr2bl w:val="nil"/>
            </w:tcBorders>
            <w:vAlign w:val="center"/>
          </w:tcPr>
          <w:p w14:paraId="34768429">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&lt;0.09</w:t>
            </w:r>
          </w:p>
        </w:tc>
        <w:tc>
          <w:tcPr>
            <w:tcW w:w="1001" w:type="pct"/>
            <w:tcBorders>
              <w:tl2br w:val="nil"/>
              <w:tr2bl w:val="nil"/>
            </w:tcBorders>
            <w:vAlign w:val="center"/>
          </w:tcPr>
          <w:p w14:paraId="0703FF1D">
            <w:pPr>
              <w:spacing w:line="360" w:lineRule="atLeas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70</w:t>
            </w:r>
          </w:p>
        </w:tc>
      </w:tr>
      <w:tr w14:paraId="1C15D3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468" w:type="pct"/>
            <w:tcBorders>
              <w:tl2br w:val="nil"/>
              <w:tr2bl w:val="nil"/>
            </w:tcBorders>
            <w:vAlign w:val="center"/>
          </w:tcPr>
          <w:p w14:paraId="29A9D483">
            <w:pPr>
              <w:widowControl/>
              <w:spacing w:line="360" w:lineRule="exact"/>
              <w:ind w:firstLine="0" w:firstLineChars="0"/>
              <w:jc w:val="center"/>
              <w:textAlignment w:val="center"/>
              <w:rPr>
                <w:rFonts w:hint="default" w:ascii="Times New Roman" w:hAnsi="Times New Roman" w:cs="Times New Roman"/>
                <w:color w:val="auto"/>
                <w:kern w:val="0"/>
                <w:sz w:val="21"/>
                <w:szCs w:val="21"/>
                <w:highlight w:val="none"/>
                <w:lang w:eastAsia="zh-CN" w:bidi="ar"/>
              </w:rPr>
            </w:pPr>
            <w:r>
              <w:rPr>
                <w:rFonts w:hint="default" w:ascii="Times New Roman" w:hAnsi="Times New Roman" w:cs="Times New Roman"/>
                <w:color w:val="auto"/>
                <w:kern w:val="0"/>
                <w:sz w:val="21"/>
                <w:szCs w:val="21"/>
                <w:highlight w:val="none"/>
                <w:lang w:eastAsia="zh-CN" w:bidi="ar"/>
              </w:rPr>
              <w:t>含盐量</w:t>
            </w:r>
          </w:p>
        </w:tc>
        <w:tc>
          <w:tcPr>
            <w:tcW w:w="1264" w:type="pct"/>
            <w:tcBorders>
              <w:tl2br w:val="nil"/>
              <w:tr2bl w:val="nil"/>
            </w:tcBorders>
            <w:vAlign w:val="center"/>
          </w:tcPr>
          <w:p w14:paraId="2B56107C">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g/kg</w:t>
            </w:r>
          </w:p>
        </w:tc>
        <w:tc>
          <w:tcPr>
            <w:tcW w:w="1265" w:type="pct"/>
            <w:tcBorders>
              <w:tl2br w:val="nil"/>
              <w:tr2bl w:val="nil"/>
            </w:tcBorders>
            <w:vAlign w:val="center"/>
          </w:tcPr>
          <w:p w14:paraId="6C66AE39">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17.0</w:t>
            </w:r>
          </w:p>
        </w:tc>
        <w:tc>
          <w:tcPr>
            <w:tcW w:w="1001" w:type="pct"/>
            <w:tcBorders>
              <w:tl2br w:val="nil"/>
              <w:tr2bl w:val="nil"/>
            </w:tcBorders>
            <w:vAlign w:val="center"/>
          </w:tcPr>
          <w:p w14:paraId="7082B430">
            <w:pPr>
              <w:spacing w:line="360" w:lineRule="atLeast"/>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p>
        </w:tc>
      </w:tr>
    </w:tbl>
    <w:p w14:paraId="3B428EE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由表可知，各土壤监测点各项因子均满足《土壤环境质量 建设用地土壤污染风险管控标准（试行）》（GB36600-2018）第二类用地筛选值。</w:t>
      </w:r>
    </w:p>
    <w:p w14:paraId="0C0DE381">
      <w:pPr>
        <w:pStyle w:val="4"/>
        <w:rPr>
          <w:rFonts w:hint="default" w:ascii="Times New Roman" w:hAnsi="Times New Roman" w:cs="Times New Roman"/>
          <w:color w:val="auto"/>
          <w:highlight w:val="none"/>
        </w:rPr>
      </w:pPr>
      <w:bookmarkStart w:id="647" w:name="_Toc30667"/>
      <w:bookmarkStart w:id="648" w:name="_Toc11704"/>
      <w:bookmarkStart w:id="649" w:name="_Toc5061"/>
      <w:bookmarkStart w:id="650" w:name="_Toc27212"/>
      <w:bookmarkStart w:id="651" w:name="_Toc20874"/>
      <w:bookmarkStart w:id="652" w:name="_Toc19053"/>
      <w:bookmarkStart w:id="653" w:name="_Toc22777"/>
      <w:bookmarkStart w:id="654" w:name="_Toc17009"/>
      <w:bookmarkStart w:id="655" w:name="_Toc20867"/>
      <w:bookmarkStart w:id="656" w:name="_Toc472"/>
      <w:bookmarkStart w:id="657" w:name="_Toc29098"/>
      <w:r>
        <w:rPr>
          <w:rFonts w:hint="default" w:ascii="Times New Roman" w:hAnsi="Times New Roman" w:cs="Times New Roman"/>
          <w:color w:val="auto"/>
          <w:highlight w:val="none"/>
        </w:rPr>
        <w:t>4.2.6区域生态环境现状调查与评价</w:t>
      </w:r>
      <w:bookmarkEnd w:id="647"/>
      <w:bookmarkEnd w:id="648"/>
      <w:bookmarkEnd w:id="649"/>
      <w:bookmarkEnd w:id="650"/>
      <w:bookmarkEnd w:id="651"/>
      <w:bookmarkEnd w:id="652"/>
      <w:bookmarkEnd w:id="653"/>
      <w:bookmarkEnd w:id="654"/>
      <w:bookmarkEnd w:id="655"/>
      <w:bookmarkEnd w:id="656"/>
      <w:bookmarkEnd w:id="657"/>
    </w:p>
    <w:p w14:paraId="22CFDE48">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4.2.6.1生态功能区划</w:t>
      </w:r>
    </w:p>
    <w:p w14:paraId="00D46E79">
      <w:pPr>
        <w:overflowPunct w:val="0"/>
        <w:topLinePunct/>
        <w:ind w:firstLine="48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根据《新疆生态功能区划》，本项目位于Ⅲ天山山地温性草原、森林生态区——Ⅲ</w:t>
      </w:r>
      <w:r>
        <w:rPr>
          <w:rFonts w:hint="default" w:ascii="Times New Roman" w:hAnsi="Times New Roman" w:cs="Times New Roman"/>
          <w:color w:val="auto"/>
          <w:sz w:val="24"/>
          <w:szCs w:val="24"/>
          <w:highlight w:val="none"/>
          <w:vertAlign w:val="subscript"/>
        </w:rPr>
        <w:t>4</w:t>
      </w:r>
      <w:r>
        <w:rPr>
          <w:rFonts w:hint="default" w:ascii="Times New Roman" w:hAnsi="Times New Roman" w:cs="Times New Roman"/>
          <w:color w:val="auto"/>
          <w:sz w:val="24"/>
          <w:szCs w:val="24"/>
          <w:highlight w:val="none"/>
        </w:rPr>
        <w:t>天山南坡吐鲁番—哈密盆地戈壁荒漠、绿洲农业生态亚区——53.嘎顺—南湖戈壁荒漠风蚀敏感生态功能区。该生态功能区的主要生态服务功能、生态敏感因子、主要生态环境问题和主要保护目标见表4.2-1</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w:t>
      </w:r>
    </w:p>
    <w:p w14:paraId="211E8560">
      <w:pPr>
        <w:spacing w:line="480" w:lineRule="exact"/>
        <w:jc w:val="center"/>
        <w:rPr>
          <w:rFonts w:hint="default" w:ascii="Times New Roman" w:hAnsi="Times New Roman" w:cs="Times New Roman"/>
          <w:b/>
          <w:color w:val="auto"/>
          <w:kern w:val="0"/>
          <w:sz w:val="24"/>
          <w:szCs w:val="24"/>
          <w:highlight w:val="none"/>
          <w:lang w:val="zh-CN" w:bidi="ar"/>
        </w:rPr>
      </w:pPr>
      <w:r>
        <w:rPr>
          <w:rFonts w:hint="default" w:ascii="Times New Roman" w:hAnsi="Times New Roman" w:cs="Times New Roman"/>
          <w:b/>
          <w:color w:val="auto"/>
          <w:kern w:val="0"/>
          <w:sz w:val="24"/>
          <w:szCs w:val="24"/>
          <w:highlight w:val="none"/>
          <w:lang w:val="zh-CN" w:bidi="ar"/>
        </w:rPr>
        <w:t>表</w:t>
      </w:r>
      <w:r>
        <w:rPr>
          <w:rFonts w:hint="default" w:ascii="Times New Roman" w:hAnsi="Times New Roman" w:cs="Times New Roman"/>
          <w:b/>
          <w:color w:val="auto"/>
          <w:kern w:val="0"/>
          <w:sz w:val="24"/>
          <w:szCs w:val="24"/>
          <w:highlight w:val="none"/>
          <w:lang w:bidi="ar"/>
        </w:rPr>
        <w:t>4.2-1</w:t>
      </w:r>
      <w:r>
        <w:rPr>
          <w:rFonts w:hint="default" w:ascii="Times New Roman" w:hAnsi="Times New Roman" w:cs="Times New Roman"/>
          <w:b/>
          <w:color w:val="auto"/>
          <w:kern w:val="0"/>
          <w:sz w:val="24"/>
          <w:szCs w:val="24"/>
          <w:highlight w:val="none"/>
          <w:lang w:val="en-US" w:eastAsia="zh-CN" w:bidi="ar"/>
        </w:rPr>
        <w:t>1</w:t>
      </w:r>
      <w:r>
        <w:rPr>
          <w:rFonts w:hint="default" w:ascii="Times New Roman" w:hAnsi="Times New Roman" w:cs="Times New Roman"/>
          <w:b/>
          <w:color w:val="auto"/>
          <w:kern w:val="0"/>
          <w:sz w:val="24"/>
          <w:szCs w:val="24"/>
          <w:highlight w:val="none"/>
          <w:lang w:bidi="ar"/>
        </w:rPr>
        <w:t xml:space="preserve">   </w:t>
      </w:r>
      <w:r>
        <w:rPr>
          <w:rFonts w:hint="default" w:ascii="Times New Roman" w:hAnsi="Times New Roman" w:cs="Times New Roman"/>
          <w:b/>
          <w:color w:val="auto"/>
          <w:kern w:val="0"/>
          <w:sz w:val="24"/>
          <w:szCs w:val="24"/>
          <w:highlight w:val="none"/>
          <w:lang w:val="zh-CN" w:bidi="ar"/>
        </w:rPr>
        <w:t xml:space="preserve"> 项目所在区域生态功能区划</w:t>
      </w:r>
    </w:p>
    <w:tbl>
      <w:tblPr>
        <w:tblStyle w:val="33"/>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47"/>
        <w:gridCol w:w="1876"/>
        <w:gridCol w:w="6065"/>
      </w:tblGrid>
      <w:tr w14:paraId="6FBFA3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70" w:type="dxa"/>
            <w:vMerge w:val="restart"/>
            <w:noWrap w:val="0"/>
            <w:vAlign w:val="center"/>
          </w:tcPr>
          <w:p w14:paraId="2ED409D3">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auto"/>
                <w:kern w:val="0"/>
                <w:sz w:val="21"/>
                <w:szCs w:val="22"/>
                <w:highlight w:val="none"/>
                <w:lang w:bidi="ar"/>
              </w:rPr>
            </w:pPr>
            <w:r>
              <w:rPr>
                <w:rFonts w:hint="default" w:ascii="Times New Roman" w:hAnsi="Times New Roman" w:eastAsia="宋体" w:cs="Times New Roman"/>
                <w:b/>
                <w:bCs/>
                <w:color w:val="auto"/>
                <w:kern w:val="0"/>
                <w:sz w:val="21"/>
                <w:szCs w:val="22"/>
                <w:highlight w:val="none"/>
                <w:lang w:bidi="ar"/>
              </w:rPr>
              <w:t>生态功能分区单元</w:t>
            </w:r>
          </w:p>
        </w:tc>
        <w:tc>
          <w:tcPr>
            <w:tcW w:w="1739" w:type="dxa"/>
            <w:noWrap w:val="0"/>
            <w:vAlign w:val="center"/>
          </w:tcPr>
          <w:p w14:paraId="3E5914AA">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auto"/>
                <w:kern w:val="0"/>
                <w:sz w:val="21"/>
                <w:szCs w:val="22"/>
                <w:highlight w:val="none"/>
                <w:lang w:bidi="ar"/>
              </w:rPr>
            </w:pPr>
            <w:r>
              <w:rPr>
                <w:rFonts w:hint="default" w:ascii="Times New Roman" w:hAnsi="Times New Roman" w:eastAsia="宋体" w:cs="Times New Roman"/>
                <w:b/>
                <w:bCs/>
                <w:color w:val="auto"/>
                <w:kern w:val="0"/>
                <w:sz w:val="21"/>
                <w:szCs w:val="22"/>
                <w:highlight w:val="none"/>
                <w:lang w:bidi="ar"/>
              </w:rPr>
              <w:t>生态区</w:t>
            </w:r>
          </w:p>
        </w:tc>
        <w:tc>
          <w:tcPr>
            <w:tcW w:w="5621" w:type="dxa"/>
            <w:noWrap w:val="0"/>
            <w:vAlign w:val="center"/>
          </w:tcPr>
          <w:p w14:paraId="2D28E1E7">
            <w:pPr>
              <w:keepNext w:val="0"/>
              <w:keepLines w:val="0"/>
              <w:widowControl w:val="0"/>
              <w:suppressLineNumbers w:val="0"/>
              <w:spacing w:before="0" w:beforeAutospacing="0" w:after="0" w:afterAutospacing="0" w:line="360" w:lineRule="exact"/>
              <w:ind w:left="0" w:right="0" w:firstLine="420" w:firstLineChars="20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Ⅲ天山山地温性草原、森林生态区</w:t>
            </w:r>
          </w:p>
        </w:tc>
      </w:tr>
      <w:tr w14:paraId="79DF7C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70" w:type="dxa"/>
            <w:vMerge w:val="continue"/>
            <w:noWrap w:val="0"/>
            <w:vAlign w:val="center"/>
          </w:tcPr>
          <w:p w14:paraId="6E7D7CF9">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auto"/>
                <w:kern w:val="0"/>
                <w:sz w:val="21"/>
                <w:szCs w:val="22"/>
                <w:highlight w:val="none"/>
                <w:lang w:bidi="ar"/>
              </w:rPr>
            </w:pPr>
          </w:p>
        </w:tc>
        <w:tc>
          <w:tcPr>
            <w:tcW w:w="1739" w:type="dxa"/>
            <w:noWrap w:val="0"/>
            <w:vAlign w:val="center"/>
          </w:tcPr>
          <w:p w14:paraId="12644EDC">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auto"/>
                <w:kern w:val="0"/>
                <w:sz w:val="21"/>
                <w:szCs w:val="22"/>
                <w:highlight w:val="none"/>
                <w:lang w:bidi="ar"/>
              </w:rPr>
            </w:pPr>
            <w:r>
              <w:rPr>
                <w:rFonts w:hint="default" w:ascii="Times New Roman" w:hAnsi="Times New Roman" w:eastAsia="宋体" w:cs="Times New Roman"/>
                <w:b/>
                <w:bCs/>
                <w:color w:val="auto"/>
                <w:kern w:val="0"/>
                <w:sz w:val="21"/>
                <w:szCs w:val="22"/>
                <w:highlight w:val="none"/>
                <w:lang w:bidi="ar"/>
              </w:rPr>
              <w:t>生态亚区</w:t>
            </w:r>
          </w:p>
        </w:tc>
        <w:tc>
          <w:tcPr>
            <w:tcW w:w="5621" w:type="dxa"/>
            <w:noWrap w:val="0"/>
            <w:vAlign w:val="center"/>
          </w:tcPr>
          <w:p w14:paraId="29B3C6F4">
            <w:pPr>
              <w:keepNext w:val="0"/>
              <w:keepLines w:val="0"/>
              <w:widowControl w:val="0"/>
              <w:suppressLineNumbers w:val="0"/>
              <w:spacing w:before="0" w:beforeAutospacing="0" w:after="0" w:afterAutospacing="0" w:line="360" w:lineRule="exact"/>
              <w:ind w:left="0" w:right="0" w:firstLine="420" w:firstLineChars="20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Ⅲ4天山南坡吐鲁番—哈密盆地戈壁荒漠、绿洲农业生态亚区</w:t>
            </w:r>
          </w:p>
        </w:tc>
      </w:tr>
      <w:tr w14:paraId="7976E3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70" w:type="dxa"/>
            <w:vMerge w:val="continue"/>
            <w:noWrap w:val="0"/>
            <w:vAlign w:val="center"/>
          </w:tcPr>
          <w:p w14:paraId="38092576">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auto"/>
                <w:kern w:val="0"/>
                <w:sz w:val="21"/>
                <w:szCs w:val="22"/>
                <w:highlight w:val="none"/>
                <w:lang w:bidi="ar"/>
              </w:rPr>
            </w:pPr>
          </w:p>
        </w:tc>
        <w:tc>
          <w:tcPr>
            <w:tcW w:w="1739" w:type="dxa"/>
            <w:noWrap w:val="0"/>
            <w:vAlign w:val="center"/>
          </w:tcPr>
          <w:p w14:paraId="3BDBA1D7">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auto"/>
                <w:kern w:val="0"/>
                <w:sz w:val="21"/>
                <w:szCs w:val="22"/>
                <w:highlight w:val="none"/>
                <w:lang w:bidi="ar"/>
              </w:rPr>
            </w:pPr>
            <w:r>
              <w:rPr>
                <w:rFonts w:hint="default" w:ascii="Times New Roman" w:hAnsi="Times New Roman" w:eastAsia="宋体" w:cs="Times New Roman"/>
                <w:b/>
                <w:bCs/>
                <w:color w:val="auto"/>
                <w:kern w:val="0"/>
                <w:sz w:val="21"/>
                <w:szCs w:val="22"/>
                <w:highlight w:val="none"/>
                <w:lang w:bidi="ar"/>
              </w:rPr>
              <w:t>生态功能区</w:t>
            </w:r>
          </w:p>
        </w:tc>
        <w:tc>
          <w:tcPr>
            <w:tcW w:w="5621" w:type="dxa"/>
            <w:noWrap w:val="0"/>
            <w:vAlign w:val="center"/>
          </w:tcPr>
          <w:p w14:paraId="3BE79A74">
            <w:pPr>
              <w:keepNext w:val="0"/>
              <w:keepLines w:val="0"/>
              <w:widowControl w:val="0"/>
              <w:suppressLineNumbers w:val="0"/>
              <w:spacing w:before="0" w:beforeAutospacing="0" w:after="0" w:afterAutospacing="0" w:line="360" w:lineRule="exact"/>
              <w:ind w:left="0" w:right="0" w:firstLine="420" w:firstLineChars="20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53.嘎顺—南湖戈壁荒漠风蚀敏感生态功能区</w:t>
            </w:r>
          </w:p>
        </w:tc>
      </w:tr>
      <w:tr w14:paraId="631005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09" w:type="dxa"/>
            <w:gridSpan w:val="2"/>
            <w:noWrap w:val="0"/>
            <w:vAlign w:val="center"/>
          </w:tcPr>
          <w:p w14:paraId="417DF99B">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auto"/>
                <w:kern w:val="0"/>
                <w:sz w:val="21"/>
                <w:szCs w:val="22"/>
                <w:highlight w:val="none"/>
                <w:lang w:bidi="ar"/>
              </w:rPr>
            </w:pPr>
            <w:r>
              <w:rPr>
                <w:rFonts w:hint="default" w:ascii="Times New Roman" w:hAnsi="Times New Roman" w:eastAsia="宋体" w:cs="Times New Roman"/>
                <w:b/>
                <w:bCs/>
                <w:color w:val="auto"/>
                <w:kern w:val="0"/>
                <w:sz w:val="21"/>
                <w:szCs w:val="22"/>
                <w:highlight w:val="none"/>
                <w:lang w:bidi="ar"/>
              </w:rPr>
              <w:t>隶属行政区</w:t>
            </w:r>
          </w:p>
        </w:tc>
        <w:tc>
          <w:tcPr>
            <w:tcW w:w="5621" w:type="dxa"/>
            <w:noWrap w:val="0"/>
            <w:vAlign w:val="center"/>
          </w:tcPr>
          <w:p w14:paraId="337EDF0D">
            <w:pPr>
              <w:keepNext w:val="0"/>
              <w:keepLines w:val="0"/>
              <w:widowControl w:val="0"/>
              <w:suppressLineNumbers w:val="0"/>
              <w:spacing w:before="0" w:beforeAutospacing="0" w:after="0" w:afterAutospacing="0" w:line="360" w:lineRule="exact"/>
              <w:ind w:left="0" w:right="0" w:firstLine="420" w:firstLineChars="20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哈密市</w:t>
            </w:r>
          </w:p>
        </w:tc>
      </w:tr>
      <w:tr w14:paraId="6E6448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09" w:type="dxa"/>
            <w:gridSpan w:val="2"/>
            <w:noWrap w:val="0"/>
            <w:vAlign w:val="center"/>
          </w:tcPr>
          <w:p w14:paraId="44C4AA76">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auto"/>
                <w:kern w:val="0"/>
                <w:sz w:val="21"/>
                <w:szCs w:val="22"/>
                <w:highlight w:val="none"/>
                <w:lang w:bidi="ar"/>
              </w:rPr>
            </w:pPr>
            <w:r>
              <w:rPr>
                <w:rFonts w:hint="default" w:ascii="Times New Roman" w:hAnsi="Times New Roman" w:eastAsia="宋体" w:cs="Times New Roman"/>
                <w:b/>
                <w:bCs/>
                <w:color w:val="auto"/>
                <w:kern w:val="0"/>
                <w:sz w:val="21"/>
                <w:szCs w:val="22"/>
                <w:highlight w:val="none"/>
                <w:lang w:bidi="ar"/>
              </w:rPr>
              <w:t>主要生态服务功能</w:t>
            </w:r>
          </w:p>
        </w:tc>
        <w:tc>
          <w:tcPr>
            <w:tcW w:w="5621" w:type="dxa"/>
            <w:noWrap w:val="0"/>
            <w:vAlign w:val="center"/>
          </w:tcPr>
          <w:p w14:paraId="64206201">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荒漠化控制、生物多样性维护、矿产资源开发</w:t>
            </w:r>
          </w:p>
        </w:tc>
      </w:tr>
      <w:tr w14:paraId="35FEFC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09" w:type="dxa"/>
            <w:gridSpan w:val="2"/>
            <w:noWrap w:val="0"/>
            <w:vAlign w:val="center"/>
          </w:tcPr>
          <w:p w14:paraId="1C0DB38D">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auto"/>
                <w:kern w:val="0"/>
                <w:sz w:val="21"/>
                <w:szCs w:val="22"/>
                <w:highlight w:val="none"/>
                <w:lang w:bidi="ar"/>
              </w:rPr>
            </w:pPr>
            <w:r>
              <w:rPr>
                <w:rFonts w:hint="default" w:ascii="Times New Roman" w:hAnsi="Times New Roman" w:eastAsia="宋体" w:cs="Times New Roman"/>
                <w:b/>
                <w:bCs/>
                <w:color w:val="auto"/>
                <w:kern w:val="0"/>
                <w:sz w:val="21"/>
                <w:szCs w:val="22"/>
                <w:highlight w:val="none"/>
                <w:lang w:bidi="ar"/>
              </w:rPr>
              <w:t>主要生态环境问题</w:t>
            </w:r>
          </w:p>
        </w:tc>
        <w:tc>
          <w:tcPr>
            <w:tcW w:w="5621" w:type="dxa"/>
            <w:noWrap w:val="0"/>
            <w:vAlign w:val="center"/>
          </w:tcPr>
          <w:p w14:paraId="661F3159">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风沙危害铁路公路、地表形态破坏</w:t>
            </w:r>
          </w:p>
        </w:tc>
      </w:tr>
      <w:tr w14:paraId="23CDA7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09" w:type="dxa"/>
            <w:gridSpan w:val="2"/>
            <w:noWrap w:val="0"/>
            <w:vAlign w:val="center"/>
          </w:tcPr>
          <w:p w14:paraId="01B506BD">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auto"/>
                <w:kern w:val="0"/>
                <w:sz w:val="21"/>
                <w:szCs w:val="22"/>
                <w:highlight w:val="none"/>
                <w:lang w:bidi="ar"/>
              </w:rPr>
            </w:pPr>
            <w:r>
              <w:rPr>
                <w:rFonts w:hint="default" w:ascii="Times New Roman" w:hAnsi="Times New Roman" w:eastAsia="宋体" w:cs="Times New Roman"/>
                <w:b/>
                <w:bCs/>
                <w:color w:val="auto"/>
                <w:kern w:val="0"/>
                <w:sz w:val="21"/>
                <w:szCs w:val="22"/>
                <w:highlight w:val="none"/>
                <w:lang w:bidi="ar"/>
              </w:rPr>
              <w:t>主要生态敏感因子、敏感程度</w:t>
            </w:r>
          </w:p>
        </w:tc>
        <w:tc>
          <w:tcPr>
            <w:tcW w:w="5621" w:type="dxa"/>
            <w:noWrap w:val="0"/>
            <w:vAlign w:val="center"/>
          </w:tcPr>
          <w:p w14:paraId="344A8DF5">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生物多样性及其生境高度敏感，土壤侵蚀极度敏感，土地沙漠化轻度敏感</w:t>
            </w:r>
          </w:p>
        </w:tc>
      </w:tr>
      <w:tr w14:paraId="3C775C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09" w:type="dxa"/>
            <w:gridSpan w:val="2"/>
            <w:noWrap w:val="0"/>
            <w:vAlign w:val="center"/>
          </w:tcPr>
          <w:p w14:paraId="020A88CE">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auto"/>
                <w:kern w:val="0"/>
                <w:sz w:val="21"/>
                <w:szCs w:val="22"/>
                <w:highlight w:val="none"/>
                <w:lang w:bidi="ar"/>
              </w:rPr>
            </w:pPr>
            <w:r>
              <w:rPr>
                <w:rFonts w:hint="default" w:ascii="Times New Roman" w:hAnsi="Times New Roman" w:eastAsia="宋体" w:cs="Times New Roman"/>
                <w:b/>
                <w:bCs/>
                <w:color w:val="auto"/>
                <w:kern w:val="0"/>
                <w:sz w:val="21"/>
                <w:szCs w:val="22"/>
                <w:highlight w:val="none"/>
                <w:lang w:bidi="ar"/>
              </w:rPr>
              <w:t>主要保护目标</w:t>
            </w:r>
          </w:p>
        </w:tc>
        <w:tc>
          <w:tcPr>
            <w:tcW w:w="5621" w:type="dxa"/>
            <w:noWrap w:val="0"/>
            <w:vAlign w:val="center"/>
          </w:tcPr>
          <w:p w14:paraId="79DF8EDE">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保护砾幕、保护野生动植物、保护铁路公路、保护戈壁泉眼</w:t>
            </w:r>
          </w:p>
        </w:tc>
      </w:tr>
      <w:tr w14:paraId="6F36E3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09" w:type="dxa"/>
            <w:gridSpan w:val="2"/>
            <w:noWrap w:val="0"/>
            <w:vAlign w:val="center"/>
          </w:tcPr>
          <w:p w14:paraId="110C019A">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auto"/>
                <w:kern w:val="0"/>
                <w:sz w:val="21"/>
                <w:szCs w:val="22"/>
                <w:highlight w:val="none"/>
                <w:lang w:bidi="ar"/>
              </w:rPr>
            </w:pPr>
            <w:r>
              <w:rPr>
                <w:rFonts w:hint="default" w:ascii="Times New Roman" w:hAnsi="Times New Roman" w:eastAsia="宋体" w:cs="Times New Roman"/>
                <w:b/>
                <w:bCs/>
                <w:color w:val="auto"/>
                <w:kern w:val="0"/>
                <w:sz w:val="21"/>
                <w:szCs w:val="22"/>
                <w:highlight w:val="none"/>
                <w:lang w:bidi="ar"/>
              </w:rPr>
              <w:t>主要保护措施</w:t>
            </w:r>
          </w:p>
        </w:tc>
        <w:tc>
          <w:tcPr>
            <w:tcW w:w="5621" w:type="dxa"/>
            <w:noWrap w:val="0"/>
            <w:vAlign w:val="center"/>
          </w:tcPr>
          <w:p w14:paraId="218B454E">
            <w:pPr>
              <w:keepNext w:val="0"/>
              <w:keepLines w:val="0"/>
              <w:widowControl w:val="0"/>
              <w:suppressLineNumbers w:val="0"/>
              <w:spacing w:before="0" w:beforeAutospacing="0" w:after="0" w:afterAutospacing="0" w:line="360" w:lineRule="exact"/>
              <w:ind w:left="0" w:right="0" w:firstLine="420" w:firstLineChars="20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减少公路管道工程破坏地表植被、保护矿区生态、铁路公路沿线防风固沙</w:t>
            </w:r>
          </w:p>
        </w:tc>
      </w:tr>
      <w:tr w14:paraId="07675E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09" w:type="dxa"/>
            <w:gridSpan w:val="2"/>
            <w:noWrap w:val="0"/>
            <w:vAlign w:val="center"/>
          </w:tcPr>
          <w:p w14:paraId="187DE76E">
            <w:pPr>
              <w:keepNext w:val="0"/>
              <w:keepLines w:val="0"/>
              <w:suppressLineNumbers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auto"/>
                <w:kern w:val="0"/>
                <w:sz w:val="21"/>
                <w:szCs w:val="22"/>
                <w:highlight w:val="none"/>
                <w:lang w:bidi="ar"/>
              </w:rPr>
            </w:pPr>
            <w:r>
              <w:rPr>
                <w:rFonts w:hint="default" w:ascii="Times New Roman" w:hAnsi="Times New Roman" w:eastAsia="宋体" w:cs="Times New Roman"/>
                <w:b/>
                <w:bCs/>
                <w:color w:val="auto"/>
                <w:kern w:val="0"/>
                <w:sz w:val="21"/>
                <w:szCs w:val="22"/>
                <w:highlight w:val="none"/>
                <w:lang w:bidi="ar"/>
              </w:rPr>
              <w:t>适宜发展方向</w:t>
            </w:r>
          </w:p>
        </w:tc>
        <w:tc>
          <w:tcPr>
            <w:tcW w:w="5621" w:type="dxa"/>
            <w:noWrap w:val="0"/>
            <w:vAlign w:val="center"/>
          </w:tcPr>
          <w:p w14:paraId="45FDD64E">
            <w:pPr>
              <w:keepNext w:val="0"/>
              <w:keepLines w:val="0"/>
              <w:widowControl w:val="0"/>
              <w:suppressLineNumbers w:val="0"/>
              <w:spacing w:before="0" w:beforeAutospacing="0" w:after="0" w:afterAutospacing="0" w:line="360" w:lineRule="exact"/>
              <w:ind w:left="0" w:right="0" w:firstLine="420" w:firstLineChars="20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保护荒漠自然景观，维护生态平衡</w:t>
            </w:r>
          </w:p>
        </w:tc>
      </w:tr>
    </w:tbl>
    <w:p w14:paraId="331F95C1">
      <w:pPr>
        <w:keepNext/>
        <w:keepLines/>
        <w:widowControl w:val="0"/>
        <w:spacing w:before="0" w:after="0" w:line="480" w:lineRule="exact"/>
        <w:ind w:firstLine="482" w:firstLineChars="200"/>
        <w:jc w:val="both"/>
        <w:outlineLvl w:val="3"/>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4.2.</w:t>
      </w:r>
      <w:r>
        <w:rPr>
          <w:rFonts w:hint="default" w:ascii="Times New Roman" w:hAnsi="Times New Roman" w:cs="Times New Roman"/>
          <w:b/>
          <w:bCs w:val="0"/>
          <w:color w:val="auto"/>
          <w:kern w:val="2"/>
          <w:sz w:val="24"/>
          <w:szCs w:val="24"/>
          <w:highlight w:val="none"/>
          <w:lang w:val="en-US" w:eastAsia="zh-CN" w:bidi="ar-SA"/>
        </w:rPr>
        <w:t>6.</w:t>
      </w:r>
      <w:r>
        <w:rPr>
          <w:rFonts w:hint="default" w:ascii="Times New Roman" w:hAnsi="Times New Roman" w:eastAsia="宋体" w:cs="Times New Roman"/>
          <w:b/>
          <w:bCs w:val="0"/>
          <w:color w:val="auto"/>
          <w:kern w:val="2"/>
          <w:sz w:val="24"/>
          <w:szCs w:val="24"/>
          <w:highlight w:val="none"/>
          <w:lang w:val="en-US" w:eastAsia="zh-CN" w:bidi="ar-SA"/>
        </w:rPr>
        <w:t>2生态景观现状及评价</w:t>
      </w:r>
    </w:p>
    <w:p w14:paraId="15A51672">
      <w:pPr>
        <w:overflowPunct w:val="0"/>
        <w:topLinePunct/>
        <w:ind w:firstLine="480"/>
        <w:rPr>
          <w:rFonts w:hint="default" w:ascii="Times New Roman" w:hAnsi="Times New Roman" w:eastAsia="宋体" w:cs="Times New Roman"/>
          <w:snapToGrid/>
          <w:color w:val="auto"/>
          <w:kern w:val="2"/>
          <w:sz w:val="24"/>
          <w:szCs w:val="24"/>
          <w:highlight w:val="none"/>
          <w:lang w:val="en-US" w:eastAsia="zh-CN" w:bidi="ar-SA"/>
        </w:rPr>
      </w:pPr>
      <w:r>
        <w:rPr>
          <w:rFonts w:hint="default" w:ascii="Times New Roman" w:hAnsi="Times New Roman" w:eastAsia="宋体" w:cs="Times New Roman"/>
          <w:snapToGrid/>
          <w:color w:val="auto"/>
          <w:kern w:val="2"/>
          <w:sz w:val="24"/>
          <w:szCs w:val="24"/>
          <w:highlight w:val="none"/>
          <w:lang w:val="en-US" w:eastAsia="zh-CN" w:bidi="ar-SA"/>
        </w:rPr>
        <w:t>项目区域气候干燥，降雨稀少，植被覆盖率低，植物种类少，景观较单一。项目建设区域的生态环境质量的控制性组分是戈壁、裸岩等未利用地，生态环境比较脆弱，在人类活动的干扰下，生态环境很容易衰退，所以要尽量保持其原始状况，在项目实施过程中，尽量减少对未利用土地的占用和破坏。</w:t>
      </w:r>
    </w:p>
    <w:p w14:paraId="7D0D4951">
      <w:pPr>
        <w:pStyle w:val="5"/>
        <w:ind w:firstLine="482"/>
        <w:rPr>
          <w:rFonts w:hint="default" w:ascii="Times New Roman" w:hAnsi="Times New Roman" w:cs="Times New Roman"/>
          <w:color w:val="auto"/>
          <w:highlight w:val="none"/>
          <w:lang w:val="de-DE"/>
        </w:rPr>
      </w:pPr>
      <w:r>
        <w:rPr>
          <w:rFonts w:hint="default" w:ascii="Times New Roman" w:hAnsi="Times New Roman" w:cs="Times New Roman"/>
          <w:color w:val="auto"/>
          <w:highlight w:val="none"/>
        </w:rPr>
        <w:t>4.2.6.3</w:t>
      </w:r>
      <w:r>
        <w:rPr>
          <w:rFonts w:hint="default" w:ascii="Times New Roman" w:hAnsi="Times New Roman" w:cs="Times New Roman"/>
          <w:color w:val="auto"/>
          <w:highlight w:val="none"/>
          <w:lang w:val="de-DE"/>
        </w:rPr>
        <w:t>植被现状调查及评价</w:t>
      </w:r>
    </w:p>
    <w:p w14:paraId="7AF2AE56">
      <w:pPr>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（1）植被类型及分布</w:t>
      </w:r>
    </w:p>
    <w:p w14:paraId="39AECA20">
      <w:pPr>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区位于哈密市南部，项目所在区域以戈壁居多，总体呈荒漠戈壁状态，植被类型为裸地。根据收集的资料以及现状调查，区域植被主要是灌木亚菊、沙生针茅、梭梭、骆驼刺。项目区植被稀疏，群落总盖度不到1%，绝大部分地段基本无植被生长。植被类型详见图4.2-2。</w:t>
      </w:r>
    </w:p>
    <w:p w14:paraId="6FBB0E11">
      <w:pPr>
        <w:numPr>
          <w:ilvl w:val="0"/>
          <w:numId w:val="2"/>
        </w:numPr>
        <w:spacing w:line="480" w:lineRule="exact"/>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评价区植被种类</w:t>
      </w:r>
    </w:p>
    <w:p w14:paraId="173B3E0F">
      <w:pPr>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项目区主要植物种类见表4.2-</w:t>
      </w:r>
      <w:r>
        <w:rPr>
          <w:rFonts w:hint="default" w:ascii="Times New Roman" w:hAnsi="Times New Roman" w:cs="Times New Roman"/>
          <w:color w:val="auto"/>
          <w:sz w:val="24"/>
          <w:szCs w:val="24"/>
          <w:highlight w:val="none"/>
          <w:lang w:val="en-US" w:eastAsia="zh-CN"/>
        </w:rPr>
        <w:t>12</w:t>
      </w:r>
      <w:r>
        <w:rPr>
          <w:rFonts w:hint="default" w:ascii="Times New Roman" w:hAnsi="Times New Roman" w:cs="Times New Roman"/>
          <w:color w:val="auto"/>
          <w:sz w:val="24"/>
          <w:szCs w:val="24"/>
          <w:highlight w:val="none"/>
        </w:rPr>
        <w:t>。</w:t>
      </w:r>
    </w:p>
    <w:p w14:paraId="630D7CD8">
      <w:pPr>
        <w:widowControl w:val="0"/>
        <w:autoSpaceDE w:val="0"/>
        <w:autoSpaceDN w:val="0"/>
        <w:adjustRightInd w:val="0"/>
        <w:spacing w:line="480" w:lineRule="exact"/>
        <w:jc w:val="center"/>
        <w:rPr>
          <w:rFonts w:hint="default" w:ascii="Times New Roman" w:hAnsi="Times New Roman" w:cs="Times New Roman"/>
          <w:b/>
          <w:color w:val="auto"/>
          <w:kern w:val="0"/>
          <w:sz w:val="24"/>
          <w:szCs w:val="24"/>
          <w:highlight w:val="none"/>
          <w:lang w:bidi="ar"/>
        </w:rPr>
      </w:pPr>
      <w:r>
        <w:rPr>
          <w:rFonts w:hint="default" w:ascii="Times New Roman" w:hAnsi="Times New Roman" w:eastAsia="宋体" w:cs="Times New Roman"/>
          <w:b/>
          <w:bCs/>
          <w:color w:val="auto"/>
          <w:sz w:val="24"/>
          <w:szCs w:val="24"/>
          <w:highlight w:val="none"/>
          <w:lang w:val="en-US" w:eastAsia="zh-CN" w:bidi="ar-SA"/>
        </w:rPr>
        <w:t>表4.2-12    区域主要植物名录</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238"/>
        <w:gridCol w:w="4280"/>
        <w:gridCol w:w="917"/>
        <w:gridCol w:w="1201"/>
        <w:gridCol w:w="1352"/>
      </w:tblGrid>
      <w:tr w14:paraId="74BC6B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689" w:type="pct"/>
            <w:noWrap w:val="0"/>
            <w:vAlign w:val="center"/>
          </w:tcPr>
          <w:p w14:paraId="02FA9D46">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植物名称</w:t>
            </w:r>
          </w:p>
        </w:tc>
        <w:tc>
          <w:tcPr>
            <w:tcW w:w="2381" w:type="pct"/>
            <w:noWrap w:val="0"/>
            <w:vAlign w:val="center"/>
          </w:tcPr>
          <w:p w14:paraId="05B5E3E1">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拉丁名</w:t>
            </w:r>
          </w:p>
        </w:tc>
        <w:tc>
          <w:tcPr>
            <w:tcW w:w="510" w:type="pct"/>
            <w:noWrap w:val="0"/>
            <w:vAlign w:val="center"/>
          </w:tcPr>
          <w:p w14:paraId="5CDF55DC">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科</w:t>
            </w:r>
          </w:p>
        </w:tc>
        <w:tc>
          <w:tcPr>
            <w:tcW w:w="668" w:type="pct"/>
            <w:noWrap w:val="0"/>
            <w:vAlign w:val="center"/>
          </w:tcPr>
          <w:p w14:paraId="6959C9BF">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属</w:t>
            </w:r>
          </w:p>
        </w:tc>
        <w:tc>
          <w:tcPr>
            <w:tcW w:w="752" w:type="pct"/>
            <w:noWrap w:val="0"/>
            <w:vAlign w:val="top"/>
          </w:tcPr>
          <w:p w14:paraId="23E8D700">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保护等级</w:t>
            </w:r>
          </w:p>
        </w:tc>
      </w:tr>
      <w:tr w14:paraId="4D4374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89" w:type="pct"/>
            <w:noWrap w:val="0"/>
            <w:vAlign w:val="center"/>
          </w:tcPr>
          <w:p w14:paraId="4EB797C4">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auto"/>
                <w:sz w:val="21"/>
                <w:szCs w:val="22"/>
                <w:highlight w:val="none"/>
              </w:rPr>
            </w:pPr>
            <w:r>
              <w:rPr>
                <w:rFonts w:hint="default" w:ascii="Times New Roman" w:hAnsi="Times New Roman" w:eastAsia="宋体" w:cs="Times New Roman"/>
                <w:color w:val="auto"/>
                <w:sz w:val="21"/>
                <w:szCs w:val="22"/>
                <w:highlight w:val="none"/>
              </w:rPr>
              <w:t>沙生针茅</w:t>
            </w:r>
          </w:p>
        </w:tc>
        <w:tc>
          <w:tcPr>
            <w:tcW w:w="2381" w:type="pct"/>
            <w:noWrap w:val="0"/>
            <w:vAlign w:val="center"/>
          </w:tcPr>
          <w:p w14:paraId="54495923">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i/>
                <w:iCs/>
                <w:color w:val="auto"/>
                <w:sz w:val="21"/>
                <w:szCs w:val="22"/>
                <w:highlight w:val="none"/>
              </w:rPr>
            </w:pPr>
            <w:r>
              <w:rPr>
                <w:rFonts w:hint="default" w:ascii="Times New Roman" w:hAnsi="Times New Roman" w:eastAsia="宋体" w:cs="Times New Roman"/>
                <w:i/>
                <w:iCs/>
                <w:color w:val="auto"/>
                <w:sz w:val="21"/>
                <w:szCs w:val="22"/>
                <w:highlight w:val="none"/>
              </w:rPr>
              <w:t>S.glareosa</w:t>
            </w:r>
          </w:p>
        </w:tc>
        <w:tc>
          <w:tcPr>
            <w:tcW w:w="510" w:type="pct"/>
            <w:noWrap w:val="0"/>
            <w:vAlign w:val="center"/>
          </w:tcPr>
          <w:p w14:paraId="1D6914F6">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auto"/>
                <w:sz w:val="21"/>
                <w:szCs w:val="22"/>
                <w:highlight w:val="none"/>
              </w:rPr>
            </w:pPr>
            <w:r>
              <w:rPr>
                <w:rFonts w:hint="default" w:ascii="Times New Roman" w:hAnsi="Times New Roman" w:eastAsia="宋体" w:cs="Times New Roman"/>
                <w:color w:val="auto"/>
                <w:sz w:val="21"/>
                <w:szCs w:val="22"/>
                <w:highlight w:val="none"/>
              </w:rPr>
              <w:t>禾本科</w:t>
            </w:r>
          </w:p>
        </w:tc>
        <w:tc>
          <w:tcPr>
            <w:tcW w:w="668" w:type="pct"/>
            <w:noWrap w:val="0"/>
            <w:vAlign w:val="center"/>
          </w:tcPr>
          <w:p w14:paraId="1390EF14">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auto"/>
                <w:sz w:val="21"/>
                <w:szCs w:val="22"/>
                <w:highlight w:val="none"/>
              </w:rPr>
            </w:pPr>
            <w:r>
              <w:rPr>
                <w:rFonts w:hint="default" w:ascii="Times New Roman" w:hAnsi="Times New Roman" w:eastAsia="宋体" w:cs="Times New Roman"/>
                <w:color w:val="auto"/>
                <w:sz w:val="21"/>
                <w:szCs w:val="22"/>
                <w:highlight w:val="none"/>
              </w:rPr>
              <w:t>针茅属</w:t>
            </w:r>
          </w:p>
        </w:tc>
        <w:tc>
          <w:tcPr>
            <w:tcW w:w="752" w:type="pct"/>
            <w:noWrap w:val="0"/>
            <w:vAlign w:val="top"/>
          </w:tcPr>
          <w:p w14:paraId="76AF8B4D">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auto"/>
                <w:sz w:val="21"/>
                <w:szCs w:val="22"/>
                <w:highlight w:val="none"/>
                <w:lang w:val="en-US" w:eastAsia="zh-CN"/>
              </w:rPr>
            </w:pPr>
            <w:r>
              <w:rPr>
                <w:rFonts w:hint="default" w:ascii="Times New Roman" w:hAnsi="Times New Roman" w:cs="Times New Roman"/>
                <w:color w:val="auto"/>
                <w:sz w:val="21"/>
                <w:szCs w:val="22"/>
                <w:highlight w:val="none"/>
                <w:lang w:val="en-US" w:eastAsia="zh-CN"/>
              </w:rPr>
              <w:t>/</w:t>
            </w:r>
          </w:p>
        </w:tc>
      </w:tr>
      <w:tr w14:paraId="72DA78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689" w:type="pct"/>
            <w:noWrap w:val="0"/>
            <w:vAlign w:val="center"/>
          </w:tcPr>
          <w:p w14:paraId="1A164AF0">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auto"/>
                <w:sz w:val="21"/>
                <w:szCs w:val="22"/>
                <w:highlight w:val="none"/>
              </w:rPr>
            </w:pPr>
            <w:r>
              <w:rPr>
                <w:rFonts w:hint="default" w:ascii="Times New Roman" w:hAnsi="Times New Roman" w:eastAsia="宋体" w:cs="Times New Roman"/>
                <w:color w:val="auto"/>
                <w:sz w:val="21"/>
                <w:szCs w:val="22"/>
                <w:highlight w:val="none"/>
              </w:rPr>
              <w:t>灌木亚菊</w:t>
            </w:r>
          </w:p>
        </w:tc>
        <w:tc>
          <w:tcPr>
            <w:tcW w:w="2381" w:type="pct"/>
            <w:noWrap w:val="0"/>
            <w:vAlign w:val="center"/>
          </w:tcPr>
          <w:p w14:paraId="5D9F5D9F">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i/>
                <w:iCs/>
                <w:color w:val="auto"/>
                <w:sz w:val="21"/>
                <w:szCs w:val="22"/>
                <w:highlight w:val="none"/>
              </w:rPr>
            </w:pPr>
            <w:r>
              <w:rPr>
                <w:rFonts w:hint="default" w:ascii="Times New Roman" w:hAnsi="Times New Roman" w:eastAsia="宋体" w:cs="Times New Roman"/>
                <w:i/>
                <w:iCs/>
                <w:color w:val="auto"/>
                <w:sz w:val="21"/>
                <w:szCs w:val="22"/>
                <w:highlight w:val="none"/>
              </w:rPr>
              <w:t xml:space="preserve">Ajania fruticulosa </w:t>
            </w:r>
            <w:r>
              <w:rPr>
                <w:rFonts w:hint="eastAsia" w:cs="Times New Roman"/>
                <w:i/>
                <w:iCs/>
                <w:color w:val="auto"/>
                <w:sz w:val="21"/>
                <w:szCs w:val="22"/>
                <w:highlight w:val="none"/>
                <w:lang w:eastAsia="zh-CN"/>
              </w:rPr>
              <w:t>（</w:t>
            </w:r>
            <w:r>
              <w:rPr>
                <w:rFonts w:hint="default" w:ascii="Times New Roman" w:hAnsi="Times New Roman" w:eastAsia="宋体" w:cs="Times New Roman"/>
                <w:i/>
                <w:iCs/>
                <w:color w:val="auto"/>
                <w:sz w:val="21"/>
                <w:szCs w:val="22"/>
                <w:highlight w:val="none"/>
              </w:rPr>
              <w:t>Ledeb.</w:t>
            </w:r>
            <w:r>
              <w:rPr>
                <w:rFonts w:hint="eastAsia" w:cs="Times New Roman"/>
                <w:i/>
                <w:iCs/>
                <w:color w:val="auto"/>
                <w:sz w:val="21"/>
                <w:szCs w:val="22"/>
                <w:highlight w:val="none"/>
                <w:lang w:eastAsia="zh-CN"/>
              </w:rPr>
              <w:t>）</w:t>
            </w:r>
            <w:r>
              <w:rPr>
                <w:rFonts w:hint="default" w:ascii="Times New Roman" w:hAnsi="Times New Roman" w:eastAsia="宋体" w:cs="Times New Roman"/>
                <w:i/>
                <w:iCs/>
                <w:color w:val="auto"/>
                <w:sz w:val="21"/>
                <w:szCs w:val="22"/>
                <w:highlight w:val="none"/>
              </w:rPr>
              <w:t>Poljak.</w:t>
            </w:r>
          </w:p>
        </w:tc>
        <w:tc>
          <w:tcPr>
            <w:tcW w:w="510" w:type="pct"/>
            <w:noWrap w:val="0"/>
            <w:vAlign w:val="center"/>
          </w:tcPr>
          <w:p w14:paraId="06A08760">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auto"/>
                <w:sz w:val="21"/>
                <w:szCs w:val="22"/>
                <w:highlight w:val="none"/>
              </w:rPr>
            </w:pPr>
            <w:r>
              <w:rPr>
                <w:rFonts w:hint="default" w:ascii="Times New Roman" w:hAnsi="Times New Roman" w:eastAsia="宋体" w:cs="Times New Roman"/>
                <w:color w:val="auto"/>
                <w:sz w:val="21"/>
                <w:szCs w:val="22"/>
                <w:highlight w:val="none"/>
              </w:rPr>
              <w:t>菊科</w:t>
            </w:r>
          </w:p>
        </w:tc>
        <w:tc>
          <w:tcPr>
            <w:tcW w:w="668" w:type="pct"/>
            <w:noWrap w:val="0"/>
            <w:vAlign w:val="center"/>
          </w:tcPr>
          <w:p w14:paraId="00BC4BF3">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auto"/>
                <w:sz w:val="21"/>
                <w:szCs w:val="22"/>
                <w:highlight w:val="none"/>
              </w:rPr>
            </w:pPr>
            <w:r>
              <w:rPr>
                <w:rFonts w:hint="default" w:ascii="Times New Roman" w:hAnsi="Times New Roman" w:eastAsia="宋体" w:cs="Times New Roman"/>
                <w:color w:val="auto"/>
                <w:sz w:val="21"/>
                <w:szCs w:val="22"/>
                <w:highlight w:val="none"/>
              </w:rPr>
              <w:t>亚菊属</w:t>
            </w:r>
          </w:p>
        </w:tc>
        <w:tc>
          <w:tcPr>
            <w:tcW w:w="752" w:type="pct"/>
            <w:noWrap w:val="0"/>
            <w:vAlign w:val="top"/>
          </w:tcPr>
          <w:p w14:paraId="32E08A58">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auto"/>
                <w:sz w:val="21"/>
                <w:szCs w:val="22"/>
                <w:highlight w:val="none"/>
                <w:lang w:val="en-US" w:eastAsia="zh-CN"/>
              </w:rPr>
            </w:pPr>
            <w:r>
              <w:rPr>
                <w:rFonts w:hint="default" w:ascii="Times New Roman" w:hAnsi="Times New Roman" w:cs="Times New Roman"/>
                <w:color w:val="auto"/>
                <w:sz w:val="21"/>
                <w:szCs w:val="22"/>
                <w:highlight w:val="none"/>
                <w:lang w:val="en-US" w:eastAsia="zh-CN"/>
              </w:rPr>
              <w:t>/</w:t>
            </w:r>
          </w:p>
        </w:tc>
      </w:tr>
      <w:tr w14:paraId="5BEF83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89" w:type="pct"/>
            <w:noWrap w:val="0"/>
            <w:vAlign w:val="center"/>
          </w:tcPr>
          <w:p w14:paraId="64F93045">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auto"/>
                <w:sz w:val="21"/>
                <w:szCs w:val="22"/>
                <w:highlight w:val="none"/>
              </w:rPr>
            </w:pPr>
            <w:r>
              <w:rPr>
                <w:rFonts w:hint="default" w:ascii="Times New Roman" w:hAnsi="Times New Roman" w:eastAsia="宋体" w:cs="Times New Roman"/>
                <w:color w:val="auto"/>
                <w:sz w:val="21"/>
                <w:szCs w:val="22"/>
                <w:highlight w:val="none"/>
              </w:rPr>
              <w:t>梭梭</w:t>
            </w:r>
          </w:p>
        </w:tc>
        <w:tc>
          <w:tcPr>
            <w:tcW w:w="2381" w:type="pct"/>
            <w:noWrap w:val="0"/>
            <w:vAlign w:val="center"/>
          </w:tcPr>
          <w:p w14:paraId="31F6321E">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i/>
                <w:iCs/>
                <w:color w:val="auto"/>
                <w:sz w:val="21"/>
                <w:szCs w:val="22"/>
                <w:highlight w:val="none"/>
              </w:rPr>
            </w:pPr>
            <w:r>
              <w:rPr>
                <w:rFonts w:hint="default" w:ascii="Times New Roman" w:hAnsi="Times New Roman" w:eastAsia="宋体" w:cs="Times New Roman"/>
                <w:i/>
                <w:iCs/>
                <w:color w:val="auto"/>
                <w:sz w:val="21"/>
                <w:szCs w:val="22"/>
                <w:highlight w:val="none"/>
              </w:rPr>
              <w:t xml:space="preserve">Haloxylon ammodendron </w:t>
            </w:r>
            <w:r>
              <w:rPr>
                <w:rFonts w:hint="eastAsia" w:cs="Times New Roman"/>
                <w:i/>
                <w:iCs/>
                <w:color w:val="auto"/>
                <w:sz w:val="21"/>
                <w:szCs w:val="22"/>
                <w:highlight w:val="none"/>
                <w:lang w:eastAsia="zh-CN"/>
              </w:rPr>
              <w:t>（</w:t>
            </w:r>
            <w:r>
              <w:rPr>
                <w:rFonts w:hint="default" w:ascii="Times New Roman" w:hAnsi="Times New Roman" w:eastAsia="宋体" w:cs="Times New Roman"/>
                <w:i/>
                <w:iCs/>
                <w:color w:val="auto"/>
                <w:sz w:val="21"/>
                <w:szCs w:val="22"/>
                <w:highlight w:val="none"/>
              </w:rPr>
              <w:t>C.A.Mey.</w:t>
            </w:r>
            <w:r>
              <w:rPr>
                <w:rFonts w:hint="eastAsia" w:cs="Times New Roman"/>
                <w:i/>
                <w:iCs/>
                <w:color w:val="auto"/>
                <w:sz w:val="21"/>
                <w:szCs w:val="22"/>
                <w:highlight w:val="none"/>
                <w:lang w:eastAsia="zh-CN"/>
              </w:rPr>
              <w:t>）</w:t>
            </w:r>
            <w:r>
              <w:rPr>
                <w:rFonts w:hint="default" w:ascii="Times New Roman" w:hAnsi="Times New Roman" w:eastAsia="宋体" w:cs="Times New Roman"/>
                <w:i/>
                <w:iCs/>
                <w:color w:val="auto"/>
                <w:sz w:val="21"/>
                <w:szCs w:val="22"/>
                <w:highlight w:val="none"/>
              </w:rPr>
              <w:t>Bunge</w:t>
            </w:r>
          </w:p>
        </w:tc>
        <w:tc>
          <w:tcPr>
            <w:tcW w:w="510" w:type="pct"/>
            <w:noWrap w:val="0"/>
            <w:vAlign w:val="center"/>
          </w:tcPr>
          <w:p w14:paraId="575DD8A5">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auto"/>
                <w:sz w:val="21"/>
                <w:szCs w:val="22"/>
                <w:highlight w:val="none"/>
              </w:rPr>
            </w:pPr>
            <w:r>
              <w:rPr>
                <w:rFonts w:hint="default" w:ascii="Times New Roman" w:hAnsi="Times New Roman" w:eastAsia="宋体" w:cs="Times New Roman"/>
                <w:color w:val="auto"/>
                <w:sz w:val="21"/>
                <w:szCs w:val="22"/>
                <w:highlight w:val="none"/>
              </w:rPr>
              <w:t>黎科</w:t>
            </w:r>
          </w:p>
        </w:tc>
        <w:tc>
          <w:tcPr>
            <w:tcW w:w="668" w:type="pct"/>
            <w:noWrap w:val="0"/>
            <w:vAlign w:val="center"/>
          </w:tcPr>
          <w:p w14:paraId="1E6AE436">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auto"/>
                <w:sz w:val="21"/>
                <w:szCs w:val="22"/>
                <w:highlight w:val="none"/>
              </w:rPr>
            </w:pPr>
            <w:r>
              <w:rPr>
                <w:rFonts w:hint="default" w:ascii="Times New Roman" w:hAnsi="Times New Roman" w:eastAsia="宋体" w:cs="Times New Roman"/>
                <w:color w:val="auto"/>
                <w:sz w:val="21"/>
                <w:szCs w:val="22"/>
                <w:highlight w:val="none"/>
              </w:rPr>
              <w:t>梭梭属</w:t>
            </w:r>
          </w:p>
        </w:tc>
        <w:tc>
          <w:tcPr>
            <w:tcW w:w="752" w:type="pct"/>
            <w:noWrap w:val="0"/>
            <w:vAlign w:val="top"/>
          </w:tcPr>
          <w:p w14:paraId="7258FF7E">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auto"/>
                <w:sz w:val="21"/>
                <w:szCs w:val="22"/>
                <w:highlight w:val="none"/>
                <w:lang w:val="en-US" w:eastAsia="zh-CN"/>
              </w:rPr>
            </w:pPr>
            <w:r>
              <w:rPr>
                <w:rFonts w:hint="default" w:ascii="Times New Roman" w:hAnsi="Times New Roman" w:cs="Times New Roman"/>
                <w:color w:val="auto"/>
                <w:sz w:val="21"/>
                <w:szCs w:val="22"/>
                <w:highlight w:val="none"/>
                <w:lang w:val="en-US" w:eastAsia="zh-CN"/>
              </w:rPr>
              <w:t>/</w:t>
            </w:r>
          </w:p>
        </w:tc>
      </w:tr>
      <w:tr w14:paraId="3664B2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89" w:type="pct"/>
            <w:noWrap w:val="0"/>
            <w:vAlign w:val="center"/>
          </w:tcPr>
          <w:p w14:paraId="52698F3C">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auto"/>
                <w:sz w:val="21"/>
                <w:szCs w:val="22"/>
                <w:highlight w:val="none"/>
              </w:rPr>
            </w:pPr>
            <w:r>
              <w:rPr>
                <w:rFonts w:hint="default" w:ascii="Times New Roman" w:hAnsi="Times New Roman" w:eastAsia="宋体" w:cs="Times New Roman"/>
                <w:color w:val="auto"/>
                <w:sz w:val="21"/>
                <w:szCs w:val="22"/>
                <w:highlight w:val="none"/>
              </w:rPr>
              <w:t>骆驼刺</w:t>
            </w:r>
          </w:p>
        </w:tc>
        <w:tc>
          <w:tcPr>
            <w:tcW w:w="2381" w:type="pct"/>
            <w:noWrap w:val="0"/>
            <w:vAlign w:val="center"/>
          </w:tcPr>
          <w:p w14:paraId="38717DDB">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i/>
                <w:iCs/>
                <w:color w:val="auto"/>
                <w:sz w:val="21"/>
                <w:szCs w:val="22"/>
                <w:highlight w:val="none"/>
              </w:rPr>
            </w:pPr>
            <w:r>
              <w:rPr>
                <w:rFonts w:hint="default" w:ascii="Times New Roman" w:hAnsi="Times New Roman" w:eastAsia="宋体" w:cs="Times New Roman"/>
                <w:i/>
                <w:iCs/>
                <w:color w:val="auto"/>
                <w:sz w:val="21"/>
                <w:szCs w:val="22"/>
                <w:highlight w:val="none"/>
              </w:rPr>
              <w:t>Alhagi sparsifolia</w:t>
            </w:r>
            <w:r>
              <w:rPr>
                <w:rFonts w:hint="default" w:ascii="Times New Roman" w:hAnsi="Times New Roman" w:eastAsia="宋体" w:cs="Times New Roman"/>
                <w:i/>
                <w:iCs/>
                <w:color w:val="auto"/>
                <w:sz w:val="21"/>
                <w:szCs w:val="22"/>
                <w:highlight w:val="none"/>
                <w:lang w:val="en-US" w:eastAsia="zh-CN"/>
              </w:rPr>
              <w:t xml:space="preserve"> </w:t>
            </w:r>
            <w:r>
              <w:rPr>
                <w:rFonts w:hint="default" w:ascii="Times New Roman" w:hAnsi="Times New Roman" w:eastAsia="宋体" w:cs="Times New Roman"/>
                <w:i/>
                <w:iCs/>
                <w:color w:val="auto"/>
                <w:sz w:val="21"/>
                <w:szCs w:val="22"/>
                <w:highlight w:val="none"/>
              </w:rPr>
              <w:t>Shap.</w:t>
            </w:r>
          </w:p>
        </w:tc>
        <w:tc>
          <w:tcPr>
            <w:tcW w:w="510" w:type="pct"/>
            <w:noWrap w:val="0"/>
            <w:vAlign w:val="center"/>
          </w:tcPr>
          <w:p w14:paraId="2A22259E">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auto"/>
                <w:sz w:val="21"/>
                <w:szCs w:val="22"/>
                <w:highlight w:val="none"/>
              </w:rPr>
            </w:pPr>
            <w:r>
              <w:rPr>
                <w:rFonts w:hint="default" w:ascii="Times New Roman" w:hAnsi="Times New Roman" w:eastAsia="宋体" w:cs="Times New Roman"/>
                <w:color w:val="auto"/>
                <w:sz w:val="21"/>
                <w:szCs w:val="22"/>
                <w:highlight w:val="none"/>
              </w:rPr>
              <w:t>豆科</w:t>
            </w:r>
          </w:p>
        </w:tc>
        <w:tc>
          <w:tcPr>
            <w:tcW w:w="668" w:type="pct"/>
            <w:noWrap w:val="0"/>
            <w:vAlign w:val="center"/>
          </w:tcPr>
          <w:p w14:paraId="55E46903">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auto"/>
                <w:sz w:val="21"/>
                <w:szCs w:val="22"/>
                <w:highlight w:val="none"/>
              </w:rPr>
            </w:pPr>
            <w:r>
              <w:rPr>
                <w:rFonts w:hint="default" w:ascii="Times New Roman" w:hAnsi="Times New Roman" w:eastAsia="宋体" w:cs="Times New Roman"/>
                <w:color w:val="auto"/>
                <w:sz w:val="21"/>
                <w:szCs w:val="22"/>
                <w:highlight w:val="none"/>
              </w:rPr>
              <w:t>骆驼刺属</w:t>
            </w:r>
          </w:p>
        </w:tc>
        <w:tc>
          <w:tcPr>
            <w:tcW w:w="752" w:type="pct"/>
            <w:noWrap w:val="0"/>
            <w:vAlign w:val="top"/>
          </w:tcPr>
          <w:p w14:paraId="7964EC3A">
            <w:pPr>
              <w:keepNext w:val="0"/>
              <w:keepLines w:val="0"/>
              <w:suppressLineNumbers w:val="0"/>
              <w:autoSpaceDE w:val="0"/>
              <w:autoSpaceDN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color w:val="auto"/>
                <w:sz w:val="21"/>
                <w:szCs w:val="22"/>
                <w:highlight w:val="none"/>
                <w:lang w:val="en-US" w:eastAsia="zh-CN"/>
              </w:rPr>
            </w:pPr>
            <w:r>
              <w:rPr>
                <w:rFonts w:hint="default" w:ascii="Times New Roman" w:hAnsi="Times New Roman" w:cs="Times New Roman"/>
                <w:color w:val="auto"/>
                <w:sz w:val="21"/>
                <w:szCs w:val="22"/>
                <w:highlight w:val="none"/>
                <w:lang w:val="en-US" w:eastAsia="zh-CN"/>
              </w:rPr>
              <w:t>/</w:t>
            </w:r>
          </w:p>
        </w:tc>
      </w:tr>
    </w:tbl>
    <w:p w14:paraId="229DDF90">
      <w:pPr>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在评价区分布的天然植被中</w:t>
      </w:r>
      <w:r>
        <w:rPr>
          <w:rFonts w:hint="default" w:ascii="Times New Roman" w:hAnsi="Times New Roman" w:cs="Times New Roman"/>
          <w:color w:val="auto"/>
          <w:sz w:val="24"/>
          <w:szCs w:val="24"/>
          <w:highlight w:val="none"/>
          <w:lang w:val="en-US" w:eastAsia="zh-CN"/>
        </w:rPr>
        <w:t>无</w:t>
      </w:r>
      <w:r>
        <w:rPr>
          <w:rFonts w:hint="default" w:ascii="Times New Roman" w:hAnsi="Times New Roman" w:cs="Times New Roman"/>
          <w:color w:val="auto"/>
          <w:sz w:val="24"/>
          <w:szCs w:val="24"/>
          <w:highlight w:val="none"/>
        </w:rPr>
        <w:t>国家和自治区重点保护的植物，无《中国生物多样性红色名录》中列为极危、濒危和易危的物种及其他重要物种。</w:t>
      </w:r>
    </w:p>
    <w:p w14:paraId="2ED0D2A4">
      <w:pPr>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（3）典型样方调查</w:t>
      </w:r>
    </w:p>
    <w:p w14:paraId="11701541">
      <w:pPr>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在区域踏勘的基础上，本次评价于202</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年</w:t>
      </w:r>
      <w:r>
        <w:rPr>
          <w:rFonts w:hint="eastAsia" w:cs="Times New Roman"/>
          <w:color w:val="auto"/>
          <w:sz w:val="24"/>
          <w:szCs w:val="24"/>
          <w:highlight w:val="none"/>
          <w:lang w:val="en-US" w:eastAsia="zh-CN"/>
        </w:rPr>
        <w:t>12</w:t>
      </w:r>
      <w:r>
        <w:rPr>
          <w:rFonts w:hint="default" w:ascii="Times New Roman" w:hAnsi="Times New Roman" w:cs="Times New Roman"/>
          <w:color w:val="auto"/>
          <w:sz w:val="24"/>
          <w:szCs w:val="24"/>
          <w:highlight w:val="none"/>
        </w:rPr>
        <w:t>月</w:t>
      </w:r>
      <w:r>
        <w:rPr>
          <w:rFonts w:hint="default" w:ascii="Times New Roman" w:hAnsi="Times New Roman" w:cs="Times New Roman"/>
          <w:color w:val="auto"/>
          <w:sz w:val="24"/>
          <w:szCs w:val="24"/>
          <w:highlight w:val="none"/>
          <w:lang w:val="en-US" w:eastAsia="zh-CN"/>
        </w:rPr>
        <w:t>1</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日对项目区内的生态植被进行了样方调查，根据普遍性和典型性相结合的原则，结合评价区植被覆盖情况和工程影响情况，在矿区范围设置点，进行了样方调查，在样地内随机设置了</w:t>
      </w: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个样方。矿区土地类型主要为戈壁和裸岩石砾地，根据项目区土地类型及植物组成和盖度，统计样方内植被种类、盖度、高度等，草本植物样方面积为1m×1m。</w:t>
      </w:r>
    </w:p>
    <w:p w14:paraId="69621E54">
      <w:pPr>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典型样方调查见样方表4.2-1</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w:t>
      </w:r>
    </w:p>
    <w:p w14:paraId="3225E725">
      <w:pPr>
        <w:overflowPunct w:val="0"/>
        <w:topLinePunct/>
        <w:adjustRightInd w:val="0"/>
        <w:spacing w:line="480" w:lineRule="exact"/>
        <w:jc w:val="center"/>
        <w:rPr>
          <w:rFonts w:hint="default" w:ascii="Times New Roman" w:hAnsi="Times New Roman" w:cs="Times New Roman"/>
          <w:b/>
          <w:color w:val="auto"/>
          <w:spacing w:val="2"/>
          <w:sz w:val="24"/>
          <w:szCs w:val="24"/>
          <w:highlight w:val="none"/>
        </w:rPr>
      </w:pPr>
      <w:r>
        <w:rPr>
          <w:rFonts w:hint="default" w:ascii="Times New Roman" w:hAnsi="Times New Roman" w:cs="Times New Roman"/>
          <w:b/>
          <w:color w:val="auto"/>
          <w:sz w:val="24"/>
          <w:szCs w:val="24"/>
          <w:highlight w:val="none"/>
        </w:rPr>
        <w:t>表4.2-1</w:t>
      </w:r>
      <w:r>
        <w:rPr>
          <w:rFonts w:hint="default" w:ascii="Times New Roman" w:hAnsi="Times New Roman" w:cs="Times New Roman"/>
          <w:b/>
          <w:color w:val="auto"/>
          <w:sz w:val="24"/>
          <w:szCs w:val="24"/>
          <w:highlight w:val="none"/>
          <w:lang w:val="en-US" w:eastAsia="zh-CN"/>
        </w:rPr>
        <w:t>3</w:t>
      </w:r>
      <w:r>
        <w:rPr>
          <w:rFonts w:hint="default" w:ascii="Times New Roman" w:hAnsi="Times New Roman" w:cs="Times New Roman"/>
          <w:b/>
          <w:color w:val="auto"/>
          <w:sz w:val="24"/>
          <w:szCs w:val="24"/>
          <w:highlight w:val="none"/>
        </w:rPr>
        <w:t xml:space="preserve">    矿区群落典型样方调查表</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63"/>
        <w:gridCol w:w="1248"/>
        <w:gridCol w:w="1503"/>
        <w:gridCol w:w="2596"/>
        <w:gridCol w:w="1374"/>
        <w:gridCol w:w="1290"/>
      </w:tblGrid>
      <w:tr w14:paraId="5EED68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6"/>
            <w:noWrap w:val="0"/>
            <w:vAlign w:val="top"/>
          </w:tcPr>
          <w:p w14:paraId="1764F1D9">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群落样方编号</w:t>
            </w:r>
            <w:r>
              <w:rPr>
                <w:rFonts w:hint="eastAsia" w:cs="Times New Roman"/>
                <w:b/>
                <w:color w:val="auto"/>
                <w:kern w:val="2"/>
                <w:sz w:val="21"/>
                <w:szCs w:val="21"/>
                <w:highlight w:val="none"/>
                <w:lang w:val="en-US" w:eastAsia="zh-CN" w:bidi="ar-SA"/>
              </w:rPr>
              <w:t>1</w:t>
            </w:r>
          </w:p>
        </w:tc>
      </w:tr>
      <w:tr w14:paraId="7BB0FB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4" w:type="pct"/>
            <w:noWrap w:val="0"/>
            <w:vAlign w:val="center"/>
          </w:tcPr>
          <w:p w14:paraId="637C5B96">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调查日期</w:t>
            </w:r>
          </w:p>
        </w:tc>
        <w:tc>
          <w:tcPr>
            <w:tcW w:w="680" w:type="pct"/>
            <w:noWrap w:val="0"/>
            <w:vAlign w:val="center"/>
          </w:tcPr>
          <w:p w14:paraId="466CD0C7">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2025.</w:t>
            </w:r>
            <w:r>
              <w:rPr>
                <w:rFonts w:hint="eastAsia" w:cs="Times New Roman"/>
                <w:color w:val="auto"/>
                <w:kern w:val="2"/>
                <w:sz w:val="21"/>
                <w:szCs w:val="21"/>
                <w:highlight w:val="none"/>
                <w:lang w:val="en-US" w:eastAsia="zh-CN" w:bidi="ar-SA"/>
              </w:rPr>
              <w:t>12</w:t>
            </w:r>
            <w:r>
              <w:rPr>
                <w:rFonts w:hint="default" w:ascii="Times New Roman" w:hAnsi="Times New Roman" w:eastAsia="宋体" w:cs="Times New Roman"/>
                <w:color w:val="auto"/>
                <w:kern w:val="2"/>
                <w:sz w:val="21"/>
                <w:szCs w:val="21"/>
                <w:highlight w:val="none"/>
                <w:lang w:val="en-US" w:eastAsia="zh-CN" w:bidi="ar-SA"/>
              </w:rPr>
              <w:t>.1</w:t>
            </w:r>
            <w:r>
              <w:rPr>
                <w:rFonts w:hint="eastAsia" w:cs="Times New Roman"/>
                <w:color w:val="auto"/>
                <w:kern w:val="2"/>
                <w:sz w:val="21"/>
                <w:szCs w:val="21"/>
                <w:highlight w:val="none"/>
                <w:lang w:val="en-US" w:eastAsia="zh-CN" w:bidi="ar-SA"/>
              </w:rPr>
              <w:t>4</w:t>
            </w:r>
          </w:p>
        </w:tc>
        <w:tc>
          <w:tcPr>
            <w:tcW w:w="819" w:type="pct"/>
            <w:noWrap w:val="0"/>
            <w:vAlign w:val="top"/>
          </w:tcPr>
          <w:p w14:paraId="7A741D54">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调查地点</w:t>
            </w:r>
          </w:p>
        </w:tc>
        <w:tc>
          <w:tcPr>
            <w:tcW w:w="1415" w:type="pct"/>
            <w:noWrap w:val="0"/>
            <w:vAlign w:val="top"/>
          </w:tcPr>
          <w:p w14:paraId="1CEE77D5">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拟建选厂尾矿库</w:t>
            </w:r>
          </w:p>
        </w:tc>
        <w:tc>
          <w:tcPr>
            <w:tcW w:w="749" w:type="pct"/>
            <w:noWrap w:val="0"/>
            <w:vAlign w:val="center"/>
          </w:tcPr>
          <w:p w14:paraId="48F4618F">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样方面积</w:t>
            </w:r>
          </w:p>
        </w:tc>
        <w:tc>
          <w:tcPr>
            <w:tcW w:w="701" w:type="pct"/>
            <w:noWrap w:val="0"/>
            <w:vAlign w:val="center"/>
          </w:tcPr>
          <w:p w14:paraId="7342530E">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1m×1m</w:t>
            </w:r>
          </w:p>
        </w:tc>
      </w:tr>
      <w:tr w14:paraId="3A1358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4" w:type="pct"/>
            <w:noWrap w:val="0"/>
            <w:vAlign w:val="center"/>
          </w:tcPr>
          <w:p w14:paraId="4EA330D5">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海拔</w:t>
            </w:r>
          </w:p>
        </w:tc>
        <w:tc>
          <w:tcPr>
            <w:tcW w:w="680" w:type="pct"/>
            <w:noWrap w:val="0"/>
            <w:vAlign w:val="center"/>
          </w:tcPr>
          <w:p w14:paraId="6CDC13DE">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1174m</w:t>
            </w:r>
          </w:p>
        </w:tc>
        <w:tc>
          <w:tcPr>
            <w:tcW w:w="819" w:type="pct"/>
            <w:noWrap w:val="0"/>
            <w:vAlign w:val="top"/>
          </w:tcPr>
          <w:p w14:paraId="496FD811">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土壤类型</w:t>
            </w:r>
          </w:p>
        </w:tc>
        <w:tc>
          <w:tcPr>
            <w:tcW w:w="1415" w:type="pct"/>
            <w:noWrap w:val="0"/>
            <w:vAlign w:val="top"/>
          </w:tcPr>
          <w:p w14:paraId="7B0C5522">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石膏盐盘棕漠土</w:t>
            </w:r>
          </w:p>
        </w:tc>
        <w:tc>
          <w:tcPr>
            <w:tcW w:w="749" w:type="pct"/>
            <w:noWrap w:val="0"/>
            <w:vAlign w:val="center"/>
          </w:tcPr>
          <w:p w14:paraId="3FA705B8">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地形/地貌</w:t>
            </w:r>
          </w:p>
        </w:tc>
        <w:tc>
          <w:tcPr>
            <w:tcW w:w="701" w:type="pct"/>
            <w:noWrap w:val="0"/>
            <w:vAlign w:val="center"/>
          </w:tcPr>
          <w:p w14:paraId="10F80A1E">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丘陵</w:t>
            </w:r>
          </w:p>
        </w:tc>
      </w:tr>
      <w:tr w14:paraId="39C70C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4" w:type="pct"/>
            <w:noWrap w:val="0"/>
            <w:vAlign w:val="center"/>
          </w:tcPr>
          <w:p w14:paraId="51CC7BF1">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植被类型</w:t>
            </w:r>
          </w:p>
        </w:tc>
        <w:tc>
          <w:tcPr>
            <w:tcW w:w="680" w:type="pct"/>
            <w:noWrap w:val="0"/>
            <w:vAlign w:val="center"/>
          </w:tcPr>
          <w:p w14:paraId="539CF478">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裸地</w:t>
            </w:r>
          </w:p>
        </w:tc>
        <w:tc>
          <w:tcPr>
            <w:tcW w:w="819" w:type="pct"/>
            <w:noWrap w:val="0"/>
            <w:vAlign w:val="top"/>
          </w:tcPr>
          <w:p w14:paraId="76123598">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植物种类数</w:t>
            </w:r>
          </w:p>
        </w:tc>
        <w:tc>
          <w:tcPr>
            <w:tcW w:w="1415" w:type="pct"/>
            <w:noWrap w:val="0"/>
            <w:vAlign w:val="top"/>
          </w:tcPr>
          <w:p w14:paraId="385E5955">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749" w:type="pct"/>
            <w:noWrap w:val="0"/>
            <w:vAlign w:val="center"/>
          </w:tcPr>
          <w:p w14:paraId="5F8395C2">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植被总盖度</w:t>
            </w:r>
          </w:p>
        </w:tc>
        <w:tc>
          <w:tcPr>
            <w:tcW w:w="701" w:type="pct"/>
            <w:noWrap w:val="0"/>
            <w:vAlign w:val="center"/>
          </w:tcPr>
          <w:p w14:paraId="578CAAB9">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r>
      <w:tr w14:paraId="419DB8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4" w:type="pct"/>
            <w:noWrap w:val="0"/>
            <w:vAlign w:val="center"/>
          </w:tcPr>
          <w:p w14:paraId="78A921D6">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序号</w:t>
            </w:r>
          </w:p>
        </w:tc>
        <w:tc>
          <w:tcPr>
            <w:tcW w:w="680" w:type="pct"/>
            <w:noWrap w:val="0"/>
            <w:vAlign w:val="center"/>
          </w:tcPr>
          <w:p w14:paraId="30E2FB90">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植物名称</w:t>
            </w:r>
          </w:p>
        </w:tc>
        <w:tc>
          <w:tcPr>
            <w:tcW w:w="819" w:type="pct"/>
            <w:noWrap w:val="0"/>
            <w:vAlign w:val="top"/>
          </w:tcPr>
          <w:p w14:paraId="124D7813">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数量（株）</w:t>
            </w:r>
          </w:p>
        </w:tc>
        <w:tc>
          <w:tcPr>
            <w:tcW w:w="2164" w:type="pct"/>
            <w:gridSpan w:val="2"/>
            <w:noWrap w:val="0"/>
            <w:vAlign w:val="top"/>
          </w:tcPr>
          <w:p w14:paraId="0962F0C0">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高度（cm）</w:t>
            </w:r>
          </w:p>
        </w:tc>
        <w:tc>
          <w:tcPr>
            <w:tcW w:w="701" w:type="pct"/>
            <w:noWrap w:val="0"/>
            <w:vAlign w:val="center"/>
          </w:tcPr>
          <w:p w14:paraId="78D18AAC">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多度</w:t>
            </w:r>
          </w:p>
        </w:tc>
      </w:tr>
      <w:tr w14:paraId="5B12EF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4" w:type="pct"/>
            <w:noWrap w:val="0"/>
            <w:vAlign w:val="center"/>
          </w:tcPr>
          <w:p w14:paraId="319095F5">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680" w:type="pct"/>
            <w:noWrap w:val="0"/>
            <w:vAlign w:val="center"/>
          </w:tcPr>
          <w:p w14:paraId="70C22A7B">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骆驼刺</w:t>
            </w:r>
          </w:p>
        </w:tc>
        <w:tc>
          <w:tcPr>
            <w:tcW w:w="819" w:type="pct"/>
            <w:noWrap w:val="0"/>
            <w:vAlign w:val="center"/>
          </w:tcPr>
          <w:p w14:paraId="41D3A658">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2164" w:type="pct"/>
            <w:gridSpan w:val="2"/>
            <w:noWrap w:val="0"/>
            <w:vAlign w:val="center"/>
          </w:tcPr>
          <w:p w14:paraId="5F08791D">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5-10</w:t>
            </w:r>
          </w:p>
        </w:tc>
        <w:tc>
          <w:tcPr>
            <w:tcW w:w="701" w:type="pct"/>
            <w:noWrap w:val="0"/>
            <w:vAlign w:val="center"/>
          </w:tcPr>
          <w:p w14:paraId="3A207D71">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SP</w:t>
            </w:r>
          </w:p>
        </w:tc>
      </w:tr>
      <w:tr w14:paraId="0696A8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6"/>
            <w:noWrap w:val="0"/>
            <w:vAlign w:val="top"/>
          </w:tcPr>
          <w:p w14:paraId="6D46660E">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群落样方编号</w:t>
            </w:r>
            <w:r>
              <w:rPr>
                <w:rFonts w:hint="eastAsia" w:cs="Times New Roman"/>
                <w:b/>
                <w:color w:val="auto"/>
                <w:kern w:val="2"/>
                <w:sz w:val="21"/>
                <w:szCs w:val="21"/>
                <w:highlight w:val="none"/>
                <w:lang w:val="en-US" w:eastAsia="zh-CN" w:bidi="ar-SA"/>
              </w:rPr>
              <w:t>2</w:t>
            </w:r>
          </w:p>
        </w:tc>
      </w:tr>
      <w:tr w14:paraId="32ED92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 w:hRule="atLeast"/>
          <w:jc w:val="center"/>
        </w:trPr>
        <w:tc>
          <w:tcPr>
            <w:tcW w:w="634" w:type="pct"/>
            <w:noWrap w:val="0"/>
            <w:vAlign w:val="center"/>
          </w:tcPr>
          <w:p w14:paraId="74A48328">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调查日期</w:t>
            </w:r>
          </w:p>
        </w:tc>
        <w:tc>
          <w:tcPr>
            <w:tcW w:w="680" w:type="pct"/>
            <w:noWrap w:val="0"/>
            <w:vAlign w:val="center"/>
          </w:tcPr>
          <w:p w14:paraId="6BAAE366">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2025.</w:t>
            </w:r>
            <w:r>
              <w:rPr>
                <w:rFonts w:hint="eastAsia" w:cs="Times New Roman"/>
                <w:color w:val="auto"/>
                <w:kern w:val="2"/>
                <w:sz w:val="21"/>
                <w:szCs w:val="21"/>
                <w:highlight w:val="none"/>
                <w:lang w:val="en-US" w:eastAsia="zh-CN" w:bidi="ar-SA"/>
              </w:rPr>
              <w:t>12</w:t>
            </w:r>
            <w:r>
              <w:rPr>
                <w:rFonts w:hint="default" w:ascii="Times New Roman" w:hAnsi="Times New Roman" w:eastAsia="宋体" w:cs="Times New Roman"/>
                <w:color w:val="auto"/>
                <w:kern w:val="2"/>
                <w:sz w:val="21"/>
                <w:szCs w:val="21"/>
                <w:highlight w:val="none"/>
                <w:lang w:val="en-US" w:eastAsia="zh-CN" w:bidi="ar-SA"/>
              </w:rPr>
              <w:t>.1</w:t>
            </w:r>
            <w:r>
              <w:rPr>
                <w:rFonts w:hint="eastAsia" w:cs="Times New Roman"/>
                <w:color w:val="auto"/>
                <w:kern w:val="2"/>
                <w:sz w:val="21"/>
                <w:szCs w:val="21"/>
                <w:highlight w:val="none"/>
                <w:lang w:val="en-US" w:eastAsia="zh-CN" w:bidi="ar-SA"/>
              </w:rPr>
              <w:t>4</w:t>
            </w:r>
          </w:p>
        </w:tc>
        <w:tc>
          <w:tcPr>
            <w:tcW w:w="819" w:type="pct"/>
            <w:noWrap w:val="0"/>
            <w:vAlign w:val="top"/>
          </w:tcPr>
          <w:p w14:paraId="0A398334">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调查地点</w:t>
            </w:r>
          </w:p>
        </w:tc>
        <w:tc>
          <w:tcPr>
            <w:tcW w:w="1415" w:type="pct"/>
            <w:noWrap w:val="0"/>
            <w:vAlign w:val="top"/>
          </w:tcPr>
          <w:p w14:paraId="690527D0">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拟建选厂尾矿库</w:t>
            </w:r>
          </w:p>
        </w:tc>
        <w:tc>
          <w:tcPr>
            <w:tcW w:w="749" w:type="pct"/>
            <w:noWrap w:val="0"/>
            <w:vAlign w:val="center"/>
          </w:tcPr>
          <w:p w14:paraId="56AAA4FB">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样方面积</w:t>
            </w:r>
          </w:p>
        </w:tc>
        <w:tc>
          <w:tcPr>
            <w:tcW w:w="701" w:type="pct"/>
            <w:noWrap w:val="0"/>
            <w:vAlign w:val="center"/>
          </w:tcPr>
          <w:p w14:paraId="7B4F2B8F">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1m×1m</w:t>
            </w:r>
          </w:p>
        </w:tc>
      </w:tr>
      <w:tr w14:paraId="17799D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4" w:type="pct"/>
            <w:noWrap w:val="0"/>
            <w:vAlign w:val="center"/>
          </w:tcPr>
          <w:p w14:paraId="3F7A498D">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海拔</w:t>
            </w:r>
          </w:p>
        </w:tc>
        <w:tc>
          <w:tcPr>
            <w:tcW w:w="680" w:type="pct"/>
            <w:noWrap w:val="0"/>
            <w:vAlign w:val="center"/>
          </w:tcPr>
          <w:p w14:paraId="0A3B2706">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1163m</w:t>
            </w:r>
          </w:p>
        </w:tc>
        <w:tc>
          <w:tcPr>
            <w:tcW w:w="819" w:type="pct"/>
            <w:noWrap w:val="0"/>
            <w:vAlign w:val="top"/>
          </w:tcPr>
          <w:p w14:paraId="41F2CCD4">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土壤类型</w:t>
            </w:r>
          </w:p>
        </w:tc>
        <w:tc>
          <w:tcPr>
            <w:tcW w:w="1415" w:type="pct"/>
            <w:noWrap w:val="0"/>
            <w:vAlign w:val="top"/>
          </w:tcPr>
          <w:p w14:paraId="19ADDE51">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石膏盐盘棕漠土</w:t>
            </w:r>
          </w:p>
        </w:tc>
        <w:tc>
          <w:tcPr>
            <w:tcW w:w="749" w:type="pct"/>
            <w:noWrap w:val="0"/>
            <w:vAlign w:val="center"/>
          </w:tcPr>
          <w:p w14:paraId="5457AE95">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地形/地貌</w:t>
            </w:r>
          </w:p>
        </w:tc>
        <w:tc>
          <w:tcPr>
            <w:tcW w:w="701" w:type="pct"/>
            <w:noWrap w:val="0"/>
            <w:vAlign w:val="center"/>
          </w:tcPr>
          <w:p w14:paraId="09000578">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丘陵</w:t>
            </w:r>
          </w:p>
        </w:tc>
      </w:tr>
      <w:tr w14:paraId="5C0E08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4" w:type="pct"/>
            <w:noWrap w:val="0"/>
            <w:vAlign w:val="center"/>
          </w:tcPr>
          <w:p w14:paraId="47017E0F">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植被类型</w:t>
            </w:r>
          </w:p>
        </w:tc>
        <w:tc>
          <w:tcPr>
            <w:tcW w:w="680" w:type="pct"/>
            <w:noWrap w:val="0"/>
            <w:vAlign w:val="center"/>
          </w:tcPr>
          <w:p w14:paraId="49B9398E">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裸地</w:t>
            </w:r>
          </w:p>
        </w:tc>
        <w:tc>
          <w:tcPr>
            <w:tcW w:w="819" w:type="pct"/>
            <w:noWrap w:val="0"/>
            <w:vAlign w:val="top"/>
          </w:tcPr>
          <w:p w14:paraId="617F2ED6">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植物种类数</w:t>
            </w:r>
          </w:p>
        </w:tc>
        <w:tc>
          <w:tcPr>
            <w:tcW w:w="1415" w:type="pct"/>
            <w:noWrap w:val="0"/>
            <w:vAlign w:val="top"/>
          </w:tcPr>
          <w:p w14:paraId="15F4CD28">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749" w:type="pct"/>
            <w:noWrap w:val="0"/>
            <w:vAlign w:val="center"/>
          </w:tcPr>
          <w:p w14:paraId="211DA8B7">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植被总盖度</w:t>
            </w:r>
          </w:p>
        </w:tc>
        <w:tc>
          <w:tcPr>
            <w:tcW w:w="701" w:type="pct"/>
            <w:noWrap w:val="0"/>
            <w:vAlign w:val="center"/>
          </w:tcPr>
          <w:p w14:paraId="171E43D1">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r>
      <w:tr w14:paraId="7B6B32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4" w:type="pct"/>
            <w:noWrap w:val="0"/>
            <w:vAlign w:val="center"/>
          </w:tcPr>
          <w:p w14:paraId="09FB96BC">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序号</w:t>
            </w:r>
          </w:p>
        </w:tc>
        <w:tc>
          <w:tcPr>
            <w:tcW w:w="680" w:type="pct"/>
            <w:noWrap w:val="0"/>
            <w:vAlign w:val="center"/>
          </w:tcPr>
          <w:p w14:paraId="57C61280">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植物名称</w:t>
            </w:r>
          </w:p>
        </w:tc>
        <w:tc>
          <w:tcPr>
            <w:tcW w:w="819" w:type="pct"/>
            <w:noWrap w:val="0"/>
            <w:vAlign w:val="top"/>
          </w:tcPr>
          <w:p w14:paraId="7AA3A024">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数量（株）</w:t>
            </w:r>
          </w:p>
        </w:tc>
        <w:tc>
          <w:tcPr>
            <w:tcW w:w="2164" w:type="pct"/>
            <w:gridSpan w:val="2"/>
            <w:noWrap w:val="0"/>
            <w:vAlign w:val="top"/>
          </w:tcPr>
          <w:p w14:paraId="003D3F9E">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高度（cm）</w:t>
            </w:r>
          </w:p>
        </w:tc>
        <w:tc>
          <w:tcPr>
            <w:tcW w:w="701" w:type="pct"/>
            <w:noWrap w:val="0"/>
            <w:vAlign w:val="center"/>
          </w:tcPr>
          <w:p w14:paraId="4DD3AE34">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多度</w:t>
            </w:r>
          </w:p>
        </w:tc>
      </w:tr>
      <w:tr w14:paraId="76D1C1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4" w:type="pct"/>
            <w:noWrap w:val="0"/>
            <w:vAlign w:val="center"/>
          </w:tcPr>
          <w:p w14:paraId="3DABFB20">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680" w:type="pct"/>
            <w:noWrap w:val="0"/>
            <w:vAlign w:val="center"/>
          </w:tcPr>
          <w:p w14:paraId="3AF21D7B">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骆驼刺</w:t>
            </w:r>
          </w:p>
        </w:tc>
        <w:tc>
          <w:tcPr>
            <w:tcW w:w="819" w:type="pct"/>
            <w:noWrap w:val="0"/>
            <w:vAlign w:val="center"/>
          </w:tcPr>
          <w:p w14:paraId="3B9278ED">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2164" w:type="pct"/>
            <w:gridSpan w:val="2"/>
            <w:noWrap w:val="0"/>
            <w:vAlign w:val="center"/>
          </w:tcPr>
          <w:p w14:paraId="52CE885F">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5-10</w:t>
            </w:r>
          </w:p>
        </w:tc>
        <w:tc>
          <w:tcPr>
            <w:tcW w:w="701" w:type="pct"/>
            <w:noWrap w:val="0"/>
            <w:vAlign w:val="center"/>
          </w:tcPr>
          <w:p w14:paraId="2091B27A">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SP</w:t>
            </w:r>
          </w:p>
        </w:tc>
      </w:tr>
      <w:tr w14:paraId="44498A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6"/>
            <w:noWrap w:val="0"/>
            <w:vAlign w:val="top"/>
          </w:tcPr>
          <w:p w14:paraId="3A62EAC0">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群落样方编号</w:t>
            </w:r>
            <w:r>
              <w:rPr>
                <w:rFonts w:hint="eastAsia" w:cs="Times New Roman"/>
                <w:b/>
                <w:color w:val="auto"/>
                <w:kern w:val="2"/>
                <w:sz w:val="21"/>
                <w:szCs w:val="21"/>
                <w:highlight w:val="none"/>
                <w:lang w:val="en-US" w:eastAsia="zh-CN" w:bidi="ar-SA"/>
              </w:rPr>
              <w:t>3</w:t>
            </w:r>
          </w:p>
        </w:tc>
      </w:tr>
      <w:tr w14:paraId="035561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4" w:type="pct"/>
            <w:noWrap w:val="0"/>
            <w:vAlign w:val="center"/>
          </w:tcPr>
          <w:p w14:paraId="5742D67E">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调查日期</w:t>
            </w:r>
          </w:p>
        </w:tc>
        <w:tc>
          <w:tcPr>
            <w:tcW w:w="680" w:type="pct"/>
            <w:noWrap w:val="0"/>
            <w:vAlign w:val="center"/>
          </w:tcPr>
          <w:p w14:paraId="01FE0014">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2025.</w:t>
            </w:r>
            <w:r>
              <w:rPr>
                <w:rFonts w:hint="eastAsia" w:cs="Times New Roman"/>
                <w:color w:val="auto"/>
                <w:kern w:val="2"/>
                <w:sz w:val="21"/>
                <w:szCs w:val="21"/>
                <w:highlight w:val="none"/>
                <w:lang w:val="en-US" w:eastAsia="zh-CN" w:bidi="ar-SA"/>
              </w:rPr>
              <w:t>12</w:t>
            </w:r>
            <w:r>
              <w:rPr>
                <w:rFonts w:hint="default" w:ascii="Times New Roman" w:hAnsi="Times New Roman" w:eastAsia="宋体" w:cs="Times New Roman"/>
                <w:color w:val="auto"/>
                <w:kern w:val="2"/>
                <w:sz w:val="21"/>
                <w:szCs w:val="21"/>
                <w:highlight w:val="none"/>
                <w:lang w:val="en-US" w:eastAsia="zh-CN" w:bidi="ar-SA"/>
              </w:rPr>
              <w:t>.1</w:t>
            </w:r>
            <w:r>
              <w:rPr>
                <w:rFonts w:hint="eastAsia" w:cs="Times New Roman"/>
                <w:color w:val="auto"/>
                <w:kern w:val="2"/>
                <w:sz w:val="21"/>
                <w:szCs w:val="21"/>
                <w:highlight w:val="none"/>
                <w:lang w:val="en-US" w:eastAsia="zh-CN" w:bidi="ar-SA"/>
              </w:rPr>
              <w:t>4</w:t>
            </w:r>
          </w:p>
        </w:tc>
        <w:tc>
          <w:tcPr>
            <w:tcW w:w="819" w:type="pct"/>
            <w:noWrap w:val="0"/>
            <w:vAlign w:val="top"/>
          </w:tcPr>
          <w:p w14:paraId="116E1382">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调查地点</w:t>
            </w:r>
          </w:p>
        </w:tc>
        <w:tc>
          <w:tcPr>
            <w:tcW w:w="1415" w:type="pct"/>
            <w:noWrap w:val="0"/>
            <w:vAlign w:val="top"/>
          </w:tcPr>
          <w:p w14:paraId="3AB61877">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拟建选厂尾矿库</w:t>
            </w:r>
          </w:p>
        </w:tc>
        <w:tc>
          <w:tcPr>
            <w:tcW w:w="749" w:type="pct"/>
            <w:noWrap w:val="0"/>
            <w:vAlign w:val="center"/>
          </w:tcPr>
          <w:p w14:paraId="4279FBDF">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样方面积</w:t>
            </w:r>
          </w:p>
        </w:tc>
        <w:tc>
          <w:tcPr>
            <w:tcW w:w="701" w:type="pct"/>
            <w:noWrap w:val="0"/>
            <w:vAlign w:val="center"/>
          </w:tcPr>
          <w:p w14:paraId="50E1D11E">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1m×1m</w:t>
            </w:r>
          </w:p>
        </w:tc>
      </w:tr>
      <w:tr w14:paraId="64FDC5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4" w:type="pct"/>
            <w:noWrap w:val="0"/>
            <w:vAlign w:val="center"/>
          </w:tcPr>
          <w:p w14:paraId="0069FA0E">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海拔</w:t>
            </w:r>
          </w:p>
        </w:tc>
        <w:tc>
          <w:tcPr>
            <w:tcW w:w="680" w:type="pct"/>
            <w:noWrap w:val="0"/>
            <w:vAlign w:val="center"/>
          </w:tcPr>
          <w:p w14:paraId="45B01713">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1164m</w:t>
            </w:r>
          </w:p>
        </w:tc>
        <w:tc>
          <w:tcPr>
            <w:tcW w:w="819" w:type="pct"/>
            <w:noWrap w:val="0"/>
            <w:vAlign w:val="top"/>
          </w:tcPr>
          <w:p w14:paraId="3334B35F">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土壤类型</w:t>
            </w:r>
          </w:p>
        </w:tc>
        <w:tc>
          <w:tcPr>
            <w:tcW w:w="1415" w:type="pct"/>
            <w:noWrap w:val="0"/>
            <w:vAlign w:val="top"/>
          </w:tcPr>
          <w:p w14:paraId="4159DB1F">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石膏盐盘棕漠土</w:t>
            </w:r>
          </w:p>
        </w:tc>
        <w:tc>
          <w:tcPr>
            <w:tcW w:w="749" w:type="pct"/>
            <w:noWrap w:val="0"/>
            <w:vAlign w:val="center"/>
          </w:tcPr>
          <w:p w14:paraId="1B55EF34">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地形/地貌</w:t>
            </w:r>
          </w:p>
        </w:tc>
        <w:tc>
          <w:tcPr>
            <w:tcW w:w="701" w:type="pct"/>
            <w:noWrap w:val="0"/>
            <w:vAlign w:val="center"/>
          </w:tcPr>
          <w:p w14:paraId="0B9A40B8">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丘陵</w:t>
            </w:r>
          </w:p>
        </w:tc>
      </w:tr>
      <w:tr w14:paraId="7B902F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4" w:type="pct"/>
            <w:noWrap w:val="0"/>
            <w:vAlign w:val="center"/>
          </w:tcPr>
          <w:p w14:paraId="4D93E717">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植被类型</w:t>
            </w:r>
          </w:p>
        </w:tc>
        <w:tc>
          <w:tcPr>
            <w:tcW w:w="680" w:type="pct"/>
            <w:noWrap w:val="0"/>
            <w:vAlign w:val="center"/>
          </w:tcPr>
          <w:p w14:paraId="461D85DE">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裸地</w:t>
            </w:r>
          </w:p>
        </w:tc>
        <w:tc>
          <w:tcPr>
            <w:tcW w:w="819" w:type="pct"/>
            <w:noWrap w:val="0"/>
            <w:vAlign w:val="top"/>
          </w:tcPr>
          <w:p w14:paraId="75B6D542">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植物种类数</w:t>
            </w:r>
          </w:p>
        </w:tc>
        <w:tc>
          <w:tcPr>
            <w:tcW w:w="1415" w:type="pct"/>
            <w:noWrap w:val="0"/>
            <w:vAlign w:val="top"/>
          </w:tcPr>
          <w:p w14:paraId="5F9397C7">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749" w:type="pct"/>
            <w:noWrap w:val="0"/>
            <w:vAlign w:val="center"/>
          </w:tcPr>
          <w:p w14:paraId="756327A5">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植被总盖度</w:t>
            </w:r>
          </w:p>
        </w:tc>
        <w:tc>
          <w:tcPr>
            <w:tcW w:w="701" w:type="pct"/>
            <w:noWrap w:val="0"/>
            <w:vAlign w:val="center"/>
          </w:tcPr>
          <w:p w14:paraId="36D84582">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r>
      <w:tr w14:paraId="144D94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4" w:type="pct"/>
            <w:noWrap w:val="0"/>
            <w:vAlign w:val="center"/>
          </w:tcPr>
          <w:p w14:paraId="557AFDD2">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序号</w:t>
            </w:r>
          </w:p>
        </w:tc>
        <w:tc>
          <w:tcPr>
            <w:tcW w:w="680" w:type="pct"/>
            <w:noWrap w:val="0"/>
            <w:vAlign w:val="center"/>
          </w:tcPr>
          <w:p w14:paraId="5203D2B7">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植物名称</w:t>
            </w:r>
          </w:p>
        </w:tc>
        <w:tc>
          <w:tcPr>
            <w:tcW w:w="819" w:type="pct"/>
            <w:noWrap w:val="0"/>
            <w:vAlign w:val="top"/>
          </w:tcPr>
          <w:p w14:paraId="313E7A3C">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数量（株）</w:t>
            </w:r>
          </w:p>
        </w:tc>
        <w:tc>
          <w:tcPr>
            <w:tcW w:w="2164" w:type="pct"/>
            <w:gridSpan w:val="2"/>
            <w:noWrap w:val="0"/>
            <w:vAlign w:val="top"/>
          </w:tcPr>
          <w:p w14:paraId="141E0398">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高度（cm）</w:t>
            </w:r>
          </w:p>
        </w:tc>
        <w:tc>
          <w:tcPr>
            <w:tcW w:w="701" w:type="pct"/>
            <w:noWrap w:val="0"/>
            <w:vAlign w:val="center"/>
          </w:tcPr>
          <w:p w14:paraId="0B813C52">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多度</w:t>
            </w:r>
          </w:p>
        </w:tc>
      </w:tr>
      <w:tr w14:paraId="79D5A0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4" w:type="pct"/>
            <w:noWrap w:val="0"/>
            <w:vAlign w:val="center"/>
          </w:tcPr>
          <w:p w14:paraId="0B18E129">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680" w:type="pct"/>
            <w:noWrap w:val="0"/>
            <w:vAlign w:val="center"/>
          </w:tcPr>
          <w:p w14:paraId="73F6880E">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骆驼刺</w:t>
            </w:r>
          </w:p>
        </w:tc>
        <w:tc>
          <w:tcPr>
            <w:tcW w:w="819" w:type="pct"/>
            <w:noWrap w:val="0"/>
            <w:vAlign w:val="center"/>
          </w:tcPr>
          <w:p w14:paraId="5569B3DA">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2164" w:type="pct"/>
            <w:gridSpan w:val="2"/>
            <w:noWrap w:val="0"/>
            <w:vAlign w:val="center"/>
          </w:tcPr>
          <w:p w14:paraId="56BC0631">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5-10</w:t>
            </w:r>
          </w:p>
        </w:tc>
        <w:tc>
          <w:tcPr>
            <w:tcW w:w="701" w:type="pct"/>
            <w:noWrap w:val="0"/>
            <w:vAlign w:val="center"/>
          </w:tcPr>
          <w:p w14:paraId="1C598228">
            <w:pPr>
              <w:keepNext w:val="0"/>
              <w:keepLines w:val="0"/>
              <w:widowControl w:val="0"/>
              <w:suppressLineNumbers w:val="0"/>
              <w:spacing w:before="0" w:beforeAutospacing="0" w:after="0" w:afterAutospacing="0" w:line="360" w:lineRule="exact"/>
              <w:ind w:left="-120" w:leftChars="-50" w:right="-120"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SP</w:t>
            </w:r>
          </w:p>
        </w:tc>
      </w:tr>
    </w:tbl>
    <w:p w14:paraId="161AB035">
      <w:pPr>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样方照片见下图。</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74"/>
      </w:tblGrid>
      <w:tr w14:paraId="06FEFC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5" w:hRule="atLeast"/>
          <w:jc w:val="center"/>
        </w:trPr>
        <w:tc>
          <w:tcPr>
            <w:tcW w:w="9174" w:type="dxa"/>
            <w:noWrap w:val="0"/>
            <w:vAlign w:val="center"/>
          </w:tcPr>
          <w:p w14:paraId="6D9F6D68">
            <w:pPr>
              <w:keepNext w:val="0"/>
              <w:keepLines w:val="0"/>
              <w:pageBreakBefore w:val="0"/>
              <w:widowControl w:val="0"/>
              <w:suppressLineNumbers w:val="0"/>
              <w:kinsoku/>
              <w:wordWrap/>
              <w:overflowPunct/>
              <w:topLinePunct w:val="0"/>
              <w:bidi w:val="0"/>
              <w:snapToGrid/>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drawing>
                <wp:inline distT="0" distB="0" distL="114300" distR="114300">
                  <wp:extent cx="3839845" cy="2879725"/>
                  <wp:effectExtent l="0" t="0" r="8255" b="15875"/>
                  <wp:docPr id="20" name="图片 20" descr="2a4dd25cfd60b2ca57aabad1b179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a4dd25cfd60b2ca57aabad1b1792708"/>
                          <pic:cNvPicPr>
                            <a:picLocks noChangeAspect="1"/>
                          </pic:cNvPicPr>
                        </pic:nvPicPr>
                        <pic:blipFill>
                          <a:blip r:embed="rId34"/>
                          <a:stretch>
                            <a:fillRect/>
                          </a:stretch>
                        </pic:blipFill>
                        <pic:spPr>
                          <a:xfrm>
                            <a:off x="0" y="0"/>
                            <a:ext cx="3839845" cy="2879725"/>
                          </a:xfrm>
                          <a:prstGeom prst="rect">
                            <a:avLst/>
                          </a:prstGeom>
                        </pic:spPr>
                      </pic:pic>
                    </a:graphicData>
                  </a:graphic>
                </wp:inline>
              </w:drawing>
            </w:r>
          </w:p>
        </w:tc>
      </w:tr>
      <w:tr w14:paraId="0247A6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74" w:type="dxa"/>
            <w:noWrap w:val="0"/>
            <w:vAlign w:val="center"/>
          </w:tcPr>
          <w:p w14:paraId="61C34FE3">
            <w:pPr>
              <w:keepNext w:val="0"/>
              <w:keepLines w:val="0"/>
              <w:pageBreakBefore w:val="0"/>
              <w:widowControl w:val="0"/>
              <w:suppressLineNumbers w:val="0"/>
              <w:kinsoku/>
              <w:wordWrap/>
              <w:overflowPunct/>
              <w:topLinePunct w:val="0"/>
              <w:bidi w:val="0"/>
              <w:snapToGrid/>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样方</w:t>
            </w:r>
            <w:r>
              <w:rPr>
                <w:rFonts w:hint="eastAsia" w:cs="Times New Roman"/>
                <w:color w:val="auto"/>
                <w:kern w:val="2"/>
                <w:sz w:val="21"/>
                <w:szCs w:val="21"/>
                <w:highlight w:val="none"/>
                <w:lang w:val="en-US" w:eastAsia="zh-CN" w:bidi="ar-SA"/>
              </w:rPr>
              <w:t>一</w:t>
            </w:r>
          </w:p>
        </w:tc>
      </w:tr>
      <w:tr w14:paraId="131124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5" w:hRule="atLeast"/>
          <w:jc w:val="center"/>
        </w:trPr>
        <w:tc>
          <w:tcPr>
            <w:tcW w:w="9174" w:type="dxa"/>
            <w:noWrap w:val="0"/>
            <w:vAlign w:val="center"/>
          </w:tcPr>
          <w:p w14:paraId="1C45BA09">
            <w:pPr>
              <w:keepNext w:val="0"/>
              <w:keepLines w:val="0"/>
              <w:pageBreakBefore w:val="0"/>
              <w:widowControl w:val="0"/>
              <w:suppressLineNumbers w:val="0"/>
              <w:kinsoku/>
              <w:wordWrap/>
              <w:overflowPunct/>
              <w:topLinePunct w:val="0"/>
              <w:bidi w:val="0"/>
              <w:snapToGrid/>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drawing>
                <wp:inline distT="0" distB="0" distL="114300" distR="114300">
                  <wp:extent cx="3839210" cy="2879725"/>
                  <wp:effectExtent l="0" t="0" r="8890" b="15875"/>
                  <wp:docPr id="3" name="图片 3" descr="6b1d17909c611fa789f407b282c9fc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b1d17909c611fa789f407b282c9fcd9"/>
                          <pic:cNvPicPr>
                            <a:picLocks noChangeAspect="1"/>
                          </pic:cNvPicPr>
                        </pic:nvPicPr>
                        <pic:blipFill>
                          <a:blip r:embed="rId35"/>
                          <a:stretch>
                            <a:fillRect/>
                          </a:stretch>
                        </pic:blipFill>
                        <pic:spPr>
                          <a:xfrm>
                            <a:off x="0" y="0"/>
                            <a:ext cx="3839210" cy="2879725"/>
                          </a:xfrm>
                          <a:prstGeom prst="rect">
                            <a:avLst/>
                          </a:prstGeom>
                        </pic:spPr>
                      </pic:pic>
                    </a:graphicData>
                  </a:graphic>
                </wp:inline>
              </w:drawing>
            </w:r>
          </w:p>
        </w:tc>
      </w:tr>
      <w:tr w14:paraId="53BBB7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74" w:type="dxa"/>
            <w:noWrap w:val="0"/>
            <w:vAlign w:val="center"/>
          </w:tcPr>
          <w:p w14:paraId="187DDEAA">
            <w:pPr>
              <w:keepNext w:val="0"/>
              <w:keepLines w:val="0"/>
              <w:pageBreakBefore w:val="0"/>
              <w:widowControl w:val="0"/>
              <w:suppressLineNumbers w:val="0"/>
              <w:kinsoku/>
              <w:wordWrap/>
              <w:overflowPunct/>
              <w:topLinePunct w:val="0"/>
              <w:bidi w:val="0"/>
              <w:snapToGrid/>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样方</w:t>
            </w:r>
            <w:r>
              <w:rPr>
                <w:rFonts w:hint="eastAsia" w:cs="Times New Roman"/>
                <w:color w:val="auto"/>
                <w:kern w:val="2"/>
                <w:sz w:val="21"/>
                <w:szCs w:val="21"/>
                <w:highlight w:val="none"/>
                <w:lang w:val="en-US" w:eastAsia="zh-CN" w:bidi="ar-SA"/>
              </w:rPr>
              <w:t>二</w:t>
            </w:r>
          </w:p>
        </w:tc>
      </w:tr>
      <w:tr w14:paraId="364CA8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5" w:hRule="atLeast"/>
          <w:jc w:val="center"/>
        </w:trPr>
        <w:tc>
          <w:tcPr>
            <w:tcW w:w="9174" w:type="dxa"/>
            <w:noWrap w:val="0"/>
            <w:vAlign w:val="center"/>
          </w:tcPr>
          <w:p w14:paraId="321BFC9D">
            <w:pPr>
              <w:keepNext w:val="0"/>
              <w:keepLines w:val="0"/>
              <w:pageBreakBefore w:val="0"/>
              <w:widowControl w:val="0"/>
              <w:suppressLineNumbers w:val="0"/>
              <w:kinsoku/>
              <w:wordWrap/>
              <w:overflowPunct/>
              <w:topLinePunct w:val="0"/>
              <w:bidi w:val="0"/>
              <w:snapToGrid/>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drawing>
                <wp:inline distT="0" distB="0" distL="114300" distR="114300">
                  <wp:extent cx="3839845" cy="2879725"/>
                  <wp:effectExtent l="0" t="0" r="8255" b="15875"/>
                  <wp:docPr id="24" name="图片 24" descr="8df97beebcfd9b5eaf106974ec2fa6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8df97beebcfd9b5eaf106974ec2fa6ca"/>
                          <pic:cNvPicPr>
                            <a:picLocks noChangeAspect="1"/>
                          </pic:cNvPicPr>
                        </pic:nvPicPr>
                        <pic:blipFill>
                          <a:blip r:embed="rId36"/>
                          <a:stretch>
                            <a:fillRect/>
                          </a:stretch>
                        </pic:blipFill>
                        <pic:spPr>
                          <a:xfrm>
                            <a:off x="0" y="0"/>
                            <a:ext cx="3839845" cy="2879725"/>
                          </a:xfrm>
                          <a:prstGeom prst="rect">
                            <a:avLst/>
                          </a:prstGeom>
                        </pic:spPr>
                      </pic:pic>
                    </a:graphicData>
                  </a:graphic>
                </wp:inline>
              </w:drawing>
            </w:r>
          </w:p>
        </w:tc>
      </w:tr>
      <w:tr w14:paraId="28D083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74" w:type="dxa"/>
            <w:noWrap w:val="0"/>
            <w:vAlign w:val="center"/>
          </w:tcPr>
          <w:p w14:paraId="33AD8234">
            <w:pPr>
              <w:keepNext w:val="0"/>
              <w:keepLines w:val="0"/>
              <w:pageBreakBefore w:val="0"/>
              <w:widowControl w:val="0"/>
              <w:suppressLineNumbers w:val="0"/>
              <w:kinsoku/>
              <w:wordWrap/>
              <w:overflowPunct/>
              <w:topLinePunct w:val="0"/>
              <w:bidi w:val="0"/>
              <w:snapToGrid/>
              <w:spacing w:before="0" w:beforeAutospacing="0" w:after="0" w:afterAutospacing="0" w:line="240" w:lineRule="atLeast"/>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样方</w:t>
            </w:r>
            <w:r>
              <w:rPr>
                <w:rFonts w:hint="eastAsia" w:ascii="Times New Roman" w:hAnsi="Times New Roman" w:eastAsia="宋体" w:cs="Times New Roman"/>
                <w:color w:val="auto"/>
                <w:kern w:val="2"/>
                <w:sz w:val="21"/>
                <w:szCs w:val="21"/>
                <w:highlight w:val="none"/>
                <w:lang w:val="en-US" w:eastAsia="zh-CN" w:bidi="ar-SA"/>
              </w:rPr>
              <w:t>三</w:t>
            </w:r>
          </w:p>
        </w:tc>
      </w:tr>
    </w:tbl>
    <w:p w14:paraId="408FE77A">
      <w:pPr>
        <w:pStyle w:val="5"/>
        <w:ind w:firstLine="482"/>
        <w:rPr>
          <w:rFonts w:hint="default" w:ascii="Times New Roman" w:hAnsi="Times New Roman" w:cs="Times New Roman"/>
          <w:color w:val="auto"/>
          <w:highlight w:val="none"/>
          <w:lang w:val="de-DE"/>
        </w:rPr>
      </w:pPr>
      <w:r>
        <w:rPr>
          <w:rFonts w:hint="default" w:ascii="Times New Roman" w:hAnsi="Times New Roman" w:cs="Times New Roman"/>
          <w:color w:val="auto"/>
          <w:highlight w:val="none"/>
        </w:rPr>
        <w:t>4.2.6.4</w:t>
      </w:r>
      <w:r>
        <w:rPr>
          <w:rFonts w:hint="default" w:ascii="Times New Roman" w:hAnsi="Times New Roman" w:cs="Times New Roman"/>
          <w:color w:val="auto"/>
          <w:highlight w:val="none"/>
          <w:lang w:val="de-DE"/>
        </w:rPr>
        <w:t>区域动物现状</w:t>
      </w:r>
    </w:p>
    <w:p w14:paraId="44E49331">
      <w:pPr>
        <w:overflowPunct w:val="0"/>
        <w:topLinePunct/>
        <w:adjustRightInd w:val="0"/>
        <w:snapToGrid w:val="0"/>
        <w:ind w:firstLine="480"/>
        <w:rPr>
          <w:rFonts w:hint="default" w:ascii="Times New Roman" w:hAnsi="Times New Roman" w:cs="Times New Roman"/>
          <w:color w:val="auto"/>
          <w:highlight w:val="none"/>
          <w:shd w:val="clear" w:color="auto" w:fill="FFFFFF"/>
        </w:rPr>
      </w:pPr>
      <w:r>
        <w:rPr>
          <w:rFonts w:hint="default" w:ascii="Times New Roman" w:hAnsi="Times New Roman" w:cs="Times New Roman"/>
          <w:color w:val="auto"/>
          <w:highlight w:val="none"/>
          <w:shd w:val="clear" w:color="auto" w:fill="FFFFFF"/>
        </w:rPr>
        <w:t>哈密</w:t>
      </w:r>
      <w:r>
        <w:rPr>
          <w:rFonts w:hint="eastAsia" w:cs="Times New Roman"/>
          <w:color w:val="auto"/>
          <w:highlight w:val="none"/>
          <w:shd w:val="clear" w:color="auto" w:fill="FFFFFF"/>
          <w:lang w:val="en-US" w:eastAsia="zh-CN"/>
        </w:rPr>
        <w:t>市</w:t>
      </w:r>
      <w:r>
        <w:rPr>
          <w:rFonts w:hint="default" w:ascii="Times New Roman" w:hAnsi="Times New Roman" w:cs="Times New Roman"/>
          <w:color w:val="auto"/>
          <w:highlight w:val="none"/>
          <w:shd w:val="clear" w:color="auto" w:fill="FFFFFF"/>
        </w:rPr>
        <w:t>主要野生动物种类约有60余种，分布在北部山区、南部荒漠平原区及绿洲三种生态类型区。项目区域在中国动物地理区划中属古北界、中亚亚界、蒙新区、西部荒漠亚区、东疆小区。</w:t>
      </w:r>
    </w:p>
    <w:p w14:paraId="7CFCC1E8">
      <w:pPr>
        <w:keepNext w:val="0"/>
        <w:keepLines w:val="0"/>
        <w:pageBreakBefore w:val="0"/>
        <w:widowControl w:val="0"/>
        <w:kinsoku/>
        <w:wordWrap/>
        <w:overflowPunct w:val="0"/>
        <w:topLinePunct/>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highlight w:val="none"/>
          <w:shd w:val="clear" w:color="auto" w:fill="FFFFFF"/>
        </w:rPr>
      </w:pPr>
      <w:r>
        <w:rPr>
          <w:color w:val="auto"/>
          <w:sz w:val="21"/>
          <w:highlight w:val="none"/>
        </w:rPr>
        <w:drawing>
          <wp:anchor distT="0" distB="0" distL="114300" distR="114300" simplePos="0" relativeHeight="251677696" behindDoc="0" locked="0" layoutInCell="1" allowOverlap="1">
            <wp:simplePos x="0" y="0"/>
            <wp:positionH relativeFrom="column">
              <wp:posOffset>5076825</wp:posOffset>
            </wp:positionH>
            <wp:positionV relativeFrom="paragraph">
              <wp:posOffset>20955</wp:posOffset>
            </wp:positionV>
            <wp:extent cx="615950" cy="783590"/>
            <wp:effectExtent l="0" t="0" r="12700" b="16510"/>
            <wp:wrapNone/>
            <wp:docPr id="6" name="图片 6" descr="哈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哈密"/>
                    <pic:cNvPicPr>
                      <a:picLocks noChangeAspect="1"/>
                    </pic:cNvPicPr>
                  </pic:nvPicPr>
                  <pic:blipFill>
                    <a:blip r:embed="rId37"/>
                    <a:stretch>
                      <a:fillRect/>
                    </a:stretch>
                  </pic:blipFill>
                  <pic:spPr>
                    <a:xfrm>
                      <a:off x="9157335" y="751205"/>
                      <a:ext cx="615950" cy="783590"/>
                    </a:xfrm>
                    <a:prstGeom prst="rect">
                      <a:avLst/>
                    </a:prstGeom>
                  </pic:spPr>
                </pic:pic>
              </a:graphicData>
            </a:graphic>
          </wp:anchor>
        </w:drawing>
      </w:r>
      <w:r>
        <w:rPr>
          <w:color w:val="auto"/>
          <w:highlight w:val="none"/>
        </w:rPr>
        <w:drawing>
          <wp:inline distT="0" distB="0" distL="114300" distR="114300">
            <wp:extent cx="5684520" cy="4544060"/>
            <wp:effectExtent l="12700" t="12700" r="17780" b="15240"/>
            <wp:docPr id="3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4"/>
                    <pic:cNvPicPr>
                      <a:picLocks noChangeAspect="1"/>
                    </pic:cNvPicPr>
                  </pic:nvPicPr>
                  <pic:blipFill>
                    <a:blip r:embed="rId38"/>
                    <a:stretch>
                      <a:fillRect/>
                    </a:stretch>
                  </pic:blipFill>
                  <pic:spPr>
                    <a:xfrm>
                      <a:off x="0" y="0"/>
                      <a:ext cx="5684520" cy="4544060"/>
                    </a:xfrm>
                    <a:prstGeom prst="rect">
                      <a:avLst/>
                    </a:prstGeom>
                    <a:noFill/>
                    <a:ln w="12700" cmpd="sng">
                      <a:solidFill>
                        <a:schemeClr val="tx1"/>
                      </a:solidFill>
                      <a:prstDash val="solid"/>
                    </a:ln>
                  </pic:spPr>
                </pic:pic>
              </a:graphicData>
            </a:graphic>
          </wp:inline>
        </w:drawing>
      </w:r>
    </w:p>
    <w:p w14:paraId="78BAA469">
      <w:pPr>
        <w:widowControl w:val="0"/>
        <w:autoSpaceDE w:val="0"/>
        <w:autoSpaceDN w:val="0"/>
        <w:adjustRightInd w:val="0"/>
        <w:spacing w:line="480" w:lineRule="exact"/>
        <w:jc w:val="center"/>
        <w:rPr>
          <w:rFonts w:hint="default" w:ascii="Times New Roman" w:hAnsi="Times New Roman" w:cs="Times New Roman"/>
          <w:b/>
          <w:color w:val="auto"/>
          <w:kern w:val="0"/>
          <w:sz w:val="24"/>
          <w:szCs w:val="24"/>
          <w:highlight w:val="none"/>
          <w:lang w:bidi="ar"/>
        </w:rPr>
      </w:pPr>
      <w:r>
        <w:rPr>
          <w:rFonts w:hint="eastAsia" w:cs="Times New Roman"/>
          <w:b/>
          <w:bCs/>
          <w:color w:val="auto"/>
          <w:sz w:val="24"/>
          <w:szCs w:val="24"/>
          <w:highlight w:val="none"/>
          <w:lang w:val="en-US" w:eastAsia="zh-CN" w:bidi="ar-SA"/>
        </w:rPr>
        <w:t>图</w:t>
      </w:r>
      <w:r>
        <w:rPr>
          <w:rFonts w:hint="default" w:ascii="Times New Roman" w:hAnsi="Times New Roman" w:eastAsia="宋体" w:cs="Times New Roman"/>
          <w:b/>
          <w:bCs/>
          <w:color w:val="auto"/>
          <w:sz w:val="24"/>
          <w:szCs w:val="24"/>
          <w:highlight w:val="none"/>
          <w:lang w:val="en-US" w:eastAsia="zh-CN" w:bidi="ar-SA"/>
        </w:rPr>
        <w:t>4.2-</w:t>
      </w:r>
      <w:r>
        <w:rPr>
          <w:rFonts w:hint="eastAsia" w:cs="Times New Roman"/>
          <w:b/>
          <w:bCs/>
          <w:color w:val="auto"/>
          <w:sz w:val="24"/>
          <w:szCs w:val="24"/>
          <w:highlight w:val="none"/>
          <w:lang w:val="en-US" w:eastAsia="zh-CN" w:bidi="ar-SA"/>
        </w:rPr>
        <w:t>3</w:t>
      </w:r>
      <w:r>
        <w:rPr>
          <w:rFonts w:hint="default" w:ascii="Times New Roman" w:hAnsi="Times New Roman" w:eastAsia="宋体" w:cs="Times New Roman"/>
          <w:b/>
          <w:bCs/>
          <w:color w:val="auto"/>
          <w:sz w:val="24"/>
          <w:szCs w:val="24"/>
          <w:highlight w:val="none"/>
          <w:lang w:val="en-US" w:eastAsia="zh-CN" w:bidi="ar-SA"/>
        </w:rPr>
        <w:t xml:space="preserve">    野生动物调查样线</w:t>
      </w:r>
    </w:p>
    <w:p w14:paraId="08DF8B48">
      <w:pPr>
        <w:overflowPunct w:val="0"/>
        <w:topLinePunct/>
        <w:adjustRightInd w:val="0"/>
        <w:snapToGrid w:val="0"/>
        <w:ind w:firstLine="480"/>
        <w:rPr>
          <w:rFonts w:hint="default" w:ascii="Times New Roman" w:hAnsi="Times New Roman" w:eastAsia="宋体" w:cs="Times New Roman"/>
          <w:color w:val="auto"/>
          <w:highlight w:val="none"/>
          <w:shd w:val="clear" w:color="auto" w:fill="FFFFFF"/>
        </w:rPr>
      </w:pPr>
      <w:r>
        <w:rPr>
          <w:rFonts w:hint="default" w:ascii="Times New Roman" w:hAnsi="Times New Roman" w:eastAsia="宋体" w:cs="Times New Roman"/>
          <w:color w:val="auto"/>
          <w:highlight w:val="none"/>
          <w:shd w:val="clear" w:color="auto" w:fill="FFFFFF"/>
        </w:rPr>
        <w:t>经过与建设单位在</w:t>
      </w:r>
      <w:r>
        <w:rPr>
          <w:rFonts w:hint="eastAsia" w:cs="Times New Roman"/>
          <w:color w:val="auto"/>
          <w:highlight w:val="none"/>
          <w:shd w:val="clear" w:color="auto" w:fill="FFFFFF"/>
          <w:lang w:val="en-US" w:eastAsia="zh-CN"/>
        </w:rPr>
        <w:t>项目区</w:t>
      </w:r>
      <w:r>
        <w:rPr>
          <w:rFonts w:hint="default" w:ascii="Times New Roman" w:hAnsi="Times New Roman" w:eastAsia="宋体" w:cs="Times New Roman"/>
          <w:color w:val="auto"/>
          <w:highlight w:val="none"/>
          <w:shd w:val="clear" w:color="auto" w:fill="FFFFFF"/>
        </w:rPr>
        <w:t>设定的</w:t>
      </w:r>
      <w:r>
        <w:rPr>
          <w:rFonts w:hint="eastAsia" w:cs="Times New Roman"/>
          <w:color w:val="auto"/>
          <w:highlight w:val="none"/>
          <w:shd w:val="clear" w:color="auto" w:fill="FFFFFF"/>
          <w:lang w:val="en-US" w:eastAsia="zh-CN"/>
        </w:rPr>
        <w:t>4</w:t>
      </w:r>
      <w:r>
        <w:rPr>
          <w:rFonts w:hint="default" w:ascii="Times New Roman" w:hAnsi="Times New Roman" w:eastAsia="宋体" w:cs="Times New Roman"/>
          <w:color w:val="auto"/>
          <w:highlight w:val="none"/>
          <w:shd w:val="clear" w:color="auto" w:fill="FFFFFF"/>
        </w:rPr>
        <w:t>条野生动物调查样线沿途踏勘和资料收集，项目区域动物区系组成简单，野生动物种类及分布均很少。项目沿线评价范围内，未见国家、地方保护野生动物活动，并且</w:t>
      </w:r>
      <w:r>
        <w:rPr>
          <w:rFonts w:hint="eastAsia" w:cs="Times New Roman"/>
          <w:color w:val="auto"/>
          <w:highlight w:val="none"/>
          <w:shd w:val="clear" w:color="auto" w:fill="FFFFFF"/>
          <w:lang w:val="en-US" w:eastAsia="zh-CN"/>
        </w:rPr>
        <w:t>建设单位</w:t>
      </w:r>
      <w:r>
        <w:rPr>
          <w:rFonts w:hint="default" w:ascii="Times New Roman" w:hAnsi="Times New Roman" w:eastAsia="宋体" w:cs="Times New Roman"/>
          <w:color w:val="auto"/>
          <w:highlight w:val="none"/>
          <w:shd w:val="clear" w:color="auto" w:fill="FFFFFF"/>
        </w:rPr>
        <w:t>工作人员，在矿区范围附近极少见到动物活动，在沿样线踏勘途中未发现重点保护野生动物的踪迹（包括足印、粪便、体毛、爪印、食痕、睡窝、洞穴）。</w:t>
      </w:r>
    </w:p>
    <w:p w14:paraId="5F01CE40">
      <w:pPr>
        <w:pStyle w:val="5"/>
        <w:ind w:firstLine="482"/>
        <w:rPr>
          <w:rFonts w:hint="default" w:ascii="Times New Roman" w:hAnsi="Times New Roman" w:cs="Times New Roman"/>
          <w:color w:val="auto"/>
          <w:highlight w:val="none"/>
          <w:lang w:val="de-DE"/>
        </w:rPr>
      </w:pPr>
      <w:r>
        <w:rPr>
          <w:rFonts w:hint="default" w:ascii="Times New Roman" w:hAnsi="Times New Roman" w:cs="Times New Roman"/>
          <w:color w:val="auto"/>
          <w:highlight w:val="none"/>
        </w:rPr>
        <w:t>4.2.6.5</w:t>
      </w:r>
      <w:r>
        <w:rPr>
          <w:rFonts w:hint="default" w:ascii="Times New Roman" w:hAnsi="Times New Roman" w:cs="Times New Roman"/>
          <w:color w:val="auto"/>
          <w:highlight w:val="none"/>
          <w:lang w:val="de-DE"/>
        </w:rPr>
        <w:t>土地利用类型</w:t>
      </w:r>
    </w:p>
    <w:p w14:paraId="67A913A4">
      <w:pPr>
        <w:overflowPunct w:val="0"/>
        <w:topLinePunct/>
        <w:ind w:firstLine="480"/>
        <w:rPr>
          <w:rFonts w:hint="default" w:ascii="Times New Roman" w:hAnsi="Times New Roman" w:cs="Times New Roman"/>
          <w:color w:val="auto"/>
          <w:highlight w:val="none"/>
          <w:shd w:val="clear" w:color="auto" w:fill="FFFFFF"/>
        </w:rPr>
      </w:pPr>
      <w:r>
        <w:rPr>
          <w:rFonts w:hint="default" w:ascii="Times New Roman" w:hAnsi="Times New Roman" w:eastAsia="宋体" w:cs="Times New Roman"/>
          <w:snapToGrid/>
          <w:color w:val="auto"/>
          <w:kern w:val="2"/>
          <w:sz w:val="24"/>
          <w:szCs w:val="24"/>
          <w:highlight w:val="none"/>
          <w:lang w:val="en-US" w:eastAsia="zh-CN" w:bidi="ar-SA"/>
        </w:rPr>
        <w:t>本项目永久占地面积</w:t>
      </w:r>
      <w:r>
        <w:rPr>
          <w:rFonts w:hint="eastAsia" w:cs="Times New Roman"/>
          <w:snapToGrid/>
          <w:color w:val="auto"/>
          <w:kern w:val="2"/>
          <w:sz w:val="24"/>
          <w:szCs w:val="24"/>
          <w:highlight w:val="none"/>
          <w:lang w:val="en-US" w:eastAsia="zh-CN" w:bidi="ar-SA"/>
        </w:rPr>
        <w:t>为</w:t>
      </w:r>
      <w:r>
        <w:rPr>
          <w:rFonts w:hint="default" w:ascii="Times New Roman" w:hAnsi="Times New Roman" w:cs="Times New Roman"/>
          <w:snapToGrid/>
          <w:color w:val="auto"/>
          <w:kern w:val="2"/>
          <w:sz w:val="24"/>
          <w:szCs w:val="24"/>
          <w:highlight w:val="none"/>
          <w:lang w:val="en-US" w:eastAsia="zh-CN" w:bidi="ar-SA"/>
        </w:rPr>
        <w:t>18.</w:t>
      </w:r>
      <w:r>
        <w:rPr>
          <w:rFonts w:hint="eastAsia" w:cs="Times New Roman"/>
          <w:snapToGrid/>
          <w:color w:val="auto"/>
          <w:kern w:val="2"/>
          <w:sz w:val="24"/>
          <w:szCs w:val="24"/>
          <w:highlight w:val="none"/>
          <w:lang w:val="en-US" w:eastAsia="zh-CN" w:bidi="ar-SA"/>
        </w:rPr>
        <w:t>16614</w:t>
      </w:r>
      <w:r>
        <w:rPr>
          <w:rFonts w:hint="default" w:ascii="Times New Roman" w:hAnsi="Times New Roman" w:cs="Times New Roman"/>
          <w:snapToGrid/>
          <w:color w:val="auto"/>
          <w:kern w:val="2"/>
          <w:sz w:val="24"/>
          <w:szCs w:val="24"/>
          <w:highlight w:val="none"/>
          <w:lang w:val="en-US" w:eastAsia="zh-CN" w:bidi="ar-SA"/>
        </w:rPr>
        <w:t>h</w:t>
      </w:r>
      <w:r>
        <w:rPr>
          <w:rFonts w:hint="default" w:ascii="Times New Roman" w:hAnsi="Times New Roman" w:eastAsia="宋体" w:cs="Times New Roman"/>
          <w:snapToGrid/>
          <w:color w:val="auto"/>
          <w:kern w:val="2"/>
          <w:sz w:val="24"/>
          <w:szCs w:val="24"/>
          <w:highlight w:val="none"/>
          <w:lang w:val="en-US" w:eastAsia="zh-CN" w:bidi="ar-SA"/>
        </w:rPr>
        <w:t>m</w:t>
      </w:r>
      <w:r>
        <w:rPr>
          <w:rFonts w:hint="default" w:ascii="Times New Roman" w:hAnsi="Times New Roman" w:eastAsia="宋体" w:cs="Times New Roman"/>
          <w:snapToGrid/>
          <w:color w:val="auto"/>
          <w:kern w:val="2"/>
          <w:sz w:val="24"/>
          <w:szCs w:val="24"/>
          <w:highlight w:val="none"/>
          <w:vertAlign w:val="superscript"/>
          <w:lang w:val="en-US" w:eastAsia="zh-CN" w:bidi="ar-SA"/>
        </w:rPr>
        <w:t>2</w:t>
      </w:r>
      <w:r>
        <w:rPr>
          <w:rFonts w:hint="default" w:ascii="Times New Roman" w:hAnsi="Times New Roman" w:eastAsia="宋体" w:cs="Times New Roman"/>
          <w:snapToGrid/>
          <w:color w:val="auto"/>
          <w:kern w:val="2"/>
          <w:sz w:val="24"/>
          <w:szCs w:val="24"/>
          <w:highlight w:val="none"/>
          <w:lang w:val="en-US" w:eastAsia="zh-CN" w:bidi="ar-SA"/>
        </w:rPr>
        <w:t>，临时用地</w:t>
      </w:r>
      <w:r>
        <w:rPr>
          <w:rFonts w:hint="eastAsia" w:cs="Times New Roman"/>
          <w:snapToGrid/>
          <w:color w:val="auto"/>
          <w:kern w:val="2"/>
          <w:sz w:val="24"/>
          <w:szCs w:val="24"/>
          <w:highlight w:val="none"/>
          <w:lang w:val="en-US" w:eastAsia="zh-CN" w:bidi="ar-SA"/>
        </w:rPr>
        <w:t>面积为1.9989hm</w:t>
      </w:r>
      <w:r>
        <w:rPr>
          <w:rFonts w:hint="eastAsia" w:cs="Times New Roman"/>
          <w:snapToGrid/>
          <w:color w:val="auto"/>
          <w:kern w:val="2"/>
          <w:sz w:val="24"/>
          <w:szCs w:val="24"/>
          <w:highlight w:val="none"/>
          <w:vertAlign w:val="superscript"/>
          <w:lang w:val="en-US" w:eastAsia="zh-CN" w:bidi="ar-SA"/>
        </w:rPr>
        <w:t>2</w:t>
      </w:r>
      <w:r>
        <w:rPr>
          <w:rFonts w:hint="default" w:ascii="Times New Roman" w:hAnsi="Times New Roman" w:eastAsia="宋体" w:cs="Times New Roman"/>
          <w:snapToGrid/>
          <w:color w:val="auto"/>
          <w:kern w:val="2"/>
          <w:sz w:val="24"/>
          <w:szCs w:val="24"/>
          <w:highlight w:val="none"/>
          <w:lang w:val="en-US" w:eastAsia="zh-CN" w:bidi="ar-SA"/>
        </w:rPr>
        <w:t>，项目区土地利用现状为</w:t>
      </w:r>
      <w:r>
        <w:rPr>
          <w:rFonts w:hint="default" w:ascii="Times New Roman" w:hAnsi="Times New Roman" w:cs="Times New Roman"/>
          <w:snapToGrid/>
          <w:color w:val="auto"/>
          <w:kern w:val="2"/>
          <w:sz w:val="24"/>
          <w:szCs w:val="24"/>
          <w:highlight w:val="none"/>
          <w:lang w:val="en-US" w:eastAsia="zh-CN" w:bidi="ar-SA"/>
        </w:rPr>
        <w:t>裸岩石砾地</w:t>
      </w:r>
      <w:r>
        <w:rPr>
          <w:rFonts w:hint="default" w:ascii="Times New Roman" w:hAnsi="Times New Roman" w:cs="Times New Roman"/>
          <w:color w:val="auto"/>
          <w:highlight w:val="none"/>
          <w:shd w:val="clear" w:color="auto" w:fill="FFFFFF"/>
        </w:rPr>
        <w:t>，详见</w:t>
      </w:r>
      <w:r>
        <w:rPr>
          <w:rFonts w:hint="default" w:ascii="Times New Roman" w:hAnsi="Times New Roman" w:cs="Times New Roman"/>
          <w:color w:val="auto"/>
          <w:highlight w:val="none"/>
          <w:shd w:val="clear" w:color="auto" w:fill="FFFFFF"/>
          <w:lang w:val="en-US" w:eastAsia="zh-CN"/>
        </w:rPr>
        <w:t>附图</w:t>
      </w:r>
      <w:r>
        <w:rPr>
          <w:rFonts w:hint="default" w:ascii="Times New Roman" w:hAnsi="Times New Roman" w:cs="Times New Roman"/>
          <w:color w:val="auto"/>
          <w:highlight w:val="none"/>
          <w:shd w:val="clear" w:color="auto" w:fill="FFFFFF"/>
        </w:rPr>
        <w:t>4.2-</w:t>
      </w:r>
      <w:r>
        <w:rPr>
          <w:rFonts w:hint="default" w:ascii="Times New Roman" w:hAnsi="Times New Roman" w:cs="Times New Roman"/>
          <w:color w:val="auto"/>
          <w:highlight w:val="none"/>
          <w:shd w:val="clear" w:color="auto" w:fill="FFFFFF"/>
          <w:lang w:val="en-US" w:eastAsia="zh-CN"/>
        </w:rPr>
        <w:t>4</w:t>
      </w:r>
      <w:r>
        <w:rPr>
          <w:rFonts w:hint="default" w:ascii="Times New Roman" w:hAnsi="Times New Roman" w:cs="Times New Roman"/>
          <w:color w:val="auto"/>
          <w:highlight w:val="none"/>
          <w:shd w:val="clear" w:color="auto" w:fill="FFFFFF"/>
        </w:rPr>
        <w:t>。</w:t>
      </w:r>
    </w:p>
    <w:p w14:paraId="3DEE42BC">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4.2.6.</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土壤类型及分布</w:t>
      </w:r>
    </w:p>
    <w:p w14:paraId="2BAC2D12">
      <w:pPr>
        <w:spacing w:line="480" w:lineRule="exact"/>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按照《中国土壤》和《新疆土壤》等著述的土壤分类系统，依据《新疆维吾尔自治区土壤类型图，1：50万》和野外实地调查，区域土壤主要是石膏盐盘棕漠土。有机质含量3.78-4.02g/kg，土壤容重1.56-1.65g/cm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，土壤pH值8.1～8.2。</w:t>
      </w:r>
    </w:p>
    <w:p w14:paraId="582D0598">
      <w:pPr>
        <w:pStyle w:val="10"/>
        <w:rPr>
          <w:rFonts w:hint="eastAsia" w:ascii="Times New Roman" w:hAnsi="Times New Roman" w:cs="Times New Roman"/>
          <w:color w:val="auto"/>
          <w:highlight w:val="none"/>
          <w:shd w:val="clear" w:color="auto" w:fill="FFFFFF"/>
          <w:lang w:val="en-US" w:eastAsia="zh-CN"/>
        </w:rPr>
      </w:pPr>
      <w:r>
        <w:rPr>
          <w:rFonts w:hint="default" w:ascii="Times New Roman" w:hAnsi="Times New Roman" w:cs="Times New Roman"/>
          <w:color w:val="auto"/>
          <w:sz w:val="24"/>
          <w:szCs w:val="24"/>
          <w:highlight w:val="none"/>
        </w:rPr>
        <w:t>棕漠土是在极端干旱的气候条件下形成的土壤，主要分布于南疆和东疆各冲洪积扇上、中部的砾质戈壁上。生物过程极度微弱，在剖面中看不出明显的腐殖质层次。表层有机质含量极低，砂砾石含量15-20%，主要为棕色土、砂、砾石混杂层；中间以土和细砂为主；再下为基岩层非常坚硬。</w:t>
      </w:r>
      <w:r>
        <w:rPr>
          <w:rFonts w:hint="default" w:ascii="Times New Roman" w:hAnsi="Times New Roman" w:cs="Times New Roman"/>
          <w:color w:val="auto"/>
          <w:highlight w:val="none"/>
          <w:shd w:val="clear" w:color="auto" w:fill="FFFFFF"/>
          <w:lang w:val="en-US" w:eastAsia="zh-CN"/>
        </w:rPr>
        <w:t>土壤类型见附图4.2-5</w:t>
      </w:r>
      <w:r>
        <w:rPr>
          <w:rFonts w:hint="eastAsia" w:ascii="Times New Roman" w:hAnsi="Times New Roman" w:cs="Times New Roman"/>
          <w:color w:val="auto"/>
          <w:highlight w:val="none"/>
          <w:shd w:val="clear" w:color="auto" w:fill="FFFFFF"/>
          <w:lang w:val="en-US" w:eastAsia="zh-CN"/>
        </w:rPr>
        <w:t>。</w:t>
      </w:r>
    </w:p>
    <w:p w14:paraId="5A9CBA31">
      <w:pPr>
        <w:pStyle w:val="5"/>
        <w:ind w:firstLine="482"/>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4.2.6.</w:t>
      </w:r>
      <w:r>
        <w:rPr>
          <w:rFonts w:hint="eastAsia" w:cs="Times New Roman"/>
          <w:color w:val="auto"/>
          <w:highlight w:val="none"/>
          <w:lang w:val="en-US" w:eastAsia="zh-CN"/>
        </w:rPr>
        <w:t>7</w:t>
      </w:r>
      <w:r>
        <w:rPr>
          <w:rFonts w:hint="eastAsia" w:ascii="Times New Roman" w:hAnsi="Times New Roman" w:cs="Times New Roman"/>
          <w:color w:val="auto"/>
          <w:highlight w:val="none"/>
          <w:lang w:val="en-US" w:eastAsia="zh-CN"/>
        </w:rPr>
        <w:t>土地沙化现状</w:t>
      </w:r>
    </w:p>
    <w:p w14:paraId="13C330D4">
      <w:pPr>
        <w:pStyle w:val="10"/>
        <w:keepNext w:val="0"/>
        <w:keepLines w:val="0"/>
        <w:pageBreakBefore w:val="0"/>
        <w:widowControl/>
        <w:kinsoku/>
        <w:wordWrap/>
        <w:overflowPunct/>
        <w:topLinePunct w:val="0"/>
        <w:autoSpaceDE/>
        <w:autoSpaceDN/>
        <w:bidi w:val="0"/>
        <w:adjustRightInd/>
        <w:snapToGrid/>
        <w:spacing w:after="0"/>
        <w:textAlignment w:val="auto"/>
        <w:rPr>
          <w:rFonts w:hint="eastAsia" w:ascii="Times New Roman" w:hAnsi="Times New Roman" w:cs="Times New Roman"/>
          <w:color w:val="auto"/>
          <w:highlight w:val="none"/>
          <w:shd w:val="clear" w:color="auto" w:fill="FFFFFF"/>
          <w:lang w:val="en-US" w:eastAsia="zh-CN"/>
        </w:rPr>
      </w:pPr>
      <w:r>
        <w:rPr>
          <w:rFonts w:hint="eastAsia" w:ascii="Times New Roman" w:hAnsi="Times New Roman" w:cs="Times New Roman"/>
          <w:color w:val="auto"/>
          <w:highlight w:val="none"/>
          <w:shd w:val="clear" w:color="auto" w:fill="FFFFFF"/>
          <w:lang w:val="en-US" w:eastAsia="zh-CN"/>
        </w:rPr>
        <w:t>根据《新疆第六次沙化监测报告》（2021年12月），截至2019年底，新疆沙化土地面积7468.21万公顷，占监测区总面积的47.60%。报告指出，通过持续实施一系列防沙治沙工程，新疆沙化土地扩张趋势已初步扭转，沙化土地面积净减少2.43万公顷，年均减少0.49万公顷。但同时报告也强调，新疆深居亚欧大陆腹地，气候干旱，水资源短缺，生态系统脆弱，风沙作用强烈，荒漠基质占绝对优势，沙化土地面积大的局面并未得到实质性改变，且气候变化、极端天气和人类活动又增加了新疆风沙灾害风险，沙化土地保护与修复任务依然繁重。</w:t>
      </w:r>
    </w:p>
    <w:p w14:paraId="71C36D18">
      <w:pPr>
        <w:pStyle w:val="10"/>
        <w:keepNext w:val="0"/>
        <w:keepLines w:val="0"/>
        <w:pageBreakBefore w:val="0"/>
        <w:widowControl/>
        <w:kinsoku/>
        <w:wordWrap/>
        <w:overflowPunct/>
        <w:topLinePunct w:val="0"/>
        <w:autoSpaceDE/>
        <w:autoSpaceDN/>
        <w:bidi w:val="0"/>
        <w:adjustRightInd/>
        <w:snapToGrid/>
        <w:spacing w:after="0"/>
        <w:textAlignment w:val="auto"/>
        <w:rPr>
          <w:rFonts w:hint="eastAsia" w:ascii="Times New Roman" w:hAnsi="Times New Roman" w:cs="Times New Roman"/>
          <w:color w:val="auto"/>
          <w:highlight w:val="none"/>
          <w:shd w:val="clear" w:color="auto" w:fill="FFFFFF"/>
          <w:lang w:val="en-US" w:eastAsia="zh-CN"/>
        </w:rPr>
      </w:pPr>
      <w:r>
        <w:rPr>
          <w:rFonts w:hint="eastAsia" w:ascii="Times New Roman" w:hAnsi="Times New Roman" w:cs="Times New Roman"/>
          <w:color w:val="auto"/>
          <w:highlight w:val="none"/>
          <w:shd w:val="clear" w:color="auto" w:fill="FFFFFF"/>
          <w:lang w:val="en-US" w:eastAsia="zh-CN"/>
        </w:rPr>
        <w:t>本项目为萤石矿选矿及尾矿库工程，位于哈密市伊州区雅满苏镇南约90km处，行政区划属哈密市伊州区管辖。根据《新疆第六次沙化监测报告》第三章“沙化土地现状”及表3.1“行政区沙化土地分布状况表”，哈密市沙化监测区面积为1372.64万公顷，沙化土地面积929.55万公顷，占监测区面积的67.72%，占全疆沙化土地面积的12.45%，是新疆沙化土地面积较大的地州市之一，沙化防治任务较重。项目沙化土地类型见图4.2-6。</w:t>
      </w:r>
    </w:p>
    <w:p w14:paraId="108D7EDA">
      <w:pPr>
        <w:pStyle w:val="10"/>
        <w:keepNext w:val="0"/>
        <w:keepLines w:val="0"/>
        <w:pageBreakBefore w:val="0"/>
        <w:widowControl/>
        <w:kinsoku/>
        <w:wordWrap/>
        <w:overflowPunct/>
        <w:topLinePunct w:val="0"/>
        <w:autoSpaceDE/>
        <w:autoSpaceDN/>
        <w:bidi w:val="0"/>
        <w:adjustRightInd/>
        <w:snapToGrid/>
        <w:spacing w:after="0"/>
        <w:textAlignment w:val="auto"/>
        <w:rPr>
          <w:rFonts w:hint="eastAsia" w:ascii="Times New Roman" w:hAnsi="Times New Roman" w:cs="Times New Roman"/>
          <w:color w:val="auto"/>
          <w:highlight w:val="none"/>
          <w:shd w:val="clear" w:color="auto" w:fill="FFFFFF"/>
          <w:lang w:val="en-US" w:eastAsia="zh-CN"/>
        </w:rPr>
      </w:pPr>
      <w:r>
        <w:rPr>
          <w:rFonts w:hint="eastAsia" w:ascii="Times New Roman" w:hAnsi="Times New Roman" w:cs="Times New Roman"/>
          <w:color w:val="auto"/>
          <w:highlight w:val="none"/>
          <w:shd w:val="clear" w:color="auto" w:fill="FFFFFF"/>
          <w:lang w:val="en-US" w:eastAsia="zh-CN"/>
        </w:rPr>
        <w:t>本项目选址为裸岩石砾地，属于报告中“戈壁”类型（报告第3.4节显示，戈壁占沙化土地面积的41.03%）。项目不涉及流动沙地、固定沙地等植被覆盖度较高的敏感沙化类型，选址本身对沙化土地的直接扰动相对较小。</w:t>
      </w:r>
    </w:p>
    <w:p w14:paraId="3673405C">
      <w:pPr>
        <w:pStyle w:val="10"/>
        <w:keepNext w:val="0"/>
        <w:keepLines w:val="0"/>
        <w:pageBreakBefore w:val="0"/>
        <w:widowControl/>
        <w:kinsoku/>
        <w:wordWrap/>
        <w:overflowPunct/>
        <w:topLinePunct w:val="0"/>
        <w:autoSpaceDE/>
        <w:autoSpaceDN/>
        <w:bidi w:val="0"/>
        <w:adjustRightInd/>
        <w:snapToGrid/>
        <w:spacing w:after="0"/>
        <w:textAlignment w:val="auto"/>
        <w:rPr>
          <w:rFonts w:hint="eastAsia" w:ascii="Times New Roman" w:hAnsi="Times New Roman" w:cs="Times New Roman"/>
          <w:color w:val="auto"/>
          <w:highlight w:val="none"/>
          <w:shd w:val="clear" w:color="auto" w:fill="FFFFFF"/>
          <w:lang w:val="en-US" w:eastAsia="zh-CN"/>
        </w:rPr>
      </w:pPr>
      <w:r>
        <w:rPr>
          <w:rFonts w:hint="eastAsia" w:ascii="Times New Roman" w:hAnsi="Times New Roman" w:cs="Times New Roman"/>
          <w:color w:val="auto"/>
          <w:highlight w:val="none"/>
          <w:shd w:val="clear" w:color="auto" w:fill="FFFFFF"/>
          <w:lang w:val="en-US" w:eastAsia="zh-CN"/>
        </w:rPr>
        <w:t>本项目在设计和建设中采取了严格的生态环境保护措施：选矿厂粉尘采用布袋除尘器处理，尾矿库采取全库区HDPE膜防渗，生产废水闭路循环不外排，生活污水经处理后定期清运，从源头上减少了污染物排放对周边沙化土地的潜在影响。同时，项目严格控制占地范围，施工期和运营期加强水土保持和生态恢复，符合“预防为主”的要求。</w:t>
      </w:r>
    </w:p>
    <w:p w14:paraId="0D0A2877">
      <w:pPr>
        <w:pStyle w:val="10"/>
        <w:keepNext w:val="0"/>
        <w:keepLines w:val="0"/>
        <w:pageBreakBefore w:val="0"/>
        <w:widowControl/>
        <w:kinsoku/>
        <w:wordWrap/>
        <w:overflowPunct/>
        <w:topLinePunct w:val="0"/>
        <w:autoSpaceDE/>
        <w:autoSpaceDN/>
        <w:bidi w:val="0"/>
        <w:adjustRightInd/>
        <w:snapToGrid/>
        <w:spacing w:after="0"/>
        <w:textAlignment w:val="auto"/>
        <w:rPr>
          <w:rFonts w:hint="eastAsia" w:ascii="Times New Roman" w:hAnsi="Times New Roman" w:cs="Times New Roman"/>
          <w:color w:val="auto"/>
          <w:highlight w:val="none"/>
          <w:shd w:val="clear" w:color="auto" w:fill="FFFFFF"/>
          <w:lang w:val="en-US" w:eastAsia="zh-CN"/>
        </w:rPr>
      </w:pPr>
      <w:r>
        <w:rPr>
          <w:rFonts w:hint="eastAsia" w:ascii="Times New Roman" w:hAnsi="Times New Roman" w:cs="Times New Roman"/>
          <w:color w:val="auto"/>
          <w:highlight w:val="none"/>
          <w:shd w:val="clear" w:color="auto" w:fill="FFFFFF"/>
          <w:lang w:val="en-US" w:eastAsia="zh-CN"/>
        </w:rPr>
        <w:t>“在保障国家和自治区重点建设项目用地的同时，坚持最严格的节约用地制度，加大沙区建设项目环评材料审查力度，对于环评报告中无防沙治沙内容的不予批准”。本项目环评报告已明确提出了施工期和运营期的防沙治沙措施（如洒水降尘、减少地表扰动、植被恢复等），符合沙区建设项目环境管理的要求。</w:t>
      </w:r>
    </w:p>
    <w:p w14:paraId="3222DFD7">
      <w:pPr>
        <w:pStyle w:val="10"/>
        <w:keepNext w:val="0"/>
        <w:keepLines w:val="0"/>
        <w:pageBreakBefore w:val="0"/>
        <w:widowControl/>
        <w:kinsoku/>
        <w:wordWrap/>
        <w:overflowPunct/>
        <w:topLinePunct w:val="0"/>
        <w:autoSpaceDE/>
        <w:autoSpaceDN/>
        <w:bidi w:val="0"/>
        <w:adjustRightInd/>
        <w:snapToGrid/>
        <w:spacing w:after="0"/>
        <w:textAlignment w:val="auto"/>
        <w:rPr>
          <w:rFonts w:hint="default" w:ascii="Times New Roman" w:hAnsi="Times New Roman" w:cs="Times New Roman"/>
          <w:color w:val="auto"/>
          <w:highlight w:val="none"/>
          <w:shd w:val="clear" w:color="auto" w:fill="FFFFFF"/>
        </w:rPr>
      </w:pPr>
      <w:r>
        <w:rPr>
          <w:rFonts w:hint="eastAsia" w:ascii="Times New Roman" w:hAnsi="Times New Roman" w:cs="Times New Roman"/>
          <w:color w:val="auto"/>
          <w:highlight w:val="none"/>
          <w:shd w:val="clear" w:color="auto" w:fill="FFFFFF"/>
          <w:lang w:val="en-US" w:eastAsia="zh-CN"/>
        </w:rPr>
        <w:t>综上所述，本项目建设符合《新疆第六次沙化监测报告》中关于沙化土地分类管控、保护优先、预防为主、系统治理的总体要求，项目采取的污染防治和生态恢复措施有助于减少对区域沙化土地的扰动，符合新疆沙化防治的政策导向。</w:t>
      </w:r>
    </w:p>
    <w:p w14:paraId="33D0EBA7">
      <w:pPr>
        <w:pStyle w:val="5"/>
        <w:ind w:firstLine="482"/>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4.2.6.</w:t>
      </w:r>
      <w:r>
        <w:rPr>
          <w:rFonts w:hint="eastAsia" w:cs="Times New Roman"/>
          <w:color w:val="auto"/>
          <w:highlight w:val="none"/>
          <w:lang w:val="en-US" w:eastAsia="zh-CN"/>
        </w:rPr>
        <w:t>8</w:t>
      </w:r>
      <w:r>
        <w:rPr>
          <w:rFonts w:hint="eastAsia" w:ascii="Times New Roman" w:hAnsi="Times New Roman" w:cs="Times New Roman"/>
          <w:color w:val="auto"/>
          <w:highlight w:val="none"/>
          <w:lang w:val="en-US" w:eastAsia="zh-CN"/>
        </w:rPr>
        <w:t>辐射监测与评价</w:t>
      </w:r>
    </w:p>
    <w:p w14:paraId="5AD244AD">
      <w:pPr>
        <w:keepNext w:val="0"/>
        <w:keepLines w:val="0"/>
        <w:pageBreakBefore w:val="0"/>
        <w:widowControl w:val="0"/>
        <w:kinsoku/>
        <w:wordWrap/>
        <w:overflowPunct w:val="0"/>
        <w:topLinePunct/>
        <w:autoSpaceDE/>
        <w:autoSpaceDN/>
        <w:bidi w:val="0"/>
        <w:adjustRightInd/>
        <w:snapToGrid/>
        <w:ind w:firstLine="480" w:firstLineChars="200"/>
        <w:textAlignment w:val="auto"/>
        <w:rPr>
          <w:rFonts w:hint="default" w:ascii="Times New Roman" w:hAnsi="Times New Roman" w:cs="Times New Roman"/>
          <w:color w:val="auto"/>
          <w:highlight w:val="none"/>
        </w:rPr>
      </w:pPr>
      <w:r>
        <w:rPr>
          <w:rFonts w:hint="eastAsia" w:ascii="Times New Roman" w:hAnsi="Times New Roman" w:eastAsia="宋体" w:cs="Times New Roman"/>
          <w:color w:val="auto"/>
          <w:kern w:val="0"/>
          <w:sz w:val="24"/>
          <w:szCs w:val="24"/>
          <w:highlight w:val="none"/>
          <w:shd w:val="clear" w:color="auto" w:fill="FFFFFF"/>
          <w:lang w:val="en-US" w:eastAsia="zh-CN" w:bidi="ar-SA"/>
        </w:rPr>
        <w:t>根据生态环境部公告2020年第54号</w:t>
      </w:r>
      <w:r>
        <w:rPr>
          <w:rFonts w:hint="eastAsia" w:cs="Times New Roman"/>
          <w:color w:val="auto"/>
          <w:kern w:val="0"/>
          <w:sz w:val="24"/>
          <w:szCs w:val="24"/>
          <w:highlight w:val="none"/>
          <w:shd w:val="clear" w:color="auto" w:fill="FFFFFF"/>
          <w:lang w:val="en-US" w:eastAsia="zh-CN" w:bidi="ar-SA"/>
        </w:rPr>
        <w:t>“</w:t>
      </w:r>
      <w:r>
        <w:rPr>
          <w:rFonts w:hint="eastAsia" w:ascii="Times New Roman" w:hAnsi="Times New Roman" w:eastAsia="宋体" w:cs="Times New Roman"/>
          <w:color w:val="auto"/>
          <w:kern w:val="0"/>
          <w:sz w:val="24"/>
          <w:szCs w:val="24"/>
          <w:highlight w:val="none"/>
          <w:shd w:val="clear" w:color="auto" w:fill="FFFFFF"/>
          <w:lang w:val="en-US" w:eastAsia="zh-CN" w:bidi="ar-SA"/>
        </w:rPr>
        <w:t>关于发布《矿产资源开发利用辐射环境监督管理名录》的公告</w:t>
      </w:r>
      <w:r>
        <w:rPr>
          <w:rFonts w:hint="eastAsia" w:cs="Times New Roman"/>
          <w:color w:val="auto"/>
          <w:kern w:val="0"/>
          <w:sz w:val="24"/>
          <w:szCs w:val="24"/>
          <w:highlight w:val="none"/>
          <w:shd w:val="clear" w:color="auto" w:fill="FFFFFF"/>
          <w:lang w:val="en-US" w:eastAsia="zh-CN" w:bidi="ar-SA"/>
        </w:rPr>
        <w:t>”</w:t>
      </w:r>
      <w:r>
        <w:rPr>
          <w:rFonts w:hint="eastAsia" w:ascii="Times New Roman" w:hAnsi="Times New Roman" w:eastAsia="宋体" w:cs="Times New Roman"/>
          <w:color w:val="auto"/>
          <w:kern w:val="0"/>
          <w:sz w:val="24"/>
          <w:szCs w:val="24"/>
          <w:highlight w:val="none"/>
          <w:shd w:val="clear" w:color="auto" w:fill="FFFFFF"/>
          <w:lang w:val="en-US" w:eastAsia="zh-CN" w:bidi="ar-SA"/>
        </w:rPr>
        <w:t>，本项目开发利用的矿产资源不属于该名录矿产类别，无需开展辐射监测与评价专篇。</w:t>
      </w:r>
    </w:p>
    <w:p w14:paraId="1E4B8442">
      <w:pPr>
        <w:overflowPunct w:val="0"/>
        <w:topLinePunct/>
        <w:ind w:firstLine="0" w:firstLineChars="0"/>
        <w:rPr>
          <w:rFonts w:hint="default" w:ascii="Times New Roman" w:hAnsi="Times New Roman" w:cs="Times New Roman"/>
          <w:color w:val="auto"/>
          <w:highlight w:val="none"/>
        </w:rPr>
      </w:pPr>
    </w:p>
    <w:p w14:paraId="36FB5E2F">
      <w:pPr>
        <w:overflowPunct w:val="0"/>
        <w:topLinePunct/>
        <w:ind w:firstLine="0" w:firstLineChars="0"/>
        <w:rPr>
          <w:rFonts w:hint="default" w:ascii="Times New Roman" w:hAnsi="Times New Roman" w:cs="Times New Roman"/>
          <w:color w:val="auto"/>
          <w:highlight w:val="none"/>
        </w:rPr>
        <w:sectPr>
          <w:pgSz w:w="11906" w:h="16838"/>
          <w:pgMar w:top="1474" w:right="1474" w:bottom="1474" w:left="1474" w:header="850" w:footer="1020" w:gutter="0"/>
          <w:pgBorders>
            <w:top w:val="none" w:sz="0" w:space="0"/>
            <w:left w:val="none" w:sz="0" w:space="0"/>
            <w:bottom w:val="none" w:sz="0" w:space="0"/>
            <w:right w:val="none" w:sz="0" w:space="0"/>
          </w:pgBorders>
          <w:pgNumType w:fmt="decimal"/>
          <w:cols w:space="720" w:num="1"/>
          <w:docGrid w:linePitch="312" w:charSpace="0"/>
        </w:sectPr>
      </w:pPr>
    </w:p>
    <w:p w14:paraId="7AE75429">
      <w:pPr>
        <w:pStyle w:val="2"/>
        <w:spacing w:line="720" w:lineRule="exact"/>
        <w:rPr>
          <w:rFonts w:hint="default" w:ascii="Times New Roman" w:hAnsi="Times New Roman" w:cs="Times New Roman"/>
          <w:color w:val="auto"/>
          <w:highlight w:val="none"/>
        </w:rPr>
      </w:pPr>
      <w:bookmarkStart w:id="658" w:name="_Toc493523114"/>
      <w:bookmarkStart w:id="659" w:name="_Toc484105109"/>
      <w:bookmarkStart w:id="660" w:name="_Toc29195"/>
      <w:bookmarkStart w:id="661" w:name="_Toc26580"/>
      <w:bookmarkStart w:id="662" w:name="_Toc2272"/>
      <w:bookmarkStart w:id="663" w:name="_Toc5296"/>
      <w:bookmarkStart w:id="664" w:name="_Toc27520"/>
      <w:bookmarkStart w:id="665" w:name="_Toc107414663"/>
      <w:bookmarkStart w:id="666" w:name="_Toc14307"/>
      <w:bookmarkStart w:id="667" w:name="_Toc107413896"/>
      <w:bookmarkStart w:id="668" w:name="_Toc22456"/>
      <w:bookmarkStart w:id="669" w:name="_Toc9731"/>
      <w:bookmarkStart w:id="670" w:name="_Toc20316"/>
      <w:bookmarkStart w:id="671" w:name="_Toc20787"/>
      <w:bookmarkStart w:id="672" w:name="_Toc13282"/>
      <w:bookmarkStart w:id="673" w:name="_Toc15490"/>
      <w:bookmarkStart w:id="674" w:name="_Toc30353"/>
      <w:bookmarkStart w:id="675" w:name="_Toc1736"/>
      <w:bookmarkStart w:id="676" w:name="_Toc6745"/>
      <w:bookmarkStart w:id="677" w:name="_Toc30557"/>
      <w:bookmarkStart w:id="678" w:name="_Toc15934"/>
      <w:bookmarkStart w:id="679" w:name="_Toc9752"/>
      <w:bookmarkStart w:id="680" w:name="_Toc15495"/>
      <w:bookmarkStart w:id="681" w:name="_Toc14279"/>
      <w:r>
        <w:rPr>
          <w:rFonts w:hint="default" w:ascii="Times New Roman" w:hAnsi="Times New Roman" w:cs="Times New Roman"/>
          <w:color w:val="auto"/>
          <w:highlight w:val="none"/>
        </w:rPr>
        <w:t>5 环境影响</w:t>
      </w:r>
      <w:bookmarkEnd w:id="658"/>
      <w:bookmarkEnd w:id="659"/>
      <w:r>
        <w:rPr>
          <w:rFonts w:hint="default" w:ascii="Times New Roman" w:hAnsi="Times New Roman" w:cs="Times New Roman"/>
          <w:color w:val="auto"/>
          <w:highlight w:val="none"/>
        </w:rPr>
        <w:t>预测与评价</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14:paraId="2D5D6548">
      <w:pPr>
        <w:pStyle w:val="3"/>
        <w:spacing w:line="560" w:lineRule="atLeast"/>
        <w:rPr>
          <w:rFonts w:hint="default" w:ascii="Times New Roman" w:hAnsi="Times New Roman" w:cs="Times New Roman"/>
          <w:color w:val="auto"/>
          <w:highlight w:val="none"/>
        </w:rPr>
      </w:pPr>
      <w:bookmarkStart w:id="682" w:name="_Toc23228"/>
      <w:bookmarkStart w:id="683" w:name="_Toc107413897"/>
      <w:bookmarkStart w:id="684" w:name="_Toc1604"/>
      <w:bookmarkStart w:id="685" w:name="_Toc107414664"/>
      <w:bookmarkStart w:id="686" w:name="_Toc253"/>
      <w:bookmarkStart w:id="687" w:name="_Toc30343"/>
      <w:bookmarkStart w:id="688" w:name="_Toc23825"/>
      <w:r>
        <w:rPr>
          <w:rFonts w:hint="default" w:ascii="Times New Roman" w:hAnsi="Times New Roman" w:cs="Times New Roman"/>
          <w:color w:val="auto"/>
          <w:highlight w:val="none"/>
        </w:rPr>
        <w:t>5.1施工期环境影响预测与评价</w:t>
      </w:r>
      <w:bookmarkEnd w:id="682"/>
      <w:bookmarkEnd w:id="683"/>
      <w:bookmarkEnd w:id="684"/>
      <w:bookmarkEnd w:id="685"/>
      <w:bookmarkEnd w:id="686"/>
      <w:bookmarkEnd w:id="687"/>
      <w:bookmarkEnd w:id="688"/>
    </w:p>
    <w:p w14:paraId="0C5B596E">
      <w:pPr>
        <w:pStyle w:val="4"/>
        <w:rPr>
          <w:rFonts w:hint="default" w:ascii="Times New Roman" w:hAnsi="Times New Roman" w:cs="Times New Roman"/>
          <w:color w:val="auto"/>
          <w:highlight w:val="none"/>
        </w:rPr>
      </w:pPr>
      <w:bookmarkStart w:id="689" w:name="_Toc27995"/>
      <w:bookmarkStart w:id="690" w:name="_Toc8337"/>
      <w:bookmarkStart w:id="691" w:name="_Toc5063"/>
      <w:r>
        <w:rPr>
          <w:rFonts w:hint="default" w:ascii="Times New Roman" w:hAnsi="Times New Roman" w:cs="Times New Roman"/>
          <w:color w:val="auto"/>
          <w:highlight w:val="none"/>
        </w:rPr>
        <w:t>5.1.1施工期废气环境影响分析</w:t>
      </w:r>
      <w:bookmarkEnd w:id="689"/>
      <w:bookmarkEnd w:id="690"/>
      <w:bookmarkEnd w:id="691"/>
    </w:p>
    <w:p w14:paraId="567B74FC">
      <w:pPr>
        <w:pStyle w:val="29"/>
        <w:widowControl w:val="0"/>
        <w:overflowPunct w:val="0"/>
        <w:topLinePunct/>
        <w:spacing w:before="0" w:beforeAutospacing="0" w:after="0" w:afterAutospacing="0"/>
        <w:ind w:firstLine="480"/>
        <w:jc w:val="both"/>
        <w:rPr>
          <w:rFonts w:hint="default" w:ascii="Times New Roman" w:hAnsi="Times New Roman" w:cs="Times New Roman"/>
          <w:color w:val="auto"/>
          <w:highlight w:val="none"/>
        </w:rPr>
      </w:pPr>
      <w:r>
        <w:rPr>
          <w:rFonts w:hint="default" w:ascii="Times New Roman" w:hAnsi="Times New Roman" w:cs="Times New Roman"/>
          <w:color w:val="auto"/>
          <w:kern w:val="2"/>
          <w:highlight w:val="none"/>
        </w:rPr>
        <w:t>本项目施工期产生的废气主要来自施工扬尘与机械尾气等。</w:t>
      </w:r>
    </w:p>
    <w:p w14:paraId="3C3ABACB">
      <w:pPr>
        <w:pStyle w:val="29"/>
        <w:widowControl w:val="0"/>
        <w:overflowPunct w:val="0"/>
        <w:topLinePunct/>
        <w:spacing w:before="0" w:beforeAutospacing="0" w:after="0" w:afterAutospacing="0"/>
        <w:ind w:firstLine="480"/>
        <w:jc w:val="both"/>
        <w:rPr>
          <w:rFonts w:hint="default" w:ascii="Times New Roman" w:hAnsi="Times New Roman" w:cs="Times New Roman"/>
          <w:color w:val="auto"/>
          <w:highlight w:val="none"/>
        </w:rPr>
      </w:pPr>
      <w:r>
        <w:rPr>
          <w:rFonts w:hint="default" w:ascii="Times New Roman" w:hAnsi="Times New Roman" w:cs="Times New Roman"/>
          <w:color w:val="auto"/>
          <w:kern w:val="2"/>
          <w:highlight w:val="none"/>
        </w:rPr>
        <w:t>在施工过程中，开挖土方造成土地裸露和土方堆积，建筑材料装卸以及运输车辆行驶等均会产生粉尘，这些粉尘随风扩散造成施工扬尘。施工扬尘的大小随施工季节、施工管理等不同差别甚大，影响可达150～300m。</w:t>
      </w:r>
    </w:p>
    <w:p w14:paraId="39C64BCB">
      <w:pPr>
        <w:pStyle w:val="29"/>
        <w:widowControl w:val="0"/>
        <w:overflowPunct w:val="0"/>
        <w:topLinePunct/>
        <w:spacing w:before="0" w:beforeAutospacing="0" w:after="0" w:afterAutospacing="0"/>
        <w:ind w:firstLine="480"/>
        <w:jc w:val="both"/>
        <w:rPr>
          <w:rFonts w:hint="default" w:ascii="Times New Roman" w:hAnsi="Times New Roman" w:cs="Times New Roman"/>
          <w:color w:val="auto"/>
          <w:highlight w:val="none"/>
        </w:rPr>
      </w:pPr>
      <w:r>
        <w:rPr>
          <w:rFonts w:hint="default" w:ascii="Times New Roman" w:hAnsi="Times New Roman" w:cs="Times New Roman"/>
          <w:color w:val="auto"/>
          <w:kern w:val="2"/>
          <w:highlight w:val="none"/>
        </w:rPr>
        <w:t>（1）施工扬尘的来源</w:t>
      </w:r>
    </w:p>
    <w:p w14:paraId="0EB7631F">
      <w:pPr>
        <w:pStyle w:val="29"/>
        <w:widowControl w:val="0"/>
        <w:overflowPunct w:val="0"/>
        <w:topLinePunct/>
        <w:spacing w:before="0" w:beforeAutospacing="0" w:after="0" w:afterAutospacing="0"/>
        <w:ind w:firstLine="480"/>
        <w:jc w:val="both"/>
        <w:rPr>
          <w:rFonts w:hint="default" w:ascii="Times New Roman" w:hAnsi="Times New Roman" w:cs="Times New Roman"/>
          <w:color w:val="auto"/>
          <w:highlight w:val="none"/>
        </w:rPr>
      </w:pPr>
      <w:r>
        <w:rPr>
          <w:rFonts w:hint="default" w:ascii="Times New Roman" w:hAnsi="Times New Roman" w:cs="Times New Roman"/>
          <w:color w:val="auto"/>
          <w:kern w:val="2"/>
          <w:highlight w:val="none"/>
        </w:rPr>
        <w:t>1）场地平整、土方堆放和清运过程造成的扬尘；</w:t>
      </w:r>
    </w:p>
    <w:p w14:paraId="707D10C3">
      <w:pPr>
        <w:pStyle w:val="29"/>
        <w:widowControl w:val="0"/>
        <w:overflowPunct w:val="0"/>
        <w:topLinePunct/>
        <w:spacing w:before="0" w:beforeAutospacing="0" w:after="0" w:afterAutospacing="0"/>
        <w:ind w:firstLine="480"/>
        <w:jc w:val="both"/>
        <w:rPr>
          <w:rFonts w:hint="default" w:ascii="Times New Roman" w:hAnsi="Times New Roman" w:cs="Times New Roman"/>
          <w:color w:val="auto"/>
          <w:highlight w:val="none"/>
        </w:rPr>
      </w:pPr>
      <w:r>
        <w:rPr>
          <w:rFonts w:hint="default" w:ascii="Times New Roman" w:hAnsi="Times New Roman" w:cs="Times New Roman"/>
          <w:color w:val="auto"/>
          <w:kern w:val="2"/>
          <w:highlight w:val="none"/>
        </w:rPr>
        <w:t>2）道路建设造成的扬尘；</w:t>
      </w:r>
    </w:p>
    <w:p w14:paraId="59B06246">
      <w:pPr>
        <w:pStyle w:val="29"/>
        <w:widowControl w:val="0"/>
        <w:overflowPunct w:val="0"/>
        <w:topLinePunct/>
        <w:spacing w:before="0" w:beforeAutospacing="0" w:after="0" w:afterAutospacing="0"/>
        <w:ind w:firstLine="480"/>
        <w:jc w:val="both"/>
        <w:rPr>
          <w:rFonts w:hint="default" w:ascii="Times New Roman" w:hAnsi="Times New Roman" w:cs="Times New Roman"/>
          <w:color w:val="auto"/>
          <w:highlight w:val="none"/>
        </w:rPr>
      </w:pPr>
      <w:r>
        <w:rPr>
          <w:rFonts w:hint="default" w:ascii="Times New Roman" w:hAnsi="Times New Roman" w:cs="Times New Roman"/>
          <w:color w:val="auto"/>
          <w:kern w:val="2"/>
          <w:highlight w:val="none"/>
        </w:rPr>
        <w:t>3）建筑材料运输、装卸、堆放的扬尘；</w:t>
      </w:r>
    </w:p>
    <w:p w14:paraId="308F441F">
      <w:pPr>
        <w:pStyle w:val="29"/>
        <w:widowControl w:val="0"/>
        <w:overflowPunct w:val="0"/>
        <w:topLinePunct/>
        <w:spacing w:before="0" w:beforeAutospacing="0" w:after="0" w:afterAutospacing="0"/>
        <w:ind w:firstLine="480"/>
        <w:jc w:val="both"/>
        <w:rPr>
          <w:rFonts w:hint="default" w:ascii="Times New Roman" w:hAnsi="Times New Roman" w:cs="Times New Roman"/>
          <w:color w:val="auto"/>
          <w:highlight w:val="none"/>
        </w:rPr>
      </w:pPr>
      <w:r>
        <w:rPr>
          <w:rFonts w:hint="default" w:ascii="Times New Roman" w:hAnsi="Times New Roman" w:cs="Times New Roman"/>
          <w:color w:val="auto"/>
          <w:kern w:val="2"/>
          <w:highlight w:val="none"/>
        </w:rPr>
        <w:t>4）运输车辆往来造成的扬尘；</w:t>
      </w:r>
    </w:p>
    <w:p w14:paraId="48668E3A">
      <w:pPr>
        <w:pStyle w:val="29"/>
        <w:widowControl w:val="0"/>
        <w:overflowPunct w:val="0"/>
        <w:topLinePunct/>
        <w:spacing w:before="0" w:beforeAutospacing="0" w:after="0" w:afterAutospacing="0"/>
        <w:ind w:firstLine="480"/>
        <w:jc w:val="both"/>
        <w:rPr>
          <w:rFonts w:hint="default" w:ascii="Times New Roman" w:hAnsi="Times New Roman" w:cs="Times New Roman"/>
          <w:color w:val="auto"/>
          <w:highlight w:val="none"/>
        </w:rPr>
      </w:pPr>
      <w:r>
        <w:rPr>
          <w:rFonts w:hint="default" w:ascii="Times New Roman" w:hAnsi="Times New Roman" w:cs="Times New Roman"/>
          <w:color w:val="auto"/>
          <w:kern w:val="2"/>
          <w:highlight w:val="none"/>
        </w:rPr>
        <w:t>5）施工垃圾的堆放和清运过</w:t>
      </w:r>
      <w:r>
        <w:rPr>
          <w:rFonts w:hint="eastAsia" w:ascii="Times New Roman" w:hAnsi="Times New Roman" w:cs="Times New Roman"/>
          <w:color w:val="auto"/>
          <w:kern w:val="2"/>
          <w:highlight w:val="none"/>
          <w:lang w:eastAsia="zh-CN"/>
        </w:rPr>
        <w:t>程中</w:t>
      </w:r>
      <w:r>
        <w:rPr>
          <w:rFonts w:hint="default" w:ascii="Times New Roman" w:hAnsi="Times New Roman" w:cs="Times New Roman"/>
          <w:color w:val="auto"/>
          <w:kern w:val="2"/>
          <w:highlight w:val="none"/>
        </w:rPr>
        <w:t>造成的扬尘。</w:t>
      </w:r>
    </w:p>
    <w:p w14:paraId="6935E5F9">
      <w:pPr>
        <w:pStyle w:val="29"/>
        <w:widowControl w:val="0"/>
        <w:overflowPunct w:val="0"/>
        <w:topLinePunct/>
        <w:spacing w:before="0" w:beforeAutospacing="0" w:after="0" w:afterAutospacing="0"/>
        <w:ind w:firstLine="480"/>
        <w:jc w:val="both"/>
        <w:rPr>
          <w:rFonts w:hint="default" w:ascii="Times New Roman" w:hAnsi="Times New Roman" w:cs="Times New Roman"/>
          <w:color w:val="auto"/>
          <w:highlight w:val="none"/>
        </w:rPr>
      </w:pPr>
      <w:r>
        <w:rPr>
          <w:rFonts w:hint="default" w:ascii="Times New Roman" w:hAnsi="Times New Roman" w:cs="Times New Roman"/>
          <w:color w:val="auto"/>
          <w:kern w:val="2"/>
          <w:highlight w:val="none"/>
        </w:rPr>
        <w:t>（2）扬尘对大气环境的影响分析</w:t>
      </w:r>
    </w:p>
    <w:p w14:paraId="09419409">
      <w:pPr>
        <w:pStyle w:val="29"/>
        <w:widowControl w:val="0"/>
        <w:overflowPunct w:val="0"/>
        <w:topLinePunct/>
        <w:spacing w:before="0" w:beforeAutospacing="0" w:after="0" w:afterAutospacing="0"/>
        <w:ind w:firstLine="480"/>
        <w:jc w:val="both"/>
        <w:rPr>
          <w:rFonts w:hint="default" w:ascii="Times New Roman" w:hAnsi="Times New Roman" w:cs="Times New Roman"/>
          <w:color w:val="auto"/>
          <w:highlight w:val="none"/>
        </w:rPr>
      </w:pPr>
      <w:r>
        <w:rPr>
          <w:rFonts w:hint="default" w:ascii="Times New Roman" w:hAnsi="Times New Roman" w:cs="Times New Roman"/>
          <w:color w:val="auto"/>
          <w:kern w:val="2"/>
          <w:highlight w:val="none"/>
        </w:rPr>
        <w:t>根据类比调查资料可知，施工及运输车辆引起的扬尘影响道路两侧各约50m的区域；表土剥离扬尘污染严重，空气中扬尘浓度可达20mg/m</w:t>
      </w:r>
      <w:r>
        <w:rPr>
          <w:rFonts w:hint="default" w:ascii="Times New Roman" w:hAnsi="Times New Roman" w:cs="Times New Roman"/>
          <w:color w:val="auto"/>
          <w:kern w:val="2"/>
          <w:highlight w:val="none"/>
          <w:vertAlign w:val="superscript"/>
        </w:rPr>
        <w:t>3</w:t>
      </w:r>
      <w:r>
        <w:rPr>
          <w:rFonts w:hint="default" w:ascii="Times New Roman" w:hAnsi="Times New Roman" w:cs="Times New Roman"/>
          <w:color w:val="auto"/>
          <w:kern w:val="2"/>
          <w:highlight w:val="none"/>
        </w:rPr>
        <w:t>，随着距离的增加，TSP浓度迅速下降，影响范围主要在周围50m内；建筑工地扬尘的影响范围主要在施工场地外100m以内。</w:t>
      </w:r>
    </w:p>
    <w:p w14:paraId="02B9FC23">
      <w:pPr>
        <w:pStyle w:val="29"/>
        <w:widowControl w:val="0"/>
        <w:overflowPunct w:val="0"/>
        <w:topLinePunct/>
        <w:spacing w:before="0" w:beforeAutospacing="0" w:after="0" w:afterAutospacing="0"/>
        <w:ind w:firstLine="480"/>
        <w:jc w:val="both"/>
        <w:rPr>
          <w:rFonts w:hint="default" w:ascii="Times New Roman" w:hAnsi="Times New Roman" w:cs="Times New Roman"/>
          <w:color w:val="auto"/>
          <w:highlight w:val="none"/>
        </w:rPr>
      </w:pPr>
      <w:r>
        <w:rPr>
          <w:rFonts w:hint="default" w:ascii="Times New Roman" w:hAnsi="Times New Roman" w:cs="Times New Roman"/>
          <w:color w:val="auto"/>
          <w:kern w:val="2"/>
          <w:highlight w:val="none"/>
        </w:rPr>
        <w:t>（3）施工废气影响分析</w:t>
      </w:r>
    </w:p>
    <w:p w14:paraId="031245F5">
      <w:pPr>
        <w:pStyle w:val="29"/>
        <w:widowControl w:val="0"/>
        <w:overflowPunct w:val="0"/>
        <w:topLinePunct/>
        <w:spacing w:before="0" w:beforeAutospacing="0" w:after="0" w:afterAutospacing="0"/>
        <w:ind w:firstLine="480"/>
        <w:jc w:val="both"/>
        <w:rPr>
          <w:rFonts w:hint="default" w:ascii="Times New Roman" w:hAnsi="Times New Roman" w:cs="Times New Roman"/>
          <w:color w:val="auto"/>
          <w:highlight w:val="none"/>
        </w:rPr>
      </w:pPr>
      <w:r>
        <w:rPr>
          <w:rFonts w:hint="default" w:ascii="Times New Roman" w:hAnsi="Times New Roman" w:cs="Times New Roman"/>
          <w:color w:val="auto"/>
          <w:kern w:val="2"/>
          <w:highlight w:val="none"/>
        </w:rPr>
        <w:t>施工废气来源包括各种燃油机械的废气排放以及运输车辆产生的尾气。</w:t>
      </w:r>
    </w:p>
    <w:p w14:paraId="314B68F7">
      <w:pPr>
        <w:pStyle w:val="43"/>
        <w:overflowPunct w:val="0"/>
        <w:topLinePunct/>
        <w:spacing w:line="480" w:lineRule="exact"/>
        <w:ind w:firstLine="480"/>
        <w:rPr>
          <w:rFonts w:hint="default" w:ascii="Times New Roman" w:hAnsi="Times New Roman" w:cs="Times New Roman"/>
          <w:color w:val="auto"/>
          <w:kern w:val="0"/>
          <w:szCs w:val="24"/>
          <w:highlight w:val="none"/>
        </w:rPr>
      </w:pPr>
      <w:r>
        <w:rPr>
          <w:rFonts w:hint="default" w:ascii="Times New Roman" w:hAnsi="Times New Roman" w:cs="Times New Roman"/>
          <w:color w:val="auto"/>
          <w:szCs w:val="24"/>
          <w:highlight w:val="none"/>
        </w:rPr>
        <w:t>燃油机械和汽车尾气中的污染物主要有一氧化碳（CO）、碳氢化合物（C</w:t>
      </w:r>
      <w:r>
        <w:rPr>
          <w:rFonts w:hint="default" w:ascii="Times New Roman" w:hAnsi="Times New Roman" w:cs="Times New Roman"/>
          <w:color w:val="auto"/>
          <w:szCs w:val="24"/>
          <w:highlight w:val="none"/>
          <w:vertAlign w:val="subscript"/>
        </w:rPr>
        <w:t>m</w:t>
      </w:r>
      <w:r>
        <w:rPr>
          <w:rFonts w:hint="default" w:ascii="Times New Roman" w:hAnsi="Times New Roman" w:cs="Times New Roman"/>
          <w:color w:val="auto"/>
          <w:szCs w:val="24"/>
          <w:highlight w:val="none"/>
        </w:rPr>
        <w:t>H</w:t>
      </w:r>
      <w:r>
        <w:rPr>
          <w:rFonts w:hint="default" w:ascii="Times New Roman" w:hAnsi="Times New Roman" w:cs="Times New Roman"/>
          <w:color w:val="auto"/>
          <w:szCs w:val="24"/>
          <w:highlight w:val="none"/>
          <w:vertAlign w:val="subscript"/>
        </w:rPr>
        <w:t>n</w:t>
      </w:r>
      <w:r>
        <w:rPr>
          <w:rFonts w:hint="default" w:ascii="Times New Roman" w:hAnsi="Times New Roman" w:cs="Times New Roman"/>
          <w:color w:val="auto"/>
          <w:szCs w:val="24"/>
          <w:highlight w:val="none"/>
        </w:rPr>
        <w:t>）及氮氧化物（NO</w:t>
      </w:r>
      <w:r>
        <w:rPr>
          <w:rFonts w:hint="default" w:ascii="Times New Roman" w:hAnsi="Times New Roman" w:cs="Times New Roman"/>
          <w:color w:val="auto"/>
          <w:szCs w:val="24"/>
          <w:highlight w:val="none"/>
          <w:vertAlign w:val="subscript"/>
        </w:rPr>
        <w:t>x</w:t>
      </w:r>
      <w:r>
        <w:rPr>
          <w:rFonts w:hint="default" w:ascii="Times New Roman" w:hAnsi="Times New Roman" w:cs="Times New Roman"/>
          <w:color w:val="auto"/>
          <w:szCs w:val="24"/>
          <w:highlight w:val="none"/>
        </w:rPr>
        <w:t>）等。据有关单位在施工现场的测试结果表明：氮氧化物（NO</w:t>
      </w:r>
      <w:r>
        <w:rPr>
          <w:rFonts w:hint="default" w:ascii="Times New Roman" w:hAnsi="Times New Roman" w:cs="Times New Roman"/>
          <w:color w:val="auto"/>
          <w:szCs w:val="24"/>
          <w:highlight w:val="none"/>
          <w:vertAlign w:val="subscript"/>
        </w:rPr>
        <w:t>x</w:t>
      </w:r>
      <w:r>
        <w:rPr>
          <w:rFonts w:hint="default" w:ascii="Times New Roman" w:hAnsi="Times New Roman" w:cs="Times New Roman"/>
          <w:color w:val="auto"/>
          <w:szCs w:val="24"/>
          <w:highlight w:val="none"/>
        </w:rPr>
        <w:t>）的浓度可达到150μg/m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，其影响范围在下风向200m的范围内。</w:t>
      </w:r>
    </w:p>
    <w:p w14:paraId="25485D11">
      <w:pPr>
        <w:pStyle w:val="4"/>
        <w:rPr>
          <w:rFonts w:hint="default" w:ascii="Times New Roman" w:hAnsi="Times New Roman" w:cs="Times New Roman"/>
          <w:color w:val="auto"/>
          <w:highlight w:val="none"/>
        </w:rPr>
      </w:pPr>
      <w:bookmarkStart w:id="692" w:name="_Toc18909"/>
      <w:bookmarkStart w:id="693" w:name="_Toc7174"/>
      <w:bookmarkStart w:id="694" w:name="_Toc9655"/>
      <w:r>
        <w:rPr>
          <w:rFonts w:hint="default" w:ascii="Times New Roman" w:hAnsi="Times New Roman" w:cs="Times New Roman"/>
          <w:color w:val="auto"/>
          <w:highlight w:val="none"/>
        </w:rPr>
        <w:t>5.1.2施工期废水环境影响分析</w:t>
      </w:r>
      <w:bookmarkEnd w:id="692"/>
      <w:bookmarkEnd w:id="693"/>
      <w:bookmarkEnd w:id="694"/>
    </w:p>
    <w:p w14:paraId="42028FD6">
      <w:pPr>
        <w:autoSpaceDE w:val="0"/>
        <w:autoSpaceDN w:val="0"/>
        <w:ind w:firstLine="480"/>
        <w:textAlignment w:val="baseline"/>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施工期废水为工程废水和生活污水。工程废水包括进出施工场地的车辆清洗产生的泥浆水等工程废水，</w:t>
      </w:r>
      <w:r>
        <w:rPr>
          <w:rFonts w:hint="default" w:ascii="Times New Roman" w:hAnsi="Times New Roman" w:cs="Times New Roman"/>
          <w:color w:val="auto"/>
          <w:kern w:val="0"/>
          <w:highlight w:val="none"/>
          <w:lang w:val="zh-CN"/>
        </w:rPr>
        <w:t>主要污染物为含有较高的石油类、悬浮物等</w:t>
      </w:r>
      <w:r>
        <w:rPr>
          <w:rFonts w:hint="default" w:ascii="Times New Roman" w:hAnsi="Times New Roman" w:cs="Times New Roman"/>
          <w:color w:val="auto"/>
          <w:highlight w:val="none"/>
        </w:rPr>
        <w:t>。生活污水来自基建施工人员排放的生活污水，主要污染物为COD、BOD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、SS等</w:t>
      </w:r>
      <w:r>
        <w:rPr>
          <w:rFonts w:hint="default" w:ascii="Times New Roman" w:hAnsi="Times New Roman" w:cs="Times New Roman"/>
          <w:color w:val="auto"/>
          <w:kern w:val="0"/>
          <w:highlight w:val="none"/>
          <w:lang w:val="zh-CN"/>
        </w:rPr>
        <w:t>，项目</w:t>
      </w:r>
      <w:r>
        <w:rPr>
          <w:rFonts w:hint="default" w:ascii="Times New Roman" w:hAnsi="Times New Roman" w:cs="Times New Roman"/>
          <w:color w:val="auto"/>
          <w:kern w:val="0"/>
          <w:highlight w:val="none"/>
        </w:rPr>
        <w:t>废水</w:t>
      </w:r>
      <w:r>
        <w:rPr>
          <w:rFonts w:hint="default" w:ascii="Times New Roman" w:hAnsi="Times New Roman" w:cs="Times New Roman"/>
          <w:color w:val="auto"/>
          <w:kern w:val="0"/>
          <w:highlight w:val="none"/>
          <w:lang w:val="zh-CN"/>
        </w:rPr>
        <w:t>处置不当会对施工场地周围产生短时间的不良影响</w:t>
      </w:r>
      <w:r>
        <w:rPr>
          <w:rFonts w:hint="default" w:ascii="Times New Roman" w:hAnsi="Times New Roman" w:cs="Times New Roman"/>
          <w:color w:val="auto"/>
          <w:highlight w:val="none"/>
        </w:rPr>
        <w:t>，需要对项目废水进行处置，具体分析如下：</w:t>
      </w:r>
    </w:p>
    <w:p w14:paraId="7598C811">
      <w:pPr>
        <w:autoSpaceDE w:val="0"/>
        <w:autoSpaceDN w:val="0"/>
        <w:ind w:firstLine="48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（1）生活污水</w:t>
      </w:r>
    </w:p>
    <w:p w14:paraId="5D037A5D">
      <w:pPr>
        <w:overflowPunct w:val="0"/>
        <w:topLinePunct/>
        <w:ind w:firstLine="48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生活污水主要污染物为SS、COD、氨氮等。施工期间进场施工人数约为70人左右，施工人员生活用水按30L/人·d计，用水量为2.1m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/d，排放系数以0.8计，排放量约为1.68m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kern w:val="0"/>
          <w:highlight w:val="none"/>
          <w:lang w:val="zh-CN"/>
        </w:rPr>
        <w:t>施工期生活污水产生量不大，生活区优先建设</w:t>
      </w:r>
      <w:r>
        <w:rPr>
          <w:rFonts w:hint="eastAsia" w:cs="Times New Roman"/>
          <w:color w:val="auto"/>
          <w:kern w:val="0"/>
          <w:highlight w:val="none"/>
          <w:lang w:val="en-US" w:eastAsia="zh-CN"/>
        </w:rPr>
        <w:t>60m</w:t>
      </w:r>
      <w:r>
        <w:rPr>
          <w:rFonts w:hint="eastAsia" w:cs="Times New Roman"/>
          <w:color w:val="auto"/>
          <w:kern w:val="0"/>
          <w:highlight w:val="none"/>
          <w:vertAlign w:val="superscript"/>
          <w:lang w:val="en-US" w:eastAsia="zh-CN"/>
        </w:rPr>
        <w:t>3</w:t>
      </w:r>
      <w:r>
        <w:rPr>
          <w:rFonts w:hint="eastAsia" w:cs="Times New Roman"/>
          <w:color w:val="auto"/>
          <w:kern w:val="0"/>
          <w:highlight w:val="none"/>
          <w:lang w:val="en-US" w:eastAsia="zh-CN"/>
        </w:rPr>
        <w:t>化粪池，</w:t>
      </w:r>
      <w:r>
        <w:rPr>
          <w:rFonts w:hint="default" w:ascii="Times New Roman" w:hAnsi="Times New Roman" w:cs="Times New Roman"/>
          <w:color w:val="auto"/>
          <w:kern w:val="0"/>
          <w:highlight w:val="none"/>
          <w:lang w:val="zh-CN"/>
        </w:rPr>
        <w:t>本项目</w:t>
      </w:r>
      <w:r>
        <w:rPr>
          <w:rFonts w:hint="eastAsia" w:cs="Times New Roman"/>
          <w:color w:val="auto"/>
          <w:kern w:val="0"/>
          <w:highlight w:val="none"/>
          <w:lang w:val="en-US" w:eastAsia="zh-CN"/>
        </w:rPr>
        <w:t>施工期</w:t>
      </w:r>
      <w:r>
        <w:rPr>
          <w:rFonts w:hint="default" w:ascii="Times New Roman" w:hAnsi="Times New Roman" w:cs="Times New Roman"/>
          <w:color w:val="auto"/>
          <w:kern w:val="0"/>
          <w:highlight w:val="none"/>
          <w:lang w:val="zh-CN"/>
        </w:rPr>
        <w:t>生活污水排入化粪池定期清运至哈密市污水处理厂</w:t>
      </w:r>
      <w:r>
        <w:rPr>
          <w:rFonts w:hint="default" w:ascii="Times New Roman" w:hAnsi="Times New Roman" w:cs="Times New Roman"/>
          <w:color w:val="auto"/>
          <w:highlight w:val="none"/>
          <w:lang w:bidi="ar"/>
        </w:rPr>
        <w:t>。对项目区周围水环境影响较小。</w:t>
      </w:r>
    </w:p>
    <w:p w14:paraId="4D13FCCF">
      <w:pPr>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（2）</w:t>
      </w:r>
      <w:r>
        <w:rPr>
          <w:rFonts w:hint="default" w:ascii="Times New Roman" w:hAnsi="Times New Roman" w:cs="Times New Roman"/>
          <w:color w:val="auto"/>
          <w:highlight w:val="none"/>
        </w:rPr>
        <w:t>工程废水</w:t>
      </w:r>
    </w:p>
    <w:p w14:paraId="62895893">
      <w:pPr>
        <w:overflowPunct w:val="0"/>
        <w:topLinePunct/>
        <w:ind w:firstLine="480"/>
        <w:textAlignment w:val="baseline"/>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cs="Times New Roman"/>
          <w:color w:val="auto"/>
          <w:highlight w:val="none"/>
        </w:rPr>
        <w:t>工程废水包括进出施工场地的车辆清洗产生的泥浆水等工程废水，主要污染物是SS、石油类，水量较少，集中收集沉淀后用于建设场地洒水降尘。混凝土为商品混凝土，无需现场搅拌，无搅拌废水产生。</w:t>
      </w:r>
    </w:p>
    <w:p w14:paraId="63E00C01">
      <w:pPr>
        <w:pStyle w:val="4"/>
        <w:rPr>
          <w:rFonts w:hint="default" w:ascii="Times New Roman" w:hAnsi="Times New Roman" w:cs="Times New Roman"/>
          <w:color w:val="auto"/>
          <w:highlight w:val="none"/>
        </w:rPr>
      </w:pPr>
      <w:bookmarkStart w:id="695" w:name="_Toc14441"/>
      <w:bookmarkStart w:id="696" w:name="_Toc3687"/>
      <w:bookmarkStart w:id="697" w:name="_Toc31387"/>
      <w:r>
        <w:rPr>
          <w:rFonts w:hint="default" w:ascii="Times New Roman" w:hAnsi="Times New Roman" w:cs="Times New Roman"/>
          <w:color w:val="auto"/>
          <w:highlight w:val="none"/>
        </w:rPr>
        <w:t>5.1.3施工期噪声环境影响分析</w:t>
      </w:r>
      <w:bookmarkEnd w:id="695"/>
      <w:bookmarkEnd w:id="696"/>
      <w:bookmarkEnd w:id="697"/>
    </w:p>
    <w:p w14:paraId="70450C23">
      <w:pPr>
        <w:overflowPunct w:val="0"/>
        <w:topLinePunct/>
        <w:ind w:firstLine="480"/>
        <w:rPr>
          <w:rFonts w:hint="default" w:ascii="Times New Roman" w:hAnsi="Times New Roman" w:cs="Times New Roman"/>
          <w:color w:val="auto"/>
          <w:kern w:val="0"/>
          <w:szCs w:val="21"/>
          <w:highlight w:val="none"/>
        </w:rPr>
      </w:pPr>
      <w:r>
        <w:rPr>
          <w:rFonts w:hint="default" w:ascii="Times New Roman" w:hAnsi="Times New Roman" w:cs="Times New Roman"/>
          <w:color w:val="auto"/>
          <w:highlight w:val="none"/>
        </w:rPr>
        <w:t>（1）施工期噪声源分析</w:t>
      </w:r>
    </w:p>
    <w:p w14:paraId="6FCA6806">
      <w:pPr>
        <w:overflowPunct w:val="0"/>
        <w:topLinePunct/>
        <w:ind w:firstLine="480"/>
        <w:rPr>
          <w:rFonts w:hint="default" w:ascii="Times New Roman" w:hAnsi="Times New Roman" w:cs="Times New Roman"/>
          <w:color w:val="auto"/>
          <w:kern w:val="0"/>
          <w:szCs w:val="21"/>
          <w:highlight w:val="none"/>
        </w:rPr>
      </w:pPr>
      <w:r>
        <w:rPr>
          <w:rFonts w:hint="default" w:ascii="Times New Roman" w:hAnsi="Times New Roman" w:cs="Times New Roman"/>
          <w:color w:val="auto"/>
          <w:highlight w:val="none"/>
        </w:rPr>
        <w:t>施工噪声具有阶段性、临时性和不固定性，不同的施工设备产生的噪声不同，在多台机械设备同时作业时，各机械声级将会叠加。各施工阶段的主要噪声源及其声级见表5.1-1，施工期各交通运输车辆噪声排放统计见表5.1-2，施工机械噪声测试值、预测值见表5.1-3。</w:t>
      </w:r>
    </w:p>
    <w:p w14:paraId="578B4A04">
      <w:pPr>
        <w:ind w:firstLine="120" w:firstLineChars="50"/>
        <w:jc w:val="center"/>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表5.1-1    主要噪声源及其声级    单位：dB（A）</w:t>
      </w:r>
    </w:p>
    <w:tbl>
      <w:tblPr>
        <w:tblStyle w:val="33"/>
        <w:tblW w:w="851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Layout w:type="fixed"/>
        <w:tblCellMar>
          <w:top w:w="0" w:type="dxa"/>
          <w:left w:w="108" w:type="dxa"/>
          <w:bottom w:w="0" w:type="dxa"/>
          <w:right w:w="108" w:type="dxa"/>
        </w:tblCellMar>
      </w:tblPr>
      <w:tblGrid>
        <w:gridCol w:w="1999"/>
        <w:gridCol w:w="3225"/>
        <w:gridCol w:w="3295"/>
      </w:tblGrid>
      <w:tr w14:paraId="669CC2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blHeader/>
          <w:jc w:val="center"/>
        </w:trPr>
        <w:tc>
          <w:tcPr>
            <w:tcW w:w="1999" w:type="dxa"/>
            <w:tcBorders>
              <w:tl2br w:val="nil"/>
              <w:tr2bl w:val="nil"/>
            </w:tcBorders>
            <w:vAlign w:val="center"/>
          </w:tcPr>
          <w:p w14:paraId="266B7337">
            <w:pPr>
              <w:spacing w:line="360" w:lineRule="exact"/>
              <w:ind w:firstLine="0" w:firstLineChars="0"/>
              <w:jc w:val="center"/>
              <w:rPr>
                <w:rFonts w:hint="default" w:ascii="Times New Roman" w:hAnsi="Times New Roman" w:cs="Times New Roman"/>
                <w:b/>
                <w:bCs/>
                <w:color w:val="auto"/>
                <w:kern w:val="0"/>
                <w:highlight w:val="none"/>
              </w:rPr>
            </w:pPr>
            <w:r>
              <w:rPr>
                <w:rFonts w:hint="default" w:ascii="Times New Roman" w:hAnsi="Times New Roman" w:cs="Times New Roman"/>
                <w:b/>
                <w:bCs/>
                <w:color w:val="auto"/>
                <w:kern w:val="0"/>
                <w:sz w:val="21"/>
                <w:szCs w:val="21"/>
                <w:highlight w:val="none"/>
              </w:rPr>
              <w:t>施工期</w:t>
            </w:r>
          </w:p>
        </w:tc>
        <w:tc>
          <w:tcPr>
            <w:tcW w:w="3225" w:type="dxa"/>
            <w:tcBorders>
              <w:tl2br w:val="nil"/>
              <w:tr2bl w:val="nil"/>
            </w:tcBorders>
            <w:vAlign w:val="center"/>
          </w:tcPr>
          <w:p w14:paraId="42ACBC7F">
            <w:pPr>
              <w:spacing w:line="360" w:lineRule="exact"/>
              <w:ind w:firstLine="0" w:firstLineChars="0"/>
              <w:jc w:val="center"/>
              <w:rPr>
                <w:rFonts w:hint="default" w:ascii="Times New Roman" w:hAnsi="Times New Roman" w:cs="Times New Roman"/>
                <w:b/>
                <w:bCs/>
                <w:color w:val="auto"/>
                <w:kern w:val="0"/>
                <w:highlight w:val="none"/>
              </w:rPr>
            </w:pPr>
            <w:r>
              <w:rPr>
                <w:rFonts w:hint="default" w:ascii="Times New Roman" w:hAnsi="Times New Roman" w:cs="Times New Roman"/>
                <w:b/>
                <w:bCs/>
                <w:color w:val="auto"/>
                <w:kern w:val="0"/>
                <w:sz w:val="21"/>
                <w:szCs w:val="21"/>
                <w:highlight w:val="none"/>
              </w:rPr>
              <w:t>主要声源</w:t>
            </w:r>
          </w:p>
        </w:tc>
        <w:tc>
          <w:tcPr>
            <w:tcW w:w="3295" w:type="dxa"/>
            <w:tcBorders>
              <w:tl2br w:val="nil"/>
              <w:tr2bl w:val="nil"/>
            </w:tcBorders>
            <w:vAlign w:val="center"/>
          </w:tcPr>
          <w:p w14:paraId="2427CF44">
            <w:pPr>
              <w:spacing w:line="360" w:lineRule="exact"/>
              <w:ind w:firstLine="0" w:firstLineChars="0"/>
              <w:jc w:val="center"/>
              <w:rPr>
                <w:rFonts w:hint="default" w:ascii="Times New Roman" w:hAnsi="Times New Roman" w:cs="Times New Roman"/>
                <w:b/>
                <w:bCs/>
                <w:color w:val="auto"/>
                <w:kern w:val="0"/>
                <w:highlight w:val="none"/>
              </w:rPr>
            </w:pPr>
            <w:r>
              <w:rPr>
                <w:rFonts w:hint="default" w:ascii="Times New Roman" w:hAnsi="Times New Roman" w:cs="Times New Roman"/>
                <w:b/>
                <w:bCs/>
                <w:color w:val="auto"/>
                <w:kern w:val="0"/>
                <w:sz w:val="21"/>
                <w:szCs w:val="21"/>
                <w:highlight w:val="none"/>
              </w:rPr>
              <w:t>声级</w:t>
            </w:r>
          </w:p>
        </w:tc>
      </w:tr>
      <w:tr w14:paraId="7B94EF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293" w:hRule="atLeast"/>
          <w:jc w:val="center"/>
        </w:trPr>
        <w:tc>
          <w:tcPr>
            <w:tcW w:w="1999" w:type="dxa"/>
            <w:vMerge w:val="restart"/>
            <w:tcBorders>
              <w:tl2br w:val="nil"/>
              <w:tr2bl w:val="nil"/>
            </w:tcBorders>
            <w:vAlign w:val="center"/>
          </w:tcPr>
          <w:p w14:paraId="4D5E2229">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土石方阶段</w:t>
            </w:r>
          </w:p>
        </w:tc>
        <w:tc>
          <w:tcPr>
            <w:tcW w:w="3225" w:type="dxa"/>
            <w:tcBorders>
              <w:tl2br w:val="nil"/>
              <w:tr2bl w:val="nil"/>
            </w:tcBorders>
            <w:vAlign w:val="center"/>
          </w:tcPr>
          <w:p w14:paraId="1F87B965">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挖土机</w:t>
            </w:r>
          </w:p>
        </w:tc>
        <w:tc>
          <w:tcPr>
            <w:tcW w:w="3295" w:type="dxa"/>
            <w:tcBorders>
              <w:tl2br w:val="nil"/>
              <w:tr2bl w:val="nil"/>
            </w:tcBorders>
            <w:vAlign w:val="center"/>
          </w:tcPr>
          <w:p w14:paraId="4B519D6F">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78</w:t>
            </w:r>
            <w:r>
              <w:rPr>
                <w:rFonts w:hint="eastAsia" w:cs="Times New Roman"/>
                <w:color w:val="auto"/>
                <w:sz w:val="21"/>
                <w:highlight w:val="none"/>
                <w:lang w:eastAsia="zh-CN"/>
              </w:rPr>
              <w:t>~</w:t>
            </w:r>
            <w:r>
              <w:rPr>
                <w:rFonts w:hint="default" w:ascii="Times New Roman" w:hAnsi="Times New Roman" w:cs="Times New Roman"/>
                <w:color w:val="auto"/>
                <w:sz w:val="21"/>
                <w:highlight w:val="none"/>
              </w:rPr>
              <w:t>96</w:t>
            </w:r>
          </w:p>
        </w:tc>
      </w:tr>
      <w:tr w14:paraId="66A0E8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999" w:type="dxa"/>
            <w:vMerge w:val="continue"/>
            <w:tcBorders>
              <w:tl2br w:val="nil"/>
              <w:tr2bl w:val="nil"/>
            </w:tcBorders>
            <w:vAlign w:val="center"/>
          </w:tcPr>
          <w:p w14:paraId="18663C4F">
            <w:pPr>
              <w:spacing w:line="360" w:lineRule="exact"/>
              <w:ind w:firstLine="0" w:firstLineChars="0"/>
              <w:jc w:val="center"/>
              <w:rPr>
                <w:rFonts w:hint="default" w:ascii="Times New Roman" w:hAnsi="Times New Roman" w:cs="Times New Roman"/>
                <w:color w:val="auto"/>
                <w:highlight w:val="none"/>
              </w:rPr>
            </w:pPr>
          </w:p>
        </w:tc>
        <w:tc>
          <w:tcPr>
            <w:tcW w:w="3225" w:type="dxa"/>
            <w:tcBorders>
              <w:tl2br w:val="nil"/>
              <w:tr2bl w:val="nil"/>
            </w:tcBorders>
            <w:vAlign w:val="center"/>
          </w:tcPr>
          <w:p w14:paraId="50A1A862">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冲击机</w:t>
            </w:r>
          </w:p>
        </w:tc>
        <w:tc>
          <w:tcPr>
            <w:tcW w:w="3295" w:type="dxa"/>
            <w:tcBorders>
              <w:tl2br w:val="nil"/>
              <w:tr2bl w:val="nil"/>
            </w:tcBorders>
            <w:vAlign w:val="center"/>
          </w:tcPr>
          <w:p w14:paraId="122A1554">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95</w:t>
            </w:r>
          </w:p>
        </w:tc>
      </w:tr>
      <w:tr w14:paraId="40E0C7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999" w:type="dxa"/>
            <w:vMerge w:val="continue"/>
            <w:tcBorders>
              <w:tl2br w:val="nil"/>
              <w:tr2bl w:val="nil"/>
            </w:tcBorders>
            <w:vAlign w:val="center"/>
          </w:tcPr>
          <w:p w14:paraId="2951A9C2">
            <w:pPr>
              <w:spacing w:line="360" w:lineRule="exact"/>
              <w:ind w:firstLine="0" w:firstLineChars="0"/>
              <w:jc w:val="center"/>
              <w:rPr>
                <w:rFonts w:hint="default" w:ascii="Times New Roman" w:hAnsi="Times New Roman" w:cs="Times New Roman"/>
                <w:color w:val="auto"/>
                <w:highlight w:val="none"/>
              </w:rPr>
            </w:pPr>
          </w:p>
        </w:tc>
        <w:tc>
          <w:tcPr>
            <w:tcW w:w="3225" w:type="dxa"/>
            <w:tcBorders>
              <w:tl2br w:val="nil"/>
              <w:tr2bl w:val="nil"/>
            </w:tcBorders>
            <w:vAlign w:val="center"/>
          </w:tcPr>
          <w:p w14:paraId="3EF77C46">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空压机</w:t>
            </w:r>
          </w:p>
        </w:tc>
        <w:tc>
          <w:tcPr>
            <w:tcW w:w="3295" w:type="dxa"/>
            <w:tcBorders>
              <w:tl2br w:val="nil"/>
              <w:tr2bl w:val="nil"/>
            </w:tcBorders>
            <w:vAlign w:val="center"/>
          </w:tcPr>
          <w:p w14:paraId="6B818516">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75</w:t>
            </w:r>
            <w:r>
              <w:rPr>
                <w:rFonts w:hint="eastAsia" w:cs="Times New Roman"/>
                <w:color w:val="auto"/>
                <w:sz w:val="21"/>
                <w:highlight w:val="none"/>
                <w:lang w:eastAsia="zh-CN"/>
              </w:rPr>
              <w:t>~</w:t>
            </w:r>
            <w:r>
              <w:rPr>
                <w:rFonts w:hint="default" w:ascii="Times New Roman" w:hAnsi="Times New Roman" w:cs="Times New Roman"/>
                <w:color w:val="auto"/>
                <w:sz w:val="21"/>
                <w:highlight w:val="none"/>
              </w:rPr>
              <w:t>85</w:t>
            </w:r>
          </w:p>
        </w:tc>
      </w:tr>
      <w:tr w14:paraId="26C962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999" w:type="dxa"/>
            <w:vMerge w:val="continue"/>
            <w:tcBorders>
              <w:tl2br w:val="nil"/>
              <w:tr2bl w:val="nil"/>
            </w:tcBorders>
            <w:vAlign w:val="center"/>
          </w:tcPr>
          <w:p w14:paraId="6A300CDF">
            <w:pPr>
              <w:spacing w:line="360" w:lineRule="exact"/>
              <w:ind w:firstLine="0" w:firstLineChars="0"/>
              <w:jc w:val="center"/>
              <w:rPr>
                <w:rFonts w:hint="default" w:ascii="Times New Roman" w:hAnsi="Times New Roman" w:cs="Times New Roman"/>
                <w:color w:val="auto"/>
                <w:highlight w:val="none"/>
              </w:rPr>
            </w:pPr>
          </w:p>
        </w:tc>
        <w:tc>
          <w:tcPr>
            <w:tcW w:w="3225" w:type="dxa"/>
            <w:tcBorders>
              <w:tl2br w:val="nil"/>
              <w:tr2bl w:val="nil"/>
            </w:tcBorders>
            <w:vAlign w:val="center"/>
          </w:tcPr>
          <w:p w14:paraId="001F8A36">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压缩机</w:t>
            </w:r>
          </w:p>
        </w:tc>
        <w:tc>
          <w:tcPr>
            <w:tcW w:w="3295" w:type="dxa"/>
            <w:tcBorders>
              <w:tl2br w:val="nil"/>
              <w:tr2bl w:val="nil"/>
            </w:tcBorders>
            <w:vAlign w:val="center"/>
          </w:tcPr>
          <w:p w14:paraId="19D251C0">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75</w:t>
            </w:r>
            <w:r>
              <w:rPr>
                <w:rFonts w:hint="eastAsia" w:cs="Times New Roman"/>
                <w:color w:val="auto"/>
                <w:sz w:val="21"/>
                <w:highlight w:val="none"/>
                <w:lang w:eastAsia="zh-CN"/>
              </w:rPr>
              <w:t>~</w:t>
            </w:r>
            <w:r>
              <w:rPr>
                <w:rFonts w:hint="default" w:ascii="Times New Roman" w:hAnsi="Times New Roman" w:cs="Times New Roman"/>
                <w:color w:val="auto"/>
                <w:sz w:val="21"/>
                <w:highlight w:val="none"/>
              </w:rPr>
              <w:t>88</w:t>
            </w:r>
          </w:p>
        </w:tc>
      </w:tr>
      <w:tr w14:paraId="2D8045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1" w:hRule="atLeast"/>
          <w:jc w:val="center"/>
        </w:trPr>
        <w:tc>
          <w:tcPr>
            <w:tcW w:w="1999" w:type="dxa"/>
            <w:vMerge w:val="restart"/>
            <w:tcBorders>
              <w:tl2br w:val="nil"/>
              <w:tr2bl w:val="nil"/>
            </w:tcBorders>
            <w:vAlign w:val="center"/>
          </w:tcPr>
          <w:p w14:paraId="06236C3D">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sz w:val="21"/>
                <w:highlight w:val="none"/>
              </w:rPr>
              <w:t>结构施工阶段</w:t>
            </w:r>
          </w:p>
        </w:tc>
        <w:tc>
          <w:tcPr>
            <w:tcW w:w="3225" w:type="dxa"/>
            <w:tcBorders>
              <w:tl2br w:val="nil"/>
              <w:tr2bl w:val="nil"/>
            </w:tcBorders>
            <w:vAlign w:val="center"/>
          </w:tcPr>
          <w:p w14:paraId="0C33539A">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振捣器</w:t>
            </w:r>
          </w:p>
        </w:tc>
        <w:tc>
          <w:tcPr>
            <w:tcW w:w="3295" w:type="dxa"/>
            <w:tcBorders>
              <w:tl2br w:val="nil"/>
              <w:tr2bl w:val="nil"/>
            </w:tcBorders>
            <w:vAlign w:val="center"/>
          </w:tcPr>
          <w:p w14:paraId="07E021DF">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100</w:t>
            </w:r>
            <w:r>
              <w:rPr>
                <w:rFonts w:hint="eastAsia" w:cs="Times New Roman"/>
                <w:color w:val="auto"/>
                <w:sz w:val="21"/>
                <w:highlight w:val="none"/>
                <w:lang w:eastAsia="zh-CN"/>
              </w:rPr>
              <w:t>~</w:t>
            </w:r>
            <w:r>
              <w:rPr>
                <w:rFonts w:hint="default" w:ascii="Times New Roman" w:hAnsi="Times New Roman" w:cs="Times New Roman"/>
                <w:color w:val="auto"/>
                <w:sz w:val="21"/>
                <w:highlight w:val="none"/>
              </w:rPr>
              <w:t>105</w:t>
            </w:r>
          </w:p>
        </w:tc>
      </w:tr>
      <w:tr w14:paraId="1A3C2B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999" w:type="dxa"/>
            <w:vMerge w:val="continue"/>
            <w:tcBorders>
              <w:tl2br w:val="nil"/>
              <w:tr2bl w:val="nil"/>
            </w:tcBorders>
            <w:vAlign w:val="center"/>
          </w:tcPr>
          <w:p w14:paraId="3E6F796C">
            <w:pPr>
              <w:spacing w:line="360" w:lineRule="exact"/>
              <w:ind w:firstLine="0" w:firstLineChars="0"/>
              <w:jc w:val="center"/>
              <w:rPr>
                <w:rFonts w:hint="default" w:ascii="Times New Roman" w:hAnsi="Times New Roman" w:cs="Times New Roman"/>
                <w:color w:val="auto"/>
                <w:highlight w:val="none"/>
              </w:rPr>
            </w:pPr>
          </w:p>
        </w:tc>
        <w:tc>
          <w:tcPr>
            <w:tcW w:w="3225" w:type="dxa"/>
            <w:tcBorders>
              <w:tl2br w:val="nil"/>
              <w:tr2bl w:val="nil"/>
            </w:tcBorders>
            <w:vAlign w:val="center"/>
          </w:tcPr>
          <w:p w14:paraId="361C051A">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电锯</w:t>
            </w:r>
          </w:p>
        </w:tc>
        <w:tc>
          <w:tcPr>
            <w:tcW w:w="3295" w:type="dxa"/>
            <w:tcBorders>
              <w:tl2br w:val="nil"/>
              <w:tr2bl w:val="nil"/>
            </w:tcBorders>
            <w:vAlign w:val="center"/>
          </w:tcPr>
          <w:p w14:paraId="71665218">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100</w:t>
            </w:r>
            <w:r>
              <w:rPr>
                <w:rFonts w:hint="eastAsia" w:cs="Times New Roman"/>
                <w:color w:val="auto"/>
                <w:sz w:val="21"/>
                <w:highlight w:val="none"/>
                <w:lang w:eastAsia="zh-CN"/>
              </w:rPr>
              <w:t>~</w:t>
            </w:r>
            <w:r>
              <w:rPr>
                <w:rFonts w:hint="default" w:ascii="Times New Roman" w:hAnsi="Times New Roman" w:cs="Times New Roman"/>
                <w:color w:val="auto"/>
                <w:sz w:val="21"/>
                <w:highlight w:val="none"/>
              </w:rPr>
              <w:t>105</w:t>
            </w:r>
          </w:p>
        </w:tc>
      </w:tr>
      <w:tr w14:paraId="5D6D29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999" w:type="dxa"/>
            <w:vMerge w:val="continue"/>
            <w:tcBorders>
              <w:tl2br w:val="nil"/>
              <w:tr2bl w:val="nil"/>
            </w:tcBorders>
            <w:vAlign w:val="center"/>
          </w:tcPr>
          <w:p w14:paraId="44E79303">
            <w:pPr>
              <w:spacing w:line="360" w:lineRule="exact"/>
              <w:ind w:firstLine="0" w:firstLineChars="0"/>
              <w:jc w:val="center"/>
              <w:rPr>
                <w:rFonts w:hint="default" w:ascii="Times New Roman" w:hAnsi="Times New Roman" w:cs="Times New Roman"/>
                <w:color w:val="auto"/>
                <w:highlight w:val="none"/>
              </w:rPr>
            </w:pPr>
          </w:p>
        </w:tc>
        <w:tc>
          <w:tcPr>
            <w:tcW w:w="3225" w:type="dxa"/>
            <w:tcBorders>
              <w:tl2br w:val="nil"/>
              <w:tr2bl w:val="nil"/>
            </w:tcBorders>
            <w:vAlign w:val="center"/>
          </w:tcPr>
          <w:p w14:paraId="7CE2E7A3">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电焊机</w:t>
            </w:r>
          </w:p>
        </w:tc>
        <w:tc>
          <w:tcPr>
            <w:tcW w:w="3295" w:type="dxa"/>
            <w:tcBorders>
              <w:tl2br w:val="nil"/>
              <w:tr2bl w:val="nil"/>
            </w:tcBorders>
            <w:vAlign w:val="center"/>
          </w:tcPr>
          <w:p w14:paraId="66179F43">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90</w:t>
            </w:r>
            <w:r>
              <w:rPr>
                <w:rFonts w:hint="eastAsia" w:cs="Times New Roman"/>
                <w:color w:val="auto"/>
                <w:sz w:val="21"/>
                <w:highlight w:val="none"/>
                <w:lang w:eastAsia="zh-CN"/>
              </w:rPr>
              <w:t>~</w:t>
            </w:r>
            <w:r>
              <w:rPr>
                <w:rFonts w:hint="default" w:ascii="Times New Roman" w:hAnsi="Times New Roman" w:cs="Times New Roman"/>
                <w:color w:val="auto"/>
                <w:sz w:val="21"/>
                <w:highlight w:val="none"/>
              </w:rPr>
              <w:t>95</w:t>
            </w:r>
          </w:p>
        </w:tc>
      </w:tr>
      <w:tr w14:paraId="52A242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999" w:type="dxa"/>
            <w:vMerge w:val="continue"/>
            <w:tcBorders>
              <w:tl2br w:val="nil"/>
              <w:tr2bl w:val="nil"/>
            </w:tcBorders>
            <w:vAlign w:val="center"/>
          </w:tcPr>
          <w:p w14:paraId="1D31C853">
            <w:pPr>
              <w:spacing w:line="360" w:lineRule="exact"/>
              <w:ind w:firstLine="0" w:firstLineChars="0"/>
              <w:jc w:val="center"/>
              <w:rPr>
                <w:rFonts w:hint="default" w:ascii="Times New Roman" w:hAnsi="Times New Roman" w:cs="Times New Roman"/>
                <w:color w:val="auto"/>
                <w:highlight w:val="none"/>
              </w:rPr>
            </w:pPr>
          </w:p>
        </w:tc>
        <w:tc>
          <w:tcPr>
            <w:tcW w:w="3225" w:type="dxa"/>
            <w:tcBorders>
              <w:tl2br w:val="nil"/>
              <w:tr2bl w:val="nil"/>
            </w:tcBorders>
            <w:vAlign w:val="center"/>
          </w:tcPr>
          <w:p w14:paraId="0455440D">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空压机</w:t>
            </w:r>
          </w:p>
        </w:tc>
        <w:tc>
          <w:tcPr>
            <w:tcW w:w="3295" w:type="dxa"/>
            <w:tcBorders>
              <w:tl2br w:val="nil"/>
              <w:tr2bl w:val="nil"/>
            </w:tcBorders>
            <w:vAlign w:val="center"/>
          </w:tcPr>
          <w:p w14:paraId="5F0B3EB5">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75</w:t>
            </w:r>
            <w:r>
              <w:rPr>
                <w:rFonts w:hint="eastAsia" w:cs="Times New Roman"/>
                <w:color w:val="auto"/>
                <w:sz w:val="21"/>
                <w:highlight w:val="none"/>
                <w:lang w:eastAsia="zh-CN"/>
              </w:rPr>
              <w:t>~</w:t>
            </w:r>
            <w:r>
              <w:rPr>
                <w:rFonts w:hint="default" w:ascii="Times New Roman" w:hAnsi="Times New Roman" w:cs="Times New Roman"/>
                <w:color w:val="auto"/>
                <w:sz w:val="21"/>
                <w:highlight w:val="none"/>
              </w:rPr>
              <w:t>85</w:t>
            </w:r>
          </w:p>
        </w:tc>
      </w:tr>
      <w:tr w14:paraId="77F1EC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999" w:type="dxa"/>
            <w:vMerge w:val="restart"/>
            <w:tcBorders>
              <w:tl2br w:val="nil"/>
              <w:tr2bl w:val="nil"/>
            </w:tcBorders>
            <w:vAlign w:val="center"/>
          </w:tcPr>
          <w:p w14:paraId="2F6BE336">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设备安装阶段</w:t>
            </w:r>
          </w:p>
        </w:tc>
        <w:tc>
          <w:tcPr>
            <w:tcW w:w="3225" w:type="dxa"/>
            <w:tcBorders>
              <w:tl2br w:val="nil"/>
              <w:tr2bl w:val="nil"/>
            </w:tcBorders>
            <w:vAlign w:val="center"/>
          </w:tcPr>
          <w:p w14:paraId="20152568">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电钻</w:t>
            </w:r>
          </w:p>
        </w:tc>
        <w:tc>
          <w:tcPr>
            <w:tcW w:w="3295" w:type="dxa"/>
            <w:tcBorders>
              <w:tl2br w:val="nil"/>
              <w:tr2bl w:val="nil"/>
            </w:tcBorders>
            <w:vAlign w:val="center"/>
          </w:tcPr>
          <w:p w14:paraId="6D73F843">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100</w:t>
            </w:r>
            <w:r>
              <w:rPr>
                <w:rFonts w:hint="eastAsia" w:cs="Times New Roman"/>
                <w:color w:val="auto"/>
                <w:sz w:val="21"/>
                <w:highlight w:val="none"/>
                <w:lang w:eastAsia="zh-CN"/>
              </w:rPr>
              <w:t>~</w:t>
            </w:r>
            <w:r>
              <w:rPr>
                <w:rFonts w:hint="default" w:ascii="Times New Roman" w:hAnsi="Times New Roman" w:cs="Times New Roman"/>
                <w:color w:val="auto"/>
                <w:sz w:val="21"/>
                <w:highlight w:val="none"/>
              </w:rPr>
              <w:t>105</w:t>
            </w:r>
          </w:p>
        </w:tc>
      </w:tr>
      <w:tr w14:paraId="5DDB43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999" w:type="dxa"/>
            <w:vMerge w:val="continue"/>
            <w:tcBorders>
              <w:tl2br w:val="nil"/>
              <w:tr2bl w:val="nil"/>
            </w:tcBorders>
            <w:vAlign w:val="center"/>
          </w:tcPr>
          <w:p w14:paraId="38E8D2E1">
            <w:pPr>
              <w:spacing w:line="360" w:lineRule="exact"/>
              <w:ind w:firstLine="0" w:firstLineChars="0"/>
              <w:jc w:val="center"/>
              <w:rPr>
                <w:rFonts w:hint="default" w:ascii="Times New Roman" w:hAnsi="Times New Roman" w:cs="Times New Roman"/>
                <w:color w:val="auto"/>
                <w:highlight w:val="none"/>
              </w:rPr>
            </w:pPr>
          </w:p>
        </w:tc>
        <w:tc>
          <w:tcPr>
            <w:tcW w:w="3225" w:type="dxa"/>
            <w:tcBorders>
              <w:tl2br w:val="nil"/>
              <w:tr2bl w:val="nil"/>
            </w:tcBorders>
            <w:vAlign w:val="center"/>
          </w:tcPr>
          <w:p w14:paraId="2F57427B">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电锤</w:t>
            </w:r>
          </w:p>
        </w:tc>
        <w:tc>
          <w:tcPr>
            <w:tcW w:w="3295" w:type="dxa"/>
            <w:tcBorders>
              <w:tl2br w:val="nil"/>
              <w:tr2bl w:val="nil"/>
            </w:tcBorders>
            <w:vAlign w:val="center"/>
          </w:tcPr>
          <w:p w14:paraId="69DC5681">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100</w:t>
            </w:r>
            <w:r>
              <w:rPr>
                <w:rFonts w:hint="eastAsia" w:cs="Times New Roman"/>
                <w:color w:val="auto"/>
                <w:sz w:val="21"/>
                <w:highlight w:val="none"/>
                <w:lang w:eastAsia="zh-CN"/>
              </w:rPr>
              <w:t>~</w:t>
            </w:r>
            <w:r>
              <w:rPr>
                <w:rFonts w:hint="default" w:ascii="Times New Roman" w:hAnsi="Times New Roman" w:cs="Times New Roman"/>
                <w:color w:val="auto"/>
                <w:sz w:val="21"/>
                <w:highlight w:val="none"/>
              </w:rPr>
              <w:t>105</w:t>
            </w:r>
          </w:p>
        </w:tc>
      </w:tr>
      <w:tr w14:paraId="27603E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999" w:type="dxa"/>
            <w:vMerge w:val="continue"/>
            <w:tcBorders>
              <w:tl2br w:val="nil"/>
              <w:tr2bl w:val="nil"/>
            </w:tcBorders>
            <w:vAlign w:val="center"/>
          </w:tcPr>
          <w:p w14:paraId="40CD2642">
            <w:pPr>
              <w:spacing w:line="360" w:lineRule="exact"/>
              <w:ind w:firstLine="0" w:firstLineChars="0"/>
              <w:jc w:val="center"/>
              <w:rPr>
                <w:rFonts w:hint="default" w:ascii="Times New Roman" w:hAnsi="Times New Roman" w:cs="Times New Roman"/>
                <w:color w:val="auto"/>
                <w:highlight w:val="none"/>
              </w:rPr>
            </w:pPr>
          </w:p>
        </w:tc>
        <w:tc>
          <w:tcPr>
            <w:tcW w:w="3225" w:type="dxa"/>
            <w:tcBorders>
              <w:tl2br w:val="nil"/>
              <w:tr2bl w:val="nil"/>
            </w:tcBorders>
            <w:vAlign w:val="center"/>
          </w:tcPr>
          <w:p w14:paraId="081D289C">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手工钻</w:t>
            </w:r>
          </w:p>
        </w:tc>
        <w:tc>
          <w:tcPr>
            <w:tcW w:w="3295" w:type="dxa"/>
            <w:tcBorders>
              <w:tl2br w:val="nil"/>
              <w:tr2bl w:val="nil"/>
            </w:tcBorders>
            <w:vAlign w:val="center"/>
          </w:tcPr>
          <w:p w14:paraId="53A301B1">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100</w:t>
            </w:r>
            <w:r>
              <w:rPr>
                <w:rFonts w:hint="eastAsia" w:cs="Times New Roman"/>
                <w:color w:val="auto"/>
                <w:sz w:val="21"/>
                <w:highlight w:val="none"/>
                <w:lang w:eastAsia="zh-CN"/>
              </w:rPr>
              <w:t>~</w:t>
            </w:r>
            <w:r>
              <w:rPr>
                <w:rFonts w:hint="default" w:ascii="Times New Roman" w:hAnsi="Times New Roman" w:cs="Times New Roman"/>
                <w:color w:val="auto"/>
                <w:sz w:val="21"/>
                <w:highlight w:val="none"/>
              </w:rPr>
              <w:t>105</w:t>
            </w:r>
          </w:p>
        </w:tc>
      </w:tr>
      <w:tr w14:paraId="14E343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999" w:type="dxa"/>
            <w:vMerge w:val="continue"/>
            <w:tcBorders>
              <w:tl2br w:val="nil"/>
              <w:tr2bl w:val="nil"/>
            </w:tcBorders>
            <w:vAlign w:val="center"/>
          </w:tcPr>
          <w:p w14:paraId="36CF8099">
            <w:pPr>
              <w:spacing w:line="360" w:lineRule="exact"/>
              <w:ind w:firstLine="0" w:firstLineChars="0"/>
              <w:jc w:val="center"/>
              <w:rPr>
                <w:rFonts w:hint="default" w:ascii="Times New Roman" w:hAnsi="Times New Roman" w:cs="Times New Roman"/>
                <w:color w:val="auto"/>
                <w:highlight w:val="none"/>
              </w:rPr>
            </w:pPr>
          </w:p>
        </w:tc>
        <w:tc>
          <w:tcPr>
            <w:tcW w:w="3225" w:type="dxa"/>
            <w:tcBorders>
              <w:tl2br w:val="nil"/>
              <w:tr2bl w:val="nil"/>
            </w:tcBorders>
            <w:vAlign w:val="center"/>
          </w:tcPr>
          <w:p w14:paraId="0F36B56F">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无齿锯</w:t>
            </w:r>
          </w:p>
        </w:tc>
        <w:tc>
          <w:tcPr>
            <w:tcW w:w="3295" w:type="dxa"/>
            <w:tcBorders>
              <w:tl2br w:val="nil"/>
              <w:tr2bl w:val="nil"/>
            </w:tcBorders>
            <w:vAlign w:val="center"/>
          </w:tcPr>
          <w:p w14:paraId="4A0D5143">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105</w:t>
            </w:r>
          </w:p>
        </w:tc>
      </w:tr>
      <w:tr w14:paraId="5A9559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999" w:type="dxa"/>
            <w:vMerge w:val="continue"/>
            <w:tcBorders>
              <w:tl2br w:val="nil"/>
              <w:tr2bl w:val="nil"/>
            </w:tcBorders>
            <w:vAlign w:val="center"/>
          </w:tcPr>
          <w:p w14:paraId="702D99C7">
            <w:pPr>
              <w:spacing w:line="360" w:lineRule="exact"/>
              <w:ind w:firstLine="0" w:firstLineChars="0"/>
              <w:jc w:val="center"/>
              <w:rPr>
                <w:rFonts w:hint="default" w:ascii="Times New Roman" w:hAnsi="Times New Roman" w:cs="Times New Roman"/>
                <w:color w:val="auto"/>
                <w:highlight w:val="none"/>
              </w:rPr>
            </w:pPr>
          </w:p>
        </w:tc>
        <w:tc>
          <w:tcPr>
            <w:tcW w:w="3225" w:type="dxa"/>
            <w:tcBorders>
              <w:tl2br w:val="nil"/>
              <w:tr2bl w:val="nil"/>
            </w:tcBorders>
            <w:vAlign w:val="center"/>
          </w:tcPr>
          <w:p w14:paraId="198ADF43">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多功能木工刨</w:t>
            </w:r>
          </w:p>
        </w:tc>
        <w:tc>
          <w:tcPr>
            <w:tcW w:w="3295" w:type="dxa"/>
            <w:tcBorders>
              <w:tl2br w:val="nil"/>
              <w:tr2bl w:val="nil"/>
            </w:tcBorders>
            <w:vAlign w:val="center"/>
          </w:tcPr>
          <w:p w14:paraId="5C9EFB61">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90</w:t>
            </w:r>
            <w:r>
              <w:rPr>
                <w:rFonts w:hint="eastAsia" w:cs="Times New Roman"/>
                <w:color w:val="auto"/>
                <w:sz w:val="21"/>
                <w:highlight w:val="none"/>
                <w:lang w:eastAsia="zh-CN"/>
              </w:rPr>
              <w:t>~</w:t>
            </w:r>
            <w:r>
              <w:rPr>
                <w:rFonts w:hint="default" w:ascii="Times New Roman" w:hAnsi="Times New Roman" w:cs="Times New Roman"/>
                <w:color w:val="auto"/>
                <w:sz w:val="21"/>
                <w:highlight w:val="none"/>
              </w:rPr>
              <w:t>100</w:t>
            </w:r>
          </w:p>
        </w:tc>
      </w:tr>
      <w:tr w14:paraId="578B1C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999" w:type="dxa"/>
            <w:vMerge w:val="continue"/>
            <w:tcBorders>
              <w:tl2br w:val="nil"/>
              <w:tr2bl w:val="nil"/>
            </w:tcBorders>
            <w:vAlign w:val="center"/>
          </w:tcPr>
          <w:p w14:paraId="162C8B52">
            <w:pPr>
              <w:spacing w:line="360" w:lineRule="exact"/>
              <w:ind w:firstLine="0" w:firstLineChars="0"/>
              <w:jc w:val="center"/>
              <w:rPr>
                <w:rFonts w:hint="default" w:ascii="Times New Roman" w:hAnsi="Times New Roman" w:cs="Times New Roman"/>
                <w:color w:val="auto"/>
                <w:highlight w:val="none"/>
              </w:rPr>
            </w:pPr>
          </w:p>
        </w:tc>
        <w:tc>
          <w:tcPr>
            <w:tcW w:w="3225" w:type="dxa"/>
            <w:tcBorders>
              <w:tl2br w:val="nil"/>
              <w:tr2bl w:val="nil"/>
            </w:tcBorders>
            <w:vAlign w:val="center"/>
          </w:tcPr>
          <w:p w14:paraId="2D1E9F70">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角向磨光机</w:t>
            </w:r>
          </w:p>
        </w:tc>
        <w:tc>
          <w:tcPr>
            <w:tcW w:w="3295" w:type="dxa"/>
            <w:tcBorders>
              <w:tl2br w:val="nil"/>
              <w:tr2bl w:val="nil"/>
            </w:tcBorders>
            <w:vAlign w:val="center"/>
          </w:tcPr>
          <w:p w14:paraId="083962BF">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100</w:t>
            </w:r>
            <w:r>
              <w:rPr>
                <w:rFonts w:hint="eastAsia" w:cs="Times New Roman"/>
                <w:color w:val="auto"/>
                <w:sz w:val="21"/>
                <w:highlight w:val="none"/>
                <w:lang w:eastAsia="zh-CN"/>
              </w:rPr>
              <w:t>~</w:t>
            </w:r>
            <w:r>
              <w:rPr>
                <w:rFonts w:hint="default" w:ascii="Times New Roman" w:hAnsi="Times New Roman" w:cs="Times New Roman"/>
                <w:color w:val="auto"/>
                <w:sz w:val="21"/>
                <w:highlight w:val="none"/>
              </w:rPr>
              <w:t>115</w:t>
            </w:r>
          </w:p>
        </w:tc>
      </w:tr>
    </w:tbl>
    <w:p w14:paraId="75B6245E">
      <w:pPr>
        <w:spacing w:line="500" w:lineRule="exact"/>
        <w:ind w:firstLine="120" w:firstLineChars="50"/>
        <w:jc w:val="center"/>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表5.1-2    交通运输车辆噪声排放    单位：dB（A）</w:t>
      </w:r>
    </w:p>
    <w:tbl>
      <w:tblPr>
        <w:tblStyle w:val="33"/>
        <w:tblW w:w="851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50"/>
        <w:gridCol w:w="2688"/>
        <w:gridCol w:w="2068"/>
        <w:gridCol w:w="1913"/>
      </w:tblGrid>
      <w:tr w14:paraId="3099EB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tblHeader/>
          <w:jc w:val="center"/>
        </w:trPr>
        <w:tc>
          <w:tcPr>
            <w:tcW w:w="1850" w:type="dxa"/>
            <w:vAlign w:val="center"/>
          </w:tcPr>
          <w:p w14:paraId="5A1EFA1B">
            <w:pPr>
              <w:spacing w:line="360" w:lineRule="exact"/>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sz w:val="21"/>
                <w:highlight w:val="none"/>
              </w:rPr>
              <w:t>施工阶段</w:t>
            </w:r>
          </w:p>
        </w:tc>
        <w:tc>
          <w:tcPr>
            <w:tcW w:w="2688" w:type="dxa"/>
            <w:vAlign w:val="center"/>
          </w:tcPr>
          <w:p w14:paraId="05FA1DF6">
            <w:pPr>
              <w:spacing w:line="360" w:lineRule="exact"/>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sz w:val="21"/>
                <w:highlight w:val="none"/>
              </w:rPr>
              <w:t>运输内容</w:t>
            </w:r>
          </w:p>
        </w:tc>
        <w:tc>
          <w:tcPr>
            <w:tcW w:w="2068" w:type="dxa"/>
            <w:vAlign w:val="center"/>
          </w:tcPr>
          <w:p w14:paraId="20101A06">
            <w:pPr>
              <w:spacing w:line="360" w:lineRule="exact"/>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sz w:val="21"/>
                <w:highlight w:val="none"/>
              </w:rPr>
              <w:t>车辆类型</w:t>
            </w:r>
          </w:p>
        </w:tc>
        <w:tc>
          <w:tcPr>
            <w:tcW w:w="1913" w:type="dxa"/>
            <w:vAlign w:val="center"/>
          </w:tcPr>
          <w:p w14:paraId="722B3878">
            <w:pPr>
              <w:spacing w:line="360" w:lineRule="exact"/>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sz w:val="21"/>
                <w:highlight w:val="none"/>
              </w:rPr>
              <w:t>声源强度[dB（A）]</w:t>
            </w:r>
          </w:p>
        </w:tc>
      </w:tr>
      <w:tr w14:paraId="0E754E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850" w:type="dxa"/>
            <w:vAlign w:val="center"/>
          </w:tcPr>
          <w:p w14:paraId="66F34578">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土石方阶段</w:t>
            </w:r>
          </w:p>
        </w:tc>
        <w:tc>
          <w:tcPr>
            <w:tcW w:w="2688" w:type="dxa"/>
            <w:vAlign w:val="center"/>
          </w:tcPr>
          <w:p w14:paraId="0EA943E0">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场内运输</w:t>
            </w:r>
          </w:p>
        </w:tc>
        <w:tc>
          <w:tcPr>
            <w:tcW w:w="2068" w:type="dxa"/>
            <w:vAlign w:val="center"/>
          </w:tcPr>
          <w:p w14:paraId="6CAAE470">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大型载重车</w:t>
            </w:r>
          </w:p>
        </w:tc>
        <w:tc>
          <w:tcPr>
            <w:tcW w:w="1913" w:type="dxa"/>
            <w:vAlign w:val="center"/>
          </w:tcPr>
          <w:p w14:paraId="018FCF0F">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84</w:t>
            </w:r>
            <w:r>
              <w:rPr>
                <w:rFonts w:hint="eastAsia" w:cs="Times New Roman"/>
                <w:color w:val="auto"/>
                <w:sz w:val="21"/>
                <w:highlight w:val="none"/>
                <w:lang w:eastAsia="zh-CN"/>
              </w:rPr>
              <w:t>~</w:t>
            </w:r>
            <w:r>
              <w:rPr>
                <w:rFonts w:hint="default" w:ascii="Times New Roman" w:hAnsi="Times New Roman" w:cs="Times New Roman"/>
                <w:color w:val="auto"/>
                <w:sz w:val="21"/>
                <w:highlight w:val="none"/>
              </w:rPr>
              <w:t>89</w:t>
            </w:r>
          </w:p>
        </w:tc>
      </w:tr>
      <w:tr w14:paraId="3CAC02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850" w:type="dxa"/>
            <w:vAlign w:val="center"/>
          </w:tcPr>
          <w:p w14:paraId="4DFE9F5C">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结构施工阶段</w:t>
            </w:r>
          </w:p>
        </w:tc>
        <w:tc>
          <w:tcPr>
            <w:tcW w:w="2688" w:type="dxa"/>
            <w:vAlign w:val="center"/>
          </w:tcPr>
          <w:p w14:paraId="351FBBD0">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钢筋、商品混凝土</w:t>
            </w:r>
          </w:p>
        </w:tc>
        <w:tc>
          <w:tcPr>
            <w:tcW w:w="2068" w:type="dxa"/>
            <w:vAlign w:val="center"/>
          </w:tcPr>
          <w:p w14:paraId="73105B35">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混凝土罐车、载重车</w:t>
            </w:r>
          </w:p>
        </w:tc>
        <w:tc>
          <w:tcPr>
            <w:tcW w:w="1913" w:type="dxa"/>
            <w:vAlign w:val="center"/>
          </w:tcPr>
          <w:p w14:paraId="2997AB1D">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80</w:t>
            </w:r>
            <w:r>
              <w:rPr>
                <w:rFonts w:hint="eastAsia" w:cs="Times New Roman"/>
                <w:color w:val="auto"/>
                <w:sz w:val="21"/>
                <w:highlight w:val="none"/>
                <w:lang w:eastAsia="zh-CN"/>
              </w:rPr>
              <w:t>~</w:t>
            </w:r>
            <w:r>
              <w:rPr>
                <w:rFonts w:hint="default" w:ascii="Times New Roman" w:hAnsi="Times New Roman" w:cs="Times New Roman"/>
                <w:color w:val="auto"/>
                <w:sz w:val="21"/>
                <w:highlight w:val="none"/>
              </w:rPr>
              <w:t>85</w:t>
            </w:r>
          </w:p>
        </w:tc>
      </w:tr>
      <w:tr w14:paraId="564F0B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850" w:type="dxa"/>
            <w:vAlign w:val="center"/>
          </w:tcPr>
          <w:p w14:paraId="29432FE3">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设备安装阶段</w:t>
            </w:r>
          </w:p>
        </w:tc>
        <w:tc>
          <w:tcPr>
            <w:tcW w:w="2688" w:type="dxa"/>
            <w:vAlign w:val="center"/>
          </w:tcPr>
          <w:p w14:paraId="1AE023B6">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各种装修材料及必备设备</w:t>
            </w:r>
          </w:p>
        </w:tc>
        <w:tc>
          <w:tcPr>
            <w:tcW w:w="2068" w:type="dxa"/>
            <w:vAlign w:val="center"/>
          </w:tcPr>
          <w:p w14:paraId="24242F75">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轻型载重卡车</w:t>
            </w:r>
          </w:p>
        </w:tc>
        <w:tc>
          <w:tcPr>
            <w:tcW w:w="1913" w:type="dxa"/>
            <w:vAlign w:val="center"/>
          </w:tcPr>
          <w:p w14:paraId="36F0A301">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75</w:t>
            </w:r>
            <w:r>
              <w:rPr>
                <w:rFonts w:hint="eastAsia" w:cs="Times New Roman"/>
                <w:color w:val="auto"/>
                <w:sz w:val="21"/>
                <w:highlight w:val="none"/>
                <w:lang w:eastAsia="zh-CN"/>
              </w:rPr>
              <w:t>~</w:t>
            </w:r>
            <w:r>
              <w:rPr>
                <w:rFonts w:hint="default" w:ascii="Times New Roman" w:hAnsi="Times New Roman" w:cs="Times New Roman"/>
                <w:color w:val="auto"/>
                <w:sz w:val="21"/>
                <w:highlight w:val="none"/>
              </w:rPr>
              <w:t>80</w:t>
            </w:r>
          </w:p>
        </w:tc>
      </w:tr>
    </w:tbl>
    <w:p w14:paraId="429444E3">
      <w:pPr>
        <w:spacing w:line="500" w:lineRule="exact"/>
        <w:ind w:firstLine="120" w:firstLineChars="50"/>
        <w:jc w:val="center"/>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表5.1-3    施工机械噪声测试值、预测值    单位：dB（A）</w:t>
      </w:r>
    </w:p>
    <w:tbl>
      <w:tblPr>
        <w:tblStyle w:val="33"/>
        <w:tblW w:w="851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Layout w:type="fixed"/>
        <w:tblCellMar>
          <w:top w:w="0" w:type="dxa"/>
          <w:left w:w="108" w:type="dxa"/>
          <w:bottom w:w="0" w:type="dxa"/>
          <w:right w:w="108" w:type="dxa"/>
        </w:tblCellMar>
      </w:tblPr>
      <w:tblGrid>
        <w:gridCol w:w="1505"/>
        <w:gridCol w:w="648"/>
        <w:gridCol w:w="701"/>
        <w:gridCol w:w="700"/>
        <w:gridCol w:w="700"/>
        <w:gridCol w:w="700"/>
        <w:gridCol w:w="700"/>
        <w:gridCol w:w="700"/>
        <w:gridCol w:w="717"/>
        <w:gridCol w:w="717"/>
        <w:gridCol w:w="731"/>
      </w:tblGrid>
      <w:tr w14:paraId="769176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258" w:hRule="atLeast"/>
          <w:jc w:val="center"/>
        </w:trPr>
        <w:tc>
          <w:tcPr>
            <w:tcW w:w="1505" w:type="dxa"/>
            <w:vMerge w:val="restart"/>
            <w:tcBorders>
              <w:tl2br w:val="nil"/>
              <w:tr2bl w:val="nil"/>
            </w:tcBorders>
            <w:vAlign w:val="center"/>
          </w:tcPr>
          <w:p w14:paraId="3F477099">
            <w:pPr>
              <w:spacing w:line="360" w:lineRule="exact"/>
              <w:ind w:firstLine="0" w:firstLineChars="0"/>
              <w:jc w:val="center"/>
              <w:rPr>
                <w:rFonts w:hint="default" w:ascii="Times New Roman" w:hAnsi="Times New Roman" w:cs="Times New Roman"/>
                <w:b/>
                <w:bCs/>
                <w:color w:val="auto"/>
                <w:kern w:val="0"/>
                <w:highlight w:val="none"/>
              </w:rPr>
            </w:pPr>
            <w:r>
              <w:rPr>
                <w:rFonts w:hint="default" w:ascii="Times New Roman" w:hAnsi="Times New Roman" w:cs="Times New Roman"/>
                <w:b/>
                <w:bCs/>
                <w:color w:val="auto"/>
                <w:sz w:val="21"/>
                <w:szCs w:val="21"/>
                <w:highlight w:val="none"/>
              </w:rPr>
              <w:t>设备</w:t>
            </w:r>
          </w:p>
          <w:p w14:paraId="1CA77288">
            <w:pPr>
              <w:spacing w:line="360" w:lineRule="exact"/>
              <w:ind w:firstLine="0" w:firstLineChars="0"/>
              <w:jc w:val="center"/>
              <w:rPr>
                <w:rFonts w:hint="default" w:ascii="Times New Roman" w:hAnsi="Times New Roman" w:cs="Times New Roman"/>
                <w:b/>
                <w:bCs/>
                <w:color w:val="auto"/>
                <w:kern w:val="0"/>
                <w:highlight w:val="none"/>
              </w:rPr>
            </w:pPr>
            <w:r>
              <w:rPr>
                <w:rFonts w:hint="default" w:ascii="Times New Roman" w:hAnsi="Times New Roman" w:cs="Times New Roman"/>
                <w:b/>
                <w:bCs/>
                <w:color w:val="auto"/>
                <w:sz w:val="21"/>
                <w:szCs w:val="21"/>
                <w:highlight w:val="none"/>
              </w:rPr>
              <w:t>名称</w:t>
            </w:r>
          </w:p>
        </w:tc>
        <w:tc>
          <w:tcPr>
            <w:tcW w:w="648" w:type="dxa"/>
            <w:vMerge w:val="restart"/>
            <w:tcBorders>
              <w:tl2br w:val="nil"/>
              <w:tr2bl w:val="nil"/>
            </w:tcBorders>
            <w:vAlign w:val="center"/>
          </w:tcPr>
          <w:p w14:paraId="5C14FC72">
            <w:pPr>
              <w:spacing w:line="360" w:lineRule="exact"/>
              <w:ind w:firstLine="0" w:firstLineChars="0"/>
              <w:jc w:val="center"/>
              <w:rPr>
                <w:rFonts w:hint="default" w:ascii="Times New Roman" w:hAnsi="Times New Roman" w:cs="Times New Roman"/>
                <w:b/>
                <w:bCs/>
                <w:color w:val="auto"/>
                <w:kern w:val="0"/>
                <w:highlight w:val="none"/>
              </w:rPr>
            </w:pPr>
            <w:r>
              <w:rPr>
                <w:rFonts w:hint="default" w:ascii="Times New Roman" w:hAnsi="Times New Roman" w:cs="Times New Roman"/>
                <w:b/>
                <w:bCs/>
                <w:color w:val="auto"/>
                <w:sz w:val="21"/>
                <w:szCs w:val="21"/>
                <w:highlight w:val="none"/>
              </w:rPr>
              <w:t>声级</w:t>
            </w:r>
          </w:p>
        </w:tc>
        <w:tc>
          <w:tcPr>
            <w:tcW w:w="6366" w:type="dxa"/>
            <w:gridSpan w:val="9"/>
            <w:tcBorders>
              <w:tl2br w:val="nil"/>
              <w:tr2bl w:val="nil"/>
            </w:tcBorders>
            <w:vAlign w:val="center"/>
          </w:tcPr>
          <w:p w14:paraId="399F9E19">
            <w:pPr>
              <w:spacing w:line="360" w:lineRule="exact"/>
              <w:ind w:firstLine="0" w:firstLineChars="0"/>
              <w:jc w:val="center"/>
              <w:rPr>
                <w:rFonts w:hint="default" w:ascii="Times New Roman" w:hAnsi="Times New Roman" w:cs="Times New Roman"/>
                <w:b/>
                <w:bCs/>
                <w:color w:val="auto"/>
                <w:kern w:val="0"/>
                <w:highlight w:val="none"/>
              </w:rPr>
            </w:pPr>
            <w:r>
              <w:rPr>
                <w:rFonts w:hint="default" w:ascii="Times New Roman" w:hAnsi="Times New Roman" w:cs="Times New Roman"/>
                <w:b/>
                <w:bCs/>
                <w:color w:val="auto"/>
                <w:sz w:val="21"/>
                <w:szCs w:val="21"/>
                <w:highlight w:val="none"/>
              </w:rPr>
              <w:t>不同距离处的噪声值</w:t>
            </w:r>
          </w:p>
        </w:tc>
      </w:tr>
      <w:tr w14:paraId="7144F8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227" w:hRule="atLeast"/>
          <w:jc w:val="center"/>
        </w:trPr>
        <w:tc>
          <w:tcPr>
            <w:tcW w:w="1505" w:type="dxa"/>
            <w:vMerge w:val="continue"/>
            <w:tcBorders>
              <w:tl2br w:val="nil"/>
              <w:tr2bl w:val="nil"/>
            </w:tcBorders>
            <w:vAlign w:val="center"/>
          </w:tcPr>
          <w:p w14:paraId="023E90C8">
            <w:pPr>
              <w:spacing w:line="360" w:lineRule="exact"/>
              <w:ind w:firstLine="0" w:firstLineChars="0"/>
              <w:jc w:val="center"/>
              <w:rPr>
                <w:rFonts w:hint="default" w:ascii="Times New Roman" w:hAnsi="Times New Roman" w:cs="Times New Roman"/>
                <w:b/>
                <w:bCs/>
                <w:color w:val="auto"/>
                <w:highlight w:val="none"/>
              </w:rPr>
            </w:pPr>
          </w:p>
        </w:tc>
        <w:tc>
          <w:tcPr>
            <w:tcW w:w="648" w:type="dxa"/>
            <w:vMerge w:val="continue"/>
            <w:tcBorders>
              <w:tl2br w:val="nil"/>
              <w:tr2bl w:val="nil"/>
            </w:tcBorders>
            <w:vAlign w:val="center"/>
          </w:tcPr>
          <w:p w14:paraId="490A4821">
            <w:pPr>
              <w:spacing w:line="360" w:lineRule="exact"/>
              <w:ind w:firstLine="0" w:firstLineChars="0"/>
              <w:jc w:val="center"/>
              <w:rPr>
                <w:rFonts w:hint="default" w:ascii="Times New Roman" w:hAnsi="Times New Roman" w:cs="Times New Roman"/>
                <w:b/>
                <w:bCs/>
                <w:color w:val="auto"/>
                <w:highlight w:val="none"/>
              </w:rPr>
            </w:pPr>
          </w:p>
        </w:tc>
        <w:tc>
          <w:tcPr>
            <w:tcW w:w="701" w:type="dxa"/>
            <w:tcBorders>
              <w:tl2br w:val="nil"/>
              <w:tr2bl w:val="nil"/>
            </w:tcBorders>
            <w:vAlign w:val="center"/>
          </w:tcPr>
          <w:p w14:paraId="287A9906">
            <w:pPr>
              <w:spacing w:line="360" w:lineRule="exact"/>
              <w:ind w:firstLine="0" w:firstLineChars="0"/>
              <w:jc w:val="center"/>
              <w:rPr>
                <w:rFonts w:hint="default" w:ascii="Times New Roman" w:hAnsi="Times New Roman" w:cs="Times New Roman"/>
                <w:b/>
                <w:bCs/>
                <w:color w:val="auto"/>
                <w:kern w:val="0"/>
                <w:highlight w:val="none"/>
              </w:rPr>
            </w:pPr>
            <w:r>
              <w:rPr>
                <w:rFonts w:hint="default" w:ascii="Times New Roman" w:hAnsi="Times New Roman" w:cs="Times New Roman"/>
                <w:b/>
                <w:bCs/>
                <w:color w:val="auto"/>
                <w:sz w:val="21"/>
                <w:szCs w:val="21"/>
                <w:highlight w:val="none"/>
              </w:rPr>
              <w:t>5m</w:t>
            </w:r>
          </w:p>
        </w:tc>
        <w:tc>
          <w:tcPr>
            <w:tcW w:w="700" w:type="dxa"/>
            <w:tcBorders>
              <w:tl2br w:val="nil"/>
              <w:tr2bl w:val="nil"/>
            </w:tcBorders>
            <w:vAlign w:val="center"/>
          </w:tcPr>
          <w:p w14:paraId="372DAC62">
            <w:pPr>
              <w:spacing w:line="360" w:lineRule="exact"/>
              <w:ind w:firstLine="0" w:firstLineChars="0"/>
              <w:jc w:val="center"/>
              <w:rPr>
                <w:rFonts w:hint="default" w:ascii="Times New Roman" w:hAnsi="Times New Roman" w:cs="Times New Roman"/>
                <w:b/>
                <w:bCs/>
                <w:color w:val="auto"/>
                <w:kern w:val="0"/>
                <w:highlight w:val="none"/>
              </w:rPr>
            </w:pPr>
            <w:r>
              <w:rPr>
                <w:rFonts w:hint="default" w:ascii="Times New Roman" w:hAnsi="Times New Roman" w:cs="Times New Roman"/>
                <w:b/>
                <w:bCs/>
                <w:color w:val="auto"/>
                <w:sz w:val="21"/>
                <w:szCs w:val="21"/>
                <w:highlight w:val="none"/>
              </w:rPr>
              <w:t>10m</w:t>
            </w:r>
          </w:p>
        </w:tc>
        <w:tc>
          <w:tcPr>
            <w:tcW w:w="700" w:type="dxa"/>
            <w:tcBorders>
              <w:tl2br w:val="nil"/>
              <w:tr2bl w:val="nil"/>
            </w:tcBorders>
            <w:vAlign w:val="center"/>
          </w:tcPr>
          <w:p w14:paraId="74B1205D">
            <w:pPr>
              <w:spacing w:line="360" w:lineRule="exact"/>
              <w:ind w:firstLine="0" w:firstLineChars="0"/>
              <w:jc w:val="center"/>
              <w:rPr>
                <w:rFonts w:hint="default" w:ascii="Times New Roman" w:hAnsi="Times New Roman" w:cs="Times New Roman"/>
                <w:b/>
                <w:bCs/>
                <w:color w:val="auto"/>
                <w:kern w:val="0"/>
                <w:highlight w:val="none"/>
              </w:rPr>
            </w:pPr>
            <w:r>
              <w:rPr>
                <w:rFonts w:hint="default" w:ascii="Times New Roman" w:hAnsi="Times New Roman" w:cs="Times New Roman"/>
                <w:b/>
                <w:bCs/>
                <w:color w:val="auto"/>
                <w:sz w:val="21"/>
                <w:szCs w:val="21"/>
                <w:highlight w:val="none"/>
              </w:rPr>
              <w:t>20m</w:t>
            </w:r>
          </w:p>
        </w:tc>
        <w:tc>
          <w:tcPr>
            <w:tcW w:w="700" w:type="dxa"/>
            <w:tcBorders>
              <w:tl2br w:val="nil"/>
              <w:tr2bl w:val="nil"/>
            </w:tcBorders>
            <w:vAlign w:val="center"/>
          </w:tcPr>
          <w:p w14:paraId="35E67B01">
            <w:pPr>
              <w:spacing w:line="360" w:lineRule="exact"/>
              <w:ind w:firstLine="0" w:firstLineChars="0"/>
              <w:jc w:val="center"/>
              <w:rPr>
                <w:rFonts w:hint="default" w:ascii="Times New Roman" w:hAnsi="Times New Roman" w:cs="Times New Roman"/>
                <w:b/>
                <w:bCs/>
                <w:color w:val="auto"/>
                <w:kern w:val="0"/>
                <w:highlight w:val="none"/>
              </w:rPr>
            </w:pPr>
            <w:r>
              <w:rPr>
                <w:rFonts w:hint="default" w:ascii="Times New Roman" w:hAnsi="Times New Roman" w:cs="Times New Roman"/>
                <w:b/>
                <w:bCs/>
                <w:color w:val="auto"/>
                <w:sz w:val="21"/>
                <w:szCs w:val="21"/>
                <w:highlight w:val="none"/>
              </w:rPr>
              <w:t>40m</w:t>
            </w:r>
          </w:p>
        </w:tc>
        <w:tc>
          <w:tcPr>
            <w:tcW w:w="700" w:type="dxa"/>
            <w:tcBorders>
              <w:tl2br w:val="nil"/>
              <w:tr2bl w:val="nil"/>
            </w:tcBorders>
            <w:vAlign w:val="center"/>
          </w:tcPr>
          <w:p w14:paraId="3E3365A1">
            <w:pPr>
              <w:spacing w:line="360" w:lineRule="exact"/>
              <w:ind w:firstLine="0" w:firstLineChars="0"/>
              <w:jc w:val="center"/>
              <w:rPr>
                <w:rFonts w:hint="default" w:ascii="Times New Roman" w:hAnsi="Times New Roman" w:cs="Times New Roman"/>
                <w:b/>
                <w:bCs/>
                <w:color w:val="auto"/>
                <w:kern w:val="0"/>
                <w:highlight w:val="none"/>
              </w:rPr>
            </w:pPr>
            <w:r>
              <w:rPr>
                <w:rFonts w:hint="default" w:ascii="Times New Roman" w:hAnsi="Times New Roman" w:cs="Times New Roman"/>
                <w:b/>
                <w:bCs/>
                <w:color w:val="auto"/>
                <w:sz w:val="21"/>
                <w:szCs w:val="21"/>
                <w:highlight w:val="none"/>
              </w:rPr>
              <w:t>60m</w:t>
            </w:r>
          </w:p>
        </w:tc>
        <w:tc>
          <w:tcPr>
            <w:tcW w:w="700" w:type="dxa"/>
            <w:tcBorders>
              <w:tl2br w:val="nil"/>
              <w:tr2bl w:val="nil"/>
            </w:tcBorders>
            <w:vAlign w:val="center"/>
          </w:tcPr>
          <w:p w14:paraId="4677EA3D">
            <w:pPr>
              <w:spacing w:line="360" w:lineRule="exact"/>
              <w:ind w:firstLine="0" w:firstLineChars="0"/>
              <w:jc w:val="center"/>
              <w:rPr>
                <w:rFonts w:hint="default" w:ascii="Times New Roman" w:hAnsi="Times New Roman" w:cs="Times New Roman"/>
                <w:b/>
                <w:bCs/>
                <w:color w:val="auto"/>
                <w:kern w:val="0"/>
                <w:highlight w:val="none"/>
              </w:rPr>
            </w:pPr>
            <w:r>
              <w:rPr>
                <w:rFonts w:hint="default" w:ascii="Times New Roman" w:hAnsi="Times New Roman" w:cs="Times New Roman"/>
                <w:b/>
                <w:bCs/>
                <w:color w:val="auto"/>
                <w:sz w:val="21"/>
                <w:szCs w:val="21"/>
                <w:highlight w:val="none"/>
              </w:rPr>
              <w:t>80m</w:t>
            </w:r>
          </w:p>
        </w:tc>
        <w:tc>
          <w:tcPr>
            <w:tcW w:w="717" w:type="dxa"/>
            <w:tcBorders>
              <w:tl2br w:val="nil"/>
              <w:tr2bl w:val="nil"/>
            </w:tcBorders>
            <w:vAlign w:val="center"/>
          </w:tcPr>
          <w:p w14:paraId="510F1B81">
            <w:pPr>
              <w:spacing w:line="360" w:lineRule="exact"/>
              <w:ind w:firstLine="0" w:firstLineChars="0"/>
              <w:jc w:val="center"/>
              <w:rPr>
                <w:rFonts w:hint="default" w:ascii="Times New Roman" w:hAnsi="Times New Roman" w:cs="Times New Roman"/>
                <w:b/>
                <w:bCs/>
                <w:color w:val="auto"/>
                <w:kern w:val="0"/>
                <w:highlight w:val="none"/>
              </w:rPr>
            </w:pPr>
            <w:r>
              <w:rPr>
                <w:rFonts w:hint="default" w:ascii="Times New Roman" w:hAnsi="Times New Roman" w:cs="Times New Roman"/>
                <w:b/>
                <w:bCs/>
                <w:color w:val="auto"/>
                <w:sz w:val="21"/>
                <w:szCs w:val="21"/>
                <w:highlight w:val="none"/>
              </w:rPr>
              <w:t>100m</w:t>
            </w:r>
          </w:p>
        </w:tc>
        <w:tc>
          <w:tcPr>
            <w:tcW w:w="717" w:type="dxa"/>
            <w:tcBorders>
              <w:tl2br w:val="nil"/>
              <w:tr2bl w:val="nil"/>
            </w:tcBorders>
            <w:vAlign w:val="center"/>
          </w:tcPr>
          <w:p w14:paraId="4252B4B8">
            <w:pPr>
              <w:spacing w:line="360" w:lineRule="exact"/>
              <w:ind w:firstLine="0" w:firstLineChars="0"/>
              <w:jc w:val="center"/>
              <w:rPr>
                <w:rFonts w:hint="default" w:ascii="Times New Roman" w:hAnsi="Times New Roman" w:cs="Times New Roman"/>
                <w:b/>
                <w:bCs/>
                <w:color w:val="auto"/>
                <w:kern w:val="0"/>
                <w:highlight w:val="none"/>
              </w:rPr>
            </w:pPr>
            <w:r>
              <w:rPr>
                <w:rFonts w:hint="default" w:ascii="Times New Roman" w:hAnsi="Times New Roman" w:cs="Times New Roman"/>
                <w:b/>
                <w:bCs/>
                <w:color w:val="auto"/>
                <w:sz w:val="21"/>
                <w:szCs w:val="21"/>
                <w:highlight w:val="none"/>
              </w:rPr>
              <w:t>150m</w:t>
            </w:r>
          </w:p>
        </w:tc>
        <w:tc>
          <w:tcPr>
            <w:tcW w:w="731" w:type="dxa"/>
            <w:tcBorders>
              <w:tl2br w:val="nil"/>
              <w:tr2bl w:val="nil"/>
            </w:tcBorders>
            <w:vAlign w:val="center"/>
          </w:tcPr>
          <w:p w14:paraId="7CDB2092">
            <w:pPr>
              <w:spacing w:line="360" w:lineRule="exact"/>
              <w:ind w:firstLine="0" w:firstLineChars="0"/>
              <w:jc w:val="center"/>
              <w:rPr>
                <w:rFonts w:hint="default" w:ascii="Times New Roman" w:hAnsi="Times New Roman" w:cs="Times New Roman"/>
                <w:b/>
                <w:bCs/>
                <w:color w:val="auto"/>
                <w:kern w:val="0"/>
                <w:highlight w:val="none"/>
              </w:rPr>
            </w:pPr>
            <w:r>
              <w:rPr>
                <w:rFonts w:hint="default" w:ascii="Times New Roman" w:hAnsi="Times New Roman" w:cs="Times New Roman"/>
                <w:b/>
                <w:bCs/>
                <w:color w:val="auto"/>
                <w:sz w:val="21"/>
                <w:szCs w:val="21"/>
                <w:highlight w:val="none"/>
              </w:rPr>
              <w:t>200m</w:t>
            </w:r>
          </w:p>
        </w:tc>
      </w:tr>
      <w:tr w14:paraId="7F3F2A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505" w:type="dxa"/>
            <w:tcBorders>
              <w:tl2br w:val="nil"/>
              <w:tr2bl w:val="nil"/>
            </w:tcBorders>
            <w:vAlign w:val="center"/>
          </w:tcPr>
          <w:p w14:paraId="4470F1B5">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挖土机</w:t>
            </w:r>
          </w:p>
        </w:tc>
        <w:tc>
          <w:tcPr>
            <w:tcW w:w="648" w:type="dxa"/>
            <w:tcBorders>
              <w:tl2br w:val="nil"/>
              <w:tr2bl w:val="nil"/>
            </w:tcBorders>
            <w:vAlign w:val="center"/>
          </w:tcPr>
          <w:p w14:paraId="506C370E">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96</w:t>
            </w:r>
          </w:p>
        </w:tc>
        <w:tc>
          <w:tcPr>
            <w:tcW w:w="701" w:type="dxa"/>
            <w:tcBorders>
              <w:tl2br w:val="nil"/>
              <w:tr2bl w:val="nil"/>
            </w:tcBorders>
            <w:vAlign w:val="center"/>
          </w:tcPr>
          <w:p w14:paraId="19B7F010">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74.0</w:t>
            </w:r>
          </w:p>
        </w:tc>
        <w:tc>
          <w:tcPr>
            <w:tcW w:w="700" w:type="dxa"/>
            <w:tcBorders>
              <w:tl2br w:val="nil"/>
              <w:tr2bl w:val="nil"/>
            </w:tcBorders>
            <w:vAlign w:val="center"/>
          </w:tcPr>
          <w:p w14:paraId="710835E3">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68.0</w:t>
            </w:r>
          </w:p>
        </w:tc>
        <w:tc>
          <w:tcPr>
            <w:tcW w:w="700" w:type="dxa"/>
            <w:tcBorders>
              <w:tl2br w:val="nil"/>
              <w:tr2bl w:val="nil"/>
            </w:tcBorders>
            <w:vAlign w:val="center"/>
          </w:tcPr>
          <w:p w14:paraId="4FB9C68A">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62.0</w:t>
            </w:r>
          </w:p>
        </w:tc>
        <w:tc>
          <w:tcPr>
            <w:tcW w:w="700" w:type="dxa"/>
            <w:tcBorders>
              <w:tl2br w:val="nil"/>
              <w:tr2bl w:val="nil"/>
            </w:tcBorders>
            <w:vAlign w:val="center"/>
          </w:tcPr>
          <w:p w14:paraId="3855D4DE">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55.9</w:t>
            </w:r>
          </w:p>
        </w:tc>
        <w:tc>
          <w:tcPr>
            <w:tcW w:w="700" w:type="dxa"/>
            <w:tcBorders>
              <w:tl2br w:val="nil"/>
              <w:tr2bl w:val="nil"/>
            </w:tcBorders>
            <w:vAlign w:val="center"/>
          </w:tcPr>
          <w:p w14:paraId="722251B9">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52.4</w:t>
            </w:r>
          </w:p>
        </w:tc>
        <w:tc>
          <w:tcPr>
            <w:tcW w:w="700" w:type="dxa"/>
            <w:tcBorders>
              <w:tl2br w:val="nil"/>
              <w:tr2bl w:val="nil"/>
            </w:tcBorders>
            <w:vAlign w:val="center"/>
          </w:tcPr>
          <w:p w14:paraId="23983BA7">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49.9</w:t>
            </w:r>
          </w:p>
        </w:tc>
        <w:tc>
          <w:tcPr>
            <w:tcW w:w="717" w:type="dxa"/>
            <w:tcBorders>
              <w:tl2br w:val="nil"/>
              <w:tr2bl w:val="nil"/>
            </w:tcBorders>
            <w:vAlign w:val="center"/>
          </w:tcPr>
          <w:p w14:paraId="7C0B342C">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48.0</w:t>
            </w:r>
          </w:p>
        </w:tc>
        <w:tc>
          <w:tcPr>
            <w:tcW w:w="717" w:type="dxa"/>
            <w:tcBorders>
              <w:tl2br w:val="nil"/>
              <w:tr2bl w:val="nil"/>
            </w:tcBorders>
            <w:vAlign w:val="center"/>
          </w:tcPr>
          <w:p w14:paraId="5E97464C">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44.5</w:t>
            </w:r>
          </w:p>
        </w:tc>
        <w:tc>
          <w:tcPr>
            <w:tcW w:w="731" w:type="dxa"/>
            <w:tcBorders>
              <w:tl2br w:val="nil"/>
              <w:tr2bl w:val="nil"/>
            </w:tcBorders>
            <w:vAlign w:val="center"/>
          </w:tcPr>
          <w:p w14:paraId="342960D3">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42.0</w:t>
            </w:r>
          </w:p>
        </w:tc>
      </w:tr>
      <w:tr w14:paraId="24D734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505" w:type="dxa"/>
            <w:tcBorders>
              <w:tl2br w:val="nil"/>
              <w:tr2bl w:val="nil"/>
            </w:tcBorders>
            <w:vAlign w:val="center"/>
          </w:tcPr>
          <w:p w14:paraId="571BE289">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冲击机</w:t>
            </w:r>
          </w:p>
        </w:tc>
        <w:tc>
          <w:tcPr>
            <w:tcW w:w="648" w:type="dxa"/>
            <w:tcBorders>
              <w:tl2br w:val="nil"/>
              <w:tr2bl w:val="nil"/>
            </w:tcBorders>
            <w:vAlign w:val="center"/>
          </w:tcPr>
          <w:p w14:paraId="035FA033">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95</w:t>
            </w:r>
          </w:p>
        </w:tc>
        <w:tc>
          <w:tcPr>
            <w:tcW w:w="701" w:type="dxa"/>
            <w:tcBorders>
              <w:tl2br w:val="nil"/>
              <w:tr2bl w:val="nil"/>
            </w:tcBorders>
            <w:vAlign w:val="center"/>
          </w:tcPr>
          <w:p w14:paraId="663432A7">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73.0</w:t>
            </w:r>
          </w:p>
        </w:tc>
        <w:tc>
          <w:tcPr>
            <w:tcW w:w="700" w:type="dxa"/>
            <w:tcBorders>
              <w:tl2br w:val="nil"/>
              <w:tr2bl w:val="nil"/>
            </w:tcBorders>
            <w:vAlign w:val="center"/>
          </w:tcPr>
          <w:p w14:paraId="3DAD4AA1">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67.0</w:t>
            </w:r>
          </w:p>
        </w:tc>
        <w:tc>
          <w:tcPr>
            <w:tcW w:w="700" w:type="dxa"/>
            <w:tcBorders>
              <w:tl2br w:val="nil"/>
              <w:tr2bl w:val="nil"/>
            </w:tcBorders>
            <w:vAlign w:val="center"/>
          </w:tcPr>
          <w:p w14:paraId="23FAB16B">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61.0</w:t>
            </w:r>
          </w:p>
        </w:tc>
        <w:tc>
          <w:tcPr>
            <w:tcW w:w="700" w:type="dxa"/>
            <w:tcBorders>
              <w:tl2br w:val="nil"/>
              <w:tr2bl w:val="nil"/>
            </w:tcBorders>
            <w:vAlign w:val="center"/>
          </w:tcPr>
          <w:p w14:paraId="6EA46F4D">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54.9</w:t>
            </w:r>
          </w:p>
        </w:tc>
        <w:tc>
          <w:tcPr>
            <w:tcW w:w="700" w:type="dxa"/>
            <w:tcBorders>
              <w:tl2br w:val="nil"/>
              <w:tr2bl w:val="nil"/>
            </w:tcBorders>
            <w:vAlign w:val="center"/>
          </w:tcPr>
          <w:p w14:paraId="6145F5DA">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51.4</w:t>
            </w:r>
          </w:p>
        </w:tc>
        <w:tc>
          <w:tcPr>
            <w:tcW w:w="700" w:type="dxa"/>
            <w:tcBorders>
              <w:tl2br w:val="nil"/>
              <w:tr2bl w:val="nil"/>
            </w:tcBorders>
            <w:vAlign w:val="center"/>
          </w:tcPr>
          <w:p w14:paraId="427567E0">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48.9</w:t>
            </w:r>
          </w:p>
        </w:tc>
        <w:tc>
          <w:tcPr>
            <w:tcW w:w="717" w:type="dxa"/>
            <w:tcBorders>
              <w:tl2br w:val="nil"/>
              <w:tr2bl w:val="nil"/>
            </w:tcBorders>
            <w:vAlign w:val="center"/>
          </w:tcPr>
          <w:p w14:paraId="5AE90685">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47.0</w:t>
            </w:r>
          </w:p>
        </w:tc>
        <w:tc>
          <w:tcPr>
            <w:tcW w:w="717" w:type="dxa"/>
            <w:tcBorders>
              <w:tl2br w:val="nil"/>
              <w:tr2bl w:val="nil"/>
            </w:tcBorders>
            <w:vAlign w:val="center"/>
          </w:tcPr>
          <w:p w14:paraId="5AE56091">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43.5</w:t>
            </w:r>
          </w:p>
        </w:tc>
        <w:tc>
          <w:tcPr>
            <w:tcW w:w="731" w:type="dxa"/>
            <w:tcBorders>
              <w:tl2br w:val="nil"/>
              <w:tr2bl w:val="nil"/>
            </w:tcBorders>
            <w:vAlign w:val="center"/>
          </w:tcPr>
          <w:p w14:paraId="50AD42F8">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41.0</w:t>
            </w:r>
          </w:p>
        </w:tc>
      </w:tr>
      <w:tr w14:paraId="3E913A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505" w:type="dxa"/>
            <w:tcBorders>
              <w:tl2br w:val="nil"/>
              <w:tr2bl w:val="nil"/>
            </w:tcBorders>
            <w:vAlign w:val="center"/>
          </w:tcPr>
          <w:p w14:paraId="2537C99B">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空压机</w:t>
            </w:r>
          </w:p>
        </w:tc>
        <w:tc>
          <w:tcPr>
            <w:tcW w:w="648" w:type="dxa"/>
            <w:tcBorders>
              <w:tl2br w:val="nil"/>
              <w:tr2bl w:val="nil"/>
            </w:tcBorders>
            <w:vAlign w:val="center"/>
          </w:tcPr>
          <w:p w14:paraId="2A2F9A36">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85</w:t>
            </w:r>
          </w:p>
        </w:tc>
        <w:tc>
          <w:tcPr>
            <w:tcW w:w="701" w:type="dxa"/>
            <w:tcBorders>
              <w:tl2br w:val="nil"/>
              <w:tr2bl w:val="nil"/>
            </w:tcBorders>
            <w:vAlign w:val="center"/>
          </w:tcPr>
          <w:p w14:paraId="44BF5E5C">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63.0</w:t>
            </w:r>
          </w:p>
        </w:tc>
        <w:tc>
          <w:tcPr>
            <w:tcW w:w="700" w:type="dxa"/>
            <w:tcBorders>
              <w:tl2br w:val="nil"/>
              <w:tr2bl w:val="nil"/>
            </w:tcBorders>
            <w:vAlign w:val="center"/>
          </w:tcPr>
          <w:p w14:paraId="008F67F1">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57.0</w:t>
            </w:r>
          </w:p>
        </w:tc>
        <w:tc>
          <w:tcPr>
            <w:tcW w:w="700" w:type="dxa"/>
            <w:tcBorders>
              <w:tl2br w:val="nil"/>
              <w:tr2bl w:val="nil"/>
            </w:tcBorders>
            <w:vAlign w:val="center"/>
          </w:tcPr>
          <w:p w14:paraId="1CEA1AD4">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51.0</w:t>
            </w:r>
          </w:p>
        </w:tc>
        <w:tc>
          <w:tcPr>
            <w:tcW w:w="700" w:type="dxa"/>
            <w:tcBorders>
              <w:tl2br w:val="nil"/>
              <w:tr2bl w:val="nil"/>
            </w:tcBorders>
            <w:vAlign w:val="center"/>
          </w:tcPr>
          <w:p w14:paraId="663C6CC4">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44.9</w:t>
            </w:r>
          </w:p>
        </w:tc>
        <w:tc>
          <w:tcPr>
            <w:tcW w:w="700" w:type="dxa"/>
            <w:tcBorders>
              <w:tl2br w:val="nil"/>
              <w:tr2bl w:val="nil"/>
            </w:tcBorders>
            <w:vAlign w:val="center"/>
          </w:tcPr>
          <w:p w14:paraId="4112E50D">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41.4</w:t>
            </w:r>
          </w:p>
        </w:tc>
        <w:tc>
          <w:tcPr>
            <w:tcW w:w="700" w:type="dxa"/>
            <w:tcBorders>
              <w:tl2br w:val="nil"/>
              <w:tr2bl w:val="nil"/>
            </w:tcBorders>
            <w:vAlign w:val="center"/>
          </w:tcPr>
          <w:p w14:paraId="3CD57B89">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38.9</w:t>
            </w:r>
          </w:p>
        </w:tc>
        <w:tc>
          <w:tcPr>
            <w:tcW w:w="717" w:type="dxa"/>
            <w:tcBorders>
              <w:tl2br w:val="nil"/>
              <w:tr2bl w:val="nil"/>
            </w:tcBorders>
            <w:vAlign w:val="center"/>
          </w:tcPr>
          <w:p w14:paraId="7D45D2B7">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37.0</w:t>
            </w:r>
          </w:p>
        </w:tc>
        <w:tc>
          <w:tcPr>
            <w:tcW w:w="717" w:type="dxa"/>
            <w:tcBorders>
              <w:tl2br w:val="nil"/>
              <w:tr2bl w:val="nil"/>
            </w:tcBorders>
            <w:vAlign w:val="center"/>
          </w:tcPr>
          <w:p w14:paraId="0E19B96D">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33.5</w:t>
            </w:r>
          </w:p>
        </w:tc>
        <w:tc>
          <w:tcPr>
            <w:tcW w:w="731" w:type="dxa"/>
            <w:tcBorders>
              <w:tl2br w:val="nil"/>
              <w:tr2bl w:val="nil"/>
            </w:tcBorders>
            <w:vAlign w:val="center"/>
          </w:tcPr>
          <w:p w14:paraId="710F69E3">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31.0</w:t>
            </w:r>
          </w:p>
        </w:tc>
      </w:tr>
      <w:tr w14:paraId="470FF9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505" w:type="dxa"/>
            <w:tcBorders>
              <w:tl2br w:val="nil"/>
              <w:tr2bl w:val="nil"/>
            </w:tcBorders>
            <w:vAlign w:val="center"/>
          </w:tcPr>
          <w:p w14:paraId="5F46F0EC">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压缩机</w:t>
            </w:r>
          </w:p>
        </w:tc>
        <w:tc>
          <w:tcPr>
            <w:tcW w:w="648" w:type="dxa"/>
            <w:tcBorders>
              <w:tl2br w:val="nil"/>
              <w:tr2bl w:val="nil"/>
            </w:tcBorders>
            <w:vAlign w:val="center"/>
          </w:tcPr>
          <w:p w14:paraId="74A9D27C">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88</w:t>
            </w:r>
          </w:p>
        </w:tc>
        <w:tc>
          <w:tcPr>
            <w:tcW w:w="701" w:type="dxa"/>
            <w:tcBorders>
              <w:tl2br w:val="nil"/>
              <w:tr2bl w:val="nil"/>
            </w:tcBorders>
            <w:vAlign w:val="center"/>
          </w:tcPr>
          <w:p w14:paraId="67AD153E">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66.0</w:t>
            </w:r>
          </w:p>
        </w:tc>
        <w:tc>
          <w:tcPr>
            <w:tcW w:w="700" w:type="dxa"/>
            <w:tcBorders>
              <w:tl2br w:val="nil"/>
              <w:tr2bl w:val="nil"/>
            </w:tcBorders>
            <w:vAlign w:val="center"/>
          </w:tcPr>
          <w:p w14:paraId="0C4D6B93">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60.0</w:t>
            </w:r>
          </w:p>
        </w:tc>
        <w:tc>
          <w:tcPr>
            <w:tcW w:w="700" w:type="dxa"/>
            <w:tcBorders>
              <w:tl2br w:val="nil"/>
              <w:tr2bl w:val="nil"/>
            </w:tcBorders>
            <w:vAlign w:val="center"/>
          </w:tcPr>
          <w:p w14:paraId="454B4D00">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54.0</w:t>
            </w:r>
          </w:p>
        </w:tc>
        <w:tc>
          <w:tcPr>
            <w:tcW w:w="700" w:type="dxa"/>
            <w:tcBorders>
              <w:tl2br w:val="nil"/>
              <w:tr2bl w:val="nil"/>
            </w:tcBorders>
            <w:vAlign w:val="center"/>
          </w:tcPr>
          <w:p w14:paraId="6B7CE235">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47.9</w:t>
            </w:r>
          </w:p>
        </w:tc>
        <w:tc>
          <w:tcPr>
            <w:tcW w:w="700" w:type="dxa"/>
            <w:tcBorders>
              <w:tl2br w:val="nil"/>
              <w:tr2bl w:val="nil"/>
            </w:tcBorders>
            <w:vAlign w:val="center"/>
          </w:tcPr>
          <w:p w14:paraId="52DA9A52">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44.4</w:t>
            </w:r>
          </w:p>
        </w:tc>
        <w:tc>
          <w:tcPr>
            <w:tcW w:w="700" w:type="dxa"/>
            <w:tcBorders>
              <w:tl2br w:val="nil"/>
              <w:tr2bl w:val="nil"/>
            </w:tcBorders>
            <w:vAlign w:val="center"/>
          </w:tcPr>
          <w:p w14:paraId="608DC51F">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41.9</w:t>
            </w:r>
          </w:p>
        </w:tc>
        <w:tc>
          <w:tcPr>
            <w:tcW w:w="717" w:type="dxa"/>
            <w:tcBorders>
              <w:tl2br w:val="nil"/>
              <w:tr2bl w:val="nil"/>
            </w:tcBorders>
            <w:vAlign w:val="center"/>
          </w:tcPr>
          <w:p w14:paraId="0F5CE364">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40.0</w:t>
            </w:r>
          </w:p>
        </w:tc>
        <w:tc>
          <w:tcPr>
            <w:tcW w:w="717" w:type="dxa"/>
            <w:tcBorders>
              <w:tl2br w:val="nil"/>
              <w:tr2bl w:val="nil"/>
            </w:tcBorders>
            <w:vAlign w:val="center"/>
          </w:tcPr>
          <w:p w14:paraId="7CB5D033">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36.5</w:t>
            </w:r>
          </w:p>
        </w:tc>
        <w:tc>
          <w:tcPr>
            <w:tcW w:w="731" w:type="dxa"/>
            <w:tcBorders>
              <w:tl2br w:val="nil"/>
              <w:tr2bl w:val="nil"/>
            </w:tcBorders>
            <w:vAlign w:val="center"/>
          </w:tcPr>
          <w:p w14:paraId="058CEFF3">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34.0</w:t>
            </w:r>
          </w:p>
        </w:tc>
      </w:tr>
      <w:tr w14:paraId="4FBDBF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505" w:type="dxa"/>
            <w:tcBorders>
              <w:tl2br w:val="nil"/>
              <w:tr2bl w:val="nil"/>
            </w:tcBorders>
            <w:vAlign w:val="center"/>
          </w:tcPr>
          <w:p w14:paraId="71F2231D">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振捣器</w:t>
            </w:r>
          </w:p>
        </w:tc>
        <w:tc>
          <w:tcPr>
            <w:tcW w:w="648" w:type="dxa"/>
            <w:tcBorders>
              <w:tl2br w:val="nil"/>
              <w:tr2bl w:val="nil"/>
            </w:tcBorders>
            <w:vAlign w:val="center"/>
          </w:tcPr>
          <w:p w14:paraId="2A47627B">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105</w:t>
            </w:r>
          </w:p>
        </w:tc>
        <w:tc>
          <w:tcPr>
            <w:tcW w:w="701" w:type="dxa"/>
            <w:tcBorders>
              <w:tl2br w:val="nil"/>
              <w:tr2bl w:val="nil"/>
            </w:tcBorders>
            <w:vAlign w:val="center"/>
          </w:tcPr>
          <w:p w14:paraId="677F048B">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83.0</w:t>
            </w:r>
          </w:p>
        </w:tc>
        <w:tc>
          <w:tcPr>
            <w:tcW w:w="700" w:type="dxa"/>
            <w:tcBorders>
              <w:tl2br w:val="nil"/>
              <w:tr2bl w:val="nil"/>
            </w:tcBorders>
            <w:vAlign w:val="center"/>
          </w:tcPr>
          <w:p w14:paraId="0CF7A1AA">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77.0</w:t>
            </w:r>
          </w:p>
        </w:tc>
        <w:tc>
          <w:tcPr>
            <w:tcW w:w="700" w:type="dxa"/>
            <w:tcBorders>
              <w:tl2br w:val="nil"/>
              <w:tr2bl w:val="nil"/>
            </w:tcBorders>
            <w:vAlign w:val="center"/>
          </w:tcPr>
          <w:p w14:paraId="53D9D1D8">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71.0</w:t>
            </w:r>
          </w:p>
        </w:tc>
        <w:tc>
          <w:tcPr>
            <w:tcW w:w="700" w:type="dxa"/>
            <w:tcBorders>
              <w:tl2br w:val="nil"/>
              <w:tr2bl w:val="nil"/>
            </w:tcBorders>
            <w:vAlign w:val="center"/>
          </w:tcPr>
          <w:p w14:paraId="5973D075">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64.9</w:t>
            </w:r>
          </w:p>
        </w:tc>
        <w:tc>
          <w:tcPr>
            <w:tcW w:w="700" w:type="dxa"/>
            <w:tcBorders>
              <w:tl2br w:val="nil"/>
              <w:tr2bl w:val="nil"/>
            </w:tcBorders>
            <w:vAlign w:val="center"/>
          </w:tcPr>
          <w:p w14:paraId="1C1FF0D4">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61.4</w:t>
            </w:r>
          </w:p>
        </w:tc>
        <w:tc>
          <w:tcPr>
            <w:tcW w:w="700" w:type="dxa"/>
            <w:tcBorders>
              <w:tl2br w:val="nil"/>
              <w:tr2bl w:val="nil"/>
            </w:tcBorders>
            <w:vAlign w:val="center"/>
          </w:tcPr>
          <w:p w14:paraId="003EE667">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58.9</w:t>
            </w:r>
          </w:p>
        </w:tc>
        <w:tc>
          <w:tcPr>
            <w:tcW w:w="717" w:type="dxa"/>
            <w:tcBorders>
              <w:tl2br w:val="nil"/>
              <w:tr2bl w:val="nil"/>
            </w:tcBorders>
            <w:vAlign w:val="center"/>
          </w:tcPr>
          <w:p w14:paraId="089420F1">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57.0</w:t>
            </w:r>
          </w:p>
        </w:tc>
        <w:tc>
          <w:tcPr>
            <w:tcW w:w="717" w:type="dxa"/>
            <w:tcBorders>
              <w:tl2br w:val="nil"/>
              <w:tr2bl w:val="nil"/>
            </w:tcBorders>
            <w:vAlign w:val="center"/>
          </w:tcPr>
          <w:p w14:paraId="7FBA8750">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53.5</w:t>
            </w:r>
          </w:p>
        </w:tc>
        <w:tc>
          <w:tcPr>
            <w:tcW w:w="731" w:type="dxa"/>
            <w:tcBorders>
              <w:tl2br w:val="nil"/>
              <w:tr2bl w:val="nil"/>
            </w:tcBorders>
            <w:vAlign w:val="center"/>
          </w:tcPr>
          <w:p w14:paraId="4E5BCC78">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51.0</w:t>
            </w:r>
          </w:p>
        </w:tc>
      </w:tr>
      <w:tr w14:paraId="49619A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505" w:type="dxa"/>
            <w:tcBorders>
              <w:tl2br w:val="nil"/>
              <w:tr2bl w:val="nil"/>
            </w:tcBorders>
            <w:vAlign w:val="center"/>
          </w:tcPr>
          <w:p w14:paraId="72CFE349">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电锯</w:t>
            </w:r>
          </w:p>
        </w:tc>
        <w:tc>
          <w:tcPr>
            <w:tcW w:w="648" w:type="dxa"/>
            <w:tcBorders>
              <w:tl2br w:val="nil"/>
              <w:tr2bl w:val="nil"/>
            </w:tcBorders>
          </w:tcPr>
          <w:p w14:paraId="6A5AC3A3">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105</w:t>
            </w:r>
          </w:p>
        </w:tc>
        <w:tc>
          <w:tcPr>
            <w:tcW w:w="701" w:type="dxa"/>
            <w:tcBorders>
              <w:tl2br w:val="nil"/>
              <w:tr2bl w:val="nil"/>
            </w:tcBorders>
            <w:vAlign w:val="center"/>
          </w:tcPr>
          <w:p w14:paraId="3CC60BC1">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83.0</w:t>
            </w:r>
          </w:p>
        </w:tc>
        <w:tc>
          <w:tcPr>
            <w:tcW w:w="700" w:type="dxa"/>
            <w:tcBorders>
              <w:tl2br w:val="nil"/>
              <w:tr2bl w:val="nil"/>
            </w:tcBorders>
            <w:vAlign w:val="center"/>
          </w:tcPr>
          <w:p w14:paraId="7BFF3C3B">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77.0</w:t>
            </w:r>
          </w:p>
        </w:tc>
        <w:tc>
          <w:tcPr>
            <w:tcW w:w="700" w:type="dxa"/>
            <w:tcBorders>
              <w:tl2br w:val="nil"/>
              <w:tr2bl w:val="nil"/>
            </w:tcBorders>
            <w:vAlign w:val="center"/>
          </w:tcPr>
          <w:p w14:paraId="317AEABD">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71.0</w:t>
            </w:r>
          </w:p>
        </w:tc>
        <w:tc>
          <w:tcPr>
            <w:tcW w:w="700" w:type="dxa"/>
            <w:tcBorders>
              <w:tl2br w:val="nil"/>
              <w:tr2bl w:val="nil"/>
            </w:tcBorders>
            <w:vAlign w:val="center"/>
          </w:tcPr>
          <w:p w14:paraId="5DAEBFBC">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64.9</w:t>
            </w:r>
          </w:p>
        </w:tc>
        <w:tc>
          <w:tcPr>
            <w:tcW w:w="700" w:type="dxa"/>
            <w:tcBorders>
              <w:tl2br w:val="nil"/>
              <w:tr2bl w:val="nil"/>
            </w:tcBorders>
            <w:vAlign w:val="center"/>
          </w:tcPr>
          <w:p w14:paraId="2F27E098">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61.4</w:t>
            </w:r>
          </w:p>
        </w:tc>
        <w:tc>
          <w:tcPr>
            <w:tcW w:w="700" w:type="dxa"/>
            <w:tcBorders>
              <w:tl2br w:val="nil"/>
              <w:tr2bl w:val="nil"/>
            </w:tcBorders>
            <w:vAlign w:val="center"/>
          </w:tcPr>
          <w:p w14:paraId="55E0362B">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58.9</w:t>
            </w:r>
          </w:p>
        </w:tc>
        <w:tc>
          <w:tcPr>
            <w:tcW w:w="717" w:type="dxa"/>
            <w:tcBorders>
              <w:tl2br w:val="nil"/>
              <w:tr2bl w:val="nil"/>
            </w:tcBorders>
            <w:vAlign w:val="center"/>
          </w:tcPr>
          <w:p w14:paraId="4AF3A086">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57.0</w:t>
            </w:r>
          </w:p>
        </w:tc>
        <w:tc>
          <w:tcPr>
            <w:tcW w:w="717" w:type="dxa"/>
            <w:tcBorders>
              <w:tl2br w:val="nil"/>
              <w:tr2bl w:val="nil"/>
            </w:tcBorders>
            <w:vAlign w:val="center"/>
          </w:tcPr>
          <w:p w14:paraId="43B24C90">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53.5</w:t>
            </w:r>
          </w:p>
        </w:tc>
        <w:tc>
          <w:tcPr>
            <w:tcW w:w="731" w:type="dxa"/>
            <w:tcBorders>
              <w:tl2br w:val="nil"/>
              <w:tr2bl w:val="nil"/>
            </w:tcBorders>
            <w:vAlign w:val="center"/>
          </w:tcPr>
          <w:p w14:paraId="1174C763">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51.0</w:t>
            </w:r>
          </w:p>
        </w:tc>
      </w:tr>
      <w:tr w14:paraId="487AB7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505" w:type="dxa"/>
            <w:tcBorders>
              <w:tl2br w:val="nil"/>
              <w:tr2bl w:val="nil"/>
            </w:tcBorders>
            <w:vAlign w:val="center"/>
          </w:tcPr>
          <w:p w14:paraId="355CE0B4">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电焊机</w:t>
            </w:r>
          </w:p>
        </w:tc>
        <w:tc>
          <w:tcPr>
            <w:tcW w:w="648" w:type="dxa"/>
            <w:tcBorders>
              <w:tl2br w:val="nil"/>
              <w:tr2bl w:val="nil"/>
            </w:tcBorders>
          </w:tcPr>
          <w:p w14:paraId="11A8E688">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95</w:t>
            </w:r>
          </w:p>
        </w:tc>
        <w:tc>
          <w:tcPr>
            <w:tcW w:w="701" w:type="dxa"/>
            <w:tcBorders>
              <w:tl2br w:val="nil"/>
              <w:tr2bl w:val="nil"/>
            </w:tcBorders>
            <w:vAlign w:val="center"/>
          </w:tcPr>
          <w:p w14:paraId="5E6CE91E">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73.0</w:t>
            </w:r>
          </w:p>
        </w:tc>
        <w:tc>
          <w:tcPr>
            <w:tcW w:w="700" w:type="dxa"/>
            <w:tcBorders>
              <w:tl2br w:val="nil"/>
              <w:tr2bl w:val="nil"/>
            </w:tcBorders>
            <w:vAlign w:val="center"/>
          </w:tcPr>
          <w:p w14:paraId="201912BC">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67.0</w:t>
            </w:r>
          </w:p>
        </w:tc>
        <w:tc>
          <w:tcPr>
            <w:tcW w:w="700" w:type="dxa"/>
            <w:tcBorders>
              <w:tl2br w:val="nil"/>
              <w:tr2bl w:val="nil"/>
            </w:tcBorders>
            <w:vAlign w:val="center"/>
          </w:tcPr>
          <w:p w14:paraId="566BF6EC">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61.0</w:t>
            </w:r>
          </w:p>
        </w:tc>
        <w:tc>
          <w:tcPr>
            <w:tcW w:w="700" w:type="dxa"/>
            <w:tcBorders>
              <w:tl2br w:val="nil"/>
              <w:tr2bl w:val="nil"/>
            </w:tcBorders>
            <w:vAlign w:val="center"/>
          </w:tcPr>
          <w:p w14:paraId="51C22345">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54.9</w:t>
            </w:r>
          </w:p>
        </w:tc>
        <w:tc>
          <w:tcPr>
            <w:tcW w:w="700" w:type="dxa"/>
            <w:tcBorders>
              <w:tl2br w:val="nil"/>
              <w:tr2bl w:val="nil"/>
            </w:tcBorders>
            <w:vAlign w:val="center"/>
          </w:tcPr>
          <w:p w14:paraId="1D99B1F4">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51.4</w:t>
            </w:r>
          </w:p>
        </w:tc>
        <w:tc>
          <w:tcPr>
            <w:tcW w:w="700" w:type="dxa"/>
            <w:tcBorders>
              <w:tl2br w:val="nil"/>
              <w:tr2bl w:val="nil"/>
            </w:tcBorders>
            <w:vAlign w:val="center"/>
          </w:tcPr>
          <w:p w14:paraId="7532EAA2">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48.9</w:t>
            </w:r>
          </w:p>
        </w:tc>
        <w:tc>
          <w:tcPr>
            <w:tcW w:w="717" w:type="dxa"/>
            <w:tcBorders>
              <w:tl2br w:val="nil"/>
              <w:tr2bl w:val="nil"/>
            </w:tcBorders>
            <w:vAlign w:val="center"/>
          </w:tcPr>
          <w:p w14:paraId="5DCD1FE6">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47.0</w:t>
            </w:r>
          </w:p>
        </w:tc>
        <w:tc>
          <w:tcPr>
            <w:tcW w:w="717" w:type="dxa"/>
            <w:tcBorders>
              <w:tl2br w:val="nil"/>
              <w:tr2bl w:val="nil"/>
            </w:tcBorders>
            <w:vAlign w:val="center"/>
          </w:tcPr>
          <w:p w14:paraId="699A2B98">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43.5</w:t>
            </w:r>
          </w:p>
        </w:tc>
        <w:tc>
          <w:tcPr>
            <w:tcW w:w="731" w:type="dxa"/>
            <w:tcBorders>
              <w:tl2br w:val="nil"/>
              <w:tr2bl w:val="nil"/>
            </w:tcBorders>
            <w:vAlign w:val="center"/>
          </w:tcPr>
          <w:p w14:paraId="172C92EB">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41.0</w:t>
            </w:r>
          </w:p>
        </w:tc>
      </w:tr>
      <w:tr w14:paraId="19CB6D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505" w:type="dxa"/>
            <w:tcBorders>
              <w:tl2br w:val="nil"/>
              <w:tr2bl w:val="nil"/>
            </w:tcBorders>
            <w:vAlign w:val="center"/>
          </w:tcPr>
          <w:p w14:paraId="5C185D7F">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空压机</w:t>
            </w:r>
          </w:p>
        </w:tc>
        <w:tc>
          <w:tcPr>
            <w:tcW w:w="648" w:type="dxa"/>
            <w:tcBorders>
              <w:tl2br w:val="nil"/>
              <w:tr2bl w:val="nil"/>
            </w:tcBorders>
          </w:tcPr>
          <w:p w14:paraId="02073A88">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85</w:t>
            </w:r>
          </w:p>
        </w:tc>
        <w:tc>
          <w:tcPr>
            <w:tcW w:w="701" w:type="dxa"/>
            <w:tcBorders>
              <w:tl2br w:val="nil"/>
              <w:tr2bl w:val="nil"/>
            </w:tcBorders>
            <w:vAlign w:val="center"/>
          </w:tcPr>
          <w:p w14:paraId="5F207127">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63.0</w:t>
            </w:r>
          </w:p>
        </w:tc>
        <w:tc>
          <w:tcPr>
            <w:tcW w:w="700" w:type="dxa"/>
            <w:tcBorders>
              <w:tl2br w:val="nil"/>
              <w:tr2bl w:val="nil"/>
            </w:tcBorders>
            <w:vAlign w:val="center"/>
          </w:tcPr>
          <w:p w14:paraId="0ABA7C8F">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57.0</w:t>
            </w:r>
          </w:p>
        </w:tc>
        <w:tc>
          <w:tcPr>
            <w:tcW w:w="700" w:type="dxa"/>
            <w:tcBorders>
              <w:tl2br w:val="nil"/>
              <w:tr2bl w:val="nil"/>
            </w:tcBorders>
            <w:vAlign w:val="center"/>
          </w:tcPr>
          <w:p w14:paraId="535FAE80">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51.0</w:t>
            </w:r>
          </w:p>
        </w:tc>
        <w:tc>
          <w:tcPr>
            <w:tcW w:w="700" w:type="dxa"/>
            <w:tcBorders>
              <w:tl2br w:val="nil"/>
              <w:tr2bl w:val="nil"/>
            </w:tcBorders>
            <w:vAlign w:val="center"/>
          </w:tcPr>
          <w:p w14:paraId="1D34D02B">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44.9</w:t>
            </w:r>
          </w:p>
        </w:tc>
        <w:tc>
          <w:tcPr>
            <w:tcW w:w="700" w:type="dxa"/>
            <w:tcBorders>
              <w:tl2br w:val="nil"/>
              <w:tr2bl w:val="nil"/>
            </w:tcBorders>
            <w:vAlign w:val="center"/>
          </w:tcPr>
          <w:p w14:paraId="3E11A932">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41.4</w:t>
            </w:r>
          </w:p>
        </w:tc>
        <w:tc>
          <w:tcPr>
            <w:tcW w:w="700" w:type="dxa"/>
            <w:tcBorders>
              <w:tl2br w:val="nil"/>
              <w:tr2bl w:val="nil"/>
            </w:tcBorders>
            <w:vAlign w:val="center"/>
          </w:tcPr>
          <w:p w14:paraId="2A713C07">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38.9</w:t>
            </w:r>
          </w:p>
        </w:tc>
        <w:tc>
          <w:tcPr>
            <w:tcW w:w="717" w:type="dxa"/>
            <w:tcBorders>
              <w:tl2br w:val="nil"/>
              <w:tr2bl w:val="nil"/>
            </w:tcBorders>
            <w:vAlign w:val="center"/>
          </w:tcPr>
          <w:p w14:paraId="682DF26D">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37.0</w:t>
            </w:r>
          </w:p>
        </w:tc>
        <w:tc>
          <w:tcPr>
            <w:tcW w:w="717" w:type="dxa"/>
            <w:tcBorders>
              <w:tl2br w:val="nil"/>
              <w:tr2bl w:val="nil"/>
            </w:tcBorders>
            <w:vAlign w:val="center"/>
          </w:tcPr>
          <w:p w14:paraId="5DE67578">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33.5</w:t>
            </w:r>
          </w:p>
        </w:tc>
        <w:tc>
          <w:tcPr>
            <w:tcW w:w="731" w:type="dxa"/>
            <w:tcBorders>
              <w:tl2br w:val="nil"/>
              <w:tr2bl w:val="nil"/>
            </w:tcBorders>
            <w:vAlign w:val="center"/>
          </w:tcPr>
          <w:p w14:paraId="2F058061">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31.0</w:t>
            </w:r>
          </w:p>
        </w:tc>
      </w:tr>
      <w:tr w14:paraId="71E401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505" w:type="dxa"/>
            <w:tcBorders>
              <w:tl2br w:val="nil"/>
              <w:tr2bl w:val="nil"/>
            </w:tcBorders>
            <w:vAlign w:val="center"/>
          </w:tcPr>
          <w:p w14:paraId="20D86F60">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电钻</w:t>
            </w:r>
          </w:p>
        </w:tc>
        <w:tc>
          <w:tcPr>
            <w:tcW w:w="648" w:type="dxa"/>
            <w:tcBorders>
              <w:tl2br w:val="nil"/>
              <w:tr2bl w:val="nil"/>
            </w:tcBorders>
          </w:tcPr>
          <w:p w14:paraId="10480F05">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105</w:t>
            </w:r>
          </w:p>
        </w:tc>
        <w:tc>
          <w:tcPr>
            <w:tcW w:w="701" w:type="dxa"/>
            <w:tcBorders>
              <w:tl2br w:val="nil"/>
              <w:tr2bl w:val="nil"/>
            </w:tcBorders>
            <w:vAlign w:val="center"/>
          </w:tcPr>
          <w:p w14:paraId="1A5EB4E7">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83.0</w:t>
            </w:r>
          </w:p>
        </w:tc>
        <w:tc>
          <w:tcPr>
            <w:tcW w:w="700" w:type="dxa"/>
            <w:tcBorders>
              <w:tl2br w:val="nil"/>
              <w:tr2bl w:val="nil"/>
            </w:tcBorders>
            <w:vAlign w:val="center"/>
          </w:tcPr>
          <w:p w14:paraId="7BB438E5">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77.0</w:t>
            </w:r>
          </w:p>
        </w:tc>
        <w:tc>
          <w:tcPr>
            <w:tcW w:w="700" w:type="dxa"/>
            <w:tcBorders>
              <w:tl2br w:val="nil"/>
              <w:tr2bl w:val="nil"/>
            </w:tcBorders>
            <w:vAlign w:val="center"/>
          </w:tcPr>
          <w:p w14:paraId="1A6D63BA">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71.0</w:t>
            </w:r>
          </w:p>
        </w:tc>
        <w:tc>
          <w:tcPr>
            <w:tcW w:w="700" w:type="dxa"/>
            <w:tcBorders>
              <w:tl2br w:val="nil"/>
              <w:tr2bl w:val="nil"/>
            </w:tcBorders>
            <w:vAlign w:val="center"/>
          </w:tcPr>
          <w:p w14:paraId="04C6FAA0">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64.9</w:t>
            </w:r>
          </w:p>
        </w:tc>
        <w:tc>
          <w:tcPr>
            <w:tcW w:w="700" w:type="dxa"/>
            <w:tcBorders>
              <w:tl2br w:val="nil"/>
              <w:tr2bl w:val="nil"/>
            </w:tcBorders>
            <w:vAlign w:val="center"/>
          </w:tcPr>
          <w:p w14:paraId="12F61C73">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61.4</w:t>
            </w:r>
          </w:p>
        </w:tc>
        <w:tc>
          <w:tcPr>
            <w:tcW w:w="700" w:type="dxa"/>
            <w:tcBorders>
              <w:tl2br w:val="nil"/>
              <w:tr2bl w:val="nil"/>
            </w:tcBorders>
            <w:vAlign w:val="center"/>
          </w:tcPr>
          <w:p w14:paraId="6DE9277B">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58.9</w:t>
            </w:r>
          </w:p>
        </w:tc>
        <w:tc>
          <w:tcPr>
            <w:tcW w:w="717" w:type="dxa"/>
            <w:tcBorders>
              <w:tl2br w:val="nil"/>
              <w:tr2bl w:val="nil"/>
            </w:tcBorders>
            <w:vAlign w:val="center"/>
          </w:tcPr>
          <w:p w14:paraId="549CB8B7">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57.0</w:t>
            </w:r>
          </w:p>
        </w:tc>
        <w:tc>
          <w:tcPr>
            <w:tcW w:w="717" w:type="dxa"/>
            <w:tcBorders>
              <w:tl2br w:val="nil"/>
              <w:tr2bl w:val="nil"/>
            </w:tcBorders>
            <w:vAlign w:val="center"/>
          </w:tcPr>
          <w:p w14:paraId="3E204D2D">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53.5</w:t>
            </w:r>
          </w:p>
        </w:tc>
        <w:tc>
          <w:tcPr>
            <w:tcW w:w="731" w:type="dxa"/>
            <w:tcBorders>
              <w:tl2br w:val="nil"/>
              <w:tr2bl w:val="nil"/>
            </w:tcBorders>
            <w:vAlign w:val="center"/>
          </w:tcPr>
          <w:p w14:paraId="786B71EA">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51.0</w:t>
            </w:r>
          </w:p>
        </w:tc>
      </w:tr>
      <w:tr w14:paraId="777468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505" w:type="dxa"/>
            <w:tcBorders>
              <w:tl2br w:val="nil"/>
              <w:tr2bl w:val="nil"/>
            </w:tcBorders>
            <w:vAlign w:val="center"/>
          </w:tcPr>
          <w:p w14:paraId="4388FDB0">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电锤</w:t>
            </w:r>
          </w:p>
        </w:tc>
        <w:tc>
          <w:tcPr>
            <w:tcW w:w="648" w:type="dxa"/>
            <w:tcBorders>
              <w:tl2br w:val="nil"/>
              <w:tr2bl w:val="nil"/>
            </w:tcBorders>
          </w:tcPr>
          <w:p w14:paraId="2B4F7561">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105</w:t>
            </w:r>
          </w:p>
        </w:tc>
        <w:tc>
          <w:tcPr>
            <w:tcW w:w="701" w:type="dxa"/>
            <w:tcBorders>
              <w:tl2br w:val="nil"/>
              <w:tr2bl w:val="nil"/>
            </w:tcBorders>
            <w:vAlign w:val="center"/>
          </w:tcPr>
          <w:p w14:paraId="484EAA8F">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83.0</w:t>
            </w:r>
          </w:p>
        </w:tc>
        <w:tc>
          <w:tcPr>
            <w:tcW w:w="700" w:type="dxa"/>
            <w:tcBorders>
              <w:tl2br w:val="nil"/>
              <w:tr2bl w:val="nil"/>
            </w:tcBorders>
            <w:vAlign w:val="center"/>
          </w:tcPr>
          <w:p w14:paraId="46BFB744">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77.0</w:t>
            </w:r>
          </w:p>
        </w:tc>
        <w:tc>
          <w:tcPr>
            <w:tcW w:w="700" w:type="dxa"/>
            <w:tcBorders>
              <w:tl2br w:val="nil"/>
              <w:tr2bl w:val="nil"/>
            </w:tcBorders>
            <w:vAlign w:val="center"/>
          </w:tcPr>
          <w:p w14:paraId="78FD2228">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71.0</w:t>
            </w:r>
          </w:p>
        </w:tc>
        <w:tc>
          <w:tcPr>
            <w:tcW w:w="700" w:type="dxa"/>
            <w:tcBorders>
              <w:tl2br w:val="nil"/>
              <w:tr2bl w:val="nil"/>
            </w:tcBorders>
            <w:vAlign w:val="center"/>
          </w:tcPr>
          <w:p w14:paraId="6E5CF8DD">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64.9</w:t>
            </w:r>
          </w:p>
        </w:tc>
        <w:tc>
          <w:tcPr>
            <w:tcW w:w="700" w:type="dxa"/>
            <w:tcBorders>
              <w:tl2br w:val="nil"/>
              <w:tr2bl w:val="nil"/>
            </w:tcBorders>
            <w:vAlign w:val="center"/>
          </w:tcPr>
          <w:p w14:paraId="6532D170">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61.4</w:t>
            </w:r>
          </w:p>
        </w:tc>
        <w:tc>
          <w:tcPr>
            <w:tcW w:w="700" w:type="dxa"/>
            <w:tcBorders>
              <w:tl2br w:val="nil"/>
              <w:tr2bl w:val="nil"/>
            </w:tcBorders>
            <w:vAlign w:val="center"/>
          </w:tcPr>
          <w:p w14:paraId="0A43BB19">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58.9</w:t>
            </w:r>
          </w:p>
        </w:tc>
        <w:tc>
          <w:tcPr>
            <w:tcW w:w="717" w:type="dxa"/>
            <w:tcBorders>
              <w:tl2br w:val="nil"/>
              <w:tr2bl w:val="nil"/>
            </w:tcBorders>
            <w:vAlign w:val="center"/>
          </w:tcPr>
          <w:p w14:paraId="3569E884">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57.0</w:t>
            </w:r>
          </w:p>
        </w:tc>
        <w:tc>
          <w:tcPr>
            <w:tcW w:w="717" w:type="dxa"/>
            <w:tcBorders>
              <w:tl2br w:val="nil"/>
              <w:tr2bl w:val="nil"/>
            </w:tcBorders>
            <w:vAlign w:val="center"/>
          </w:tcPr>
          <w:p w14:paraId="0C841AFC">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53.5</w:t>
            </w:r>
          </w:p>
        </w:tc>
        <w:tc>
          <w:tcPr>
            <w:tcW w:w="731" w:type="dxa"/>
            <w:tcBorders>
              <w:tl2br w:val="nil"/>
              <w:tr2bl w:val="nil"/>
            </w:tcBorders>
            <w:vAlign w:val="center"/>
          </w:tcPr>
          <w:p w14:paraId="0BB3BA13">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51.0</w:t>
            </w:r>
          </w:p>
        </w:tc>
      </w:tr>
      <w:tr w14:paraId="127DF2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505" w:type="dxa"/>
            <w:tcBorders>
              <w:tl2br w:val="nil"/>
              <w:tr2bl w:val="nil"/>
            </w:tcBorders>
            <w:vAlign w:val="center"/>
          </w:tcPr>
          <w:p w14:paraId="7BDFE84C">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手工钻</w:t>
            </w:r>
          </w:p>
        </w:tc>
        <w:tc>
          <w:tcPr>
            <w:tcW w:w="648" w:type="dxa"/>
            <w:tcBorders>
              <w:tl2br w:val="nil"/>
              <w:tr2bl w:val="nil"/>
            </w:tcBorders>
          </w:tcPr>
          <w:p w14:paraId="562D9A7E">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105</w:t>
            </w:r>
          </w:p>
        </w:tc>
        <w:tc>
          <w:tcPr>
            <w:tcW w:w="701" w:type="dxa"/>
            <w:tcBorders>
              <w:tl2br w:val="nil"/>
              <w:tr2bl w:val="nil"/>
            </w:tcBorders>
            <w:vAlign w:val="center"/>
          </w:tcPr>
          <w:p w14:paraId="572E972F">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83.0</w:t>
            </w:r>
          </w:p>
        </w:tc>
        <w:tc>
          <w:tcPr>
            <w:tcW w:w="700" w:type="dxa"/>
            <w:tcBorders>
              <w:tl2br w:val="nil"/>
              <w:tr2bl w:val="nil"/>
            </w:tcBorders>
            <w:vAlign w:val="center"/>
          </w:tcPr>
          <w:p w14:paraId="0600B884">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77.0</w:t>
            </w:r>
          </w:p>
        </w:tc>
        <w:tc>
          <w:tcPr>
            <w:tcW w:w="700" w:type="dxa"/>
            <w:tcBorders>
              <w:tl2br w:val="nil"/>
              <w:tr2bl w:val="nil"/>
            </w:tcBorders>
            <w:vAlign w:val="center"/>
          </w:tcPr>
          <w:p w14:paraId="4EF19640">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71.0</w:t>
            </w:r>
          </w:p>
        </w:tc>
        <w:tc>
          <w:tcPr>
            <w:tcW w:w="700" w:type="dxa"/>
            <w:tcBorders>
              <w:tl2br w:val="nil"/>
              <w:tr2bl w:val="nil"/>
            </w:tcBorders>
            <w:vAlign w:val="center"/>
          </w:tcPr>
          <w:p w14:paraId="5AC0FE5B">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64.9</w:t>
            </w:r>
          </w:p>
        </w:tc>
        <w:tc>
          <w:tcPr>
            <w:tcW w:w="700" w:type="dxa"/>
            <w:tcBorders>
              <w:tl2br w:val="nil"/>
              <w:tr2bl w:val="nil"/>
            </w:tcBorders>
            <w:vAlign w:val="center"/>
          </w:tcPr>
          <w:p w14:paraId="40642167">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61.4</w:t>
            </w:r>
          </w:p>
        </w:tc>
        <w:tc>
          <w:tcPr>
            <w:tcW w:w="700" w:type="dxa"/>
            <w:tcBorders>
              <w:tl2br w:val="nil"/>
              <w:tr2bl w:val="nil"/>
            </w:tcBorders>
            <w:vAlign w:val="center"/>
          </w:tcPr>
          <w:p w14:paraId="6A43C540">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58.9</w:t>
            </w:r>
          </w:p>
        </w:tc>
        <w:tc>
          <w:tcPr>
            <w:tcW w:w="717" w:type="dxa"/>
            <w:tcBorders>
              <w:tl2br w:val="nil"/>
              <w:tr2bl w:val="nil"/>
            </w:tcBorders>
            <w:vAlign w:val="center"/>
          </w:tcPr>
          <w:p w14:paraId="4877FD15">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57.0</w:t>
            </w:r>
          </w:p>
        </w:tc>
        <w:tc>
          <w:tcPr>
            <w:tcW w:w="717" w:type="dxa"/>
            <w:tcBorders>
              <w:tl2br w:val="nil"/>
              <w:tr2bl w:val="nil"/>
            </w:tcBorders>
            <w:vAlign w:val="center"/>
          </w:tcPr>
          <w:p w14:paraId="1A2C9CA1">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53.5</w:t>
            </w:r>
          </w:p>
        </w:tc>
        <w:tc>
          <w:tcPr>
            <w:tcW w:w="731" w:type="dxa"/>
            <w:tcBorders>
              <w:tl2br w:val="nil"/>
              <w:tr2bl w:val="nil"/>
            </w:tcBorders>
            <w:vAlign w:val="center"/>
          </w:tcPr>
          <w:p w14:paraId="05FA9964">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51.0</w:t>
            </w:r>
          </w:p>
        </w:tc>
      </w:tr>
      <w:tr w14:paraId="3D4D25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505" w:type="dxa"/>
            <w:tcBorders>
              <w:tl2br w:val="nil"/>
              <w:tr2bl w:val="nil"/>
            </w:tcBorders>
            <w:vAlign w:val="center"/>
          </w:tcPr>
          <w:p w14:paraId="2B844505">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无齿锯</w:t>
            </w:r>
          </w:p>
        </w:tc>
        <w:tc>
          <w:tcPr>
            <w:tcW w:w="648" w:type="dxa"/>
            <w:tcBorders>
              <w:tl2br w:val="nil"/>
              <w:tr2bl w:val="nil"/>
            </w:tcBorders>
          </w:tcPr>
          <w:p w14:paraId="26B79A74">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105</w:t>
            </w:r>
          </w:p>
        </w:tc>
        <w:tc>
          <w:tcPr>
            <w:tcW w:w="701" w:type="dxa"/>
            <w:tcBorders>
              <w:tl2br w:val="nil"/>
              <w:tr2bl w:val="nil"/>
            </w:tcBorders>
            <w:vAlign w:val="center"/>
          </w:tcPr>
          <w:p w14:paraId="6A084497">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83.0</w:t>
            </w:r>
          </w:p>
        </w:tc>
        <w:tc>
          <w:tcPr>
            <w:tcW w:w="700" w:type="dxa"/>
            <w:tcBorders>
              <w:tl2br w:val="nil"/>
              <w:tr2bl w:val="nil"/>
            </w:tcBorders>
            <w:vAlign w:val="center"/>
          </w:tcPr>
          <w:p w14:paraId="58699361">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77.0</w:t>
            </w:r>
          </w:p>
        </w:tc>
        <w:tc>
          <w:tcPr>
            <w:tcW w:w="700" w:type="dxa"/>
            <w:tcBorders>
              <w:tl2br w:val="nil"/>
              <w:tr2bl w:val="nil"/>
            </w:tcBorders>
            <w:vAlign w:val="center"/>
          </w:tcPr>
          <w:p w14:paraId="3CA54F6E">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71.0</w:t>
            </w:r>
          </w:p>
        </w:tc>
        <w:tc>
          <w:tcPr>
            <w:tcW w:w="700" w:type="dxa"/>
            <w:tcBorders>
              <w:tl2br w:val="nil"/>
              <w:tr2bl w:val="nil"/>
            </w:tcBorders>
            <w:vAlign w:val="center"/>
          </w:tcPr>
          <w:p w14:paraId="5088C4F1">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64.9</w:t>
            </w:r>
          </w:p>
        </w:tc>
        <w:tc>
          <w:tcPr>
            <w:tcW w:w="700" w:type="dxa"/>
            <w:tcBorders>
              <w:tl2br w:val="nil"/>
              <w:tr2bl w:val="nil"/>
            </w:tcBorders>
            <w:vAlign w:val="center"/>
          </w:tcPr>
          <w:p w14:paraId="1640760B">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61.4</w:t>
            </w:r>
          </w:p>
        </w:tc>
        <w:tc>
          <w:tcPr>
            <w:tcW w:w="700" w:type="dxa"/>
            <w:tcBorders>
              <w:tl2br w:val="nil"/>
              <w:tr2bl w:val="nil"/>
            </w:tcBorders>
            <w:vAlign w:val="center"/>
          </w:tcPr>
          <w:p w14:paraId="743F813D">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58.9</w:t>
            </w:r>
          </w:p>
        </w:tc>
        <w:tc>
          <w:tcPr>
            <w:tcW w:w="717" w:type="dxa"/>
            <w:tcBorders>
              <w:tl2br w:val="nil"/>
              <w:tr2bl w:val="nil"/>
            </w:tcBorders>
            <w:vAlign w:val="center"/>
          </w:tcPr>
          <w:p w14:paraId="06AA197F">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57.0</w:t>
            </w:r>
          </w:p>
        </w:tc>
        <w:tc>
          <w:tcPr>
            <w:tcW w:w="717" w:type="dxa"/>
            <w:tcBorders>
              <w:tl2br w:val="nil"/>
              <w:tr2bl w:val="nil"/>
            </w:tcBorders>
            <w:vAlign w:val="center"/>
          </w:tcPr>
          <w:p w14:paraId="1A3FF7E4">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53.5</w:t>
            </w:r>
          </w:p>
        </w:tc>
        <w:tc>
          <w:tcPr>
            <w:tcW w:w="731" w:type="dxa"/>
            <w:tcBorders>
              <w:tl2br w:val="nil"/>
              <w:tr2bl w:val="nil"/>
            </w:tcBorders>
            <w:vAlign w:val="center"/>
          </w:tcPr>
          <w:p w14:paraId="12B9DF59">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51.0</w:t>
            </w:r>
          </w:p>
        </w:tc>
      </w:tr>
      <w:tr w14:paraId="154E10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505" w:type="dxa"/>
            <w:tcBorders>
              <w:tl2br w:val="nil"/>
              <w:tr2bl w:val="nil"/>
            </w:tcBorders>
            <w:vAlign w:val="center"/>
          </w:tcPr>
          <w:p w14:paraId="0464D3B7">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多功能木工刨</w:t>
            </w:r>
          </w:p>
        </w:tc>
        <w:tc>
          <w:tcPr>
            <w:tcW w:w="648" w:type="dxa"/>
            <w:tcBorders>
              <w:tl2br w:val="nil"/>
              <w:tr2bl w:val="nil"/>
            </w:tcBorders>
          </w:tcPr>
          <w:p w14:paraId="23F85FA8">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100</w:t>
            </w:r>
          </w:p>
        </w:tc>
        <w:tc>
          <w:tcPr>
            <w:tcW w:w="701" w:type="dxa"/>
            <w:tcBorders>
              <w:tl2br w:val="nil"/>
              <w:tr2bl w:val="nil"/>
            </w:tcBorders>
          </w:tcPr>
          <w:p w14:paraId="7F41B0D4">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78.0</w:t>
            </w:r>
          </w:p>
        </w:tc>
        <w:tc>
          <w:tcPr>
            <w:tcW w:w="700" w:type="dxa"/>
            <w:tcBorders>
              <w:tl2br w:val="nil"/>
              <w:tr2bl w:val="nil"/>
            </w:tcBorders>
          </w:tcPr>
          <w:p w14:paraId="4C5E733D">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72.0</w:t>
            </w:r>
          </w:p>
        </w:tc>
        <w:tc>
          <w:tcPr>
            <w:tcW w:w="700" w:type="dxa"/>
            <w:tcBorders>
              <w:tl2br w:val="nil"/>
              <w:tr2bl w:val="nil"/>
            </w:tcBorders>
          </w:tcPr>
          <w:p w14:paraId="55179033">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66.0</w:t>
            </w:r>
          </w:p>
        </w:tc>
        <w:tc>
          <w:tcPr>
            <w:tcW w:w="700" w:type="dxa"/>
            <w:tcBorders>
              <w:tl2br w:val="nil"/>
              <w:tr2bl w:val="nil"/>
            </w:tcBorders>
          </w:tcPr>
          <w:p w14:paraId="578745A9">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59.9</w:t>
            </w:r>
          </w:p>
        </w:tc>
        <w:tc>
          <w:tcPr>
            <w:tcW w:w="700" w:type="dxa"/>
            <w:tcBorders>
              <w:tl2br w:val="nil"/>
              <w:tr2bl w:val="nil"/>
            </w:tcBorders>
          </w:tcPr>
          <w:p w14:paraId="55F9AC13">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56.4</w:t>
            </w:r>
          </w:p>
        </w:tc>
        <w:tc>
          <w:tcPr>
            <w:tcW w:w="700" w:type="dxa"/>
            <w:tcBorders>
              <w:tl2br w:val="nil"/>
              <w:tr2bl w:val="nil"/>
            </w:tcBorders>
          </w:tcPr>
          <w:p w14:paraId="69053A5F">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53.9</w:t>
            </w:r>
          </w:p>
        </w:tc>
        <w:tc>
          <w:tcPr>
            <w:tcW w:w="717" w:type="dxa"/>
            <w:tcBorders>
              <w:tl2br w:val="nil"/>
              <w:tr2bl w:val="nil"/>
            </w:tcBorders>
          </w:tcPr>
          <w:p w14:paraId="7B4CEEB2">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52.0</w:t>
            </w:r>
          </w:p>
        </w:tc>
        <w:tc>
          <w:tcPr>
            <w:tcW w:w="717" w:type="dxa"/>
            <w:tcBorders>
              <w:tl2br w:val="nil"/>
              <w:tr2bl w:val="nil"/>
            </w:tcBorders>
          </w:tcPr>
          <w:p w14:paraId="1B365C7E">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48.5</w:t>
            </w:r>
          </w:p>
        </w:tc>
        <w:tc>
          <w:tcPr>
            <w:tcW w:w="731" w:type="dxa"/>
            <w:tcBorders>
              <w:tl2br w:val="nil"/>
              <w:tr2bl w:val="nil"/>
            </w:tcBorders>
          </w:tcPr>
          <w:p w14:paraId="6CEE4ABB">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46.0</w:t>
            </w:r>
          </w:p>
        </w:tc>
      </w:tr>
      <w:tr w14:paraId="4DA361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jc w:val="center"/>
        </w:trPr>
        <w:tc>
          <w:tcPr>
            <w:tcW w:w="1505" w:type="dxa"/>
            <w:tcBorders>
              <w:tl2br w:val="nil"/>
              <w:tr2bl w:val="nil"/>
            </w:tcBorders>
            <w:vAlign w:val="center"/>
          </w:tcPr>
          <w:p w14:paraId="7EDFB479">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highlight w:val="none"/>
              </w:rPr>
              <w:t>角向磨光机</w:t>
            </w:r>
          </w:p>
        </w:tc>
        <w:tc>
          <w:tcPr>
            <w:tcW w:w="648" w:type="dxa"/>
            <w:tcBorders>
              <w:tl2br w:val="nil"/>
              <w:tr2bl w:val="nil"/>
            </w:tcBorders>
          </w:tcPr>
          <w:p w14:paraId="3BA112E5">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115</w:t>
            </w:r>
          </w:p>
        </w:tc>
        <w:tc>
          <w:tcPr>
            <w:tcW w:w="701" w:type="dxa"/>
            <w:tcBorders>
              <w:tl2br w:val="nil"/>
              <w:tr2bl w:val="nil"/>
            </w:tcBorders>
          </w:tcPr>
          <w:p w14:paraId="7ECF1A08">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93.0</w:t>
            </w:r>
          </w:p>
        </w:tc>
        <w:tc>
          <w:tcPr>
            <w:tcW w:w="700" w:type="dxa"/>
            <w:tcBorders>
              <w:tl2br w:val="nil"/>
              <w:tr2bl w:val="nil"/>
            </w:tcBorders>
          </w:tcPr>
          <w:p w14:paraId="7B5C8CDA">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87.0</w:t>
            </w:r>
          </w:p>
        </w:tc>
        <w:tc>
          <w:tcPr>
            <w:tcW w:w="700" w:type="dxa"/>
            <w:tcBorders>
              <w:tl2br w:val="nil"/>
              <w:tr2bl w:val="nil"/>
            </w:tcBorders>
          </w:tcPr>
          <w:p w14:paraId="410B5F9B">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81.0</w:t>
            </w:r>
          </w:p>
        </w:tc>
        <w:tc>
          <w:tcPr>
            <w:tcW w:w="700" w:type="dxa"/>
            <w:tcBorders>
              <w:tl2br w:val="nil"/>
              <w:tr2bl w:val="nil"/>
            </w:tcBorders>
          </w:tcPr>
          <w:p w14:paraId="1416965E">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74.9</w:t>
            </w:r>
          </w:p>
        </w:tc>
        <w:tc>
          <w:tcPr>
            <w:tcW w:w="700" w:type="dxa"/>
            <w:tcBorders>
              <w:tl2br w:val="nil"/>
              <w:tr2bl w:val="nil"/>
            </w:tcBorders>
          </w:tcPr>
          <w:p w14:paraId="360D2ABF">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71.4</w:t>
            </w:r>
          </w:p>
        </w:tc>
        <w:tc>
          <w:tcPr>
            <w:tcW w:w="700" w:type="dxa"/>
            <w:tcBorders>
              <w:tl2br w:val="nil"/>
              <w:tr2bl w:val="nil"/>
            </w:tcBorders>
          </w:tcPr>
          <w:p w14:paraId="560B2E0A">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68.9</w:t>
            </w:r>
          </w:p>
        </w:tc>
        <w:tc>
          <w:tcPr>
            <w:tcW w:w="717" w:type="dxa"/>
            <w:tcBorders>
              <w:tl2br w:val="nil"/>
              <w:tr2bl w:val="nil"/>
            </w:tcBorders>
          </w:tcPr>
          <w:p w14:paraId="11E98853">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67.0</w:t>
            </w:r>
          </w:p>
        </w:tc>
        <w:tc>
          <w:tcPr>
            <w:tcW w:w="717" w:type="dxa"/>
            <w:tcBorders>
              <w:tl2br w:val="nil"/>
              <w:tr2bl w:val="nil"/>
            </w:tcBorders>
          </w:tcPr>
          <w:p w14:paraId="1007E07D">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63.5</w:t>
            </w:r>
          </w:p>
        </w:tc>
        <w:tc>
          <w:tcPr>
            <w:tcW w:w="731" w:type="dxa"/>
            <w:tcBorders>
              <w:tl2br w:val="nil"/>
              <w:tr2bl w:val="nil"/>
            </w:tcBorders>
          </w:tcPr>
          <w:p w14:paraId="5F0764BD">
            <w:pPr>
              <w:spacing w:line="360" w:lineRule="exact"/>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sz w:val="21"/>
                <w:szCs w:val="21"/>
                <w:highlight w:val="none"/>
              </w:rPr>
              <w:t>61.0</w:t>
            </w:r>
          </w:p>
        </w:tc>
      </w:tr>
    </w:tbl>
    <w:p w14:paraId="5AD176F8">
      <w:pPr>
        <w:ind w:firstLine="480"/>
        <w:jc w:val="left"/>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由表5.1-3可知，施工机械中以振捣器、电锯、电钻等噪声影响程度最大。各种机械噪声源强均在</w:t>
      </w:r>
      <w:r>
        <w:rPr>
          <w:rFonts w:hint="eastAsia" w:cs="Times New Roman"/>
          <w:color w:val="auto"/>
          <w:highlight w:val="none"/>
          <w:lang w:val="en-US" w:eastAsia="zh-CN"/>
        </w:rPr>
        <w:t>85</w:t>
      </w:r>
      <w:r>
        <w:rPr>
          <w:rFonts w:hint="default" w:ascii="Times New Roman" w:hAnsi="Times New Roman" w:cs="Times New Roman"/>
          <w:color w:val="auto"/>
          <w:highlight w:val="none"/>
        </w:rPr>
        <w:t>dB（A）以上，对靠近施工现场100m范围内的影响较大。由于在项目区周围2.0km范围内无居民区，所以工程施工对外环境的影响较小。</w:t>
      </w:r>
    </w:p>
    <w:p w14:paraId="60C54402">
      <w:pPr>
        <w:ind w:firstLine="480"/>
        <w:jc w:val="left"/>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另外，施工期运送土石方、原材料会导致往来运输车流量增加，交通噪声亦会随之突然增加，将对周边环境产生一定不利影响。</w:t>
      </w:r>
    </w:p>
    <w:p w14:paraId="1FCE347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施工噪声影响是短期的，施工结束后施工噪声自然消失。只要注意调整施工时间、合理安排施工场地等，可以将施工噪声的影响减至最低。</w:t>
      </w:r>
    </w:p>
    <w:p w14:paraId="39C3EE2C">
      <w:pPr>
        <w:pStyle w:val="4"/>
        <w:rPr>
          <w:rFonts w:hint="default" w:ascii="Times New Roman" w:hAnsi="Times New Roman" w:cs="Times New Roman"/>
          <w:color w:val="auto"/>
          <w:highlight w:val="none"/>
        </w:rPr>
      </w:pPr>
      <w:bookmarkStart w:id="698" w:name="_Toc29422"/>
      <w:bookmarkStart w:id="699" w:name="_Toc17490"/>
      <w:bookmarkStart w:id="700" w:name="_Toc26544"/>
      <w:r>
        <w:rPr>
          <w:rFonts w:hint="default" w:ascii="Times New Roman" w:hAnsi="Times New Roman" w:cs="Times New Roman"/>
          <w:color w:val="auto"/>
          <w:highlight w:val="none"/>
        </w:rPr>
        <w:t>5.1.4施工期固体废物环境影响分析</w:t>
      </w:r>
      <w:bookmarkEnd w:id="698"/>
      <w:bookmarkEnd w:id="699"/>
      <w:bookmarkEnd w:id="700"/>
    </w:p>
    <w:p w14:paraId="2001C124">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施工过程中产生的固废主要为地面建（构）筑物建设产生的建筑垃圾及施工人员产生的生活垃圾等。</w:t>
      </w:r>
    </w:p>
    <w:p w14:paraId="090AEAEF">
      <w:pPr>
        <w:pStyle w:val="29"/>
        <w:widowControl w:val="0"/>
        <w:overflowPunct w:val="0"/>
        <w:topLinePunct/>
        <w:spacing w:before="0" w:beforeAutospacing="0" w:after="0" w:afterAutospacing="0"/>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建筑垃圾包括施工中产生的废弃砖石和洒落的混凝土、设备安装过</w:t>
      </w:r>
      <w:r>
        <w:rPr>
          <w:rFonts w:hint="eastAsia" w:ascii="Times New Roman" w:hAnsi="Times New Roman" w:cs="Times New Roman"/>
          <w:color w:val="auto"/>
          <w:highlight w:val="none"/>
          <w:lang w:eastAsia="zh-CN"/>
        </w:rPr>
        <w:t>程中</w:t>
      </w:r>
      <w:r>
        <w:rPr>
          <w:rFonts w:hint="default" w:ascii="Times New Roman" w:hAnsi="Times New Roman" w:cs="Times New Roman"/>
          <w:color w:val="auto"/>
          <w:highlight w:val="none"/>
        </w:rPr>
        <w:t>产生的金属废料等。金属废料施工后可进行回收，建筑垃圾由施工单位集中收集后运走，综合利用。采取上述措施后对项目周围环境影响较小。</w:t>
      </w:r>
    </w:p>
    <w:p w14:paraId="49AB003F">
      <w:pPr>
        <w:keepNext w:val="0"/>
        <w:keepLines w:val="0"/>
        <w:pageBreakBefore w:val="0"/>
        <w:kinsoku/>
        <w:wordWrap/>
        <w:overflowPunct w:val="0"/>
        <w:topLinePunct/>
        <w:autoSpaceDE/>
        <w:autoSpaceDN/>
        <w:bidi w:val="0"/>
        <w:adjustRightInd/>
        <w:snapToGrid/>
        <w:ind w:firstLine="48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生活垃圾包括残剩食物、废纸等。这些固废处置不当将会影响景观，污染土壤和水体，生活垃圾还会散发恶臭，因此要求设置生活垃圾收集</w:t>
      </w:r>
      <w:r>
        <w:rPr>
          <w:rFonts w:hint="default" w:ascii="Times New Roman" w:hAnsi="Times New Roman" w:cs="Times New Roman"/>
          <w:color w:val="auto"/>
          <w:highlight w:val="none"/>
          <w:lang w:eastAsia="zh-CN"/>
        </w:rPr>
        <w:t>设施</w:t>
      </w:r>
      <w:r>
        <w:rPr>
          <w:rFonts w:hint="default" w:ascii="Times New Roman" w:hAnsi="Times New Roman" w:cs="Times New Roman"/>
          <w:color w:val="auto"/>
          <w:highlight w:val="none"/>
        </w:rPr>
        <w:t>进行集中堆放，定期清运。</w:t>
      </w:r>
    </w:p>
    <w:p w14:paraId="6A0D2767">
      <w:pPr>
        <w:keepNext w:val="0"/>
        <w:keepLines w:val="0"/>
        <w:pageBreakBefore w:val="0"/>
        <w:kinsoku/>
        <w:wordWrap/>
        <w:overflowPunct w:val="0"/>
        <w:topLinePunct/>
        <w:autoSpaceDE/>
        <w:autoSpaceDN/>
        <w:bidi w:val="0"/>
        <w:adjustRightInd/>
        <w:snapToGrid/>
        <w:ind w:firstLine="480"/>
        <w:jc w:val="both"/>
        <w:textAlignment w:val="auto"/>
        <w:rPr>
          <w:rFonts w:hint="default" w:ascii="Times New Roman" w:hAnsi="Times New Roman" w:cs="Times New Roman"/>
          <w:color w:val="auto"/>
          <w:highlight w:val="none"/>
          <w:lang w:bidi="ar"/>
        </w:rPr>
      </w:pPr>
      <w:r>
        <w:rPr>
          <w:rFonts w:hint="default" w:ascii="Times New Roman" w:hAnsi="Times New Roman" w:cs="Times New Roman"/>
          <w:color w:val="auto"/>
          <w:highlight w:val="none"/>
        </w:rPr>
        <w:t>采取上述措施后对项目周围环境影响较小。</w:t>
      </w:r>
    </w:p>
    <w:p w14:paraId="2FC45315">
      <w:pPr>
        <w:pStyle w:val="4"/>
        <w:rPr>
          <w:rFonts w:hint="default" w:ascii="Times New Roman" w:hAnsi="Times New Roman" w:cs="Times New Roman"/>
          <w:color w:val="auto"/>
          <w:highlight w:val="none"/>
        </w:rPr>
      </w:pPr>
      <w:bookmarkStart w:id="701" w:name="_Toc22620"/>
      <w:bookmarkStart w:id="702" w:name="_Toc12329"/>
      <w:bookmarkStart w:id="703" w:name="_Toc5048"/>
      <w:r>
        <w:rPr>
          <w:rFonts w:hint="default" w:ascii="Times New Roman" w:hAnsi="Times New Roman" w:cs="Times New Roman"/>
          <w:color w:val="auto"/>
          <w:highlight w:val="none"/>
        </w:rPr>
        <w:t>5.1.5施工期生态环境影响分析</w:t>
      </w:r>
      <w:bookmarkEnd w:id="701"/>
      <w:bookmarkEnd w:id="702"/>
      <w:bookmarkEnd w:id="703"/>
    </w:p>
    <w:p w14:paraId="2C7EC2EE">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5.1.5.1土地利用影响分析</w:t>
      </w:r>
    </w:p>
    <w:p w14:paraId="68F33C4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项目土地资源的占用分为临时性占地和永久性占地两种类型。永久性占地一经征用，其土地利用类型将发生根本性的改变，例如由旱地、</w:t>
      </w:r>
      <w:r>
        <w:rPr>
          <w:rFonts w:hint="eastAsia" w:cs="Times New Roman"/>
          <w:color w:val="auto"/>
          <w:highlight w:val="none"/>
          <w:lang w:eastAsia="zh-CN"/>
        </w:rPr>
        <w:t>其他</w:t>
      </w:r>
      <w:r>
        <w:rPr>
          <w:rFonts w:hint="default" w:ascii="Times New Roman" w:hAnsi="Times New Roman" w:cs="Times New Roman"/>
          <w:color w:val="auto"/>
          <w:highlight w:val="none"/>
        </w:rPr>
        <w:t>草地等改变为建设用地，并贯穿于整个施工期和运营期，对当地土地利用结构和功能有一定影响；临时用地则由附属工程和临时工程所占用，在工程施工完毕后按照《土地复垦条例》的规定，进行土地复垦整治，将逐渐恢复原有土地使用功能。</w:t>
      </w:r>
    </w:p>
    <w:p w14:paraId="23665DD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本项目占地情况如下：</w:t>
      </w:r>
    </w:p>
    <w:p w14:paraId="4BD36B8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（1）永久性占地</w:t>
      </w:r>
    </w:p>
    <w:p w14:paraId="6AC1F914">
      <w:pPr>
        <w:overflowPunct w:val="0"/>
        <w:topLinePunct/>
        <w:ind w:firstLine="48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本项目为</w:t>
      </w:r>
      <w:r>
        <w:rPr>
          <w:rFonts w:hint="default" w:ascii="Times New Roman" w:hAnsi="Times New Roman" w:cs="Times New Roman"/>
          <w:color w:val="auto"/>
          <w:highlight w:val="none"/>
          <w:lang w:eastAsia="zh-CN"/>
        </w:rPr>
        <w:t>新建</w:t>
      </w:r>
      <w:r>
        <w:rPr>
          <w:rFonts w:hint="default" w:ascii="Times New Roman" w:hAnsi="Times New Roman" w:cs="Times New Roman"/>
          <w:color w:val="auto"/>
          <w:highlight w:val="none"/>
        </w:rPr>
        <w:t>项目，本项目新增永久占地为新建选矿厂、尾矿库占地</w:t>
      </w:r>
      <w:r>
        <w:rPr>
          <w:rFonts w:hint="eastAsia" w:cs="Times New Roman"/>
          <w:color w:val="auto"/>
          <w:highlight w:val="none"/>
          <w:lang w:val="en-US" w:eastAsia="zh-CN"/>
        </w:rPr>
        <w:t>等</w:t>
      </w:r>
      <w:r>
        <w:rPr>
          <w:rFonts w:hint="default" w:ascii="Times New Roman" w:hAnsi="Times New Roman" w:cs="Times New Roman"/>
          <w:color w:val="auto"/>
          <w:highlight w:val="none"/>
        </w:rPr>
        <w:t>，</w:t>
      </w:r>
      <w:r>
        <w:rPr>
          <w:rFonts w:hint="eastAsia"/>
          <w:color w:val="auto"/>
          <w:highlight w:val="none"/>
        </w:rPr>
        <w:t>本项目永久占地面积为18.16614hm</w:t>
      </w:r>
      <w:r>
        <w:rPr>
          <w:rFonts w:hint="eastAsia"/>
          <w:color w:val="auto"/>
          <w:highlight w:val="none"/>
          <w:vertAlign w:val="superscript"/>
        </w:rPr>
        <w:t>2</w:t>
      </w:r>
      <w:r>
        <w:rPr>
          <w:rFonts w:hint="eastAsia"/>
          <w:color w:val="auto"/>
          <w:highlight w:val="none"/>
        </w:rPr>
        <w:t>，临时</w:t>
      </w:r>
      <w:r>
        <w:rPr>
          <w:rFonts w:hint="eastAsia"/>
          <w:color w:val="auto"/>
          <w:highlight w:val="none"/>
          <w:lang w:val="en-US" w:eastAsia="zh-CN"/>
        </w:rPr>
        <w:t>占</w:t>
      </w:r>
      <w:r>
        <w:rPr>
          <w:rFonts w:hint="eastAsia"/>
          <w:color w:val="auto"/>
          <w:highlight w:val="none"/>
        </w:rPr>
        <w:t>地面积为1.9989hm</w:t>
      </w:r>
      <w:r>
        <w:rPr>
          <w:rFonts w:hint="eastAsia"/>
          <w:color w:val="auto"/>
          <w:highlight w:val="none"/>
          <w:vertAlign w:val="superscript"/>
        </w:rPr>
        <w:t>2</w:t>
      </w:r>
      <w:r>
        <w:rPr>
          <w:rFonts w:hint="eastAsia"/>
          <w:color w:val="auto"/>
          <w:highlight w:val="none"/>
        </w:rPr>
        <w:t>，</w:t>
      </w:r>
      <w:r>
        <w:rPr>
          <w:rFonts w:hint="default" w:ascii="Times New Roman" w:hAnsi="Times New Roman" w:cs="Times New Roman"/>
          <w:color w:val="auto"/>
          <w:highlight w:val="none"/>
        </w:rPr>
        <w:t>占地类型主要为</w:t>
      </w:r>
      <w:r>
        <w:rPr>
          <w:rFonts w:hint="default" w:ascii="Times New Roman" w:hAnsi="Times New Roman" w:cs="Times New Roman"/>
          <w:color w:val="auto"/>
          <w:highlight w:val="none"/>
          <w:lang w:val="en-US" w:eastAsia="zh-CN"/>
        </w:rPr>
        <w:t>裸岩石砾地</w:t>
      </w:r>
      <w:r>
        <w:rPr>
          <w:rFonts w:hint="default" w:ascii="Times New Roman" w:hAnsi="Times New Roman" w:cs="Times New Roman"/>
          <w:color w:val="auto"/>
          <w:highlight w:val="none"/>
        </w:rPr>
        <w:t>。</w:t>
      </w:r>
      <w:r>
        <w:rPr>
          <w:rFonts w:hint="eastAsia"/>
          <w:color w:val="auto"/>
          <w:highlight w:val="none"/>
        </w:rPr>
        <w:t>项目区土地利用现状为裸岩石砾地</w:t>
      </w:r>
      <w:r>
        <w:rPr>
          <w:rFonts w:hint="eastAsia"/>
          <w:color w:val="auto"/>
          <w:highlight w:val="none"/>
          <w:lang w:eastAsia="zh-CN"/>
        </w:rPr>
        <w:t>。</w:t>
      </w:r>
    </w:p>
    <w:p w14:paraId="56AD1F0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本项目对项目区土地的破坏方式共分为两种，分别为：①土地压占：本项目建设区域内主要为尾矿库、</w:t>
      </w:r>
      <w:r>
        <w:rPr>
          <w:rFonts w:hint="default" w:ascii="Times New Roman" w:hAnsi="Times New Roman" w:cs="Times New Roman"/>
          <w:color w:val="auto"/>
          <w:highlight w:val="none"/>
          <w:lang w:eastAsia="zh-CN"/>
        </w:rPr>
        <w:t>选矿厂</w:t>
      </w:r>
      <w:r>
        <w:rPr>
          <w:rFonts w:hint="default" w:ascii="Times New Roman" w:hAnsi="Times New Roman" w:cs="Times New Roman"/>
          <w:color w:val="auto"/>
          <w:highlight w:val="none"/>
        </w:rPr>
        <w:t>等；②土地污染：尾矿库、联络道路等在生产与利用中对土地的扰动与破坏。这两种土地破坏方式都会造成占地区域内土地利用功能的改变，将原有的</w:t>
      </w:r>
      <w:r>
        <w:rPr>
          <w:rFonts w:hint="default" w:ascii="Times New Roman" w:hAnsi="Times New Roman" w:cs="Times New Roman"/>
          <w:color w:val="auto"/>
          <w:highlight w:val="none"/>
          <w:lang w:val="en-US" w:eastAsia="zh-CN"/>
        </w:rPr>
        <w:t>裸岩石砾地</w:t>
      </w:r>
      <w:r>
        <w:rPr>
          <w:rFonts w:hint="default" w:ascii="Times New Roman" w:hAnsi="Times New Roman" w:cs="Times New Roman"/>
          <w:color w:val="auto"/>
          <w:highlight w:val="none"/>
        </w:rPr>
        <w:t>变为工矿用地。</w:t>
      </w:r>
    </w:p>
    <w:p w14:paraId="414A92A4">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（2）临时性占地</w:t>
      </w:r>
    </w:p>
    <w:p w14:paraId="29BA530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本项目为</w:t>
      </w:r>
      <w:r>
        <w:rPr>
          <w:rFonts w:hint="default" w:ascii="Times New Roman" w:hAnsi="Times New Roman" w:cs="Times New Roman"/>
          <w:color w:val="auto"/>
          <w:highlight w:val="none"/>
          <w:lang w:eastAsia="zh-CN"/>
        </w:rPr>
        <w:t>新建</w:t>
      </w:r>
      <w:r>
        <w:rPr>
          <w:rFonts w:hint="default" w:ascii="Times New Roman" w:hAnsi="Times New Roman" w:cs="Times New Roman"/>
          <w:color w:val="auto"/>
          <w:highlight w:val="none"/>
        </w:rPr>
        <w:t>项目，其所有工程施工过程中施工人员活动、施工机械</w:t>
      </w:r>
      <w:r>
        <w:rPr>
          <w:rFonts w:hint="eastAsia" w:cs="Times New Roman"/>
          <w:color w:val="auto"/>
          <w:highlight w:val="none"/>
          <w:lang w:eastAsia="zh-CN"/>
        </w:rPr>
        <w:t>碾轧</w:t>
      </w:r>
      <w:r>
        <w:rPr>
          <w:rFonts w:hint="default" w:ascii="Times New Roman" w:hAnsi="Times New Roman" w:cs="Times New Roman"/>
          <w:color w:val="auto"/>
          <w:highlight w:val="none"/>
        </w:rPr>
        <w:t>、施工材料堆放、施工料场、施工临时设施建设、施工场地平整所占用的土地等，均在本项目现有占地范围内。因此本项目不新增临时占地面积。</w:t>
      </w:r>
    </w:p>
    <w:p w14:paraId="20E28B24">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5.1.5.2土壤影响分析</w:t>
      </w:r>
    </w:p>
    <w:p w14:paraId="4CE277B6">
      <w:pPr>
        <w:overflowPunct w:val="0"/>
        <w:topLinePunct/>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1、土壤理化性质</w:t>
      </w:r>
    </w:p>
    <w:p w14:paraId="4E91ABD1">
      <w:pPr>
        <w:overflowPunct w:val="0"/>
        <w:topLinePunct/>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施工过程中，土石方开挖、堆放、回填及材料堆放、人工</w:t>
      </w:r>
      <w:r>
        <w:rPr>
          <w:rFonts w:hint="eastAsia" w:cs="Times New Roman"/>
          <w:color w:val="auto"/>
          <w:highlight w:val="none"/>
          <w:lang w:eastAsia="zh-CN"/>
        </w:rPr>
        <w:t>踩踏</w:t>
      </w:r>
      <w:r>
        <w:rPr>
          <w:rFonts w:hint="default" w:ascii="Times New Roman" w:hAnsi="Times New Roman" w:cs="Times New Roman"/>
          <w:color w:val="auto"/>
          <w:highlight w:val="none"/>
        </w:rPr>
        <w:t>、机械设备碾压等活动对土壤理化性质影响较大。</w:t>
      </w:r>
    </w:p>
    <w:p w14:paraId="04BE66DE">
      <w:pPr>
        <w:overflowPunct w:val="0"/>
        <w:topLinePunct/>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（1）扰乱土壤表层，破坏土壤结构</w:t>
      </w:r>
    </w:p>
    <w:p w14:paraId="1B0E452F">
      <w:pPr>
        <w:overflowPunct w:val="0"/>
        <w:topLinePunct/>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土壤表层肥力集中、腐殖质含量高、水分相对优越，深度15～25cm，表层土层松软，团粒结构发达。地表开挖必定扰乱和破坏土壤表层，除开挖处受到直接的破坏外，挖出土方的堆放将直接占压开挖处附近的土地，破坏土壤表层及其结构。由于表层的团粒结构是经过较长的历史时期形成的，一旦遭到破坏，短期内难以恢复。因此，施工过程中，对土壤表层的影响较严重。</w:t>
      </w:r>
    </w:p>
    <w:p w14:paraId="27ACE67A">
      <w:pPr>
        <w:overflowPunct w:val="0"/>
        <w:topLinePunct/>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（2）混合土壤层次，改变土体构型</w:t>
      </w:r>
    </w:p>
    <w:p w14:paraId="4CE11823">
      <w:pPr>
        <w:overflowPunct w:val="0"/>
        <w:topLinePunct/>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施工期的土石方开挖与回填，使原土壤层次混合，原土体构型破坏。土体构型的破坏，将改变土体中物质和能量的运动变化规律，使表层通气透水性变差，使亚表层保水、保肥性能降低。</w:t>
      </w:r>
    </w:p>
    <w:p w14:paraId="4DDBC5FF">
      <w:pPr>
        <w:overflowPunct w:val="0"/>
        <w:topLinePunct/>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（3）影响土壤紧实度</w:t>
      </w:r>
    </w:p>
    <w:p w14:paraId="67538A85">
      <w:pPr>
        <w:overflowPunct w:val="0"/>
        <w:topLinePunct/>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施工机械碾压，尤其在坡度较大的地段，将大大改变土壤的紧实程度，与原有的上松下紧结构相比，极不利于土壤的通气、透水作用，甚至导致压实地段的地表寸草不生，形成局部人工荒漠化现象。</w:t>
      </w:r>
    </w:p>
    <w:p w14:paraId="4A18F41D">
      <w:pPr>
        <w:overflowPunct w:val="0"/>
        <w:topLinePunct/>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2、土壤肥力影响</w:t>
      </w:r>
    </w:p>
    <w:p w14:paraId="62D60E5A">
      <w:pPr>
        <w:overflowPunct w:val="0"/>
        <w:topLinePunct/>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土壤中的有机质、氮、磷、钾等养分含量，均表现为表土层远高于心土层；施工期土石方的开挖与回填，将扰动甚至打乱原土体构型，使土壤肥力状况受到较大的影响。据资料统计，即使在实行分层堆放、分层回填措施下，土壤的有机质也将下降42.6～46.5%左右，氮下降27～50.6%，磷下降33.3～46.0%，钾下降26.3～32.5%，这表明即使对表层土实行分层堆放和分层覆土，工程开挖对土壤养分仍具有明显的影响。因此在土石方开挖、回填过程中，必须严格对表层土实行分层堆放和分层回填，尽量减小因工程开挖施工对土壤养分的影响。</w:t>
      </w:r>
    </w:p>
    <w:p w14:paraId="58B952BB">
      <w:pPr>
        <w:overflowPunct w:val="0"/>
        <w:topLinePunct/>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3、土壤污染影响</w:t>
      </w:r>
    </w:p>
    <w:p w14:paraId="5CFD5E3E">
      <w:pPr>
        <w:overflowPunct w:val="0"/>
        <w:topLinePunct/>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过程中将产生施工垃圾、生活垃圾以及焊渣、废弃涂料等废物。这些固体垃圾含有难分解的物质，如不妥善管理，回填入土，将影响土壤质量。另外施工过程中，各种设备的燃油滴漏也可能对施工区域土壤造成一定的影响。</w:t>
      </w:r>
    </w:p>
    <w:p w14:paraId="12640CF0">
      <w:pPr>
        <w:overflowPunct w:val="0"/>
        <w:topLinePunct/>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随着施工结束，通过采取一定的措施，土壤质量将逐渐得到恢复。正常营运期间对土壤的影响较小，主要是清管排放的残渣、污水可能对土壤造成一定的影响。因此，在清管时要做好回收工作，将其对土壤环境的影响降至最低程度。此外，类比调查表明：</w:t>
      </w:r>
    </w:p>
    <w:p w14:paraId="7158016E">
      <w:pPr>
        <w:overflowPunct w:val="0"/>
        <w:topLinePunct/>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项目营运期间，地表土壤温度比相邻地段高1~3℃，蒸发量加大，土壤水分减少，冬季土表积雪提前融化，将可能形成一条明显的沟带。</w:t>
      </w:r>
    </w:p>
    <w:p w14:paraId="51214428">
      <w:pPr>
        <w:overflowPunct w:val="0"/>
        <w:topLinePunct/>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总之，项目施工改变了土壤结构和土壤养分状况，但通过采取一定的措施，土壤质量将会逐渐得到恢复。</w:t>
      </w:r>
    </w:p>
    <w:p w14:paraId="3E02755B">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5.1.5.3植被影响分析</w:t>
      </w:r>
    </w:p>
    <w:p w14:paraId="37474B90">
      <w:pPr>
        <w:overflowPunct w:val="0"/>
        <w:topLinePunct/>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本项目拟新建尾矿库及选矿厂等建构筑物，另需</w:t>
      </w:r>
      <w:r>
        <w:rPr>
          <w:rFonts w:hint="default" w:ascii="Times New Roman" w:hAnsi="Times New Roman" w:cs="Times New Roman"/>
          <w:color w:val="auto"/>
          <w:highlight w:val="none"/>
          <w:lang w:eastAsia="zh-CN"/>
        </w:rPr>
        <w:t>新建</w:t>
      </w:r>
      <w:r>
        <w:rPr>
          <w:rFonts w:hint="default" w:ascii="Times New Roman" w:hAnsi="Times New Roman" w:cs="Times New Roman"/>
          <w:color w:val="auto"/>
          <w:highlight w:val="none"/>
        </w:rPr>
        <w:t>运输道路</w:t>
      </w:r>
      <w:r>
        <w:rPr>
          <w:rFonts w:hint="default" w:ascii="Times New Roman" w:hAnsi="Times New Roman" w:cs="Times New Roman"/>
          <w:color w:val="auto"/>
          <w:highlight w:val="none"/>
          <w:lang w:val="en-US" w:eastAsia="zh-CN"/>
        </w:rPr>
        <w:t>等</w:t>
      </w:r>
      <w:r>
        <w:rPr>
          <w:rFonts w:hint="default" w:ascii="Times New Roman" w:hAnsi="Times New Roman" w:cs="Times New Roman"/>
          <w:color w:val="auto"/>
          <w:highlight w:val="none"/>
        </w:rPr>
        <w:t>，本项目施工期对植被的影响主要有尾矿库及选矿厂等新增占地范围内原有植物的剥离、清理及占压。土壤开挖区范围内植物的地上部分与根系均被清除，施工带的植被由于挖掘土石的堆放、人员的</w:t>
      </w:r>
      <w:r>
        <w:rPr>
          <w:rFonts w:hint="eastAsia" w:cs="Times New Roman"/>
          <w:color w:val="auto"/>
          <w:highlight w:val="none"/>
          <w:lang w:eastAsia="zh-CN"/>
        </w:rPr>
        <w:t>踩踏</w:t>
      </w:r>
      <w:r>
        <w:rPr>
          <w:rFonts w:hint="default" w:ascii="Times New Roman" w:hAnsi="Times New Roman" w:cs="Times New Roman"/>
          <w:color w:val="auto"/>
          <w:highlight w:val="none"/>
        </w:rPr>
        <w:t>、施工车辆和机具的碾压而受到不同程度的破坏，会造成地上部分破坏甚至死亡。本项目</w:t>
      </w:r>
      <w:r>
        <w:rPr>
          <w:rFonts w:hint="eastAsia" w:cs="Times New Roman"/>
          <w:color w:val="auto"/>
          <w:highlight w:val="none"/>
          <w:lang w:eastAsia="zh-CN"/>
        </w:rPr>
        <w:t>在</w:t>
      </w:r>
      <w:r>
        <w:rPr>
          <w:rFonts w:hint="default" w:ascii="Times New Roman" w:hAnsi="Times New Roman" w:cs="Times New Roman"/>
          <w:color w:val="auto"/>
          <w:highlight w:val="none"/>
        </w:rPr>
        <w:t>建设过程中将不可避免地会占用和破坏一定面积的土地。这些活动将直接破坏地表土层和植被，造成生物量损失，从而造成对原有生态系统的破坏。</w:t>
      </w:r>
    </w:p>
    <w:p w14:paraId="51BBECE6">
      <w:pPr>
        <w:overflowPunct w:val="0"/>
        <w:topLinePunct/>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以植被为核心的生态系统将由于生产活动会完全被清除掉，这种清除植被的活动包括建构筑物场地平整、尾矿库土地压占等。其占地植被类型部分为</w:t>
      </w:r>
      <w:r>
        <w:rPr>
          <w:rFonts w:hint="default" w:ascii="Times New Roman" w:hAnsi="Times New Roman" w:cs="Times New Roman"/>
          <w:color w:val="auto"/>
          <w:highlight w:val="none"/>
          <w:lang w:val="en-US" w:eastAsia="zh-CN"/>
        </w:rPr>
        <w:t>裸岩石砾地</w:t>
      </w:r>
      <w:r>
        <w:rPr>
          <w:rFonts w:hint="default" w:ascii="Times New Roman" w:hAnsi="Times New Roman" w:cs="Times New Roman"/>
          <w:color w:val="auto"/>
          <w:highlight w:val="none"/>
        </w:rPr>
        <w:t>，统计项目开发建设区内有植被区域的各类型面积，并结合其单位面积平均生物量进行估算，本次选矿厂、尾矿库及联络道路的建设造成植被地表植被破坏的主要为</w:t>
      </w:r>
      <w:r>
        <w:rPr>
          <w:rFonts w:hint="default" w:ascii="Times New Roman" w:hAnsi="Times New Roman" w:cs="Times New Roman"/>
          <w:color w:val="auto"/>
          <w:highlight w:val="none"/>
          <w:lang w:val="en-US" w:eastAsia="zh-CN"/>
        </w:rPr>
        <w:t>盐爪爪</w:t>
      </w:r>
      <w:r>
        <w:rPr>
          <w:rFonts w:hint="default" w:ascii="Times New Roman" w:hAnsi="Times New Roman" w:cs="Times New Roman"/>
          <w:color w:val="auto"/>
          <w:highlight w:val="none"/>
        </w:rPr>
        <w:t>，占地面积为</w:t>
      </w:r>
      <w:r>
        <w:rPr>
          <w:rFonts w:hint="default" w:ascii="Times New Roman" w:hAnsi="Times New Roman" w:cs="Times New Roman"/>
          <w:color w:val="auto"/>
          <w:highlight w:val="none"/>
          <w:lang w:val="en-US" w:eastAsia="zh-CN"/>
        </w:rPr>
        <w:t>20.1603</w:t>
      </w:r>
      <w:r>
        <w:rPr>
          <w:rFonts w:hint="default" w:ascii="Times New Roman" w:hAnsi="Times New Roman" w:cs="Times New Roman"/>
          <w:color w:val="auto"/>
          <w:highlight w:val="none"/>
        </w:rPr>
        <w:t>hm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大部分为荒地，</w:t>
      </w:r>
      <w:r>
        <w:rPr>
          <w:rFonts w:hint="default" w:ascii="Times New Roman" w:hAnsi="Times New Roman" w:cs="Times New Roman"/>
          <w:color w:val="auto"/>
          <w:highlight w:val="none"/>
        </w:rPr>
        <w:t>造成地表植被生物损失量</w:t>
      </w:r>
      <w:r>
        <w:rPr>
          <w:rFonts w:hint="default" w:ascii="Times New Roman" w:hAnsi="Times New Roman" w:cs="Times New Roman"/>
          <w:color w:val="auto"/>
          <w:highlight w:val="none"/>
          <w:lang w:eastAsia="zh-CN"/>
        </w:rPr>
        <w:t>较少</w:t>
      </w:r>
      <w:r>
        <w:rPr>
          <w:rFonts w:hint="default" w:ascii="Times New Roman" w:hAnsi="Times New Roman" w:cs="Times New Roman"/>
          <w:color w:val="auto"/>
          <w:highlight w:val="none"/>
        </w:rPr>
        <w:t>。本项目将使占地范围内的植被全部遭到破坏。土地利用类型的改变，使得项目区域植被生长稀疏，累计生物量低。原生植被在遭到破坏后的第一个生长期内将全部消失，一次性减少了植被的面积，导致蓄水保土功能降低或丧失</w:t>
      </w:r>
      <w:r>
        <w:rPr>
          <w:rFonts w:hint="eastAsia" w:cs="Times New Roman"/>
          <w:color w:val="auto"/>
          <w:highlight w:val="none"/>
          <w:lang w:eastAsia="zh-CN"/>
        </w:rPr>
        <w:t>，</w:t>
      </w:r>
      <w:r>
        <w:rPr>
          <w:rFonts w:hint="eastAsia" w:cs="Times New Roman"/>
          <w:color w:val="auto"/>
          <w:highlight w:val="none"/>
          <w:lang w:val="en-US" w:eastAsia="zh-CN"/>
        </w:rPr>
        <w:t>施工</w:t>
      </w:r>
      <w:r>
        <w:rPr>
          <w:rFonts w:hint="default" w:ascii="Times New Roman" w:hAnsi="Times New Roman" w:cs="Times New Roman"/>
          <w:color w:val="auto"/>
          <w:highlight w:val="none"/>
        </w:rPr>
        <w:t>对植被的影响，因具体工程类型的不同而有所差异，其中新建尾矿库建设对植被的影响呈片状分布，而进场道路影响则呈线状分布。从工程类别的影响来看，尾矿库、</w:t>
      </w:r>
      <w:r>
        <w:rPr>
          <w:rFonts w:hint="default" w:ascii="Times New Roman" w:hAnsi="Times New Roman" w:cs="Times New Roman"/>
          <w:color w:val="auto"/>
          <w:highlight w:val="none"/>
          <w:lang w:eastAsia="zh-CN"/>
        </w:rPr>
        <w:t>新建</w:t>
      </w:r>
      <w:r>
        <w:rPr>
          <w:rFonts w:hint="default" w:ascii="Times New Roman" w:hAnsi="Times New Roman" w:cs="Times New Roman"/>
          <w:color w:val="auto"/>
          <w:highlight w:val="none"/>
        </w:rPr>
        <w:t>道路等永久占地原有植被全部遭到破坏，本项目所在区域植被生长较为</w:t>
      </w:r>
      <w:r>
        <w:rPr>
          <w:rFonts w:hint="default" w:ascii="Times New Roman" w:hAnsi="Times New Roman" w:cs="Times New Roman"/>
          <w:color w:val="auto"/>
          <w:highlight w:val="none"/>
          <w:lang w:eastAsia="zh-CN"/>
        </w:rPr>
        <w:t>稀少</w:t>
      </w:r>
      <w:r>
        <w:rPr>
          <w:rFonts w:hint="default" w:ascii="Times New Roman" w:hAnsi="Times New Roman" w:cs="Times New Roman"/>
          <w:color w:val="auto"/>
          <w:highlight w:val="none"/>
        </w:rPr>
        <w:t>，主要植被有</w:t>
      </w:r>
      <w:r>
        <w:rPr>
          <w:rFonts w:hint="default" w:ascii="Times New Roman" w:hAnsi="Times New Roman" w:cs="Times New Roman"/>
          <w:color w:val="auto"/>
          <w:highlight w:val="none"/>
          <w:lang w:val="en-US" w:eastAsia="zh-CN"/>
        </w:rPr>
        <w:t>骆驼刺</w:t>
      </w:r>
      <w:r>
        <w:rPr>
          <w:rFonts w:hint="default" w:ascii="Times New Roman" w:hAnsi="Times New Roman" w:cs="Times New Roman"/>
          <w:color w:val="auto"/>
          <w:highlight w:val="none"/>
        </w:rPr>
        <w:t>等，根据查询《新疆草地植被的地上生物量》（安尼瓦尔·买买提等，2005年），本项目占地面积为</w:t>
      </w:r>
      <w:r>
        <w:rPr>
          <w:rFonts w:hint="default" w:ascii="Times New Roman" w:hAnsi="Times New Roman" w:cs="Times New Roman"/>
          <w:color w:val="auto"/>
          <w:highlight w:val="none"/>
          <w:lang w:val="en-US" w:eastAsia="zh-CN"/>
        </w:rPr>
        <w:t>20.1603</w:t>
      </w:r>
      <w:r>
        <w:rPr>
          <w:rFonts w:hint="default" w:ascii="Times New Roman" w:hAnsi="Times New Roman" w:cs="Times New Roman"/>
          <w:color w:val="auto"/>
          <w:highlight w:val="none"/>
        </w:rPr>
        <w:t>hm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，计算得出项目生物损失量</w:t>
      </w:r>
      <w:r>
        <w:rPr>
          <w:rFonts w:hint="default" w:ascii="Times New Roman" w:hAnsi="Times New Roman" w:cs="Times New Roman"/>
          <w:color w:val="auto"/>
          <w:highlight w:val="none"/>
          <w:lang w:eastAsia="zh-CN"/>
        </w:rPr>
        <w:t>约</w:t>
      </w:r>
      <w:r>
        <w:rPr>
          <w:rFonts w:hint="default" w:ascii="Times New Roman" w:hAnsi="Times New Roman" w:cs="Times New Roman"/>
          <w:color w:val="auto"/>
          <w:highlight w:val="none"/>
        </w:rPr>
        <w:t>为</w:t>
      </w:r>
      <w:r>
        <w:rPr>
          <w:rFonts w:hint="default" w:ascii="Times New Roman" w:hAnsi="Times New Roman" w:cs="Times New Roman"/>
          <w:color w:val="auto"/>
          <w:highlight w:val="none"/>
          <w:lang w:val="en-US" w:eastAsia="zh-CN"/>
        </w:rPr>
        <w:t>6.4</w:t>
      </w:r>
      <w:r>
        <w:rPr>
          <w:rFonts w:hint="default" w:ascii="Times New Roman" w:hAnsi="Times New Roman" w:cs="Times New Roman"/>
          <w:color w:val="auto"/>
          <w:highlight w:val="none"/>
        </w:rPr>
        <w:t>t。施工期结束后，将开展生态恢复及治理工作，另外选矿厂、尾矿库服役期及闭库后，逐年开展生态环境恢复、治理，可以减少对</w:t>
      </w:r>
      <w:r>
        <w:rPr>
          <w:rFonts w:hint="eastAsia" w:cs="Times New Roman"/>
          <w:color w:val="auto"/>
          <w:highlight w:val="none"/>
          <w:lang w:val="en-US" w:eastAsia="zh-CN"/>
        </w:rPr>
        <w:t>项目</w:t>
      </w:r>
      <w:r>
        <w:rPr>
          <w:rFonts w:hint="default" w:ascii="Times New Roman" w:hAnsi="Times New Roman" w:cs="Times New Roman"/>
          <w:color w:val="auto"/>
          <w:highlight w:val="none"/>
        </w:rPr>
        <w:t>周边的生态影响。</w:t>
      </w:r>
    </w:p>
    <w:p w14:paraId="696ADC25">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5.1.5.4野生动物影响分析</w:t>
      </w:r>
    </w:p>
    <w:p w14:paraId="1DDA3FD4">
      <w:pPr>
        <w:overflowPunct w:val="0"/>
        <w:topLinePunct/>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根据本工程的特点，各种施工机械的噪声及施工人员的活动干扰，都将使原来栖息在工程区附近的各种野生动物受到惊吓而迁移别处</w:t>
      </w:r>
      <w:r>
        <w:rPr>
          <w:rFonts w:hint="eastAsia" w:cs="Times New Roman"/>
          <w:color w:val="auto"/>
          <w:highlight w:val="none"/>
          <w:lang w:eastAsia="zh-CN"/>
        </w:rPr>
        <w:t>安身</w:t>
      </w:r>
      <w:r>
        <w:rPr>
          <w:rFonts w:hint="default" w:ascii="Times New Roman" w:hAnsi="Times New Roman" w:cs="Times New Roman"/>
          <w:color w:val="auto"/>
          <w:highlight w:val="none"/>
        </w:rPr>
        <w:t>。施工过程中应采取一定的措施</w:t>
      </w:r>
      <w:r>
        <w:rPr>
          <w:rFonts w:hint="eastAsia" w:cs="Times New Roman"/>
          <w:color w:val="auto"/>
          <w:highlight w:val="none"/>
          <w:lang w:eastAsia="zh-CN"/>
        </w:rPr>
        <w:t>减少</w:t>
      </w:r>
      <w:r>
        <w:rPr>
          <w:rFonts w:hint="default" w:ascii="Times New Roman" w:hAnsi="Times New Roman" w:cs="Times New Roman"/>
          <w:color w:val="auto"/>
          <w:highlight w:val="none"/>
        </w:rPr>
        <w:t>噪声的排放，对施工人员进行保护野生动物的宣传教育。施工期结束后施工人员撤离，对</w:t>
      </w:r>
      <w:r>
        <w:rPr>
          <w:rFonts w:hint="eastAsia" w:cs="Times New Roman"/>
          <w:color w:val="auto"/>
          <w:highlight w:val="none"/>
          <w:lang w:eastAsia="zh-CN"/>
        </w:rPr>
        <w:t>野生动物的</w:t>
      </w:r>
      <w:r>
        <w:rPr>
          <w:rFonts w:hint="default" w:ascii="Times New Roman" w:hAnsi="Times New Roman" w:cs="Times New Roman"/>
          <w:color w:val="auto"/>
          <w:highlight w:val="none"/>
        </w:rPr>
        <w:t>扰动会就此消失，因此对于野生动物的栖息地来说不会产生大的影响，不会导致野生动物因丧失栖息地而灭绝。</w:t>
      </w:r>
    </w:p>
    <w:p w14:paraId="202374EB">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5.1.5.5水土流失影响分析</w:t>
      </w:r>
    </w:p>
    <w:p w14:paraId="4885AD54">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建设过程中，由于施工人员践踏、机械作业等，将对地表植被及土壤结构造成破坏，形成一定面积的裸地，遇到雨天气将会造成水土流失，开挖的土石方将占用一定的土地，对占地范围产生扰动、植被破坏，开挖土石方堆存易发生水土流失。工程建设新增水土流失产生于以下方面：</w:t>
      </w:r>
    </w:p>
    <w:p w14:paraId="0EE303D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①本项目实施期间，由于场地开拓及平整地基土层的填挖、施工人员临时生活区、施工道路的布置等，均有可能造成原生地表植被的破坏，引发和加剧水土流失。</w:t>
      </w:r>
    </w:p>
    <w:p w14:paraId="26C7416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②弃渣堆放被风蚀的可能性较大，若堆放或保护措施不当，将会在大风作用下产生水土流失。</w:t>
      </w:r>
    </w:p>
    <w:p w14:paraId="20F18DD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从本项目建设性质来看，项目及其配套设施建设将扰动原地貌，改变地形地貌，破坏植被，工程建设对拟建项目占地范围内的土地产生扰动，项目占地面积较小，影响范围也有限，对项目区周边水土流失的影响不大。</w:t>
      </w:r>
    </w:p>
    <w:p w14:paraId="115A92B3">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5.1.5.6景观生态影响分析</w:t>
      </w:r>
    </w:p>
    <w:p w14:paraId="5DE18FA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本项目建设将使评价区内新增工业景观类型，如尾矿库、</w:t>
      </w:r>
      <w:r>
        <w:rPr>
          <w:rFonts w:hint="default" w:ascii="Times New Roman" w:hAnsi="Times New Roman" w:cs="Times New Roman"/>
          <w:color w:val="auto"/>
          <w:highlight w:val="none"/>
          <w:lang w:val="en-US" w:eastAsia="zh-CN"/>
        </w:rPr>
        <w:t>选矿厂、运输道路</w:t>
      </w:r>
      <w:r>
        <w:rPr>
          <w:rFonts w:hint="default" w:ascii="Times New Roman" w:hAnsi="Times New Roman" w:cs="Times New Roman"/>
          <w:color w:val="auto"/>
          <w:highlight w:val="none"/>
        </w:rPr>
        <w:t>等，在一定程度上增加了景观多样性。评价区域新增人工景观要素，呈点状和线状分布，增加了评价区的斑块和廊道数量；同时也使原有自然景观比例和结构发生变化；由于新的斑块和廊道的增加，对原有景观基质的面积造成一定的挤占，使原有基质及板块之间的连续性和连通性受到一定影响，对景观产生较强的分裂效果。</w:t>
      </w:r>
    </w:p>
    <w:p w14:paraId="7E03D09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从景观美学角度来看，人工建筑物与构筑物的出现，给原来以自然曲线为主的自然景观中，增加了直线、直角型斑块和廊道等人工景观，形成自然和人类共同作用的复合景观，对原有景观产生一定影响。该区域无风景名胜区，在采取绿化、植被恢复措施后，可减缓局部景观切割、镶嵌造成的异质性影响。</w:t>
      </w:r>
    </w:p>
    <w:p w14:paraId="41BA1626">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5.1.5.7区域生态系统影响分析</w:t>
      </w:r>
    </w:p>
    <w:p w14:paraId="21F9571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的实施将对区域草原生态系统的结构和功能产生一定影响，但对局部生态系统的结构和功能产生影响是临时性的。从整个评价区来看，该工程不会减少生态系统的数量，不会改变评价区生态系统结构的完整性和生态系统的稳定性。评价认为，采取必要的生态保护措施后，项目建设对评价区内的</w:t>
      </w:r>
      <w:r>
        <w:rPr>
          <w:rFonts w:hint="eastAsia" w:cs="Times New Roman"/>
          <w:color w:val="auto"/>
          <w:highlight w:val="none"/>
          <w:lang w:eastAsia="zh-CN"/>
        </w:rPr>
        <w:t>其他各</w:t>
      </w:r>
      <w:r>
        <w:rPr>
          <w:rFonts w:hint="default" w:ascii="Times New Roman" w:hAnsi="Times New Roman" w:cs="Times New Roman"/>
          <w:color w:val="auto"/>
          <w:highlight w:val="none"/>
        </w:rPr>
        <w:t>生态系统影响小。</w:t>
      </w:r>
    </w:p>
    <w:p w14:paraId="7110F711">
      <w:pPr>
        <w:pStyle w:val="3"/>
        <w:rPr>
          <w:rFonts w:hint="default" w:ascii="Times New Roman" w:hAnsi="Times New Roman" w:cs="Times New Roman"/>
          <w:color w:val="auto"/>
          <w:highlight w:val="none"/>
        </w:rPr>
      </w:pPr>
      <w:bookmarkStart w:id="704" w:name="_Toc23802"/>
      <w:bookmarkStart w:id="705" w:name="_Toc27236"/>
      <w:bookmarkStart w:id="706" w:name="_Toc107414665"/>
      <w:bookmarkStart w:id="707" w:name="_Toc9308"/>
      <w:bookmarkStart w:id="708" w:name="_Toc15184"/>
      <w:bookmarkStart w:id="709" w:name="_Toc107413898"/>
      <w:bookmarkStart w:id="710" w:name="_Toc21045"/>
      <w:r>
        <w:rPr>
          <w:rFonts w:hint="default" w:ascii="Times New Roman" w:hAnsi="Times New Roman" w:cs="Times New Roman"/>
          <w:color w:val="auto"/>
          <w:highlight w:val="none"/>
        </w:rPr>
        <w:t>5.2运营期环境影响预测与评价</w:t>
      </w:r>
      <w:bookmarkEnd w:id="704"/>
      <w:bookmarkEnd w:id="705"/>
      <w:bookmarkEnd w:id="706"/>
      <w:bookmarkEnd w:id="707"/>
      <w:bookmarkEnd w:id="708"/>
      <w:bookmarkEnd w:id="709"/>
      <w:bookmarkEnd w:id="710"/>
    </w:p>
    <w:p w14:paraId="0E5386F5">
      <w:pPr>
        <w:pStyle w:val="4"/>
        <w:rPr>
          <w:rFonts w:hint="default" w:ascii="Times New Roman" w:hAnsi="Times New Roman" w:cs="Times New Roman"/>
          <w:color w:val="auto"/>
          <w:highlight w:val="none"/>
        </w:rPr>
      </w:pPr>
      <w:bookmarkStart w:id="711" w:name="_Toc1930"/>
      <w:bookmarkStart w:id="712" w:name="_Toc15983"/>
      <w:bookmarkStart w:id="713" w:name="_Toc21874"/>
      <w:r>
        <w:rPr>
          <w:rFonts w:hint="default" w:ascii="Times New Roman" w:hAnsi="Times New Roman" w:cs="Times New Roman"/>
          <w:color w:val="auto"/>
          <w:highlight w:val="none"/>
        </w:rPr>
        <w:t>5.2.1运营期大气环境影响分析与评价</w:t>
      </w:r>
      <w:bookmarkEnd w:id="711"/>
      <w:bookmarkEnd w:id="712"/>
      <w:bookmarkEnd w:id="713"/>
    </w:p>
    <w:p w14:paraId="73B45A06">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5.2.1.1</w:t>
      </w:r>
      <w:r>
        <w:rPr>
          <w:rFonts w:hint="default" w:ascii="Times New Roman" w:hAnsi="Times New Roman" w:cs="Times New Roman"/>
          <w:color w:val="auto"/>
          <w:highlight w:val="none"/>
          <w:lang w:val="en-US" w:eastAsia="zh-CN"/>
        </w:rPr>
        <w:t>大气污染物排放量核算</w:t>
      </w:r>
    </w:p>
    <w:p w14:paraId="4771EDB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本工程大气环境影响评价等级为二级，根据《环境影响评价技术导则大气环境》（HJ2.2-2018），二级评价项目可不进行进一步预测与评价，只对污染物排放量进行核算。本工程大气污染物排放量核算情况如下：</w:t>
      </w:r>
    </w:p>
    <w:p w14:paraId="068E3A55">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排放量核算</w:t>
      </w:r>
    </w:p>
    <w:p w14:paraId="2D0AAE29">
      <w:pPr>
        <w:ind w:firstLine="480"/>
        <w:rPr>
          <w:rFonts w:hint="default" w:ascii="Times New Roman" w:hAnsi="Times New Roman" w:cs="Times New Roman"/>
          <w:color w:val="auto"/>
          <w:highlight w:val="none"/>
        </w:rPr>
      </w:pPr>
      <w:r>
        <w:rPr>
          <w:rFonts w:hint="default" w:ascii="Times New Roman" w:hAnsi="Times New Roman" w:eastAsia="宋体" w:cs="Times New Roman"/>
          <w:color w:val="auto"/>
          <w:sz w:val="24"/>
          <w:highlight w:val="none"/>
          <w:lang w:val="en-US" w:eastAsia="zh-CN"/>
        </w:rPr>
        <w:t>本工程大气污染物排放情况见表5.2-1。</w:t>
      </w:r>
    </w:p>
    <w:p w14:paraId="41915AA0">
      <w:pPr>
        <w:ind w:firstLine="0" w:firstLineChars="0"/>
        <w:jc w:val="center"/>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表</w:t>
      </w:r>
      <w:r>
        <w:rPr>
          <w:rFonts w:hint="default" w:ascii="Times New Roman" w:hAnsi="Times New Roman" w:cs="Times New Roman"/>
          <w:b/>
          <w:color w:val="auto"/>
          <w:kern w:val="0"/>
          <w:highlight w:val="none"/>
          <w:lang w:val="en-US" w:eastAsia="zh-CN"/>
        </w:rPr>
        <w:t>5</w:t>
      </w:r>
      <w:r>
        <w:rPr>
          <w:rFonts w:hint="default" w:ascii="Times New Roman" w:hAnsi="Times New Roman" w:cs="Times New Roman"/>
          <w:b/>
          <w:color w:val="auto"/>
          <w:kern w:val="0"/>
          <w:highlight w:val="none"/>
        </w:rPr>
        <w:t>.</w:t>
      </w:r>
      <w:r>
        <w:rPr>
          <w:rFonts w:hint="default" w:ascii="Times New Roman" w:hAnsi="Times New Roman" w:cs="Times New Roman"/>
          <w:b/>
          <w:color w:val="auto"/>
          <w:kern w:val="0"/>
          <w:highlight w:val="none"/>
          <w:lang w:val="en-US" w:eastAsia="zh-CN"/>
        </w:rPr>
        <w:t>2</w:t>
      </w:r>
      <w:r>
        <w:rPr>
          <w:rFonts w:hint="default" w:ascii="Times New Roman" w:hAnsi="Times New Roman" w:cs="Times New Roman"/>
          <w:b/>
          <w:color w:val="auto"/>
          <w:kern w:val="0"/>
          <w:highlight w:val="none"/>
        </w:rPr>
        <w:t>-</w:t>
      </w:r>
      <w:r>
        <w:rPr>
          <w:rFonts w:hint="default" w:ascii="Times New Roman" w:hAnsi="Times New Roman" w:cs="Times New Roman"/>
          <w:b/>
          <w:color w:val="auto"/>
          <w:kern w:val="0"/>
          <w:highlight w:val="none"/>
          <w:lang w:val="en-US" w:eastAsia="zh-CN"/>
        </w:rPr>
        <w:t>1</w:t>
      </w:r>
      <w:r>
        <w:rPr>
          <w:rFonts w:hint="default" w:ascii="Times New Roman" w:hAnsi="Times New Roman" w:cs="Times New Roman"/>
          <w:b/>
          <w:color w:val="auto"/>
          <w:kern w:val="0"/>
          <w:highlight w:val="none"/>
        </w:rPr>
        <w:t xml:space="preserve">    项目主要大气污染物排放情况</w:t>
      </w:r>
    </w:p>
    <w:tbl>
      <w:tblPr>
        <w:tblStyle w:val="33"/>
        <w:tblW w:w="508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375"/>
        <w:gridCol w:w="2517"/>
        <w:gridCol w:w="1332"/>
        <w:gridCol w:w="2510"/>
        <w:gridCol w:w="1749"/>
      </w:tblGrid>
      <w:tr w14:paraId="3EAF68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1704" w:type="pct"/>
            <w:gridSpan w:val="2"/>
            <w:noWrap w:val="0"/>
            <w:vAlign w:val="center"/>
          </w:tcPr>
          <w:p w14:paraId="1EF27688">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eastAsia="zh-CN"/>
              </w:rPr>
              <w:t>污染源</w:t>
            </w:r>
          </w:p>
        </w:tc>
        <w:tc>
          <w:tcPr>
            <w:tcW w:w="785" w:type="pct"/>
            <w:noWrap w:val="0"/>
            <w:vAlign w:val="center"/>
          </w:tcPr>
          <w:p w14:paraId="0F8B12CC">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污染物名称</w:t>
            </w:r>
          </w:p>
        </w:tc>
        <w:tc>
          <w:tcPr>
            <w:tcW w:w="1479" w:type="pct"/>
            <w:noWrap w:val="0"/>
            <w:vAlign w:val="center"/>
          </w:tcPr>
          <w:p w14:paraId="2C198C02">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主要污染防治措施</w:t>
            </w:r>
          </w:p>
        </w:tc>
        <w:tc>
          <w:tcPr>
            <w:tcW w:w="1030" w:type="pct"/>
            <w:noWrap w:val="0"/>
            <w:vAlign w:val="center"/>
          </w:tcPr>
          <w:p w14:paraId="373790A5">
            <w:pPr>
              <w:spacing w:line="360" w:lineRule="exact"/>
              <w:ind w:firstLine="0" w:firstLineChars="0"/>
              <w:jc w:val="center"/>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排放</w:t>
            </w:r>
            <w:r>
              <w:rPr>
                <w:rFonts w:hint="eastAsia" w:ascii="Times New Roman" w:hAnsi="Times New Roman" w:cs="Times New Roman"/>
                <w:b/>
                <w:bCs/>
                <w:color w:val="auto"/>
                <w:sz w:val="21"/>
                <w:szCs w:val="21"/>
                <w:highlight w:val="none"/>
                <w:lang w:val="en-US" w:eastAsia="zh-CN"/>
              </w:rPr>
              <w:t>速率</w:t>
            </w:r>
          </w:p>
        </w:tc>
      </w:tr>
      <w:tr w14:paraId="32C803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21" w:type="pct"/>
            <w:vMerge w:val="restart"/>
            <w:noWrap w:val="0"/>
            <w:vAlign w:val="center"/>
          </w:tcPr>
          <w:p w14:paraId="708F2DA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有组织</w:t>
            </w:r>
          </w:p>
        </w:tc>
        <w:tc>
          <w:tcPr>
            <w:tcW w:w="1482" w:type="pct"/>
            <w:vMerge w:val="restart"/>
            <w:noWrap w:val="0"/>
            <w:vAlign w:val="center"/>
          </w:tcPr>
          <w:p w14:paraId="4133BCE8">
            <w:pPr>
              <w:spacing w:line="360" w:lineRule="exact"/>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破碎工序</w:t>
            </w:r>
            <w:r>
              <w:rPr>
                <w:rFonts w:hint="default" w:ascii="Times New Roman" w:hAnsi="Times New Roman" w:cs="Times New Roman"/>
                <w:color w:val="auto"/>
                <w:sz w:val="21"/>
                <w:szCs w:val="21"/>
                <w:highlight w:val="none"/>
              </w:rPr>
              <w:t>排气筒</w:t>
            </w:r>
          </w:p>
        </w:tc>
        <w:tc>
          <w:tcPr>
            <w:tcW w:w="785" w:type="pct"/>
            <w:noWrap w:val="0"/>
            <w:vAlign w:val="center"/>
          </w:tcPr>
          <w:p w14:paraId="0D4DCFA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1479" w:type="pct"/>
            <w:vMerge w:val="restart"/>
            <w:noWrap w:val="0"/>
            <w:vAlign w:val="center"/>
          </w:tcPr>
          <w:p w14:paraId="02A8DC2D">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集气罩＋</w:t>
            </w:r>
            <w:r>
              <w:rPr>
                <w:rFonts w:hint="default" w:ascii="Times New Roman" w:hAnsi="Times New Roman" w:cs="Times New Roman"/>
                <w:color w:val="auto"/>
                <w:sz w:val="21"/>
                <w:szCs w:val="21"/>
                <w:highlight w:val="none"/>
                <w:lang w:eastAsia="zh-CN"/>
              </w:rPr>
              <w:t>高效脉冲布袋除尘器</w:t>
            </w:r>
          </w:p>
        </w:tc>
        <w:tc>
          <w:tcPr>
            <w:tcW w:w="1030" w:type="pct"/>
            <w:noWrap w:val="0"/>
            <w:vAlign w:val="center"/>
          </w:tcPr>
          <w:p w14:paraId="21097ED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0.0461</w:t>
            </w:r>
            <w:r>
              <w:rPr>
                <w:rFonts w:hint="eastAsia" w:cs="Times New Roman"/>
                <w:color w:val="auto"/>
                <w:sz w:val="21"/>
                <w:szCs w:val="21"/>
                <w:highlight w:val="none"/>
                <w:lang w:val="en-US" w:eastAsia="zh-CN"/>
              </w:rPr>
              <w:t>kg/h</w:t>
            </w:r>
          </w:p>
        </w:tc>
      </w:tr>
      <w:tr w14:paraId="3160B8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21" w:type="pct"/>
            <w:vMerge w:val="continue"/>
            <w:noWrap w:val="0"/>
            <w:vAlign w:val="center"/>
          </w:tcPr>
          <w:p w14:paraId="40FD2ED0">
            <w:pPr>
              <w:spacing w:line="360" w:lineRule="exact"/>
              <w:ind w:firstLine="0" w:firstLineChars="0"/>
              <w:jc w:val="center"/>
              <w:rPr>
                <w:rFonts w:hint="default" w:ascii="Times New Roman" w:hAnsi="Times New Roman" w:cs="Times New Roman"/>
                <w:color w:val="auto"/>
                <w:sz w:val="21"/>
                <w:szCs w:val="21"/>
                <w:highlight w:val="none"/>
              </w:rPr>
            </w:pPr>
          </w:p>
        </w:tc>
        <w:tc>
          <w:tcPr>
            <w:tcW w:w="1482" w:type="pct"/>
            <w:vMerge w:val="continue"/>
            <w:noWrap w:val="0"/>
            <w:vAlign w:val="center"/>
          </w:tcPr>
          <w:p w14:paraId="732B1ACD">
            <w:pPr>
              <w:spacing w:line="360" w:lineRule="exact"/>
              <w:ind w:firstLine="0" w:firstLineChars="0"/>
              <w:jc w:val="center"/>
              <w:rPr>
                <w:rFonts w:hint="default" w:ascii="Times New Roman" w:hAnsi="Times New Roman" w:cs="Times New Roman"/>
                <w:color w:val="auto"/>
                <w:sz w:val="21"/>
                <w:szCs w:val="21"/>
                <w:highlight w:val="none"/>
                <w:lang w:eastAsia="zh-CN"/>
              </w:rPr>
            </w:pPr>
          </w:p>
        </w:tc>
        <w:tc>
          <w:tcPr>
            <w:tcW w:w="785" w:type="pct"/>
            <w:noWrap w:val="0"/>
            <w:vAlign w:val="center"/>
          </w:tcPr>
          <w:p w14:paraId="6EA8FB2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氟化物</w:t>
            </w:r>
          </w:p>
        </w:tc>
        <w:tc>
          <w:tcPr>
            <w:tcW w:w="1479" w:type="pct"/>
            <w:vMerge w:val="continue"/>
            <w:noWrap w:val="0"/>
            <w:vAlign w:val="center"/>
          </w:tcPr>
          <w:p w14:paraId="003C991D">
            <w:pPr>
              <w:spacing w:line="360" w:lineRule="exact"/>
              <w:ind w:firstLine="0" w:firstLineChars="0"/>
              <w:jc w:val="center"/>
              <w:rPr>
                <w:rFonts w:hint="default" w:ascii="Times New Roman" w:hAnsi="Times New Roman" w:cs="Times New Roman"/>
                <w:color w:val="auto"/>
                <w:sz w:val="21"/>
                <w:szCs w:val="21"/>
                <w:highlight w:val="none"/>
                <w:lang w:eastAsia="zh-CN"/>
              </w:rPr>
            </w:pPr>
          </w:p>
        </w:tc>
        <w:tc>
          <w:tcPr>
            <w:tcW w:w="1030" w:type="pct"/>
            <w:noWrap w:val="0"/>
            <w:vAlign w:val="center"/>
          </w:tcPr>
          <w:p w14:paraId="2A21FEBC">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0.00578</w:t>
            </w:r>
            <w:r>
              <w:rPr>
                <w:rFonts w:hint="eastAsia" w:cs="Times New Roman"/>
                <w:color w:val="auto"/>
                <w:sz w:val="21"/>
                <w:szCs w:val="21"/>
                <w:highlight w:val="none"/>
                <w:lang w:val="en-US" w:eastAsia="zh-CN"/>
              </w:rPr>
              <w:t>kg/h</w:t>
            </w:r>
          </w:p>
        </w:tc>
      </w:tr>
      <w:tr w14:paraId="5E2A4E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21" w:type="pct"/>
            <w:vMerge w:val="continue"/>
            <w:noWrap w:val="0"/>
            <w:vAlign w:val="center"/>
          </w:tcPr>
          <w:p w14:paraId="09FCD5EB">
            <w:pPr>
              <w:spacing w:line="360" w:lineRule="exact"/>
              <w:ind w:firstLine="0" w:firstLineChars="0"/>
              <w:jc w:val="center"/>
              <w:rPr>
                <w:rFonts w:hint="default" w:ascii="Times New Roman" w:hAnsi="Times New Roman" w:cs="Times New Roman"/>
                <w:color w:val="auto"/>
                <w:sz w:val="21"/>
                <w:szCs w:val="21"/>
                <w:highlight w:val="none"/>
              </w:rPr>
            </w:pPr>
          </w:p>
        </w:tc>
        <w:tc>
          <w:tcPr>
            <w:tcW w:w="1482" w:type="pct"/>
            <w:vMerge w:val="restart"/>
            <w:noWrap w:val="0"/>
            <w:vAlign w:val="center"/>
          </w:tcPr>
          <w:p w14:paraId="1E1FE39D">
            <w:pPr>
              <w:spacing w:line="360" w:lineRule="exact"/>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筛分工序</w:t>
            </w:r>
            <w:r>
              <w:rPr>
                <w:rFonts w:hint="default" w:ascii="Times New Roman" w:hAnsi="Times New Roman" w:cs="Times New Roman"/>
                <w:color w:val="auto"/>
                <w:sz w:val="21"/>
                <w:szCs w:val="21"/>
                <w:highlight w:val="none"/>
              </w:rPr>
              <w:t>排气筒</w:t>
            </w:r>
          </w:p>
        </w:tc>
        <w:tc>
          <w:tcPr>
            <w:tcW w:w="785" w:type="pct"/>
            <w:noWrap w:val="0"/>
            <w:vAlign w:val="center"/>
          </w:tcPr>
          <w:p w14:paraId="4737594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1479" w:type="pct"/>
            <w:vMerge w:val="restart"/>
            <w:noWrap w:val="0"/>
            <w:vAlign w:val="center"/>
          </w:tcPr>
          <w:p w14:paraId="68D3A12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集气罩＋</w:t>
            </w:r>
            <w:r>
              <w:rPr>
                <w:rFonts w:hint="default" w:ascii="Times New Roman" w:hAnsi="Times New Roman" w:cs="Times New Roman"/>
                <w:color w:val="auto"/>
                <w:sz w:val="21"/>
                <w:szCs w:val="21"/>
                <w:highlight w:val="none"/>
                <w:lang w:eastAsia="zh-CN"/>
              </w:rPr>
              <w:t>高效脉冲布袋除尘器</w:t>
            </w:r>
          </w:p>
        </w:tc>
        <w:tc>
          <w:tcPr>
            <w:tcW w:w="1030" w:type="pct"/>
            <w:noWrap w:val="0"/>
            <w:vAlign w:val="center"/>
          </w:tcPr>
          <w:p w14:paraId="6A4D914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0.60</w:t>
            </w:r>
            <w:r>
              <w:rPr>
                <w:rFonts w:hint="eastAsia" w:cs="Times New Roman"/>
                <w:color w:val="auto"/>
                <w:sz w:val="21"/>
                <w:szCs w:val="21"/>
                <w:highlight w:val="none"/>
                <w:lang w:val="en-US" w:eastAsia="zh-CN"/>
              </w:rPr>
              <w:t>kg/h</w:t>
            </w:r>
          </w:p>
        </w:tc>
      </w:tr>
      <w:tr w14:paraId="576FD4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21" w:type="pct"/>
            <w:vMerge w:val="continue"/>
            <w:noWrap w:val="0"/>
            <w:vAlign w:val="center"/>
          </w:tcPr>
          <w:p w14:paraId="6E796874">
            <w:pPr>
              <w:spacing w:line="360" w:lineRule="exact"/>
              <w:ind w:firstLine="0" w:firstLineChars="0"/>
              <w:jc w:val="center"/>
              <w:rPr>
                <w:rFonts w:hint="default" w:ascii="Times New Roman" w:hAnsi="Times New Roman" w:cs="Times New Roman"/>
                <w:color w:val="auto"/>
                <w:sz w:val="21"/>
                <w:szCs w:val="21"/>
                <w:highlight w:val="none"/>
              </w:rPr>
            </w:pPr>
          </w:p>
        </w:tc>
        <w:tc>
          <w:tcPr>
            <w:tcW w:w="1482" w:type="pct"/>
            <w:vMerge w:val="continue"/>
            <w:noWrap w:val="0"/>
            <w:vAlign w:val="center"/>
          </w:tcPr>
          <w:p w14:paraId="7A55E639">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p>
        </w:tc>
        <w:tc>
          <w:tcPr>
            <w:tcW w:w="785" w:type="pct"/>
            <w:noWrap w:val="0"/>
            <w:vAlign w:val="center"/>
          </w:tcPr>
          <w:p w14:paraId="2E594E0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氟化物</w:t>
            </w:r>
          </w:p>
        </w:tc>
        <w:tc>
          <w:tcPr>
            <w:tcW w:w="1479" w:type="pct"/>
            <w:vMerge w:val="continue"/>
            <w:noWrap w:val="0"/>
            <w:vAlign w:val="center"/>
          </w:tcPr>
          <w:p w14:paraId="07EA522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eastAsia="zh-CN"/>
              </w:rPr>
            </w:pPr>
          </w:p>
        </w:tc>
        <w:tc>
          <w:tcPr>
            <w:tcW w:w="1030" w:type="pct"/>
            <w:noWrap w:val="0"/>
            <w:vAlign w:val="center"/>
          </w:tcPr>
          <w:p w14:paraId="68B0C757">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0.0753</w:t>
            </w:r>
            <w:r>
              <w:rPr>
                <w:rFonts w:hint="eastAsia" w:cs="Times New Roman"/>
                <w:color w:val="auto"/>
                <w:sz w:val="21"/>
                <w:szCs w:val="21"/>
                <w:highlight w:val="none"/>
                <w:lang w:val="en-US" w:eastAsia="zh-CN"/>
              </w:rPr>
              <w:t>kg/h</w:t>
            </w:r>
          </w:p>
        </w:tc>
      </w:tr>
      <w:tr w14:paraId="3A5654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21" w:type="pct"/>
            <w:vMerge w:val="continue"/>
            <w:noWrap w:val="0"/>
            <w:vAlign w:val="center"/>
          </w:tcPr>
          <w:p w14:paraId="52491BD1">
            <w:pPr>
              <w:spacing w:line="360" w:lineRule="exact"/>
              <w:ind w:firstLine="0" w:firstLineChars="0"/>
              <w:jc w:val="center"/>
              <w:rPr>
                <w:rFonts w:hint="default" w:ascii="Times New Roman" w:hAnsi="Times New Roman" w:cs="Times New Roman"/>
                <w:color w:val="auto"/>
                <w:sz w:val="21"/>
                <w:szCs w:val="21"/>
                <w:highlight w:val="none"/>
              </w:rPr>
            </w:pPr>
          </w:p>
        </w:tc>
        <w:tc>
          <w:tcPr>
            <w:tcW w:w="1482" w:type="pct"/>
            <w:vMerge w:val="restart"/>
            <w:noWrap w:val="0"/>
            <w:vAlign w:val="center"/>
          </w:tcPr>
          <w:p w14:paraId="2BED70BE">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燃煤锅炉排气筒</w:t>
            </w:r>
          </w:p>
        </w:tc>
        <w:tc>
          <w:tcPr>
            <w:tcW w:w="785" w:type="pct"/>
            <w:noWrap w:val="0"/>
            <w:vAlign w:val="center"/>
          </w:tcPr>
          <w:p w14:paraId="207CCD1B">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pacing w:val="0"/>
                <w:kern w:val="2"/>
                <w:sz w:val="21"/>
                <w:szCs w:val="21"/>
                <w:highlight w:val="none"/>
                <w:vertAlign w:val="baseline"/>
                <w:lang w:val="en-US" w:eastAsia="zh-CN" w:bidi="ar-SA"/>
              </w:rPr>
              <w:t>颗粒物</w:t>
            </w:r>
          </w:p>
        </w:tc>
        <w:tc>
          <w:tcPr>
            <w:tcW w:w="1479" w:type="pct"/>
            <w:vMerge w:val="restart"/>
            <w:noWrap w:val="0"/>
            <w:vAlign w:val="center"/>
          </w:tcPr>
          <w:p w14:paraId="6E0CBA3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高温</w:t>
            </w:r>
            <w:r>
              <w:rPr>
                <w:rFonts w:hint="default" w:ascii="Times New Roman" w:hAnsi="Times New Roman" w:cs="Times New Roman"/>
                <w:color w:val="auto"/>
                <w:sz w:val="21"/>
                <w:szCs w:val="21"/>
                <w:highlight w:val="none"/>
                <w:lang w:eastAsia="zh-CN"/>
              </w:rPr>
              <w:t>袋式除尘</w:t>
            </w:r>
            <w:r>
              <w:rPr>
                <w:rFonts w:hint="default" w:ascii="Times New Roman" w:hAnsi="Times New Roman" w:cs="Times New Roman"/>
                <w:color w:val="auto"/>
                <w:sz w:val="21"/>
                <w:szCs w:val="21"/>
                <w:highlight w:val="none"/>
                <w:lang w:val="en-US" w:eastAsia="zh-CN"/>
              </w:rPr>
              <w:t>设施+S</w:t>
            </w:r>
            <w:r>
              <w:rPr>
                <w:rFonts w:hint="eastAsia" w:cs="Times New Roman"/>
                <w:color w:val="auto"/>
                <w:sz w:val="21"/>
                <w:szCs w:val="21"/>
                <w:highlight w:val="none"/>
                <w:lang w:val="en-US" w:eastAsia="zh-CN"/>
              </w:rPr>
              <w:t>N</w:t>
            </w:r>
            <w:r>
              <w:rPr>
                <w:rFonts w:hint="default" w:ascii="Times New Roman" w:hAnsi="Times New Roman" w:cs="Times New Roman"/>
                <w:color w:val="auto"/>
                <w:sz w:val="21"/>
                <w:szCs w:val="21"/>
                <w:highlight w:val="none"/>
                <w:lang w:val="en-US" w:eastAsia="zh-CN"/>
              </w:rPr>
              <w:t>CR脱硝设施+水膜脱硫除尘</w:t>
            </w:r>
          </w:p>
        </w:tc>
        <w:tc>
          <w:tcPr>
            <w:tcW w:w="1030" w:type="pct"/>
            <w:noWrap w:val="0"/>
            <w:vAlign w:val="center"/>
          </w:tcPr>
          <w:p w14:paraId="1900BCD3">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0.373</w:t>
            </w:r>
            <w:r>
              <w:rPr>
                <w:rFonts w:hint="default" w:ascii="Times New Roman" w:hAnsi="Times New Roman" w:eastAsia="宋体" w:cs="Times New Roman"/>
                <w:b w:val="0"/>
                <w:bCs w:val="0"/>
                <w:color w:val="auto"/>
                <w:spacing w:val="0"/>
                <w:sz w:val="21"/>
                <w:szCs w:val="21"/>
                <w:highlight w:val="none"/>
                <w:vertAlign w:val="baseline"/>
                <w:lang w:val="en-US" w:eastAsia="zh-CN"/>
              </w:rPr>
              <w:t>kg/h</w:t>
            </w:r>
          </w:p>
        </w:tc>
      </w:tr>
      <w:tr w14:paraId="173AC2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21" w:type="pct"/>
            <w:vMerge w:val="continue"/>
            <w:noWrap w:val="0"/>
            <w:vAlign w:val="center"/>
          </w:tcPr>
          <w:p w14:paraId="26AAD317">
            <w:pPr>
              <w:spacing w:line="360" w:lineRule="exact"/>
              <w:ind w:firstLine="0" w:firstLineChars="0"/>
              <w:jc w:val="center"/>
              <w:rPr>
                <w:rFonts w:hint="default" w:ascii="Times New Roman" w:hAnsi="Times New Roman" w:cs="Times New Roman"/>
                <w:color w:val="auto"/>
                <w:sz w:val="21"/>
                <w:szCs w:val="21"/>
                <w:highlight w:val="none"/>
              </w:rPr>
            </w:pPr>
          </w:p>
        </w:tc>
        <w:tc>
          <w:tcPr>
            <w:tcW w:w="1482" w:type="pct"/>
            <w:vMerge w:val="continue"/>
            <w:noWrap w:val="0"/>
            <w:vAlign w:val="center"/>
          </w:tcPr>
          <w:p w14:paraId="71EC111B">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p>
        </w:tc>
        <w:tc>
          <w:tcPr>
            <w:tcW w:w="785" w:type="pct"/>
            <w:noWrap w:val="0"/>
            <w:vAlign w:val="center"/>
          </w:tcPr>
          <w:p w14:paraId="74EE26B0">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pacing w:val="0"/>
                <w:kern w:val="2"/>
                <w:sz w:val="21"/>
                <w:szCs w:val="21"/>
                <w:highlight w:val="none"/>
                <w:vertAlign w:val="baseline"/>
                <w:lang w:val="en-US" w:eastAsia="zh-CN" w:bidi="ar-SA"/>
              </w:rPr>
              <w:t>二氧化硫</w:t>
            </w:r>
          </w:p>
        </w:tc>
        <w:tc>
          <w:tcPr>
            <w:tcW w:w="1479" w:type="pct"/>
            <w:vMerge w:val="continue"/>
            <w:noWrap w:val="0"/>
            <w:vAlign w:val="center"/>
          </w:tcPr>
          <w:p w14:paraId="03D9300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eastAsia="zh-CN"/>
              </w:rPr>
            </w:pPr>
          </w:p>
        </w:tc>
        <w:tc>
          <w:tcPr>
            <w:tcW w:w="1030" w:type="pct"/>
            <w:noWrap w:val="0"/>
            <w:vAlign w:val="center"/>
          </w:tcPr>
          <w:p w14:paraId="2DAD636F">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0.581</w:t>
            </w:r>
            <w:r>
              <w:rPr>
                <w:rFonts w:hint="default" w:ascii="Times New Roman" w:hAnsi="Times New Roman" w:eastAsia="宋体" w:cs="Times New Roman"/>
                <w:b w:val="0"/>
                <w:bCs w:val="0"/>
                <w:color w:val="auto"/>
                <w:spacing w:val="0"/>
                <w:sz w:val="21"/>
                <w:szCs w:val="21"/>
                <w:highlight w:val="none"/>
                <w:vertAlign w:val="baseline"/>
                <w:lang w:val="en-US" w:eastAsia="zh-CN"/>
              </w:rPr>
              <w:t>kg/h</w:t>
            </w:r>
          </w:p>
        </w:tc>
      </w:tr>
      <w:tr w14:paraId="3EAEAC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21" w:type="pct"/>
            <w:vMerge w:val="continue"/>
            <w:noWrap w:val="0"/>
            <w:vAlign w:val="center"/>
          </w:tcPr>
          <w:p w14:paraId="1BA00D9E">
            <w:pPr>
              <w:spacing w:line="360" w:lineRule="exact"/>
              <w:ind w:firstLine="0" w:firstLineChars="0"/>
              <w:jc w:val="center"/>
              <w:rPr>
                <w:rFonts w:hint="default" w:ascii="Times New Roman" w:hAnsi="Times New Roman" w:cs="Times New Roman"/>
                <w:color w:val="auto"/>
                <w:sz w:val="21"/>
                <w:szCs w:val="21"/>
                <w:highlight w:val="none"/>
              </w:rPr>
            </w:pPr>
          </w:p>
        </w:tc>
        <w:tc>
          <w:tcPr>
            <w:tcW w:w="1482" w:type="pct"/>
            <w:vMerge w:val="continue"/>
            <w:noWrap w:val="0"/>
            <w:vAlign w:val="center"/>
          </w:tcPr>
          <w:p w14:paraId="4D35799F">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p>
        </w:tc>
        <w:tc>
          <w:tcPr>
            <w:tcW w:w="785" w:type="pct"/>
            <w:noWrap w:val="0"/>
            <w:vAlign w:val="center"/>
          </w:tcPr>
          <w:p w14:paraId="2C532D00">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pacing w:val="0"/>
                <w:kern w:val="2"/>
                <w:sz w:val="21"/>
                <w:szCs w:val="21"/>
                <w:highlight w:val="none"/>
                <w:vertAlign w:val="baseline"/>
                <w:lang w:val="en-US" w:eastAsia="zh-CN" w:bidi="ar-SA"/>
              </w:rPr>
              <w:t>氮氧化物</w:t>
            </w:r>
          </w:p>
        </w:tc>
        <w:tc>
          <w:tcPr>
            <w:tcW w:w="1479" w:type="pct"/>
            <w:vMerge w:val="continue"/>
            <w:noWrap w:val="0"/>
            <w:vAlign w:val="center"/>
          </w:tcPr>
          <w:p w14:paraId="7DE6F45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eastAsia="zh-CN"/>
              </w:rPr>
            </w:pPr>
          </w:p>
        </w:tc>
        <w:tc>
          <w:tcPr>
            <w:tcW w:w="1030" w:type="pct"/>
            <w:noWrap w:val="0"/>
            <w:vAlign w:val="center"/>
          </w:tcPr>
          <w:p w14:paraId="1ECCFA10">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3.087</w:t>
            </w:r>
            <w:r>
              <w:rPr>
                <w:rFonts w:hint="default" w:ascii="Times New Roman" w:hAnsi="Times New Roman" w:eastAsia="宋体" w:cs="Times New Roman"/>
                <w:b w:val="0"/>
                <w:bCs w:val="0"/>
                <w:color w:val="auto"/>
                <w:spacing w:val="0"/>
                <w:sz w:val="21"/>
                <w:szCs w:val="21"/>
                <w:highlight w:val="none"/>
                <w:vertAlign w:val="baseline"/>
                <w:lang w:val="en-US" w:eastAsia="zh-CN"/>
              </w:rPr>
              <w:t>kg/h</w:t>
            </w:r>
          </w:p>
        </w:tc>
      </w:tr>
      <w:tr w14:paraId="7471A3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21" w:type="pct"/>
            <w:vMerge w:val="continue"/>
            <w:noWrap w:val="0"/>
            <w:vAlign w:val="center"/>
          </w:tcPr>
          <w:p w14:paraId="5ED3F33F">
            <w:pPr>
              <w:spacing w:line="360" w:lineRule="exact"/>
              <w:ind w:firstLine="0" w:firstLineChars="0"/>
              <w:jc w:val="center"/>
              <w:rPr>
                <w:rFonts w:hint="default" w:ascii="Times New Roman" w:hAnsi="Times New Roman" w:cs="Times New Roman"/>
                <w:color w:val="auto"/>
                <w:sz w:val="21"/>
                <w:szCs w:val="21"/>
                <w:highlight w:val="none"/>
              </w:rPr>
            </w:pPr>
          </w:p>
        </w:tc>
        <w:tc>
          <w:tcPr>
            <w:tcW w:w="1482" w:type="pct"/>
            <w:vMerge w:val="continue"/>
            <w:noWrap w:val="0"/>
            <w:vAlign w:val="center"/>
          </w:tcPr>
          <w:p w14:paraId="6641E6CE">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p>
        </w:tc>
        <w:tc>
          <w:tcPr>
            <w:tcW w:w="785" w:type="pct"/>
            <w:noWrap w:val="0"/>
            <w:vAlign w:val="center"/>
          </w:tcPr>
          <w:p w14:paraId="14A0983B">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pacing w:val="0"/>
                <w:kern w:val="2"/>
                <w:sz w:val="21"/>
                <w:szCs w:val="21"/>
                <w:highlight w:val="none"/>
                <w:vertAlign w:val="baseline"/>
                <w:lang w:val="en-US" w:eastAsia="zh-CN" w:bidi="ar-SA"/>
              </w:rPr>
              <w:t>汞及其化合物</w:t>
            </w:r>
          </w:p>
        </w:tc>
        <w:tc>
          <w:tcPr>
            <w:tcW w:w="1479" w:type="pct"/>
            <w:vMerge w:val="continue"/>
            <w:noWrap w:val="0"/>
            <w:vAlign w:val="center"/>
          </w:tcPr>
          <w:p w14:paraId="1866D94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lang w:eastAsia="zh-CN"/>
              </w:rPr>
            </w:pPr>
          </w:p>
        </w:tc>
        <w:tc>
          <w:tcPr>
            <w:tcW w:w="1030" w:type="pct"/>
            <w:noWrap w:val="0"/>
            <w:vAlign w:val="center"/>
          </w:tcPr>
          <w:p w14:paraId="584CF515">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7.67×10</w:t>
            </w:r>
            <w:r>
              <w:rPr>
                <w:rFonts w:hint="default" w:ascii="Times New Roman" w:hAnsi="Times New Roman" w:eastAsia="宋体" w:cs="Times New Roman"/>
                <w:color w:val="auto"/>
                <w:kern w:val="0"/>
                <w:sz w:val="21"/>
                <w:szCs w:val="21"/>
                <w:highlight w:val="none"/>
                <w:vertAlign w:val="superscript"/>
                <w:lang w:val="en-US" w:eastAsia="zh-CN" w:bidi="ar"/>
              </w:rPr>
              <w:t>-5</w:t>
            </w:r>
            <w:r>
              <w:rPr>
                <w:rFonts w:hint="default" w:ascii="Times New Roman" w:hAnsi="Times New Roman" w:eastAsia="宋体" w:cs="Times New Roman"/>
                <w:b w:val="0"/>
                <w:bCs w:val="0"/>
                <w:color w:val="auto"/>
                <w:spacing w:val="0"/>
                <w:sz w:val="21"/>
                <w:szCs w:val="21"/>
                <w:highlight w:val="none"/>
                <w:vertAlign w:val="baseline"/>
                <w:lang w:val="en-US" w:eastAsia="zh-CN"/>
              </w:rPr>
              <w:t>kg/h</w:t>
            </w:r>
          </w:p>
        </w:tc>
      </w:tr>
      <w:tr w14:paraId="1F2770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21" w:type="pct"/>
            <w:vMerge w:val="restart"/>
            <w:noWrap w:val="0"/>
            <w:vAlign w:val="center"/>
          </w:tcPr>
          <w:p w14:paraId="141538E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无组织</w:t>
            </w:r>
          </w:p>
        </w:tc>
        <w:tc>
          <w:tcPr>
            <w:tcW w:w="1482" w:type="pct"/>
            <w:vMerge w:val="restart"/>
            <w:noWrap w:val="0"/>
            <w:vAlign w:val="center"/>
          </w:tcPr>
          <w:p w14:paraId="7331B59E">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选矿厂</w:t>
            </w:r>
          </w:p>
        </w:tc>
        <w:tc>
          <w:tcPr>
            <w:tcW w:w="785" w:type="pct"/>
            <w:noWrap w:val="0"/>
            <w:vAlign w:val="center"/>
          </w:tcPr>
          <w:p w14:paraId="5C71709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1479" w:type="pct"/>
            <w:vMerge w:val="restart"/>
            <w:noWrap w:val="0"/>
            <w:vAlign w:val="center"/>
          </w:tcPr>
          <w:p w14:paraId="323FF77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封闭车间，</w:t>
            </w:r>
            <w:r>
              <w:rPr>
                <w:rFonts w:hint="default" w:ascii="Times New Roman" w:hAnsi="Times New Roman" w:cs="Times New Roman"/>
                <w:color w:val="auto"/>
                <w:sz w:val="21"/>
                <w:szCs w:val="21"/>
                <w:highlight w:val="none"/>
              </w:rPr>
              <w:t>微雾抑尘系统</w:t>
            </w:r>
          </w:p>
        </w:tc>
        <w:tc>
          <w:tcPr>
            <w:tcW w:w="1749" w:type="dxa"/>
            <w:noWrap w:val="0"/>
            <w:vAlign w:val="center"/>
          </w:tcPr>
          <w:p w14:paraId="3B5E19BC">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spacing w:val="0"/>
                <w:sz w:val="21"/>
                <w:szCs w:val="21"/>
                <w:highlight w:val="none"/>
                <w:lang w:val="en-US" w:eastAsia="zh-CN"/>
              </w:rPr>
              <w:t>0.717</w:t>
            </w:r>
            <w:r>
              <w:rPr>
                <w:rFonts w:hint="default" w:ascii="Times New Roman" w:hAnsi="Times New Roman" w:eastAsia="宋体" w:cs="Times New Roman"/>
                <w:color w:val="auto"/>
                <w:spacing w:val="0"/>
                <w:sz w:val="21"/>
                <w:szCs w:val="21"/>
                <w:highlight w:val="none"/>
              </w:rPr>
              <w:t>kg/h</w:t>
            </w:r>
          </w:p>
        </w:tc>
      </w:tr>
      <w:tr w14:paraId="5C306B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21" w:type="pct"/>
            <w:vMerge w:val="continue"/>
            <w:noWrap w:val="0"/>
            <w:vAlign w:val="center"/>
          </w:tcPr>
          <w:p w14:paraId="2D0E9660">
            <w:pPr>
              <w:spacing w:line="360" w:lineRule="exact"/>
              <w:ind w:firstLine="0" w:firstLineChars="0"/>
              <w:jc w:val="center"/>
              <w:rPr>
                <w:rFonts w:hint="default" w:ascii="Times New Roman" w:hAnsi="Times New Roman" w:cs="Times New Roman"/>
                <w:color w:val="auto"/>
                <w:sz w:val="21"/>
                <w:szCs w:val="21"/>
                <w:highlight w:val="none"/>
              </w:rPr>
            </w:pPr>
          </w:p>
        </w:tc>
        <w:tc>
          <w:tcPr>
            <w:tcW w:w="1482" w:type="pct"/>
            <w:vMerge w:val="continue"/>
            <w:noWrap w:val="0"/>
            <w:vAlign w:val="center"/>
          </w:tcPr>
          <w:p w14:paraId="67B1F9A5">
            <w:pPr>
              <w:spacing w:line="360" w:lineRule="exact"/>
              <w:ind w:firstLine="0" w:firstLineChars="0"/>
              <w:jc w:val="center"/>
              <w:rPr>
                <w:rFonts w:hint="default" w:ascii="Times New Roman" w:hAnsi="Times New Roman" w:cs="Times New Roman"/>
                <w:color w:val="auto"/>
                <w:sz w:val="21"/>
                <w:szCs w:val="21"/>
                <w:highlight w:val="none"/>
                <w:lang w:eastAsia="zh-CN"/>
              </w:rPr>
            </w:pPr>
          </w:p>
        </w:tc>
        <w:tc>
          <w:tcPr>
            <w:tcW w:w="785" w:type="pct"/>
            <w:noWrap w:val="0"/>
            <w:vAlign w:val="center"/>
          </w:tcPr>
          <w:p w14:paraId="466933D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氟化物</w:t>
            </w:r>
          </w:p>
        </w:tc>
        <w:tc>
          <w:tcPr>
            <w:tcW w:w="1479" w:type="pct"/>
            <w:vMerge w:val="continue"/>
            <w:noWrap w:val="0"/>
            <w:vAlign w:val="center"/>
          </w:tcPr>
          <w:p w14:paraId="373C560B">
            <w:pPr>
              <w:spacing w:line="360" w:lineRule="exact"/>
              <w:ind w:firstLine="0" w:firstLineChars="0"/>
              <w:jc w:val="center"/>
              <w:rPr>
                <w:rFonts w:hint="default" w:ascii="Times New Roman" w:hAnsi="Times New Roman" w:cs="Times New Roman"/>
                <w:color w:val="auto"/>
                <w:sz w:val="21"/>
                <w:szCs w:val="21"/>
                <w:highlight w:val="none"/>
                <w:lang w:eastAsia="zh-CN"/>
              </w:rPr>
            </w:pPr>
          </w:p>
        </w:tc>
        <w:tc>
          <w:tcPr>
            <w:tcW w:w="1749" w:type="dxa"/>
            <w:noWrap w:val="0"/>
            <w:vAlign w:val="center"/>
          </w:tcPr>
          <w:p w14:paraId="6207BE02">
            <w:pPr>
              <w:pStyle w:val="13"/>
              <w:keepNext w:val="0"/>
              <w:keepLines w:val="0"/>
              <w:pageBreakBefore w:val="0"/>
              <w:widowControl w:val="0"/>
              <w:kinsoku/>
              <w:wordWrap/>
              <w:overflowPunct/>
              <w:topLinePunct w:val="0"/>
              <w:bidi w:val="0"/>
              <w:adjustRightInd/>
              <w:snapToGrid/>
              <w:spacing w:line="360" w:lineRule="exact"/>
              <w:ind w:left="0" w:leftChars="0" w:right="0" w:rightChars="0" w:firstLine="0" w:firstLineChars="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0.0889</w:t>
            </w:r>
            <w:r>
              <w:rPr>
                <w:rFonts w:hint="default" w:ascii="Times New Roman" w:hAnsi="Times New Roman" w:eastAsia="宋体" w:cs="Times New Roman"/>
                <w:color w:val="auto"/>
                <w:spacing w:val="0"/>
                <w:sz w:val="21"/>
                <w:szCs w:val="21"/>
                <w:highlight w:val="none"/>
              </w:rPr>
              <w:t>kg/h</w:t>
            </w:r>
          </w:p>
        </w:tc>
      </w:tr>
      <w:tr w14:paraId="624AB5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21" w:type="pct"/>
            <w:vMerge w:val="continue"/>
            <w:noWrap w:val="0"/>
            <w:vAlign w:val="center"/>
          </w:tcPr>
          <w:p w14:paraId="3B28A10B">
            <w:pPr>
              <w:spacing w:line="360" w:lineRule="exact"/>
              <w:ind w:firstLine="0" w:firstLineChars="0"/>
              <w:jc w:val="center"/>
              <w:rPr>
                <w:rFonts w:hint="default" w:ascii="Times New Roman" w:hAnsi="Times New Roman" w:cs="Times New Roman"/>
                <w:color w:val="auto"/>
                <w:sz w:val="21"/>
                <w:szCs w:val="21"/>
                <w:highlight w:val="none"/>
              </w:rPr>
            </w:pPr>
          </w:p>
        </w:tc>
        <w:tc>
          <w:tcPr>
            <w:tcW w:w="1482" w:type="pct"/>
            <w:noWrap w:val="0"/>
            <w:vAlign w:val="center"/>
          </w:tcPr>
          <w:p w14:paraId="23E2A11E">
            <w:pPr>
              <w:spacing w:line="36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尾矿库</w:t>
            </w:r>
          </w:p>
        </w:tc>
        <w:tc>
          <w:tcPr>
            <w:tcW w:w="785" w:type="pct"/>
            <w:noWrap w:val="0"/>
            <w:vAlign w:val="center"/>
          </w:tcPr>
          <w:p w14:paraId="4100FD50">
            <w:pPr>
              <w:spacing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颗粒物</w:t>
            </w:r>
          </w:p>
        </w:tc>
        <w:tc>
          <w:tcPr>
            <w:tcW w:w="1479" w:type="pct"/>
            <w:noWrap w:val="0"/>
            <w:vAlign w:val="center"/>
          </w:tcPr>
          <w:p w14:paraId="1887228F">
            <w:pPr>
              <w:spacing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尾矿湿式排放</w:t>
            </w:r>
            <w:r>
              <w:rPr>
                <w:rFonts w:hint="eastAsia" w:ascii="Times New Roman" w:hAnsi="Times New Roman" w:cs="Times New Roman"/>
                <w:color w:val="auto"/>
                <w:sz w:val="21"/>
                <w:szCs w:val="21"/>
                <w:highlight w:val="none"/>
                <w:lang w:eastAsia="zh-CN"/>
              </w:rPr>
              <w:t>，尾矿库表面形成水封面，使滩面保持湿润。</w:t>
            </w:r>
          </w:p>
        </w:tc>
        <w:tc>
          <w:tcPr>
            <w:tcW w:w="1030" w:type="pct"/>
            <w:noWrap w:val="0"/>
            <w:vAlign w:val="center"/>
          </w:tcPr>
          <w:p w14:paraId="3B75045B">
            <w:pPr>
              <w:spacing w:line="360" w:lineRule="exact"/>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0.000502kg/h</w:t>
            </w:r>
          </w:p>
        </w:tc>
      </w:tr>
    </w:tbl>
    <w:p w14:paraId="5231C9E1">
      <w:pPr>
        <w:keepNext w:val="0"/>
        <w:keepLines w:val="0"/>
        <w:pageBreakBefore w:val="0"/>
        <w:widowControl w:val="0"/>
        <w:kinsoku/>
        <w:wordWrap/>
        <w:overflowPunct/>
        <w:topLinePunct w:val="0"/>
        <w:autoSpaceDE/>
        <w:autoSpaceDN/>
        <w:bidi w:val="0"/>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）项目大气污染物年排放量核算</w:t>
      </w:r>
    </w:p>
    <w:p w14:paraId="0694028D">
      <w:pPr>
        <w:ind w:firstLine="480"/>
        <w:rPr>
          <w:rFonts w:hint="default" w:ascii="Times New Roman" w:hAnsi="Times New Roman" w:cs="Times New Roman"/>
          <w:b/>
          <w:color w:val="auto"/>
          <w:kern w:val="0"/>
          <w:highlight w:val="none"/>
        </w:rPr>
      </w:pPr>
      <w:r>
        <w:rPr>
          <w:rFonts w:hint="default" w:ascii="Times New Roman" w:hAnsi="Times New Roman" w:eastAsia="宋体" w:cs="Times New Roman"/>
          <w:color w:val="auto"/>
          <w:sz w:val="24"/>
          <w:highlight w:val="none"/>
          <w:lang w:val="en-US" w:eastAsia="zh-CN"/>
        </w:rPr>
        <w:t>本工程大气污染物年排放情况见表5.2-</w:t>
      </w:r>
      <w:r>
        <w:rPr>
          <w:rFonts w:hint="default" w:ascii="Times New Roman" w:hAnsi="Times New Roman"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w:t>
      </w:r>
    </w:p>
    <w:p w14:paraId="1C1F41C6">
      <w:pPr>
        <w:ind w:firstLine="0" w:firstLineChars="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highlight w:val="none"/>
        </w:rPr>
        <w:t>表</w:t>
      </w:r>
      <w:r>
        <w:rPr>
          <w:rFonts w:hint="default" w:ascii="Times New Roman" w:hAnsi="Times New Roman" w:cs="Times New Roman"/>
          <w:b/>
          <w:color w:val="auto"/>
          <w:kern w:val="0"/>
          <w:highlight w:val="none"/>
          <w:lang w:val="en-US" w:eastAsia="zh-CN"/>
        </w:rPr>
        <w:t>5</w:t>
      </w:r>
      <w:r>
        <w:rPr>
          <w:rFonts w:hint="default" w:ascii="Times New Roman" w:hAnsi="Times New Roman" w:cs="Times New Roman"/>
          <w:b/>
          <w:color w:val="auto"/>
          <w:kern w:val="0"/>
          <w:highlight w:val="none"/>
        </w:rPr>
        <w:t>.</w:t>
      </w:r>
      <w:r>
        <w:rPr>
          <w:rFonts w:hint="default" w:ascii="Times New Roman" w:hAnsi="Times New Roman" w:cs="Times New Roman"/>
          <w:b/>
          <w:color w:val="auto"/>
          <w:kern w:val="0"/>
          <w:highlight w:val="none"/>
          <w:lang w:val="en-US" w:eastAsia="zh-CN"/>
        </w:rPr>
        <w:t>2</w:t>
      </w:r>
      <w:r>
        <w:rPr>
          <w:rFonts w:hint="default" w:ascii="Times New Roman" w:hAnsi="Times New Roman" w:cs="Times New Roman"/>
          <w:b/>
          <w:color w:val="auto"/>
          <w:kern w:val="0"/>
          <w:highlight w:val="none"/>
        </w:rPr>
        <w:t>-</w:t>
      </w:r>
      <w:r>
        <w:rPr>
          <w:rFonts w:hint="default" w:ascii="Times New Roman" w:hAnsi="Times New Roman" w:cs="Times New Roman"/>
          <w:b/>
          <w:color w:val="auto"/>
          <w:kern w:val="0"/>
          <w:highlight w:val="none"/>
          <w:lang w:val="en-US" w:eastAsia="zh-CN"/>
        </w:rPr>
        <w:t>2</w:t>
      </w:r>
      <w:r>
        <w:rPr>
          <w:rFonts w:hint="default" w:ascii="Times New Roman" w:hAnsi="Times New Roman" w:cs="Times New Roman"/>
          <w:b/>
          <w:color w:val="auto"/>
          <w:kern w:val="0"/>
          <w:highlight w:val="none"/>
        </w:rPr>
        <w:t xml:space="preserve">    项目主要大气污染物排放总量</w:t>
      </w:r>
    </w:p>
    <w:tbl>
      <w:tblPr>
        <w:tblStyle w:val="33"/>
        <w:tblW w:w="501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095"/>
        <w:gridCol w:w="1931"/>
        <w:gridCol w:w="5337"/>
      </w:tblGrid>
      <w:tr w14:paraId="766D46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655" w:type="pct"/>
            <w:tcBorders>
              <w:tl2br w:val="nil"/>
              <w:tr2bl w:val="nil"/>
            </w:tcBorders>
            <w:vAlign w:val="center"/>
          </w:tcPr>
          <w:p w14:paraId="63D4230A">
            <w:pPr>
              <w:spacing w:line="360" w:lineRule="exact"/>
              <w:ind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序号</w:t>
            </w:r>
          </w:p>
        </w:tc>
        <w:tc>
          <w:tcPr>
            <w:tcW w:w="1154" w:type="pct"/>
            <w:tcBorders>
              <w:tl2br w:val="nil"/>
              <w:tr2bl w:val="nil"/>
            </w:tcBorders>
            <w:vAlign w:val="center"/>
          </w:tcPr>
          <w:p w14:paraId="21543481">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污染物名称</w:t>
            </w:r>
          </w:p>
        </w:tc>
        <w:tc>
          <w:tcPr>
            <w:tcW w:w="3190" w:type="pct"/>
            <w:tcBorders>
              <w:tl2br w:val="nil"/>
              <w:tr2bl w:val="nil"/>
            </w:tcBorders>
            <w:vAlign w:val="center"/>
          </w:tcPr>
          <w:p w14:paraId="49DE37EE">
            <w:pPr>
              <w:spacing w:line="360" w:lineRule="exact"/>
              <w:ind w:firstLine="0" w:firstLineChars="0"/>
              <w:jc w:val="center"/>
              <w:rPr>
                <w:rFonts w:hint="eastAsia"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排放量</w:t>
            </w:r>
            <w:r>
              <w:rPr>
                <w:rFonts w:hint="eastAsia" w:cs="Times New Roman"/>
                <w:b/>
                <w:bCs/>
                <w:color w:val="auto"/>
                <w:sz w:val="21"/>
                <w:szCs w:val="21"/>
                <w:highlight w:val="none"/>
                <w:lang w:eastAsia="zh-CN"/>
              </w:rPr>
              <w:t>（</w:t>
            </w:r>
            <w:r>
              <w:rPr>
                <w:rFonts w:hint="eastAsia" w:cs="Times New Roman"/>
                <w:b/>
                <w:bCs/>
                <w:color w:val="auto"/>
                <w:sz w:val="21"/>
                <w:szCs w:val="21"/>
                <w:highlight w:val="none"/>
                <w:lang w:val="en-US" w:eastAsia="zh-CN"/>
              </w:rPr>
              <w:t>t/a</w:t>
            </w:r>
            <w:r>
              <w:rPr>
                <w:rFonts w:hint="eastAsia" w:cs="Times New Roman"/>
                <w:b/>
                <w:bCs/>
                <w:color w:val="auto"/>
                <w:sz w:val="21"/>
                <w:szCs w:val="21"/>
                <w:highlight w:val="none"/>
                <w:lang w:eastAsia="zh-CN"/>
              </w:rPr>
              <w:t>）</w:t>
            </w:r>
          </w:p>
        </w:tc>
      </w:tr>
      <w:tr w14:paraId="528253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5" w:type="pct"/>
            <w:tcBorders>
              <w:tl2br w:val="nil"/>
              <w:tr2bl w:val="nil"/>
            </w:tcBorders>
            <w:vAlign w:val="center"/>
          </w:tcPr>
          <w:p w14:paraId="4BA6850C">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w:t>
            </w:r>
          </w:p>
        </w:tc>
        <w:tc>
          <w:tcPr>
            <w:tcW w:w="1154" w:type="pct"/>
            <w:tcBorders>
              <w:tl2br w:val="nil"/>
              <w:tr2bl w:val="nil"/>
            </w:tcBorders>
            <w:vAlign w:val="center"/>
          </w:tcPr>
          <w:p w14:paraId="1060835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5337" w:type="dxa"/>
            <w:tcBorders>
              <w:tl2br w:val="nil"/>
              <w:tr2bl w:val="nil"/>
            </w:tcBorders>
            <w:vAlign w:val="center"/>
          </w:tcPr>
          <w:p w14:paraId="52F54E8E">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13.89</w:t>
            </w:r>
          </w:p>
        </w:tc>
      </w:tr>
      <w:tr w14:paraId="6B4D90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5" w:type="pct"/>
            <w:tcBorders>
              <w:tl2br w:val="nil"/>
              <w:tr2bl w:val="nil"/>
            </w:tcBorders>
            <w:vAlign w:val="center"/>
          </w:tcPr>
          <w:p w14:paraId="65DAC098">
            <w:pPr>
              <w:spacing w:line="360" w:lineRule="exact"/>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1154" w:type="pct"/>
            <w:tcBorders>
              <w:tl2br w:val="nil"/>
              <w:tr2bl w:val="nil"/>
            </w:tcBorders>
            <w:vAlign w:val="center"/>
          </w:tcPr>
          <w:p w14:paraId="6093E0E7">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氟化物</w:t>
            </w:r>
          </w:p>
        </w:tc>
        <w:tc>
          <w:tcPr>
            <w:tcW w:w="5337" w:type="dxa"/>
            <w:tcBorders>
              <w:tl2br w:val="nil"/>
              <w:tr2bl w:val="nil"/>
            </w:tcBorders>
            <w:vAlign w:val="center"/>
          </w:tcPr>
          <w:p w14:paraId="0B1ED50F">
            <w:pPr>
              <w:spacing w:line="36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1.36</w:t>
            </w:r>
          </w:p>
        </w:tc>
      </w:tr>
      <w:tr w14:paraId="2762F3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5" w:type="pct"/>
            <w:tcBorders>
              <w:tl2br w:val="nil"/>
              <w:tr2bl w:val="nil"/>
            </w:tcBorders>
            <w:vAlign w:val="center"/>
          </w:tcPr>
          <w:p w14:paraId="64C1A0D6">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1931" w:type="dxa"/>
            <w:tcBorders>
              <w:tl2br w:val="nil"/>
              <w:tr2bl w:val="nil"/>
            </w:tcBorders>
            <w:vAlign w:val="center"/>
          </w:tcPr>
          <w:p w14:paraId="3DF4F98B">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pacing w:val="0"/>
                <w:kern w:val="2"/>
                <w:sz w:val="21"/>
                <w:szCs w:val="21"/>
                <w:highlight w:val="none"/>
                <w:vertAlign w:val="baseline"/>
                <w:lang w:val="en-US" w:eastAsia="zh-CN" w:bidi="ar-SA"/>
              </w:rPr>
              <w:t>二氧化硫</w:t>
            </w:r>
          </w:p>
        </w:tc>
        <w:tc>
          <w:tcPr>
            <w:tcW w:w="5337" w:type="dxa"/>
            <w:tcBorders>
              <w:tl2br w:val="nil"/>
              <w:tr2bl w:val="nil"/>
            </w:tcBorders>
            <w:vAlign w:val="center"/>
          </w:tcPr>
          <w:p w14:paraId="1230A6CF">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4.65</w:t>
            </w:r>
          </w:p>
        </w:tc>
      </w:tr>
      <w:tr w14:paraId="557DD8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5" w:type="pct"/>
            <w:tcBorders>
              <w:tl2br w:val="nil"/>
              <w:tr2bl w:val="nil"/>
            </w:tcBorders>
            <w:vAlign w:val="center"/>
          </w:tcPr>
          <w:p w14:paraId="1BBD33AE">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1931" w:type="dxa"/>
            <w:tcBorders>
              <w:tl2br w:val="nil"/>
              <w:tr2bl w:val="nil"/>
            </w:tcBorders>
            <w:vAlign w:val="center"/>
          </w:tcPr>
          <w:p w14:paraId="01118425">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pacing w:val="0"/>
                <w:kern w:val="2"/>
                <w:sz w:val="21"/>
                <w:szCs w:val="21"/>
                <w:highlight w:val="none"/>
                <w:vertAlign w:val="baseline"/>
                <w:lang w:val="en-US" w:eastAsia="zh-CN" w:bidi="ar-SA"/>
              </w:rPr>
              <w:t>氮氧化物</w:t>
            </w:r>
          </w:p>
        </w:tc>
        <w:tc>
          <w:tcPr>
            <w:tcW w:w="5337" w:type="dxa"/>
            <w:tcBorders>
              <w:tl2br w:val="nil"/>
              <w:tr2bl w:val="nil"/>
            </w:tcBorders>
            <w:vAlign w:val="center"/>
          </w:tcPr>
          <w:p w14:paraId="255F18EA">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24.70</w:t>
            </w:r>
          </w:p>
        </w:tc>
      </w:tr>
      <w:tr w14:paraId="3D1FCC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5" w:type="pct"/>
            <w:tcBorders>
              <w:tl2br w:val="nil"/>
              <w:tr2bl w:val="nil"/>
            </w:tcBorders>
            <w:vAlign w:val="center"/>
          </w:tcPr>
          <w:p w14:paraId="28777B0A">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1931" w:type="dxa"/>
            <w:tcBorders>
              <w:tl2br w:val="nil"/>
              <w:tr2bl w:val="nil"/>
            </w:tcBorders>
            <w:vAlign w:val="center"/>
          </w:tcPr>
          <w:p w14:paraId="55FC721D">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0"/>
                <w:kern w:val="2"/>
                <w:sz w:val="21"/>
                <w:szCs w:val="21"/>
                <w:highlight w:val="none"/>
                <w:vertAlign w:val="baseline"/>
                <w:lang w:val="en-US" w:eastAsia="zh-CN" w:bidi="ar-SA"/>
              </w:rPr>
              <w:t>汞及其化合物</w:t>
            </w:r>
          </w:p>
        </w:tc>
        <w:tc>
          <w:tcPr>
            <w:tcW w:w="5337" w:type="dxa"/>
            <w:tcBorders>
              <w:tl2br w:val="nil"/>
              <w:tr2bl w:val="nil"/>
            </w:tcBorders>
            <w:vAlign w:val="center"/>
          </w:tcPr>
          <w:p w14:paraId="75C21F91">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0.000614</w:t>
            </w:r>
          </w:p>
        </w:tc>
      </w:tr>
    </w:tbl>
    <w:p w14:paraId="4282F336">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5.2.1.</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eastAsia="zh-CN"/>
        </w:rPr>
        <w:t>非正常工况大气环境影响分析</w:t>
      </w:r>
    </w:p>
    <w:p w14:paraId="1FF6EEAB">
      <w:pPr>
        <w:pStyle w:val="32"/>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本项目的非正常工况可能发生以下</w:t>
      </w:r>
      <w:r>
        <w:rPr>
          <w:rFonts w:hint="eastAsia" w:cs="Times New Roman"/>
          <w:color w:val="auto"/>
          <w:sz w:val="24"/>
          <w:highlight w:val="none"/>
          <w:lang w:val="en-US" w:eastAsia="zh-CN"/>
        </w:rPr>
        <w:t>三</w:t>
      </w:r>
      <w:r>
        <w:rPr>
          <w:rFonts w:hint="default" w:ascii="Times New Roman" w:hAnsi="Times New Roman" w:cs="Times New Roman"/>
          <w:color w:val="auto"/>
          <w:sz w:val="24"/>
          <w:highlight w:val="none"/>
        </w:rPr>
        <w:t>种情况：</w:t>
      </w:r>
    </w:p>
    <w:p w14:paraId="0B5B3947">
      <w:pPr>
        <w:pStyle w:val="32"/>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w:t>
      </w:r>
      <w:r>
        <w:rPr>
          <w:rFonts w:hint="eastAsia" w:cs="Times New Roman"/>
          <w:color w:val="auto"/>
          <w:sz w:val="24"/>
          <w:highlight w:val="none"/>
          <w:lang w:val="en-US" w:eastAsia="zh-CN"/>
        </w:rPr>
        <w:t>选矿厂</w:t>
      </w:r>
      <w:r>
        <w:rPr>
          <w:rFonts w:hint="default" w:ascii="Times New Roman" w:hAnsi="Times New Roman" w:cs="Times New Roman"/>
          <w:color w:val="auto"/>
          <w:sz w:val="24"/>
          <w:highlight w:val="none"/>
        </w:rPr>
        <w:t>集尘除尘系统不能正常工作的情况下，此时粉尘未经处理无组织扩散；</w:t>
      </w:r>
    </w:p>
    <w:p w14:paraId="60C766ED">
      <w:pPr>
        <w:pStyle w:val="32"/>
        <w:overflowPunct w:val="0"/>
        <w:topLinePunct/>
        <w:spacing w:after="0"/>
        <w:ind w:left="0" w:leftChars="0" w:firstLine="480"/>
        <w:rPr>
          <w:rFonts w:hint="default" w:ascii="Times New Roman" w:hAnsi="Times New Roman" w:cs="Times New Roman"/>
          <w:color w:val="auto"/>
          <w:sz w:val="24"/>
          <w:highlight w:val="none"/>
        </w:rPr>
      </w:pPr>
      <w:r>
        <w:rPr>
          <w:rFonts w:hint="eastAsia" w:cs="Times New Roman"/>
          <w:color w:val="auto"/>
          <w:sz w:val="24"/>
          <w:highlight w:val="none"/>
          <w:lang w:val="en-US" w:eastAsia="zh-CN"/>
        </w:rPr>
        <w:t>②燃煤锅炉废气处理系统</w:t>
      </w:r>
      <w:r>
        <w:rPr>
          <w:rFonts w:hint="default" w:ascii="Times New Roman" w:hAnsi="Times New Roman" w:cs="Times New Roman"/>
          <w:color w:val="auto"/>
          <w:sz w:val="24"/>
          <w:highlight w:val="none"/>
        </w:rPr>
        <w:t>不能正常工作的情况下，</w:t>
      </w:r>
      <w:r>
        <w:rPr>
          <w:rFonts w:hint="eastAsia" w:cs="Times New Roman"/>
          <w:color w:val="auto"/>
          <w:sz w:val="24"/>
          <w:highlight w:val="none"/>
          <w:lang w:val="en-US" w:eastAsia="zh-CN"/>
        </w:rPr>
        <w:t>废气</w:t>
      </w:r>
      <w:r>
        <w:rPr>
          <w:rFonts w:hint="eastAsia" w:cs="Times New Roman"/>
          <w:color w:val="auto"/>
          <w:spacing w:val="0"/>
          <w:sz w:val="24"/>
          <w:highlight w:val="none"/>
          <w:lang w:val="en-US" w:eastAsia="zh-CN"/>
        </w:rPr>
        <w:t>未经处理通过排气筒排放</w:t>
      </w:r>
      <w:r>
        <w:rPr>
          <w:rFonts w:hint="default" w:ascii="Times New Roman" w:hAnsi="Times New Roman" w:cs="Times New Roman"/>
          <w:color w:val="auto"/>
          <w:sz w:val="24"/>
          <w:highlight w:val="none"/>
        </w:rPr>
        <w:t>；</w:t>
      </w:r>
    </w:p>
    <w:p w14:paraId="0186C1A1">
      <w:pPr>
        <w:pStyle w:val="32"/>
        <w:overflowPunct w:val="0"/>
        <w:topLinePunct/>
        <w:spacing w:after="0"/>
        <w:ind w:left="0" w:leftChars="0" w:firstLine="480"/>
        <w:rPr>
          <w:rFonts w:hint="default" w:ascii="Times New Roman" w:hAnsi="Times New Roman" w:cs="Times New Roman"/>
          <w:color w:val="auto"/>
          <w:sz w:val="24"/>
          <w:highlight w:val="none"/>
        </w:rPr>
      </w:pPr>
      <w:r>
        <w:rPr>
          <w:rFonts w:hint="eastAsia" w:cs="Times New Roman"/>
          <w:color w:val="auto"/>
          <w:sz w:val="24"/>
          <w:highlight w:val="none"/>
          <w:lang w:val="en-US" w:eastAsia="zh-CN"/>
        </w:rPr>
        <w:t>③</w:t>
      </w:r>
      <w:r>
        <w:rPr>
          <w:rFonts w:hint="default" w:ascii="Times New Roman" w:hAnsi="Times New Roman" w:cs="Times New Roman"/>
          <w:color w:val="auto"/>
          <w:sz w:val="24"/>
          <w:highlight w:val="none"/>
        </w:rPr>
        <w:t>选矿废水处置设施发生故障。</w:t>
      </w:r>
    </w:p>
    <w:p w14:paraId="6EE0FA4A">
      <w:pPr>
        <w:pStyle w:val="32"/>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选矿废水主要污染物为pH、COD、SS</w:t>
      </w:r>
      <w:r>
        <w:rPr>
          <w:rFonts w:hint="eastAsia" w:cs="Times New Roman"/>
          <w:color w:val="auto"/>
          <w:sz w:val="24"/>
          <w:highlight w:val="none"/>
          <w:lang w:eastAsia="zh-CN"/>
        </w:rPr>
        <w:t>、</w:t>
      </w:r>
      <w:r>
        <w:rPr>
          <w:rFonts w:hint="eastAsia" w:cs="Times New Roman"/>
          <w:color w:val="auto"/>
          <w:sz w:val="24"/>
          <w:highlight w:val="none"/>
          <w:lang w:val="en-US" w:eastAsia="zh-CN"/>
        </w:rPr>
        <w:t>氟化物</w:t>
      </w:r>
      <w:r>
        <w:rPr>
          <w:rFonts w:hint="default" w:ascii="Times New Roman" w:hAnsi="Times New Roman" w:cs="Times New Roman"/>
          <w:color w:val="auto"/>
          <w:sz w:val="24"/>
          <w:highlight w:val="none"/>
        </w:rPr>
        <w:t>及少量</w:t>
      </w:r>
      <w:r>
        <w:rPr>
          <w:rFonts w:hint="eastAsia" w:cs="Times New Roman"/>
          <w:color w:val="auto"/>
          <w:sz w:val="24"/>
          <w:highlight w:val="none"/>
          <w:lang w:val="en-US" w:eastAsia="zh-CN"/>
        </w:rPr>
        <w:t>非</w:t>
      </w:r>
      <w:r>
        <w:rPr>
          <w:rFonts w:hint="default" w:ascii="Times New Roman" w:hAnsi="Times New Roman" w:cs="Times New Roman"/>
          <w:color w:val="auto"/>
          <w:sz w:val="24"/>
          <w:highlight w:val="none"/>
        </w:rPr>
        <w:t>金属等，并且</w:t>
      </w:r>
      <w:r>
        <w:rPr>
          <w:rFonts w:hint="default" w:ascii="Times New Roman" w:hAnsi="Times New Roman" w:cs="Times New Roman"/>
          <w:color w:val="auto"/>
          <w:kern w:val="0"/>
          <w:sz w:val="24"/>
          <w:highlight w:val="none"/>
        </w:rPr>
        <w:t>非正常工况下选矿水溢出时立即停止生产，溢出水排入车间排水沟，最终由车间回水泵排入选矿车间外的回水池，保证不外排</w:t>
      </w:r>
      <w:r>
        <w:rPr>
          <w:rFonts w:hint="default" w:ascii="Times New Roman" w:hAnsi="Times New Roman" w:cs="Times New Roman"/>
          <w:color w:val="auto"/>
          <w:sz w:val="24"/>
          <w:highlight w:val="none"/>
        </w:rPr>
        <w:t>。因此，</w:t>
      </w:r>
      <w:r>
        <w:rPr>
          <w:rFonts w:hint="default" w:ascii="Times New Roman" w:hAnsi="Times New Roman" w:cs="Times New Roman"/>
          <w:color w:val="auto"/>
          <w:kern w:val="0"/>
          <w:sz w:val="24"/>
          <w:highlight w:val="none"/>
        </w:rPr>
        <w:t>非正常工况下选矿废水溢出概率较小。</w:t>
      </w:r>
    </w:p>
    <w:p w14:paraId="0C87AF0E">
      <w:pPr>
        <w:pStyle w:val="32"/>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rPr>
        <w:t>本项目假定非正常工况下为排放量较大的除尘系统发生故障，且发生故障时未及时停车检修。非正常工段粉尘排放统计见表5.2-9。</w:t>
      </w:r>
    </w:p>
    <w:p w14:paraId="2C15816E">
      <w:pPr>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br w:type="page"/>
      </w:r>
    </w:p>
    <w:p w14:paraId="235E709D">
      <w:pPr>
        <w:ind w:firstLine="0" w:firstLineChars="0"/>
        <w:jc w:val="center"/>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表5.2-9    非正常生产排放下大气污染物排放核算表</w:t>
      </w:r>
    </w:p>
    <w:tbl>
      <w:tblPr>
        <w:tblStyle w:val="33"/>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469"/>
        <w:gridCol w:w="779"/>
        <w:gridCol w:w="2"/>
        <w:gridCol w:w="1247"/>
        <w:gridCol w:w="1247"/>
        <w:gridCol w:w="1249"/>
        <w:gridCol w:w="1252"/>
        <w:gridCol w:w="1064"/>
        <w:gridCol w:w="1022"/>
      </w:tblGrid>
      <w:tr w14:paraId="3AF7A4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5" w:hRule="atLeast"/>
          <w:tblHeader/>
          <w:jc w:val="center"/>
        </w:trPr>
        <w:tc>
          <w:tcPr>
            <w:tcW w:w="749" w:type="pct"/>
            <w:gridSpan w:val="2"/>
            <w:vAlign w:val="center"/>
          </w:tcPr>
          <w:p w14:paraId="31719EA7">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排放源</w:t>
            </w:r>
          </w:p>
        </w:tc>
        <w:tc>
          <w:tcPr>
            <w:tcW w:w="749" w:type="pct"/>
            <w:gridSpan w:val="2"/>
            <w:vAlign w:val="center"/>
          </w:tcPr>
          <w:p w14:paraId="559CF55F">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污染物名称</w:t>
            </w:r>
          </w:p>
        </w:tc>
        <w:tc>
          <w:tcPr>
            <w:tcW w:w="748" w:type="pct"/>
            <w:vAlign w:val="center"/>
          </w:tcPr>
          <w:p w14:paraId="3E7DE2F4">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除尘器处理效率</w:t>
            </w:r>
          </w:p>
        </w:tc>
        <w:tc>
          <w:tcPr>
            <w:tcW w:w="749" w:type="pct"/>
            <w:vAlign w:val="center"/>
          </w:tcPr>
          <w:p w14:paraId="7C900882">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排放浓度</w:t>
            </w:r>
            <w:r>
              <w:rPr>
                <w:rFonts w:hint="eastAsia"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mg/m³</w:t>
            </w:r>
            <w:r>
              <w:rPr>
                <w:rFonts w:hint="eastAsia" w:cs="Times New Roman"/>
                <w:b/>
                <w:bCs/>
                <w:color w:val="auto"/>
                <w:sz w:val="21"/>
                <w:szCs w:val="21"/>
                <w:highlight w:val="none"/>
                <w:lang w:eastAsia="zh-CN"/>
              </w:rPr>
              <w:t>）</w:t>
            </w:r>
          </w:p>
        </w:tc>
        <w:tc>
          <w:tcPr>
            <w:tcW w:w="751" w:type="pct"/>
            <w:vAlign w:val="center"/>
          </w:tcPr>
          <w:p w14:paraId="162250A5">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排放速率</w:t>
            </w:r>
            <w:r>
              <w:rPr>
                <w:rFonts w:hint="eastAsia"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kg/h</w:t>
            </w:r>
            <w:r>
              <w:rPr>
                <w:rFonts w:hint="eastAsia" w:cs="Times New Roman"/>
                <w:b/>
                <w:bCs/>
                <w:color w:val="auto"/>
                <w:sz w:val="21"/>
                <w:szCs w:val="21"/>
                <w:highlight w:val="none"/>
                <w:lang w:eastAsia="zh-CN"/>
              </w:rPr>
              <w:t>）</w:t>
            </w:r>
          </w:p>
        </w:tc>
        <w:tc>
          <w:tcPr>
            <w:tcW w:w="638" w:type="pct"/>
            <w:vAlign w:val="center"/>
          </w:tcPr>
          <w:p w14:paraId="7F73431D">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持续时间</w:t>
            </w:r>
          </w:p>
          <w:p w14:paraId="47964DA7">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right="0" w:firstLine="0" w:firstLineChars="0"/>
              <w:jc w:val="center"/>
              <w:textAlignment w:val="auto"/>
              <w:rPr>
                <w:rFonts w:hint="default" w:ascii="Times New Roman" w:hAnsi="Times New Roman" w:cs="Times New Roman"/>
                <w:b/>
                <w:bCs/>
                <w:color w:val="auto"/>
                <w:sz w:val="21"/>
                <w:szCs w:val="21"/>
                <w:highlight w:val="none"/>
              </w:rPr>
            </w:pPr>
            <w:r>
              <w:rPr>
                <w:rFonts w:hint="eastAsia"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lang w:val="en-US" w:eastAsia="zh-CN"/>
              </w:rPr>
              <w:t>min</w:t>
            </w:r>
            <w:r>
              <w:rPr>
                <w:rFonts w:hint="eastAsia" w:cs="Times New Roman"/>
                <w:b/>
                <w:bCs/>
                <w:color w:val="auto"/>
                <w:sz w:val="21"/>
                <w:szCs w:val="21"/>
                <w:highlight w:val="none"/>
                <w:lang w:val="en-US" w:eastAsia="zh-CN"/>
              </w:rPr>
              <w:t>）</w:t>
            </w:r>
          </w:p>
        </w:tc>
        <w:tc>
          <w:tcPr>
            <w:tcW w:w="613" w:type="pct"/>
            <w:vAlign w:val="center"/>
          </w:tcPr>
          <w:p w14:paraId="0968CC4A">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年发生频次（次）</w:t>
            </w:r>
          </w:p>
        </w:tc>
      </w:tr>
      <w:tr w14:paraId="35DF44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52" w:hRule="atLeast"/>
          <w:jc w:val="center"/>
        </w:trPr>
        <w:tc>
          <w:tcPr>
            <w:tcW w:w="282" w:type="pct"/>
            <w:vMerge w:val="restart"/>
            <w:vAlign w:val="center"/>
          </w:tcPr>
          <w:p w14:paraId="3CD56E0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有组织</w:t>
            </w:r>
          </w:p>
        </w:tc>
        <w:tc>
          <w:tcPr>
            <w:tcW w:w="468" w:type="pct"/>
            <w:gridSpan w:val="2"/>
            <w:vMerge w:val="restart"/>
            <w:vAlign w:val="center"/>
          </w:tcPr>
          <w:p w14:paraId="478EB96B">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袋式除尘器排气筒</w:t>
            </w:r>
            <w:r>
              <w:rPr>
                <w:rFonts w:hint="eastAsia" w:cs="Times New Roman"/>
                <w:color w:val="auto"/>
                <w:sz w:val="21"/>
                <w:szCs w:val="21"/>
                <w:highlight w:val="none"/>
                <w:lang w:val="en-US" w:eastAsia="zh-CN"/>
              </w:rPr>
              <w:t>DA001</w:t>
            </w:r>
          </w:p>
        </w:tc>
        <w:tc>
          <w:tcPr>
            <w:tcW w:w="748" w:type="pct"/>
            <w:vAlign w:val="center"/>
          </w:tcPr>
          <w:p w14:paraId="6E03EFF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粉尘</w:t>
            </w:r>
          </w:p>
        </w:tc>
        <w:tc>
          <w:tcPr>
            <w:tcW w:w="748" w:type="pct"/>
            <w:vAlign w:val="center"/>
          </w:tcPr>
          <w:p w14:paraId="4747C8B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749" w:type="pct"/>
            <w:vAlign w:val="center"/>
          </w:tcPr>
          <w:p w14:paraId="736A9302">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369.46</w:t>
            </w:r>
          </w:p>
        </w:tc>
        <w:tc>
          <w:tcPr>
            <w:tcW w:w="751" w:type="pct"/>
            <w:vAlign w:val="center"/>
          </w:tcPr>
          <w:p w14:paraId="384E4BAF">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w:t>
            </w:r>
          </w:p>
        </w:tc>
        <w:tc>
          <w:tcPr>
            <w:tcW w:w="638" w:type="pct"/>
            <w:vMerge w:val="restart"/>
            <w:vAlign w:val="center"/>
          </w:tcPr>
          <w:p w14:paraId="1BA4B184">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60</w:t>
            </w:r>
          </w:p>
        </w:tc>
        <w:tc>
          <w:tcPr>
            <w:tcW w:w="613" w:type="pct"/>
            <w:vMerge w:val="restart"/>
            <w:vAlign w:val="center"/>
          </w:tcPr>
          <w:p w14:paraId="3DEFBDF9">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pacing w:val="1"/>
                <w:sz w:val="21"/>
                <w:szCs w:val="21"/>
                <w:highlight w:val="none"/>
                <w:lang w:val="en-US" w:eastAsia="zh-CN"/>
              </w:rPr>
              <w:t>1</w:t>
            </w:r>
          </w:p>
        </w:tc>
      </w:tr>
      <w:tr w14:paraId="154017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52" w:hRule="atLeast"/>
          <w:jc w:val="center"/>
        </w:trPr>
        <w:tc>
          <w:tcPr>
            <w:tcW w:w="282" w:type="pct"/>
            <w:vMerge w:val="continue"/>
            <w:vAlign w:val="center"/>
          </w:tcPr>
          <w:p w14:paraId="21F43755">
            <w:pPr>
              <w:spacing w:line="360" w:lineRule="exact"/>
              <w:ind w:firstLine="0" w:firstLineChars="0"/>
              <w:jc w:val="center"/>
              <w:rPr>
                <w:rFonts w:hint="default" w:ascii="Times New Roman" w:hAnsi="Times New Roman" w:cs="Times New Roman"/>
                <w:color w:val="auto"/>
                <w:sz w:val="21"/>
                <w:szCs w:val="21"/>
                <w:highlight w:val="none"/>
              </w:rPr>
            </w:pPr>
          </w:p>
        </w:tc>
        <w:tc>
          <w:tcPr>
            <w:tcW w:w="468" w:type="pct"/>
            <w:gridSpan w:val="2"/>
            <w:vMerge w:val="continue"/>
            <w:vAlign w:val="center"/>
          </w:tcPr>
          <w:p w14:paraId="191E78B1">
            <w:pPr>
              <w:spacing w:line="360" w:lineRule="exact"/>
              <w:ind w:firstLine="0" w:firstLineChars="0"/>
              <w:jc w:val="center"/>
              <w:rPr>
                <w:rFonts w:hint="default" w:ascii="Times New Roman" w:hAnsi="Times New Roman" w:cs="Times New Roman"/>
                <w:color w:val="auto"/>
                <w:sz w:val="21"/>
                <w:szCs w:val="21"/>
                <w:highlight w:val="none"/>
              </w:rPr>
            </w:pPr>
          </w:p>
        </w:tc>
        <w:tc>
          <w:tcPr>
            <w:tcW w:w="748" w:type="pct"/>
            <w:vAlign w:val="center"/>
          </w:tcPr>
          <w:p w14:paraId="5B7F4C86">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氟化物</w:t>
            </w:r>
          </w:p>
        </w:tc>
        <w:tc>
          <w:tcPr>
            <w:tcW w:w="748" w:type="pct"/>
            <w:vAlign w:val="center"/>
          </w:tcPr>
          <w:p w14:paraId="239ED66A">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749" w:type="pct"/>
            <w:vAlign w:val="center"/>
          </w:tcPr>
          <w:p w14:paraId="6646D6A6">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9.51</w:t>
            </w:r>
          </w:p>
        </w:tc>
        <w:tc>
          <w:tcPr>
            <w:tcW w:w="751" w:type="pct"/>
            <w:vAlign w:val="center"/>
          </w:tcPr>
          <w:p w14:paraId="7FE5F66C">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0.193</w:t>
            </w:r>
          </w:p>
        </w:tc>
        <w:tc>
          <w:tcPr>
            <w:tcW w:w="638" w:type="pct"/>
            <w:vMerge w:val="continue"/>
            <w:vAlign w:val="center"/>
          </w:tcPr>
          <w:p w14:paraId="5F4B0CF2">
            <w:pPr>
              <w:spacing w:line="360" w:lineRule="exact"/>
              <w:ind w:firstLine="0" w:firstLineChars="0"/>
              <w:jc w:val="center"/>
              <w:rPr>
                <w:rFonts w:hint="default" w:ascii="Times New Roman" w:hAnsi="Times New Roman" w:cs="Times New Roman"/>
                <w:color w:val="auto"/>
                <w:sz w:val="21"/>
                <w:szCs w:val="21"/>
                <w:highlight w:val="none"/>
                <w:lang w:val="en-US" w:eastAsia="zh-CN"/>
              </w:rPr>
            </w:pPr>
          </w:p>
        </w:tc>
        <w:tc>
          <w:tcPr>
            <w:tcW w:w="613" w:type="pct"/>
            <w:vMerge w:val="continue"/>
            <w:vAlign w:val="center"/>
          </w:tcPr>
          <w:p w14:paraId="50CB1339">
            <w:pPr>
              <w:spacing w:line="360" w:lineRule="exact"/>
              <w:ind w:firstLine="0" w:firstLineChars="0"/>
              <w:jc w:val="center"/>
              <w:rPr>
                <w:rFonts w:hint="default" w:ascii="Times New Roman" w:hAnsi="Times New Roman" w:cs="Times New Roman"/>
                <w:color w:val="auto"/>
                <w:sz w:val="21"/>
                <w:szCs w:val="21"/>
                <w:highlight w:val="none"/>
                <w:lang w:val="en-US" w:eastAsia="zh-CN"/>
              </w:rPr>
            </w:pPr>
          </w:p>
        </w:tc>
      </w:tr>
      <w:tr w14:paraId="7700FE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52" w:hRule="atLeast"/>
          <w:jc w:val="center"/>
        </w:trPr>
        <w:tc>
          <w:tcPr>
            <w:tcW w:w="282" w:type="pct"/>
            <w:vMerge w:val="continue"/>
            <w:vAlign w:val="center"/>
          </w:tcPr>
          <w:p w14:paraId="2268852A">
            <w:pPr>
              <w:spacing w:line="360" w:lineRule="exact"/>
              <w:ind w:firstLine="0" w:firstLineChars="0"/>
              <w:jc w:val="center"/>
              <w:rPr>
                <w:rFonts w:hint="default" w:ascii="Times New Roman" w:hAnsi="Times New Roman" w:cs="Times New Roman"/>
                <w:color w:val="auto"/>
                <w:sz w:val="21"/>
                <w:szCs w:val="21"/>
                <w:highlight w:val="none"/>
              </w:rPr>
            </w:pPr>
          </w:p>
        </w:tc>
        <w:tc>
          <w:tcPr>
            <w:tcW w:w="468" w:type="pct"/>
            <w:gridSpan w:val="2"/>
            <w:vMerge w:val="restart"/>
            <w:vAlign w:val="center"/>
          </w:tcPr>
          <w:p w14:paraId="18EC66AE">
            <w:pPr>
              <w:spacing w:line="360" w:lineRule="exact"/>
              <w:ind w:firstLine="0" w:firstLineChars="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rPr>
              <w:t>袋式除尘器排气筒</w:t>
            </w:r>
            <w:r>
              <w:rPr>
                <w:rFonts w:hint="eastAsia" w:cs="Times New Roman"/>
                <w:color w:val="auto"/>
                <w:sz w:val="21"/>
                <w:szCs w:val="21"/>
                <w:highlight w:val="none"/>
                <w:lang w:val="en-US" w:eastAsia="zh-CN"/>
              </w:rPr>
              <w:t>DA002</w:t>
            </w:r>
          </w:p>
        </w:tc>
        <w:tc>
          <w:tcPr>
            <w:tcW w:w="748" w:type="pct"/>
            <w:vAlign w:val="center"/>
          </w:tcPr>
          <w:p w14:paraId="7B48A9A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粉尘</w:t>
            </w:r>
          </w:p>
        </w:tc>
        <w:tc>
          <w:tcPr>
            <w:tcW w:w="748" w:type="pct"/>
            <w:vAlign w:val="center"/>
          </w:tcPr>
          <w:p w14:paraId="0F3E1EF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749" w:type="pct"/>
            <w:vAlign w:val="center"/>
          </w:tcPr>
          <w:p w14:paraId="3C0692AD">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369.46</w:t>
            </w:r>
          </w:p>
        </w:tc>
        <w:tc>
          <w:tcPr>
            <w:tcW w:w="751" w:type="pct"/>
            <w:vAlign w:val="center"/>
          </w:tcPr>
          <w:p w14:paraId="60C6CA4C">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w:t>
            </w:r>
          </w:p>
        </w:tc>
        <w:tc>
          <w:tcPr>
            <w:tcW w:w="638" w:type="pct"/>
            <w:vMerge w:val="continue"/>
            <w:vAlign w:val="center"/>
          </w:tcPr>
          <w:p w14:paraId="4CEE0264">
            <w:pPr>
              <w:spacing w:line="360" w:lineRule="exact"/>
              <w:ind w:firstLine="0" w:firstLineChars="0"/>
              <w:jc w:val="center"/>
              <w:rPr>
                <w:rFonts w:hint="default" w:ascii="Times New Roman" w:hAnsi="Times New Roman" w:cs="Times New Roman"/>
                <w:color w:val="auto"/>
                <w:sz w:val="21"/>
                <w:szCs w:val="21"/>
                <w:highlight w:val="none"/>
                <w:lang w:val="en-US" w:eastAsia="zh-CN"/>
              </w:rPr>
            </w:pPr>
          </w:p>
        </w:tc>
        <w:tc>
          <w:tcPr>
            <w:tcW w:w="613" w:type="pct"/>
            <w:vMerge w:val="continue"/>
            <w:vAlign w:val="center"/>
          </w:tcPr>
          <w:p w14:paraId="37257AB5">
            <w:pPr>
              <w:spacing w:line="360" w:lineRule="exact"/>
              <w:ind w:firstLine="0" w:firstLineChars="0"/>
              <w:jc w:val="center"/>
              <w:rPr>
                <w:rFonts w:hint="default" w:ascii="Times New Roman" w:hAnsi="Times New Roman" w:cs="Times New Roman"/>
                <w:color w:val="auto"/>
                <w:sz w:val="21"/>
                <w:szCs w:val="21"/>
                <w:highlight w:val="none"/>
                <w:lang w:val="en-US" w:eastAsia="zh-CN"/>
              </w:rPr>
            </w:pPr>
          </w:p>
        </w:tc>
      </w:tr>
      <w:tr w14:paraId="2466EC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52" w:hRule="atLeast"/>
          <w:jc w:val="center"/>
        </w:trPr>
        <w:tc>
          <w:tcPr>
            <w:tcW w:w="282" w:type="pct"/>
            <w:vMerge w:val="continue"/>
            <w:vAlign w:val="center"/>
          </w:tcPr>
          <w:p w14:paraId="730703E1">
            <w:pPr>
              <w:spacing w:line="360" w:lineRule="exact"/>
              <w:ind w:firstLine="0" w:firstLineChars="0"/>
              <w:jc w:val="center"/>
              <w:rPr>
                <w:rFonts w:hint="default" w:ascii="Times New Roman" w:hAnsi="Times New Roman" w:cs="Times New Roman"/>
                <w:color w:val="auto"/>
                <w:sz w:val="21"/>
                <w:szCs w:val="21"/>
                <w:highlight w:val="none"/>
              </w:rPr>
            </w:pPr>
          </w:p>
        </w:tc>
        <w:tc>
          <w:tcPr>
            <w:tcW w:w="468" w:type="pct"/>
            <w:gridSpan w:val="2"/>
            <w:vMerge w:val="continue"/>
            <w:vAlign w:val="center"/>
          </w:tcPr>
          <w:p w14:paraId="44FAD743">
            <w:pPr>
              <w:spacing w:line="360" w:lineRule="exact"/>
              <w:ind w:firstLine="0" w:firstLineChars="0"/>
              <w:jc w:val="center"/>
              <w:rPr>
                <w:rFonts w:hint="default" w:ascii="Times New Roman" w:hAnsi="Times New Roman" w:cs="Times New Roman"/>
                <w:color w:val="auto"/>
                <w:sz w:val="21"/>
                <w:szCs w:val="21"/>
                <w:highlight w:val="none"/>
              </w:rPr>
            </w:pPr>
          </w:p>
        </w:tc>
        <w:tc>
          <w:tcPr>
            <w:tcW w:w="748" w:type="pct"/>
            <w:vAlign w:val="center"/>
          </w:tcPr>
          <w:p w14:paraId="63120C0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氟化物</w:t>
            </w:r>
          </w:p>
        </w:tc>
        <w:tc>
          <w:tcPr>
            <w:tcW w:w="748" w:type="pct"/>
            <w:vAlign w:val="center"/>
          </w:tcPr>
          <w:p w14:paraId="4FA9D6BF">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749" w:type="pct"/>
            <w:vAlign w:val="center"/>
          </w:tcPr>
          <w:p w14:paraId="6C6AB0C6">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9.51</w:t>
            </w:r>
          </w:p>
        </w:tc>
        <w:tc>
          <w:tcPr>
            <w:tcW w:w="751" w:type="pct"/>
            <w:vAlign w:val="center"/>
          </w:tcPr>
          <w:p w14:paraId="1DE69495">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0.193</w:t>
            </w:r>
          </w:p>
        </w:tc>
        <w:tc>
          <w:tcPr>
            <w:tcW w:w="638" w:type="pct"/>
            <w:vMerge w:val="continue"/>
            <w:vAlign w:val="center"/>
          </w:tcPr>
          <w:p w14:paraId="1F89A43F">
            <w:pPr>
              <w:spacing w:line="360" w:lineRule="exact"/>
              <w:ind w:firstLine="0" w:firstLineChars="0"/>
              <w:jc w:val="center"/>
              <w:rPr>
                <w:rFonts w:hint="default" w:ascii="Times New Roman" w:hAnsi="Times New Roman" w:cs="Times New Roman"/>
                <w:color w:val="auto"/>
                <w:sz w:val="21"/>
                <w:szCs w:val="21"/>
                <w:highlight w:val="none"/>
                <w:lang w:val="en-US" w:eastAsia="zh-CN"/>
              </w:rPr>
            </w:pPr>
          </w:p>
        </w:tc>
        <w:tc>
          <w:tcPr>
            <w:tcW w:w="613" w:type="pct"/>
            <w:vMerge w:val="continue"/>
            <w:vAlign w:val="center"/>
          </w:tcPr>
          <w:p w14:paraId="50197059">
            <w:pPr>
              <w:spacing w:line="360" w:lineRule="exact"/>
              <w:ind w:firstLine="0" w:firstLineChars="0"/>
              <w:jc w:val="center"/>
              <w:rPr>
                <w:rFonts w:hint="default" w:ascii="Times New Roman" w:hAnsi="Times New Roman" w:cs="Times New Roman"/>
                <w:color w:val="auto"/>
                <w:sz w:val="21"/>
                <w:szCs w:val="21"/>
                <w:highlight w:val="none"/>
                <w:lang w:val="en-US" w:eastAsia="zh-CN"/>
              </w:rPr>
            </w:pPr>
          </w:p>
        </w:tc>
      </w:tr>
      <w:tr w14:paraId="0F3045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52" w:hRule="atLeast"/>
          <w:jc w:val="center"/>
        </w:trPr>
        <w:tc>
          <w:tcPr>
            <w:tcW w:w="282" w:type="pct"/>
            <w:vMerge w:val="continue"/>
            <w:vAlign w:val="center"/>
          </w:tcPr>
          <w:p w14:paraId="1AF76C4F">
            <w:pPr>
              <w:spacing w:line="360" w:lineRule="exact"/>
              <w:ind w:firstLine="0" w:firstLineChars="0"/>
              <w:jc w:val="center"/>
              <w:rPr>
                <w:rFonts w:hint="default" w:ascii="Times New Roman" w:hAnsi="Times New Roman" w:cs="Times New Roman"/>
                <w:color w:val="auto"/>
                <w:sz w:val="21"/>
                <w:szCs w:val="21"/>
                <w:highlight w:val="none"/>
              </w:rPr>
            </w:pPr>
          </w:p>
        </w:tc>
        <w:tc>
          <w:tcPr>
            <w:tcW w:w="468" w:type="pct"/>
            <w:gridSpan w:val="2"/>
            <w:vMerge w:val="restart"/>
            <w:vAlign w:val="center"/>
          </w:tcPr>
          <w:p w14:paraId="28290941">
            <w:pPr>
              <w:spacing w:line="360" w:lineRule="exact"/>
              <w:ind w:firstLine="0" w:firstLineChars="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燃煤锅炉</w:t>
            </w:r>
            <w:r>
              <w:rPr>
                <w:rFonts w:hint="eastAsia" w:cs="Times New Roman"/>
                <w:color w:val="auto"/>
                <w:sz w:val="21"/>
                <w:szCs w:val="21"/>
                <w:highlight w:val="none"/>
                <w:lang w:val="en-US" w:eastAsia="zh-CN"/>
              </w:rPr>
              <w:t>排气筒DA003</w:t>
            </w:r>
          </w:p>
        </w:tc>
        <w:tc>
          <w:tcPr>
            <w:tcW w:w="748" w:type="pct"/>
            <w:vAlign w:val="center"/>
          </w:tcPr>
          <w:p w14:paraId="7CB74BA9">
            <w:pPr>
              <w:spacing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pacing w:val="0"/>
                <w:kern w:val="2"/>
                <w:sz w:val="21"/>
                <w:szCs w:val="21"/>
                <w:highlight w:val="none"/>
                <w:vertAlign w:val="baseline"/>
                <w:lang w:val="en-US" w:eastAsia="zh-CN" w:bidi="ar-SA"/>
              </w:rPr>
              <w:t>颗粒物</w:t>
            </w:r>
          </w:p>
        </w:tc>
        <w:tc>
          <w:tcPr>
            <w:tcW w:w="748" w:type="pct"/>
            <w:vAlign w:val="center"/>
          </w:tcPr>
          <w:p w14:paraId="53B6265C">
            <w:pPr>
              <w:spacing w:line="36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749" w:type="pct"/>
            <w:shd w:val="clear" w:color="auto" w:fill="auto"/>
            <w:vAlign w:val="center"/>
          </w:tcPr>
          <w:p w14:paraId="0ABFA047">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vertAlign w:val="baseline"/>
                <w:lang w:val="en-US" w:eastAsia="zh-CN" w:bidi="ar-SA"/>
              </w:rPr>
            </w:pPr>
            <w:r>
              <w:rPr>
                <w:rFonts w:hint="default" w:ascii="Times New Roman" w:hAnsi="Times New Roman" w:eastAsia="宋体" w:cs="Times New Roman"/>
                <w:b w:val="0"/>
                <w:bCs w:val="0"/>
                <w:color w:val="auto"/>
                <w:spacing w:val="0"/>
                <w:kern w:val="2"/>
                <w:sz w:val="21"/>
                <w:szCs w:val="21"/>
                <w:highlight w:val="none"/>
                <w:vertAlign w:val="baseline"/>
                <w:lang w:val="en-US" w:eastAsia="zh-CN" w:bidi="ar-SA"/>
              </w:rPr>
              <w:t>2423</w:t>
            </w:r>
          </w:p>
        </w:tc>
        <w:tc>
          <w:tcPr>
            <w:tcW w:w="751" w:type="pct"/>
            <w:shd w:val="clear" w:color="auto" w:fill="auto"/>
            <w:vAlign w:val="center"/>
          </w:tcPr>
          <w:p w14:paraId="250922D5">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b w:val="0"/>
                <w:bCs w:val="0"/>
                <w:color w:val="auto"/>
                <w:spacing w:val="0"/>
                <w:kern w:val="2"/>
                <w:sz w:val="21"/>
                <w:szCs w:val="21"/>
                <w:highlight w:val="none"/>
                <w:vertAlign w:val="baseline"/>
                <w:lang w:val="en-US" w:eastAsia="zh-CN" w:bidi="ar-SA"/>
              </w:rPr>
            </w:pPr>
            <w:r>
              <w:rPr>
                <w:rFonts w:hint="default" w:ascii="Times New Roman" w:hAnsi="Times New Roman" w:eastAsia="宋体" w:cs="Times New Roman"/>
                <w:b w:val="0"/>
                <w:bCs w:val="0"/>
                <w:color w:val="auto"/>
                <w:spacing w:val="0"/>
                <w:kern w:val="2"/>
                <w:sz w:val="21"/>
                <w:szCs w:val="21"/>
                <w:highlight w:val="none"/>
                <w:vertAlign w:val="baseline"/>
                <w:lang w:val="en-US" w:eastAsia="zh-CN" w:bidi="ar-SA"/>
              </w:rPr>
              <w:t>37.28</w:t>
            </w:r>
          </w:p>
        </w:tc>
        <w:tc>
          <w:tcPr>
            <w:tcW w:w="638" w:type="pct"/>
            <w:vMerge w:val="restart"/>
            <w:vAlign w:val="center"/>
          </w:tcPr>
          <w:p w14:paraId="71256E0E">
            <w:pPr>
              <w:spacing w:line="36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613" w:type="pct"/>
            <w:vMerge w:val="restart"/>
            <w:vAlign w:val="center"/>
          </w:tcPr>
          <w:p w14:paraId="405C5853">
            <w:pPr>
              <w:spacing w:line="36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r>
      <w:tr w14:paraId="7EA8A2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52" w:hRule="atLeast"/>
          <w:jc w:val="center"/>
        </w:trPr>
        <w:tc>
          <w:tcPr>
            <w:tcW w:w="282" w:type="pct"/>
            <w:vMerge w:val="continue"/>
            <w:vAlign w:val="center"/>
          </w:tcPr>
          <w:p w14:paraId="463F4662">
            <w:pPr>
              <w:spacing w:line="360" w:lineRule="exact"/>
              <w:ind w:firstLine="0" w:firstLineChars="0"/>
              <w:jc w:val="center"/>
              <w:rPr>
                <w:rFonts w:hint="default" w:ascii="Times New Roman" w:hAnsi="Times New Roman" w:cs="Times New Roman"/>
                <w:color w:val="auto"/>
                <w:sz w:val="21"/>
                <w:szCs w:val="21"/>
                <w:highlight w:val="none"/>
              </w:rPr>
            </w:pPr>
          </w:p>
        </w:tc>
        <w:tc>
          <w:tcPr>
            <w:tcW w:w="468" w:type="pct"/>
            <w:gridSpan w:val="2"/>
            <w:vMerge w:val="continue"/>
            <w:vAlign w:val="center"/>
          </w:tcPr>
          <w:p w14:paraId="41A39350">
            <w:pPr>
              <w:spacing w:line="360" w:lineRule="exact"/>
              <w:ind w:firstLine="0" w:firstLineChars="0"/>
              <w:jc w:val="center"/>
              <w:rPr>
                <w:rFonts w:hint="default" w:ascii="Times New Roman" w:hAnsi="Times New Roman" w:cs="Times New Roman"/>
                <w:color w:val="auto"/>
                <w:sz w:val="21"/>
                <w:szCs w:val="21"/>
                <w:highlight w:val="none"/>
              </w:rPr>
            </w:pPr>
          </w:p>
        </w:tc>
        <w:tc>
          <w:tcPr>
            <w:tcW w:w="748" w:type="pct"/>
            <w:vAlign w:val="center"/>
          </w:tcPr>
          <w:p w14:paraId="3DF356C2">
            <w:pPr>
              <w:spacing w:line="36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二氧化硫</w:t>
            </w:r>
          </w:p>
        </w:tc>
        <w:tc>
          <w:tcPr>
            <w:tcW w:w="748" w:type="pct"/>
            <w:vAlign w:val="center"/>
          </w:tcPr>
          <w:p w14:paraId="1BA1BFD6">
            <w:pPr>
              <w:spacing w:line="36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749" w:type="pct"/>
            <w:shd w:val="clear" w:color="auto" w:fill="auto"/>
            <w:vAlign w:val="center"/>
          </w:tcPr>
          <w:p w14:paraId="7C49FBED">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default" w:ascii="Times New Roman" w:hAnsi="Times New Roman" w:eastAsia="宋体" w:cs="Times New Roman"/>
                <w:b w:val="0"/>
                <w:bCs w:val="0"/>
                <w:color w:val="auto"/>
                <w:spacing w:val="0"/>
                <w:kern w:val="2"/>
                <w:sz w:val="21"/>
                <w:szCs w:val="21"/>
                <w:highlight w:val="none"/>
                <w:vertAlign w:val="baseline"/>
                <w:lang w:val="en-US" w:eastAsia="zh-CN" w:bidi="ar-SA"/>
              </w:rPr>
              <w:t>378</w:t>
            </w:r>
          </w:p>
        </w:tc>
        <w:tc>
          <w:tcPr>
            <w:tcW w:w="751" w:type="pct"/>
            <w:shd w:val="clear" w:color="auto" w:fill="auto"/>
            <w:vAlign w:val="center"/>
          </w:tcPr>
          <w:p w14:paraId="2416CB7C">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default" w:ascii="Times New Roman" w:hAnsi="Times New Roman" w:eastAsia="宋体" w:cs="Times New Roman"/>
                <w:b w:val="0"/>
                <w:bCs w:val="0"/>
                <w:color w:val="auto"/>
                <w:spacing w:val="0"/>
                <w:kern w:val="2"/>
                <w:sz w:val="21"/>
                <w:szCs w:val="21"/>
                <w:highlight w:val="none"/>
                <w:vertAlign w:val="baseline"/>
                <w:lang w:val="en-US" w:eastAsia="zh-CN" w:bidi="ar-SA"/>
              </w:rPr>
              <w:t>5.81</w:t>
            </w:r>
          </w:p>
        </w:tc>
        <w:tc>
          <w:tcPr>
            <w:tcW w:w="638" w:type="pct"/>
            <w:vMerge w:val="continue"/>
            <w:vAlign w:val="center"/>
          </w:tcPr>
          <w:p w14:paraId="1C7B0E11">
            <w:pPr>
              <w:spacing w:line="360" w:lineRule="exact"/>
              <w:ind w:firstLine="0" w:firstLineChars="0"/>
              <w:jc w:val="center"/>
              <w:rPr>
                <w:rFonts w:hint="default" w:ascii="Times New Roman" w:hAnsi="Times New Roman" w:cs="Times New Roman"/>
                <w:color w:val="auto"/>
                <w:sz w:val="21"/>
                <w:szCs w:val="21"/>
                <w:highlight w:val="none"/>
                <w:lang w:val="en-US" w:eastAsia="zh-CN"/>
              </w:rPr>
            </w:pPr>
          </w:p>
        </w:tc>
        <w:tc>
          <w:tcPr>
            <w:tcW w:w="613" w:type="pct"/>
            <w:vMerge w:val="continue"/>
            <w:vAlign w:val="center"/>
          </w:tcPr>
          <w:p w14:paraId="4DFDFBF5">
            <w:pPr>
              <w:spacing w:line="360" w:lineRule="exact"/>
              <w:ind w:firstLine="0" w:firstLineChars="0"/>
              <w:jc w:val="center"/>
              <w:rPr>
                <w:rFonts w:hint="default" w:ascii="Times New Roman" w:hAnsi="Times New Roman" w:cs="Times New Roman"/>
                <w:color w:val="auto"/>
                <w:sz w:val="21"/>
                <w:szCs w:val="21"/>
                <w:highlight w:val="none"/>
                <w:lang w:val="en-US" w:eastAsia="zh-CN"/>
              </w:rPr>
            </w:pPr>
          </w:p>
        </w:tc>
      </w:tr>
      <w:tr w14:paraId="049488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52" w:hRule="atLeast"/>
          <w:jc w:val="center"/>
        </w:trPr>
        <w:tc>
          <w:tcPr>
            <w:tcW w:w="282" w:type="pct"/>
            <w:vMerge w:val="continue"/>
            <w:vAlign w:val="center"/>
          </w:tcPr>
          <w:p w14:paraId="63B61743">
            <w:pPr>
              <w:spacing w:line="360" w:lineRule="exact"/>
              <w:ind w:firstLine="0" w:firstLineChars="0"/>
              <w:jc w:val="center"/>
              <w:rPr>
                <w:rFonts w:hint="default" w:ascii="Times New Roman" w:hAnsi="Times New Roman" w:cs="Times New Roman"/>
                <w:color w:val="auto"/>
                <w:sz w:val="21"/>
                <w:szCs w:val="21"/>
                <w:highlight w:val="none"/>
              </w:rPr>
            </w:pPr>
          </w:p>
        </w:tc>
        <w:tc>
          <w:tcPr>
            <w:tcW w:w="468" w:type="pct"/>
            <w:gridSpan w:val="2"/>
            <w:vMerge w:val="continue"/>
            <w:vAlign w:val="center"/>
          </w:tcPr>
          <w:p w14:paraId="6B8EF8B5">
            <w:pPr>
              <w:spacing w:line="360" w:lineRule="exact"/>
              <w:ind w:firstLine="0" w:firstLineChars="0"/>
              <w:jc w:val="center"/>
              <w:rPr>
                <w:rFonts w:hint="default" w:ascii="Times New Roman" w:hAnsi="Times New Roman" w:cs="Times New Roman"/>
                <w:color w:val="auto"/>
                <w:sz w:val="21"/>
                <w:szCs w:val="21"/>
                <w:highlight w:val="none"/>
              </w:rPr>
            </w:pPr>
          </w:p>
        </w:tc>
        <w:tc>
          <w:tcPr>
            <w:tcW w:w="748" w:type="pct"/>
            <w:vAlign w:val="center"/>
          </w:tcPr>
          <w:p w14:paraId="49D0AE58">
            <w:pPr>
              <w:spacing w:line="36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氮氧化物</w:t>
            </w:r>
          </w:p>
        </w:tc>
        <w:tc>
          <w:tcPr>
            <w:tcW w:w="748" w:type="pct"/>
            <w:vAlign w:val="center"/>
          </w:tcPr>
          <w:p w14:paraId="314657D7">
            <w:pPr>
              <w:spacing w:line="36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749" w:type="pct"/>
            <w:shd w:val="clear" w:color="auto" w:fill="auto"/>
            <w:vAlign w:val="center"/>
          </w:tcPr>
          <w:p w14:paraId="6DFA15F4">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default" w:ascii="Times New Roman" w:hAnsi="Times New Roman" w:eastAsia="宋体" w:cs="Times New Roman"/>
                <w:b w:val="0"/>
                <w:bCs w:val="0"/>
                <w:color w:val="auto"/>
                <w:spacing w:val="0"/>
                <w:kern w:val="2"/>
                <w:sz w:val="21"/>
                <w:szCs w:val="21"/>
                <w:highlight w:val="none"/>
                <w:vertAlign w:val="baseline"/>
                <w:lang w:val="en-US" w:eastAsia="zh-CN" w:bidi="ar-SA"/>
              </w:rPr>
              <w:t>287</w:t>
            </w:r>
          </w:p>
        </w:tc>
        <w:tc>
          <w:tcPr>
            <w:tcW w:w="751" w:type="pct"/>
            <w:shd w:val="clear" w:color="auto" w:fill="auto"/>
            <w:vAlign w:val="center"/>
          </w:tcPr>
          <w:p w14:paraId="3A53209C">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default" w:ascii="Times New Roman" w:hAnsi="Times New Roman" w:eastAsia="宋体" w:cs="Times New Roman"/>
                <w:b w:val="0"/>
                <w:bCs w:val="0"/>
                <w:color w:val="auto"/>
                <w:spacing w:val="0"/>
                <w:kern w:val="2"/>
                <w:sz w:val="21"/>
                <w:szCs w:val="21"/>
                <w:highlight w:val="none"/>
                <w:vertAlign w:val="baseline"/>
                <w:lang w:val="en-US" w:eastAsia="zh-CN" w:bidi="ar-SA"/>
              </w:rPr>
              <w:t>4.41</w:t>
            </w:r>
          </w:p>
        </w:tc>
        <w:tc>
          <w:tcPr>
            <w:tcW w:w="638" w:type="pct"/>
            <w:vMerge w:val="continue"/>
            <w:vAlign w:val="center"/>
          </w:tcPr>
          <w:p w14:paraId="20B51A78">
            <w:pPr>
              <w:spacing w:line="360" w:lineRule="exact"/>
              <w:ind w:firstLine="0" w:firstLineChars="0"/>
              <w:jc w:val="center"/>
              <w:rPr>
                <w:rFonts w:hint="default" w:ascii="Times New Roman" w:hAnsi="Times New Roman" w:cs="Times New Roman"/>
                <w:color w:val="auto"/>
                <w:sz w:val="21"/>
                <w:szCs w:val="21"/>
                <w:highlight w:val="none"/>
                <w:lang w:val="en-US" w:eastAsia="zh-CN"/>
              </w:rPr>
            </w:pPr>
          </w:p>
        </w:tc>
        <w:tc>
          <w:tcPr>
            <w:tcW w:w="613" w:type="pct"/>
            <w:vMerge w:val="continue"/>
            <w:vAlign w:val="center"/>
          </w:tcPr>
          <w:p w14:paraId="06EBA00B">
            <w:pPr>
              <w:spacing w:line="360" w:lineRule="exact"/>
              <w:ind w:firstLine="0" w:firstLineChars="0"/>
              <w:jc w:val="center"/>
              <w:rPr>
                <w:rFonts w:hint="default" w:ascii="Times New Roman" w:hAnsi="Times New Roman" w:cs="Times New Roman"/>
                <w:color w:val="auto"/>
                <w:sz w:val="21"/>
                <w:szCs w:val="21"/>
                <w:highlight w:val="none"/>
                <w:lang w:val="en-US" w:eastAsia="zh-CN"/>
              </w:rPr>
            </w:pPr>
          </w:p>
        </w:tc>
      </w:tr>
      <w:tr w14:paraId="14EE76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52" w:hRule="atLeast"/>
          <w:jc w:val="center"/>
        </w:trPr>
        <w:tc>
          <w:tcPr>
            <w:tcW w:w="282" w:type="pct"/>
            <w:vMerge w:val="continue"/>
            <w:vAlign w:val="center"/>
          </w:tcPr>
          <w:p w14:paraId="340D3B1A">
            <w:pPr>
              <w:spacing w:line="360" w:lineRule="exact"/>
              <w:ind w:firstLine="0" w:firstLineChars="0"/>
              <w:jc w:val="center"/>
              <w:rPr>
                <w:rFonts w:hint="default" w:ascii="Times New Roman" w:hAnsi="Times New Roman" w:cs="Times New Roman"/>
                <w:color w:val="auto"/>
                <w:sz w:val="21"/>
                <w:szCs w:val="21"/>
                <w:highlight w:val="none"/>
              </w:rPr>
            </w:pPr>
          </w:p>
        </w:tc>
        <w:tc>
          <w:tcPr>
            <w:tcW w:w="468" w:type="pct"/>
            <w:gridSpan w:val="2"/>
            <w:vMerge w:val="continue"/>
            <w:vAlign w:val="center"/>
          </w:tcPr>
          <w:p w14:paraId="071A8F85">
            <w:pPr>
              <w:spacing w:line="360" w:lineRule="exact"/>
              <w:ind w:firstLine="0" w:firstLineChars="0"/>
              <w:jc w:val="center"/>
              <w:rPr>
                <w:rFonts w:hint="default" w:ascii="Times New Roman" w:hAnsi="Times New Roman" w:cs="Times New Roman"/>
                <w:color w:val="auto"/>
                <w:sz w:val="21"/>
                <w:szCs w:val="21"/>
                <w:highlight w:val="none"/>
              </w:rPr>
            </w:pPr>
          </w:p>
        </w:tc>
        <w:tc>
          <w:tcPr>
            <w:tcW w:w="748" w:type="pct"/>
            <w:vAlign w:val="center"/>
          </w:tcPr>
          <w:p w14:paraId="6DC91968">
            <w:pPr>
              <w:spacing w:line="360" w:lineRule="exact"/>
              <w:ind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pacing w:val="0"/>
                <w:kern w:val="2"/>
                <w:sz w:val="21"/>
                <w:szCs w:val="21"/>
                <w:highlight w:val="none"/>
                <w:vertAlign w:val="baseline"/>
                <w:lang w:val="en-US" w:eastAsia="zh-CN" w:bidi="ar-SA"/>
              </w:rPr>
              <w:t>汞及其化合物</w:t>
            </w:r>
          </w:p>
        </w:tc>
        <w:tc>
          <w:tcPr>
            <w:tcW w:w="748" w:type="pct"/>
            <w:vAlign w:val="center"/>
          </w:tcPr>
          <w:p w14:paraId="3FDC6DAF">
            <w:pPr>
              <w:spacing w:line="360" w:lineRule="exact"/>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749" w:type="pct"/>
            <w:shd w:val="clear" w:color="auto" w:fill="auto"/>
            <w:vAlign w:val="center"/>
          </w:tcPr>
          <w:p w14:paraId="27923E94">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0.0166</w:t>
            </w:r>
          </w:p>
        </w:tc>
        <w:tc>
          <w:tcPr>
            <w:tcW w:w="751" w:type="pct"/>
            <w:shd w:val="clear" w:color="auto" w:fill="auto"/>
            <w:vAlign w:val="center"/>
          </w:tcPr>
          <w:p w14:paraId="43DD4E43">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spacing w:val="0"/>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
              </w:rPr>
              <w:t>2.56×10</w:t>
            </w:r>
            <w:r>
              <w:rPr>
                <w:rFonts w:hint="default" w:ascii="Times New Roman" w:hAnsi="Times New Roman" w:eastAsia="宋体" w:cs="Times New Roman"/>
                <w:color w:val="auto"/>
                <w:kern w:val="0"/>
                <w:sz w:val="21"/>
                <w:szCs w:val="21"/>
                <w:highlight w:val="none"/>
                <w:vertAlign w:val="superscript"/>
                <w:lang w:val="en-US" w:eastAsia="zh-CN" w:bidi="ar"/>
              </w:rPr>
              <w:t>-4</w:t>
            </w:r>
          </w:p>
        </w:tc>
        <w:tc>
          <w:tcPr>
            <w:tcW w:w="638" w:type="pct"/>
            <w:vMerge w:val="continue"/>
            <w:vAlign w:val="center"/>
          </w:tcPr>
          <w:p w14:paraId="121DE924">
            <w:pPr>
              <w:spacing w:line="360" w:lineRule="exact"/>
              <w:ind w:firstLine="0" w:firstLineChars="0"/>
              <w:jc w:val="center"/>
              <w:rPr>
                <w:rFonts w:hint="default" w:ascii="Times New Roman" w:hAnsi="Times New Roman" w:cs="Times New Roman"/>
                <w:color w:val="auto"/>
                <w:sz w:val="21"/>
                <w:szCs w:val="21"/>
                <w:highlight w:val="none"/>
                <w:lang w:val="en-US" w:eastAsia="zh-CN"/>
              </w:rPr>
            </w:pPr>
          </w:p>
        </w:tc>
        <w:tc>
          <w:tcPr>
            <w:tcW w:w="613" w:type="pct"/>
            <w:vMerge w:val="continue"/>
            <w:vAlign w:val="center"/>
          </w:tcPr>
          <w:p w14:paraId="1346C791">
            <w:pPr>
              <w:spacing w:line="360" w:lineRule="exact"/>
              <w:ind w:firstLine="0" w:firstLineChars="0"/>
              <w:jc w:val="center"/>
              <w:rPr>
                <w:rFonts w:hint="default" w:ascii="Times New Roman" w:hAnsi="Times New Roman" w:cs="Times New Roman"/>
                <w:color w:val="auto"/>
                <w:sz w:val="21"/>
                <w:szCs w:val="21"/>
                <w:highlight w:val="none"/>
                <w:lang w:val="en-US" w:eastAsia="zh-CN"/>
              </w:rPr>
            </w:pPr>
          </w:p>
        </w:tc>
      </w:tr>
    </w:tbl>
    <w:p w14:paraId="0704B04C">
      <w:pPr>
        <w:pStyle w:val="32"/>
        <w:widowControl/>
        <w:overflowPunct w:val="0"/>
        <w:topLinePunct/>
        <w:adjustRightInd w:val="0"/>
        <w:spacing w:after="0"/>
        <w:ind w:left="0" w:leftChars="0" w:firstLine="480"/>
        <w:textAlignment w:val="baseline"/>
        <w:rPr>
          <w:rFonts w:hint="default" w:ascii="Times New Roman" w:hAnsi="Times New Roman" w:cs="Times New Roman"/>
          <w:color w:val="auto"/>
          <w:sz w:val="24"/>
          <w:highlight w:val="none"/>
          <w:shd w:val="clear" w:color="auto" w:fill="FFFFFF"/>
        </w:rPr>
      </w:pPr>
      <w:r>
        <w:rPr>
          <w:rFonts w:hint="default" w:ascii="Times New Roman" w:hAnsi="Times New Roman" w:cs="Times New Roman"/>
          <w:color w:val="auto"/>
          <w:sz w:val="24"/>
          <w:highlight w:val="none"/>
          <w:shd w:val="clear" w:color="auto" w:fill="FFFFFF"/>
        </w:rPr>
        <w:t>当出现非正常工况时，应立即停止设备运转并及时检查故障，缩短非正常工况的排放时间，减少污染物排放。</w:t>
      </w:r>
    </w:p>
    <w:p w14:paraId="683FA34C">
      <w:pPr>
        <w:pStyle w:val="32"/>
        <w:widowControl/>
        <w:overflowPunct w:val="0"/>
        <w:topLinePunct/>
        <w:adjustRightInd w:val="0"/>
        <w:spacing w:after="0"/>
        <w:ind w:left="0" w:leftChars="0" w:firstLine="480"/>
        <w:textAlignment w:val="baseline"/>
        <w:rPr>
          <w:rFonts w:hint="default" w:ascii="Times New Roman" w:hAnsi="Times New Roman" w:cs="Times New Roman"/>
          <w:color w:val="auto"/>
          <w:sz w:val="24"/>
          <w:highlight w:val="none"/>
          <w:shd w:val="clear" w:color="auto" w:fill="FFFFFF"/>
        </w:rPr>
      </w:pPr>
      <w:r>
        <w:rPr>
          <w:rFonts w:hint="default" w:ascii="Times New Roman" w:hAnsi="Times New Roman" w:cs="Times New Roman"/>
          <w:color w:val="auto"/>
          <w:sz w:val="24"/>
          <w:highlight w:val="none"/>
          <w:shd w:val="clear" w:color="auto" w:fill="FFFFFF"/>
        </w:rPr>
        <w:t>为杜绝非正常工况废气排放，建设单位应采取以下措施确保废气达标排放：</w:t>
      </w:r>
    </w:p>
    <w:p w14:paraId="31B4F244">
      <w:pPr>
        <w:pStyle w:val="32"/>
        <w:widowControl/>
        <w:overflowPunct w:val="0"/>
        <w:topLinePunct/>
        <w:adjustRightInd w:val="0"/>
        <w:spacing w:after="0"/>
        <w:ind w:left="0" w:leftChars="0" w:firstLine="480"/>
        <w:textAlignment w:val="baseline"/>
        <w:rPr>
          <w:rFonts w:hint="default" w:ascii="Times New Roman" w:hAnsi="Times New Roman" w:cs="Times New Roman"/>
          <w:color w:val="auto"/>
          <w:sz w:val="24"/>
          <w:highlight w:val="none"/>
          <w:shd w:val="clear" w:color="auto" w:fill="FFFFFF"/>
        </w:rPr>
      </w:pPr>
      <w:r>
        <w:rPr>
          <w:rFonts w:hint="default" w:ascii="Times New Roman" w:hAnsi="Times New Roman" w:cs="Times New Roman"/>
          <w:color w:val="auto"/>
          <w:sz w:val="24"/>
          <w:szCs w:val="24"/>
          <w:highlight w:val="none"/>
          <w:shd w:val="clear" w:color="auto" w:fill="FFFFFF"/>
        </w:rPr>
        <w:fldChar w:fldCharType="begin"/>
      </w:r>
      <w:r>
        <w:rPr>
          <w:rFonts w:hint="default" w:ascii="Times New Roman" w:hAnsi="Times New Roman" w:cs="Times New Roman"/>
          <w:color w:val="auto"/>
          <w:sz w:val="24"/>
          <w:szCs w:val="24"/>
          <w:highlight w:val="none"/>
          <w:shd w:val="clear" w:color="auto" w:fill="FFFFFF"/>
        </w:rPr>
        <w:instrText xml:space="preserve"> = 1 \* GB3 \* MERGEFORMAT </w:instrText>
      </w:r>
      <w:r>
        <w:rPr>
          <w:rFonts w:hint="default" w:ascii="Times New Roman" w:hAnsi="Times New Roman" w:cs="Times New Roman"/>
          <w:color w:val="auto"/>
          <w:sz w:val="24"/>
          <w:szCs w:val="24"/>
          <w:highlight w:val="none"/>
          <w:shd w:val="clear" w:color="auto" w:fill="FFFFFF"/>
        </w:rPr>
        <w:fldChar w:fldCharType="separate"/>
      </w:r>
      <w:r>
        <w:rPr>
          <w:rFonts w:hint="default" w:ascii="Times New Roman" w:hAnsi="Times New Roman" w:cs="Times New Roman"/>
          <w:color w:val="auto"/>
          <w:sz w:val="24"/>
          <w:szCs w:val="24"/>
          <w:highlight w:val="none"/>
        </w:rPr>
        <w:t>①</w:t>
      </w:r>
      <w:r>
        <w:rPr>
          <w:rFonts w:hint="default" w:ascii="Times New Roman" w:hAnsi="Times New Roman" w:cs="Times New Roman"/>
          <w:color w:val="auto"/>
          <w:sz w:val="24"/>
          <w:szCs w:val="24"/>
          <w:highlight w:val="none"/>
          <w:shd w:val="clear" w:color="auto" w:fill="FFFFFF"/>
        </w:rPr>
        <w:fldChar w:fldCharType="end"/>
      </w:r>
      <w:r>
        <w:rPr>
          <w:rFonts w:hint="default" w:ascii="Times New Roman" w:hAnsi="Times New Roman" w:cs="Times New Roman"/>
          <w:color w:val="auto"/>
          <w:sz w:val="24"/>
          <w:highlight w:val="none"/>
          <w:shd w:val="clear" w:color="auto" w:fill="FFFFFF"/>
        </w:rPr>
        <w:t>平时注意各设施的维护保养，及时发现处理设备的隐患，确保系统正常运行；</w:t>
      </w:r>
    </w:p>
    <w:p w14:paraId="70224A24">
      <w:pPr>
        <w:pStyle w:val="32"/>
        <w:widowControl/>
        <w:overflowPunct w:val="0"/>
        <w:topLinePunct/>
        <w:adjustRightInd w:val="0"/>
        <w:spacing w:after="0"/>
        <w:ind w:left="0" w:leftChars="0" w:firstLine="480"/>
        <w:textAlignment w:val="baseline"/>
        <w:rPr>
          <w:rFonts w:hint="default" w:ascii="Times New Roman" w:hAnsi="Times New Roman" w:cs="Times New Roman"/>
          <w:color w:val="auto"/>
          <w:sz w:val="24"/>
          <w:szCs w:val="24"/>
          <w:highlight w:val="none"/>
          <w:shd w:val="clear" w:color="auto" w:fill="FFFFFF"/>
        </w:rPr>
      </w:pPr>
      <w:r>
        <w:rPr>
          <w:rFonts w:hint="default" w:ascii="Times New Roman" w:hAnsi="Times New Roman" w:cs="Times New Roman"/>
          <w:color w:val="auto"/>
          <w:sz w:val="24"/>
          <w:szCs w:val="24"/>
          <w:highlight w:val="none"/>
          <w:shd w:val="clear" w:color="auto" w:fill="FFFFFF"/>
        </w:rPr>
        <w:fldChar w:fldCharType="begin"/>
      </w:r>
      <w:r>
        <w:rPr>
          <w:rFonts w:hint="default" w:ascii="Times New Roman" w:hAnsi="Times New Roman" w:cs="Times New Roman"/>
          <w:color w:val="auto"/>
          <w:sz w:val="24"/>
          <w:szCs w:val="24"/>
          <w:highlight w:val="none"/>
          <w:shd w:val="clear" w:color="auto" w:fill="FFFFFF"/>
        </w:rPr>
        <w:instrText xml:space="preserve"> = 2 \* GB3 \* MERGEFORMAT </w:instrText>
      </w:r>
      <w:r>
        <w:rPr>
          <w:rFonts w:hint="default" w:ascii="Times New Roman" w:hAnsi="Times New Roman" w:cs="Times New Roman"/>
          <w:color w:val="auto"/>
          <w:sz w:val="24"/>
          <w:szCs w:val="24"/>
          <w:highlight w:val="none"/>
          <w:shd w:val="clear" w:color="auto" w:fill="FFFFFF"/>
        </w:rPr>
        <w:fldChar w:fldCharType="separate"/>
      </w:r>
      <w:r>
        <w:rPr>
          <w:rFonts w:hint="default" w:ascii="Times New Roman" w:hAnsi="Times New Roman" w:cs="Times New Roman"/>
          <w:color w:val="auto"/>
          <w:sz w:val="24"/>
          <w:szCs w:val="24"/>
          <w:highlight w:val="none"/>
        </w:rPr>
        <w:t>②</w:t>
      </w:r>
      <w:r>
        <w:rPr>
          <w:rFonts w:hint="default" w:ascii="Times New Roman" w:hAnsi="Times New Roman" w:cs="Times New Roman"/>
          <w:color w:val="auto"/>
          <w:sz w:val="24"/>
          <w:szCs w:val="24"/>
          <w:highlight w:val="none"/>
          <w:shd w:val="clear" w:color="auto" w:fill="FFFFFF"/>
        </w:rPr>
        <w:fldChar w:fldCharType="end"/>
      </w:r>
      <w:r>
        <w:rPr>
          <w:rFonts w:hint="default" w:ascii="Times New Roman" w:hAnsi="Times New Roman" w:cs="Times New Roman"/>
          <w:color w:val="auto"/>
          <w:sz w:val="24"/>
          <w:szCs w:val="24"/>
          <w:highlight w:val="none"/>
          <w:shd w:val="clear" w:color="auto" w:fill="FFFFFF"/>
        </w:rPr>
        <w:t>建立联动机制：制定严格的工艺操作规程，规定除尘系统与破碎筛分生产系统的联动关系。当除尘系统发生故障无法立即修复时，必须立即停止相关生产作业，严禁在除尘设施失效的情况下继续生产。</w:t>
      </w:r>
    </w:p>
    <w:p w14:paraId="67757FB0">
      <w:pPr>
        <w:pStyle w:val="32"/>
        <w:widowControl/>
        <w:overflowPunct w:val="0"/>
        <w:topLinePunct/>
        <w:adjustRightInd w:val="0"/>
        <w:spacing w:after="0"/>
        <w:ind w:left="0" w:leftChars="0" w:firstLine="480"/>
        <w:textAlignment w:val="baseline"/>
        <w:rPr>
          <w:rFonts w:hint="default" w:ascii="Times New Roman" w:hAnsi="Times New Roman" w:cs="Times New Roman"/>
          <w:color w:val="auto"/>
          <w:sz w:val="24"/>
          <w:highlight w:val="none"/>
          <w:shd w:val="clear" w:color="auto" w:fill="FFFFFF"/>
        </w:rPr>
      </w:pPr>
      <w:r>
        <w:rPr>
          <w:rFonts w:hint="eastAsia" w:cs="Times New Roman"/>
          <w:color w:val="auto"/>
          <w:sz w:val="24"/>
          <w:szCs w:val="24"/>
          <w:highlight w:val="none"/>
          <w:shd w:val="clear" w:color="auto" w:fill="FFFFFF"/>
          <w:lang w:val="en-US" w:eastAsia="zh-CN"/>
        </w:rPr>
        <w:t>③</w:t>
      </w:r>
      <w:r>
        <w:rPr>
          <w:rFonts w:hint="default" w:ascii="Times New Roman" w:hAnsi="Times New Roman" w:cs="Times New Roman"/>
          <w:color w:val="auto"/>
          <w:sz w:val="24"/>
          <w:szCs w:val="24"/>
          <w:highlight w:val="none"/>
          <w:shd w:val="clear" w:color="auto" w:fill="FFFFFF"/>
        </w:rPr>
        <w:t>加强人员培训：</w:t>
      </w:r>
      <w:r>
        <w:rPr>
          <w:rFonts w:hint="eastAsia" w:cs="Times New Roman"/>
          <w:color w:val="auto"/>
          <w:sz w:val="24"/>
          <w:szCs w:val="24"/>
          <w:highlight w:val="none"/>
          <w:shd w:val="clear" w:color="auto" w:fill="FFFFFF"/>
          <w:lang w:eastAsia="zh-CN"/>
        </w:rPr>
        <w:t>增强</w:t>
      </w:r>
      <w:r>
        <w:rPr>
          <w:rFonts w:hint="default" w:ascii="Times New Roman" w:hAnsi="Times New Roman" w:cs="Times New Roman"/>
          <w:color w:val="auto"/>
          <w:sz w:val="24"/>
          <w:szCs w:val="24"/>
          <w:highlight w:val="none"/>
          <w:shd w:val="clear" w:color="auto" w:fill="FFFFFF"/>
        </w:rPr>
        <w:t>操作人员的环保意识和责任心，使其熟练掌握环保设备的操作规程和应急处置方法，能够在非正常工况发生时迅速、正确地采取应对措施。</w:t>
      </w:r>
      <w:r>
        <w:rPr>
          <w:rFonts w:hint="default" w:ascii="Times New Roman" w:hAnsi="Times New Roman" w:cs="Times New Roman"/>
          <w:color w:val="auto"/>
          <w:sz w:val="24"/>
          <w:highlight w:val="none"/>
          <w:shd w:val="clear" w:color="auto" w:fill="FFFFFF"/>
        </w:rPr>
        <w:t>建立健全的环保机构，配置必要的监测仪器，对管理人员和技术人员进行岗位培训，对废气处理实行全过程跟踪控制。</w:t>
      </w:r>
    </w:p>
    <w:p w14:paraId="1D3C0D08">
      <w:pPr>
        <w:pStyle w:val="120"/>
        <w:ind w:firstLine="482"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5.2.1.</w:t>
      </w:r>
      <w:r>
        <w:rPr>
          <w:rFonts w:hint="eastAsia" w:eastAsia="宋体" w:cs="Times New Roman"/>
          <w:color w:val="auto"/>
          <w:highlight w:val="none"/>
          <w:lang w:val="en-US" w:eastAsia="zh-CN"/>
        </w:rPr>
        <w:t>3</w:t>
      </w:r>
      <w:r>
        <w:rPr>
          <w:rFonts w:hint="default" w:ascii="Times New Roman" w:hAnsi="Times New Roman" w:eastAsia="宋体" w:cs="Times New Roman"/>
          <w:color w:val="auto"/>
          <w:highlight w:val="none"/>
          <w:lang w:val="en-US" w:eastAsia="zh-CN"/>
        </w:rPr>
        <w:t>大气环境影响评价自查表</w:t>
      </w:r>
    </w:p>
    <w:p w14:paraId="336CC77E">
      <w:pPr>
        <w:overflowPunct w:val="0"/>
        <w:topLinePunct/>
        <w:ind w:firstLine="480"/>
        <w:rPr>
          <w:rFonts w:hint="default" w:ascii="Times New Roman" w:hAnsi="Times New Roman" w:eastAsia="宋体" w:cs="Times New Roman"/>
          <w:color w:val="auto"/>
          <w:sz w:val="24"/>
          <w:highlight w:val="none"/>
          <w:shd w:val="clear" w:color="auto" w:fill="FFFFFF"/>
        </w:rPr>
      </w:pPr>
      <w:r>
        <w:rPr>
          <w:rFonts w:hint="default" w:ascii="Times New Roman" w:hAnsi="Times New Roman" w:eastAsia="宋体" w:cs="Times New Roman"/>
          <w:color w:val="auto"/>
          <w:sz w:val="24"/>
          <w:highlight w:val="none"/>
          <w:shd w:val="clear" w:color="auto" w:fill="FFFFFF"/>
          <w:lang w:val="en-US" w:eastAsia="zh-CN"/>
        </w:rPr>
        <w:t>本项目大气环境影响评价自查表见表5.2-10。</w:t>
      </w:r>
    </w:p>
    <w:p w14:paraId="7361F7EF">
      <w:pPr>
        <w:rPr>
          <w:rFonts w:hint="default" w:ascii="Times New Roman" w:hAnsi="Times New Roman" w:cs="Times New Roman"/>
          <w:b/>
          <w:bCs/>
          <w:color w:val="auto"/>
          <w:sz w:val="24"/>
          <w:highlight w:val="none"/>
          <w:shd w:val="clear" w:color="auto" w:fill="FFFFFF"/>
        </w:rPr>
      </w:pPr>
      <w:r>
        <w:rPr>
          <w:rFonts w:hint="default" w:ascii="Times New Roman" w:hAnsi="Times New Roman" w:cs="Times New Roman"/>
          <w:b/>
          <w:bCs/>
          <w:color w:val="auto"/>
          <w:sz w:val="24"/>
          <w:highlight w:val="none"/>
          <w:shd w:val="clear" w:color="auto" w:fill="FFFFFF"/>
        </w:rPr>
        <w:br w:type="page"/>
      </w:r>
    </w:p>
    <w:p w14:paraId="734D2E12">
      <w:pPr>
        <w:pStyle w:val="32"/>
        <w:widowControl/>
        <w:autoSpaceDE w:val="0"/>
        <w:autoSpaceDN w:val="0"/>
        <w:adjustRightInd w:val="0"/>
        <w:spacing w:after="0"/>
        <w:ind w:left="0" w:leftChars="0" w:firstLine="0" w:firstLineChars="0"/>
        <w:jc w:val="center"/>
        <w:textAlignment w:val="baseline"/>
        <w:rPr>
          <w:rFonts w:hint="default" w:ascii="Times New Roman" w:hAnsi="Times New Roman" w:cs="Times New Roman"/>
          <w:b/>
          <w:bCs/>
          <w:color w:val="auto"/>
          <w:sz w:val="24"/>
          <w:highlight w:val="none"/>
          <w:shd w:val="clear" w:color="auto" w:fill="FFFFFF"/>
        </w:rPr>
      </w:pPr>
      <w:r>
        <w:rPr>
          <w:rFonts w:hint="default" w:ascii="Times New Roman" w:hAnsi="Times New Roman" w:cs="Times New Roman"/>
          <w:b/>
          <w:bCs/>
          <w:color w:val="auto"/>
          <w:sz w:val="24"/>
          <w:highlight w:val="none"/>
          <w:shd w:val="clear" w:color="auto" w:fill="FFFFFF"/>
        </w:rPr>
        <w:t>表5.2-1</w:t>
      </w:r>
      <w:r>
        <w:rPr>
          <w:rFonts w:hint="default" w:ascii="Times New Roman" w:hAnsi="Times New Roman" w:cs="Times New Roman"/>
          <w:b/>
          <w:bCs/>
          <w:color w:val="auto"/>
          <w:sz w:val="24"/>
          <w:highlight w:val="none"/>
          <w:shd w:val="clear" w:color="auto" w:fill="FFFFFF"/>
          <w:lang w:val="en-US" w:eastAsia="zh-CN"/>
        </w:rPr>
        <w:t>0</w:t>
      </w:r>
      <w:r>
        <w:rPr>
          <w:rFonts w:hint="default" w:ascii="Times New Roman" w:hAnsi="Times New Roman" w:cs="Times New Roman"/>
          <w:b/>
          <w:bCs/>
          <w:color w:val="auto"/>
          <w:sz w:val="24"/>
          <w:highlight w:val="none"/>
          <w:shd w:val="clear" w:color="auto" w:fill="FFFFFF"/>
        </w:rPr>
        <w:t xml:space="preserve">    大气环境影响评价自查表</w:t>
      </w:r>
    </w:p>
    <w:tbl>
      <w:tblPr>
        <w:tblStyle w:val="33"/>
        <w:tblW w:w="833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59"/>
        <w:gridCol w:w="1097"/>
        <w:gridCol w:w="921"/>
        <w:gridCol w:w="467"/>
        <w:gridCol w:w="195"/>
        <w:gridCol w:w="136"/>
        <w:gridCol w:w="141"/>
        <w:gridCol w:w="80"/>
        <w:gridCol w:w="525"/>
        <w:gridCol w:w="372"/>
        <w:gridCol w:w="110"/>
        <w:gridCol w:w="511"/>
        <w:gridCol w:w="165"/>
        <w:gridCol w:w="426"/>
        <w:gridCol w:w="660"/>
        <w:gridCol w:w="236"/>
        <w:gridCol w:w="183"/>
        <w:gridCol w:w="901"/>
        <w:gridCol w:w="349"/>
      </w:tblGrid>
      <w:tr w14:paraId="5FDA61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blHeader/>
          <w:jc w:val="center"/>
        </w:trPr>
        <w:tc>
          <w:tcPr>
            <w:tcW w:w="1956" w:type="dxa"/>
            <w:gridSpan w:val="2"/>
            <w:shd w:val="clear" w:color="auto" w:fill="auto"/>
            <w:vAlign w:val="center"/>
          </w:tcPr>
          <w:p w14:paraId="1A5C933C">
            <w:pPr>
              <w:spacing w:line="360" w:lineRule="exac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工作内容</w:t>
            </w:r>
          </w:p>
        </w:tc>
        <w:tc>
          <w:tcPr>
            <w:tcW w:w="6378" w:type="dxa"/>
            <w:gridSpan w:val="17"/>
            <w:shd w:val="clear" w:color="auto" w:fill="auto"/>
            <w:vAlign w:val="center"/>
          </w:tcPr>
          <w:p w14:paraId="21F90DDD">
            <w:pPr>
              <w:spacing w:line="360" w:lineRule="exac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自查项目</w:t>
            </w:r>
          </w:p>
        </w:tc>
      </w:tr>
      <w:tr w14:paraId="46E3DF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restart"/>
            <w:shd w:val="clear" w:color="auto" w:fill="auto"/>
            <w:vAlign w:val="center"/>
          </w:tcPr>
          <w:p w14:paraId="6D6D8C5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评价等级与范围</w:t>
            </w:r>
          </w:p>
        </w:tc>
        <w:tc>
          <w:tcPr>
            <w:tcW w:w="1097" w:type="dxa"/>
            <w:shd w:val="clear" w:color="auto" w:fill="auto"/>
            <w:vAlign w:val="center"/>
          </w:tcPr>
          <w:p w14:paraId="6F76478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评价等级</w:t>
            </w:r>
          </w:p>
        </w:tc>
        <w:tc>
          <w:tcPr>
            <w:tcW w:w="2465" w:type="dxa"/>
            <w:gridSpan w:val="7"/>
            <w:shd w:val="clear" w:color="auto" w:fill="auto"/>
            <w:vAlign w:val="center"/>
          </w:tcPr>
          <w:p w14:paraId="0A3DC54A">
            <w:pPr>
              <w:spacing w:line="360" w:lineRule="exact"/>
              <w:ind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一级</w:t>
            </w:r>
            <w:r>
              <w:rPr>
                <w:rFonts w:hint="eastAsia" w:cs="Times New Roman"/>
                <w:color w:val="auto"/>
                <w:sz w:val="21"/>
                <w:szCs w:val="21"/>
                <w:highlight w:val="none"/>
                <w:lang w:val="en-US" w:eastAsia="zh-CN"/>
              </w:rPr>
              <w:t>□</w:t>
            </w:r>
          </w:p>
        </w:tc>
        <w:tc>
          <w:tcPr>
            <w:tcW w:w="2244" w:type="dxa"/>
            <w:gridSpan w:val="6"/>
            <w:shd w:val="clear" w:color="auto" w:fill="auto"/>
            <w:vAlign w:val="center"/>
          </w:tcPr>
          <w:p w14:paraId="71F758CE">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二级</w:t>
            </w:r>
            <w:r>
              <w:rPr>
                <w:rFonts w:hint="eastAsia" w:cs="Times New Roman"/>
                <w:color w:val="auto"/>
                <w:sz w:val="21"/>
                <w:szCs w:val="21"/>
                <w:highlight w:val="none"/>
                <w:lang w:val="en-US" w:eastAsia="zh-CN"/>
              </w:rPr>
              <w:t>☑</w:t>
            </w:r>
          </w:p>
        </w:tc>
        <w:tc>
          <w:tcPr>
            <w:tcW w:w="1669" w:type="dxa"/>
            <w:gridSpan w:val="4"/>
            <w:shd w:val="clear" w:color="auto" w:fill="auto"/>
            <w:vAlign w:val="center"/>
          </w:tcPr>
          <w:p w14:paraId="19D00131">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三级</w:t>
            </w:r>
            <w:r>
              <w:rPr>
                <w:rFonts w:hint="eastAsia" w:cs="Times New Roman"/>
                <w:color w:val="auto"/>
                <w:sz w:val="21"/>
                <w:szCs w:val="21"/>
                <w:highlight w:val="none"/>
                <w:lang w:val="en-US" w:eastAsia="zh-CN"/>
              </w:rPr>
              <w:t>□</w:t>
            </w:r>
          </w:p>
        </w:tc>
      </w:tr>
      <w:tr w14:paraId="475E24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continue"/>
            <w:shd w:val="clear" w:color="auto" w:fill="auto"/>
            <w:vAlign w:val="center"/>
          </w:tcPr>
          <w:p w14:paraId="266DB090">
            <w:pPr>
              <w:spacing w:line="360" w:lineRule="exact"/>
              <w:ind w:firstLine="0" w:firstLineChars="0"/>
              <w:jc w:val="center"/>
              <w:rPr>
                <w:rFonts w:hint="default" w:ascii="Times New Roman" w:hAnsi="Times New Roman" w:cs="Times New Roman"/>
                <w:color w:val="auto"/>
                <w:sz w:val="21"/>
                <w:szCs w:val="21"/>
                <w:highlight w:val="none"/>
              </w:rPr>
            </w:pPr>
          </w:p>
        </w:tc>
        <w:tc>
          <w:tcPr>
            <w:tcW w:w="1097" w:type="dxa"/>
            <w:shd w:val="clear" w:color="auto" w:fill="auto"/>
            <w:vAlign w:val="center"/>
          </w:tcPr>
          <w:p w14:paraId="1884DDB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评价范围</w:t>
            </w:r>
          </w:p>
        </w:tc>
        <w:tc>
          <w:tcPr>
            <w:tcW w:w="2465" w:type="dxa"/>
            <w:gridSpan w:val="7"/>
            <w:shd w:val="clear" w:color="auto" w:fill="auto"/>
            <w:vAlign w:val="center"/>
          </w:tcPr>
          <w:p w14:paraId="1715E36E">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边长=50km</w:t>
            </w:r>
            <w:r>
              <w:rPr>
                <w:rFonts w:hint="eastAsia" w:cs="Times New Roman"/>
                <w:color w:val="auto"/>
                <w:sz w:val="21"/>
                <w:szCs w:val="21"/>
                <w:highlight w:val="none"/>
                <w:lang w:val="en-US" w:eastAsia="zh-CN"/>
              </w:rPr>
              <w:t>□</w:t>
            </w:r>
          </w:p>
        </w:tc>
        <w:tc>
          <w:tcPr>
            <w:tcW w:w="2244" w:type="dxa"/>
            <w:gridSpan w:val="6"/>
            <w:shd w:val="clear" w:color="auto" w:fill="auto"/>
            <w:vAlign w:val="center"/>
          </w:tcPr>
          <w:p w14:paraId="6B9160A4">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边长=5～50km</w:t>
            </w:r>
            <w:r>
              <w:rPr>
                <w:rFonts w:hint="eastAsia" w:cs="Times New Roman"/>
                <w:color w:val="auto"/>
                <w:sz w:val="21"/>
                <w:szCs w:val="21"/>
                <w:highlight w:val="none"/>
                <w:lang w:val="en-US" w:eastAsia="zh-CN"/>
              </w:rPr>
              <w:t>□</w:t>
            </w:r>
          </w:p>
        </w:tc>
        <w:tc>
          <w:tcPr>
            <w:tcW w:w="1669" w:type="dxa"/>
            <w:gridSpan w:val="4"/>
            <w:shd w:val="clear" w:color="auto" w:fill="auto"/>
            <w:vAlign w:val="center"/>
          </w:tcPr>
          <w:p w14:paraId="03DF7C4C">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边长=5km</w:t>
            </w:r>
            <w:r>
              <w:rPr>
                <w:rFonts w:hint="eastAsia" w:cs="Times New Roman"/>
                <w:color w:val="auto"/>
                <w:sz w:val="21"/>
                <w:szCs w:val="21"/>
                <w:highlight w:val="none"/>
                <w:lang w:val="en-US" w:eastAsia="zh-CN"/>
              </w:rPr>
              <w:t>☑</w:t>
            </w:r>
          </w:p>
        </w:tc>
      </w:tr>
      <w:tr w14:paraId="1CCBC9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restart"/>
            <w:shd w:val="clear" w:color="auto" w:fill="auto"/>
            <w:vAlign w:val="center"/>
          </w:tcPr>
          <w:p w14:paraId="75C4402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评价因子</w:t>
            </w:r>
          </w:p>
        </w:tc>
        <w:tc>
          <w:tcPr>
            <w:tcW w:w="1097" w:type="dxa"/>
            <w:shd w:val="clear" w:color="auto" w:fill="auto"/>
            <w:vAlign w:val="center"/>
          </w:tcPr>
          <w:p w14:paraId="6C5520E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x</w:t>
            </w:r>
            <w:r>
              <w:rPr>
                <w:rFonts w:hint="default" w:ascii="Times New Roman" w:hAnsi="Times New Roman" w:cs="Times New Roman"/>
                <w:color w:val="auto"/>
                <w:sz w:val="21"/>
                <w:szCs w:val="21"/>
                <w:highlight w:val="none"/>
              </w:rPr>
              <w:t>排放量</w:t>
            </w:r>
          </w:p>
        </w:tc>
        <w:tc>
          <w:tcPr>
            <w:tcW w:w="1719" w:type="dxa"/>
            <w:gridSpan w:val="4"/>
            <w:shd w:val="clear" w:color="auto" w:fill="auto"/>
            <w:vAlign w:val="center"/>
          </w:tcPr>
          <w:p w14:paraId="2F0EAA54">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≥2000t/a</w:t>
            </w:r>
            <w:r>
              <w:rPr>
                <w:rFonts w:hint="eastAsia" w:cs="Times New Roman"/>
                <w:color w:val="auto"/>
                <w:sz w:val="21"/>
                <w:szCs w:val="21"/>
                <w:highlight w:val="none"/>
                <w:lang w:val="en-US" w:eastAsia="zh-CN"/>
              </w:rPr>
              <w:t>□</w:t>
            </w:r>
          </w:p>
        </w:tc>
        <w:tc>
          <w:tcPr>
            <w:tcW w:w="1739" w:type="dxa"/>
            <w:gridSpan w:val="6"/>
            <w:shd w:val="clear" w:color="auto" w:fill="auto"/>
            <w:vAlign w:val="center"/>
          </w:tcPr>
          <w:p w14:paraId="2868AA62">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500</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2000t/a</w:t>
            </w:r>
            <w:r>
              <w:rPr>
                <w:rFonts w:hint="eastAsia" w:cs="Times New Roman"/>
                <w:color w:val="auto"/>
                <w:sz w:val="21"/>
                <w:szCs w:val="21"/>
                <w:highlight w:val="none"/>
                <w:lang w:val="en-US" w:eastAsia="zh-CN"/>
              </w:rPr>
              <w:t>□</w:t>
            </w:r>
          </w:p>
        </w:tc>
        <w:tc>
          <w:tcPr>
            <w:tcW w:w="2920" w:type="dxa"/>
            <w:gridSpan w:val="7"/>
            <w:shd w:val="clear" w:color="auto" w:fill="auto"/>
            <w:vAlign w:val="center"/>
          </w:tcPr>
          <w:p w14:paraId="5DCF135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&lt;500t/a</w:t>
            </w:r>
            <w:r>
              <w:rPr>
                <w:rFonts w:hint="eastAsia" w:cs="Times New Roman"/>
                <w:color w:val="auto"/>
                <w:sz w:val="21"/>
                <w:szCs w:val="21"/>
                <w:highlight w:val="none"/>
                <w:lang w:val="en-US" w:eastAsia="zh-CN"/>
              </w:rPr>
              <w:t>☑</w:t>
            </w:r>
          </w:p>
        </w:tc>
      </w:tr>
      <w:tr w14:paraId="1F3FF5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continue"/>
            <w:shd w:val="clear" w:color="auto" w:fill="auto"/>
            <w:vAlign w:val="center"/>
          </w:tcPr>
          <w:p w14:paraId="633114E1">
            <w:pPr>
              <w:spacing w:line="360" w:lineRule="exact"/>
              <w:ind w:firstLine="0" w:firstLineChars="0"/>
              <w:jc w:val="center"/>
              <w:rPr>
                <w:rFonts w:hint="default" w:ascii="Times New Roman" w:hAnsi="Times New Roman" w:cs="Times New Roman"/>
                <w:color w:val="auto"/>
                <w:sz w:val="21"/>
                <w:szCs w:val="21"/>
                <w:highlight w:val="none"/>
              </w:rPr>
            </w:pPr>
          </w:p>
        </w:tc>
        <w:tc>
          <w:tcPr>
            <w:tcW w:w="1097" w:type="dxa"/>
            <w:shd w:val="clear" w:color="auto" w:fill="auto"/>
            <w:vAlign w:val="center"/>
          </w:tcPr>
          <w:p w14:paraId="613FA8D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评价因子</w:t>
            </w:r>
          </w:p>
        </w:tc>
        <w:tc>
          <w:tcPr>
            <w:tcW w:w="3458" w:type="dxa"/>
            <w:gridSpan w:val="10"/>
            <w:shd w:val="clear" w:color="auto" w:fill="auto"/>
            <w:vAlign w:val="center"/>
          </w:tcPr>
          <w:p w14:paraId="1D9C465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基本污染物（SO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10</w:t>
            </w: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2.5</w:t>
            </w:r>
            <w:r>
              <w:rPr>
                <w:rFonts w:hint="default" w:ascii="Times New Roman" w:hAnsi="Times New Roman" w:cs="Times New Roman"/>
                <w:color w:val="auto"/>
                <w:sz w:val="21"/>
                <w:szCs w:val="21"/>
                <w:highlight w:val="none"/>
              </w:rPr>
              <w:t>、CO、O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w:t>
            </w:r>
          </w:p>
          <w:p w14:paraId="51F59C8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其他污染物（TSP</w:t>
            </w:r>
            <w:r>
              <w:rPr>
                <w:rFonts w:hint="default" w:ascii="Times New Roman" w:hAnsi="Times New Roman" w:cs="Times New Roman"/>
                <w:color w:val="auto"/>
                <w:sz w:val="21"/>
                <w:szCs w:val="21"/>
                <w:highlight w:val="none"/>
                <w:vertAlign w:val="baseline"/>
                <w:lang w:eastAsia="zh-CN"/>
              </w:rPr>
              <w:t>、氟化物</w:t>
            </w:r>
            <w:r>
              <w:rPr>
                <w:rFonts w:hint="eastAsia" w:cs="Times New Roman"/>
                <w:color w:val="auto"/>
                <w:sz w:val="21"/>
                <w:szCs w:val="21"/>
                <w:highlight w:val="none"/>
                <w:vertAlign w:val="baseline"/>
                <w:lang w:eastAsia="zh-CN"/>
              </w:rPr>
              <w:t>、Hg</w:t>
            </w:r>
            <w:r>
              <w:rPr>
                <w:rFonts w:hint="default" w:ascii="Times New Roman" w:hAnsi="Times New Roman" w:cs="Times New Roman"/>
                <w:color w:val="auto"/>
                <w:sz w:val="21"/>
                <w:szCs w:val="21"/>
                <w:highlight w:val="none"/>
              </w:rPr>
              <w:t>）</w:t>
            </w:r>
          </w:p>
        </w:tc>
        <w:tc>
          <w:tcPr>
            <w:tcW w:w="2920" w:type="dxa"/>
            <w:gridSpan w:val="7"/>
            <w:shd w:val="clear" w:color="auto" w:fill="auto"/>
            <w:vAlign w:val="center"/>
          </w:tcPr>
          <w:p w14:paraId="61FC0A45">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包括二次PM</w:t>
            </w:r>
            <w:r>
              <w:rPr>
                <w:rFonts w:hint="default" w:ascii="Times New Roman" w:hAnsi="Times New Roman" w:cs="Times New Roman"/>
                <w:color w:val="auto"/>
                <w:sz w:val="21"/>
                <w:szCs w:val="21"/>
                <w:highlight w:val="none"/>
                <w:vertAlign w:val="subscript"/>
              </w:rPr>
              <w:t>2.5</w:t>
            </w:r>
            <w:r>
              <w:rPr>
                <w:rFonts w:hint="eastAsia" w:cs="Times New Roman"/>
                <w:color w:val="auto"/>
                <w:sz w:val="21"/>
                <w:szCs w:val="21"/>
                <w:highlight w:val="none"/>
                <w:lang w:val="en-US" w:eastAsia="zh-CN"/>
              </w:rPr>
              <w:t>□</w:t>
            </w:r>
          </w:p>
          <w:p w14:paraId="262540C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不包括二次PM</w:t>
            </w:r>
            <w:r>
              <w:rPr>
                <w:rFonts w:hint="default" w:ascii="Times New Roman" w:hAnsi="Times New Roman" w:cs="Times New Roman"/>
                <w:color w:val="auto"/>
                <w:sz w:val="21"/>
                <w:szCs w:val="21"/>
                <w:highlight w:val="none"/>
                <w:vertAlign w:val="subscript"/>
              </w:rPr>
              <w:t>2.5</w:t>
            </w:r>
            <w:r>
              <w:rPr>
                <w:rFonts w:hint="eastAsia" w:cs="Times New Roman"/>
                <w:color w:val="auto"/>
                <w:sz w:val="21"/>
                <w:szCs w:val="21"/>
                <w:highlight w:val="none"/>
                <w:lang w:val="en-US" w:eastAsia="zh-CN"/>
              </w:rPr>
              <w:t>☑</w:t>
            </w:r>
          </w:p>
        </w:tc>
      </w:tr>
      <w:tr w14:paraId="0C57BB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shd w:val="clear" w:color="auto" w:fill="auto"/>
            <w:vAlign w:val="center"/>
          </w:tcPr>
          <w:p w14:paraId="4BF0338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评价标准</w:t>
            </w:r>
          </w:p>
        </w:tc>
        <w:tc>
          <w:tcPr>
            <w:tcW w:w="1097" w:type="dxa"/>
            <w:shd w:val="clear" w:color="auto" w:fill="auto"/>
            <w:vAlign w:val="center"/>
          </w:tcPr>
          <w:p w14:paraId="68BD68E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评价标准</w:t>
            </w:r>
          </w:p>
        </w:tc>
        <w:tc>
          <w:tcPr>
            <w:tcW w:w="1940" w:type="dxa"/>
            <w:gridSpan w:val="6"/>
            <w:shd w:val="clear" w:color="auto" w:fill="auto"/>
            <w:vAlign w:val="center"/>
          </w:tcPr>
          <w:p w14:paraId="68F1D53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国家标准</w:t>
            </w:r>
            <w:r>
              <w:rPr>
                <w:rFonts w:hint="eastAsia" w:cs="Times New Roman"/>
                <w:color w:val="auto"/>
                <w:sz w:val="21"/>
                <w:szCs w:val="21"/>
                <w:highlight w:val="none"/>
                <w:lang w:val="en-US" w:eastAsia="zh-CN"/>
              </w:rPr>
              <w:t>☑</w:t>
            </w:r>
          </w:p>
        </w:tc>
        <w:tc>
          <w:tcPr>
            <w:tcW w:w="1518" w:type="dxa"/>
            <w:gridSpan w:val="4"/>
            <w:shd w:val="clear" w:color="auto" w:fill="auto"/>
            <w:vAlign w:val="center"/>
          </w:tcPr>
          <w:p w14:paraId="3174102C">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地方标准</w:t>
            </w:r>
            <w:r>
              <w:rPr>
                <w:rFonts w:hint="eastAsia" w:cs="Times New Roman"/>
                <w:color w:val="auto"/>
                <w:sz w:val="21"/>
                <w:szCs w:val="21"/>
                <w:highlight w:val="none"/>
                <w:lang w:val="en-US" w:eastAsia="zh-CN"/>
              </w:rPr>
              <w:t>□</w:t>
            </w:r>
          </w:p>
        </w:tc>
        <w:tc>
          <w:tcPr>
            <w:tcW w:w="1251" w:type="dxa"/>
            <w:gridSpan w:val="3"/>
            <w:shd w:val="clear" w:color="auto" w:fill="auto"/>
            <w:vAlign w:val="center"/>
          </w:tcPr>
          <w:p w14:paraId="32ABBEA6">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附录D</w:t>
            </w:r>
            <w:r>
              <w:rPr>
                <w:rFonts w:hint="eastAsia" w:cs="Times New Roman"/>
                <w:color w:val="auto"/>
                <w:sz w:val="21"/>
                <w:szCs w:val="21"/>
                <w:highlight w:val="none"/>
                <w:lang w:val="en-US" w:eastAsia="zh-CN"/>
              </w:rPr>
              <w:t>□</w:t>
            </w:r>
          </w:p>
        </w:tc>
        <w:tc>
          <w:tcPr>
            <w:tcW w:w="1669" w:type="dxa"/>
            <w:gridSpan w:val="4"/>
            <w:shd w:val="clear" w:color="auto" w:fill="auto"/>
            <w:vAlign w:val="center"/>
          </w:tcPr>
          <w:p w14:paraId="05B2F7B4">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其他标准</w:t>
            </w:r>
            <w:r>
              <w:rPr>
                <w:rFonts w:hint="eastAsia" w:cs="Times New Roman"/>
                <w:color w:val="auto"/>
                <w:sz w:val="21"/>
                <w:szCs w:val="21"/>
                <w:highlight w:val="none"/>
                <w:lang w:val="en-US" w:eastAsia="zh-CN"/>
              </w:rPr>
              <w:t>□</w:t>
            </w:r>
          </w:p>
        </w:tc>
      </w:tr>
      <w:tr w14:paraId="46755A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restart"/>
            <w:shd w:val="clear" w:color="auto" w:fill="auto"/>
            <w:vAlign w:val="center"/>
          </w:tcPr>
          <w:p w14:paraId="62F6375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现状评价</w:t>
            </w:r>
          </w:p>
        </w:tc>
        <w:tc>
          <w:tcPr>
            <w:tcW w:w="1097" w:type="dxa"/>
            <w:shd w:val="clear" w:color="auto" w:fill="auto"/>
            <w:vAlign w:val="center"/>
          </w:tcPr>
          <w:p w14:paraId="37C2FBB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评价功能区</w:t>
            </w:r>
          </w:p>
        </w:tc>
        <w:tc>
          <w:tcPr>
            <w:tcW w:w="2465" w:type="dxa"/>
            <w:gridSpan w:val="7"/>
            <w:shd w:val="clear" w:color="auto" w:fill="auto"/>
            <w:vAlign w:val="center"/>
          </w:tcPr>
          <w:p w14:paraId="6EFC3CC1">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一类区</w:t>
            </w:r>
            <w:r>
              <w:rPr>
                <w:rFonts w:hint="eastAsia" w:cs="Times New Roman"/>
                <w:color w:val="auto"/>
                <w:sz w:val="21"/>
                <w:szCs w:val="21"/>
                <w:highlight w:val="none"/>
                <w:lang w:val="en-US" w:eastAsia="zh-CN"/>
              </w:rPr>
              <w:t>□</w:t>
            </w:r>
          </w:p>
        </w:tc>
        <w:tc>
          <w:tcPr>
            <w:tcW w:w="2244" w:type="dxa"/>
            <w:gridSpan w:val="6"/>
            <w:shd w:val="clear" w:color="auto" w:fill="auto"/>
            <w:vAlign w:val="center"/>
          </w:tcPr>
          <w:p w14:paraId="5AED757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二类区</w:t>
            </w:r>
            <w:r>
              <w:rPr>
                <w:rFonts w:hint="eastAsia" w:cs="Times New Roman"/>
                <w:color w:val="auto"/>
                <w:sz w:val="21"/>
                <w:szCs w:val="21"/>
                <w:highlight w:val="none"/>
                <w:lang w:val="en-US" w:eastAsia="zh-CN"/>
              </w:rPr>
              <w:t>☑</w:t>
            </w:r>
          </w:p>
        </w:tc>
        <w:tc>
          <w:tcPr>
            <w:tcW w:w="1669" w:type="dxa"/>
            <w:gridSpan w:val="4"/>
            <w:shd w:val="clear" w:color="auto" w:fill="auto"/>
            <w:vAlign w:val="center"/>
          </w:tcPr>
          <w:p w14:paraId="7F963CD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一类区和二类区</w:t>
            </w:r>
          </w:p>
          <w:p w14:paraId="2FF65356">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w:t>
            </w:r>
          </w:p>
        </w:tc>
      </w:tr>
      <w:tr w14:paraId="414F88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continue"/>
            <w:shd w:val="clear" w:color="auto" w:fill="auto"/>
            <w:vAlign w:val="center"/>
          </w:tcPr>
          <w:p w14:paraId="02186FDC">
            <w:pPr>
              <w:spacing w:line="360" w:lineRule="exact"/>
              <w:ind w:firstLine="0" w:firstLineChars="0"/>
              <w:jc w:val="center"/>
              <w:rPr>
                <w:rFonts w:hint="default" w:ascii="Times New Roman" w:hAnsi="Times New Roman" w:cs="Times New Roman"/>
                <w:color w:val="auto"/>
                <w:sz w:val="21"/>
                <w:szCs w:val="21"/>
                <w:highlight w:val="none"/>
              </w:rPr>
            </w:pPr>
          </w:p>
        </w:tc>
        <w:tc>
          <w:tcPr>
            <w:tcW w:w="1097" w:type="dxa"/>
            <w:shd w:val="clear" w:color="auto" w:fill="auto"/>
            <w:vAlign w:val="center"/>
          </w:tcPr>
          <w:p w14:paraId="78C8049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评价基准年</w:t>
            </w:r>
          </w:p>
        </w:tc>
        <w:tc>
          <w:tcPr>
            <w:tcW w:w="6378" w:type="dxa"/>
            <w:gridSpan w:val="17"/>
            <w:shd w:val="clear" w:color="auto" w:fill="auto"/>
            <w:vAlign w:val="center"/>
          </w:tcPr>
          <w:p w14:paraId="70BA01C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r>
              <w:rPr>
                <w:rFonts w:hint="eastAsia" w:cs="Times New Roman"/>
                <w:color w:val="auto"/>
                <w:sz w:val="21"/>
                <w:szCs w:val="21"/>
                <w:highlight w:val="none"/>
                <w:lang w:val="en-US" w:eastAsia="zh-CN"/>
              </w:rPr>
              <w:t>24</w:t>
            </w:r>
            <w:r>
              <w:rPr>
                <w:rFonts w:hint="default" w:ascii="Times New Roman" w:hAnsi="Times New Roman" w:cs="Times New Roman"/>
                <w:color w:val="auto"/>
                <w:sz w:val="21"/>
                <w:szCs w:val="21"/>
                <w:highlight w:val="none"/>
              </w:rPr>
              <w:t>）年</w:t>
            </w:r>
          </w:p>
        </w:tc>
      </w:tr>
      <w:tr w14:paraId="713B31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continue"/>
            <w:shd w:val="clear" w:color="auto" w:fill="auto"/>
            <w:vAlign w:val="center"/>
          </w:tcPr>
          <w:p w14:paraId="1EDB426D">
            <w:pPr>
              <w:spacing w:line="360" w:lineRule="exact"/>
              <w:ind w:firstLine="0" w:firstLineChars="0"/>
              <w:jc w:val="center"/>
              <w:rPr>
                <w:rFonts w:hint="default" w:ascii="Times New Roman" w:hAnsi="Times New Roman" w:cs="Times New Roman"/>
                <w:color w:val="auto"/>
                <w:sz w:val="21"/>
                <w:szCs w:val="21"/>
                <w:highlight w:val="none"/>
              </w:rPr>
            </w:pPr>
          </w:p>
        </w:tc>
        <w:tc>
          <w:tcPr>
            <w:tcW w:w="1097" w:type="dxa"/>
            <w:shd w:val="clear" w:color="auto" w:fill="auto"/>
            <w:vAlign w:val="center"/>
          </w:tcPr>
          <w:p w14:paraId="062923F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环境空气质</w:t>
            </w:r>
          </w:p>
          <w:p w14:paraId="7302C1E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量现状调查数据来源</w:t>
            </w:r>
          </w:p>
        </w:tc>
        <w:tc>
          <w:tcPr>
            <w:tcW w:w="2465" w:type="dxa"/>
            <w:gridSpan w:val="7"/>
            <w:shd w:val="clear" w:color="auto" w:fill="auto"/>
            <w:vAlign w:val="center"/>
          </w:tcPr>
          <w:p w14:paraId="6701967C">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长期例行监测数据</w:t>
            </w:r>
            <w:r>
              <w:rPr>
                <w:rFonts w:hint="eastAsia" w:cs="Times New Roman"/>
                <w:color w:val="auto"/>
                <w:sz w:val="21"/>
                <w:szCs w:val="21"/>
                <w:highlight w:val="none"/>
                <w:lang w:val="en-US" w:eastAsia="zh-CN"/>
              </w:rPr>
              <w:t>□</w:t>
            </w:r>
          </w:p>
        </w:tc>
        <w:tc>
          <w:tcPr>
            <w:tcW w:w="2244" w:type="dxa"/>
            <w:gridSpan w:val="6"/>
            <w:shd w:val="clear" w:color="auto" w:fill="auto"/>
            <w:vAlign w:val="center"/>
          </w:tcPr>
          <w:p w14:paraId="18F4660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主管部门发布的数据</w:t>
            </w:r>
            <w:r>
              <w:rPr>
                <w:rFonts w:hint="eastAsia" w:cs="Times New Roman"/>
                <w:color w:val="auto"/>
                <w:sz w:val="21"/>
                <w:szCs w:val="21"/>
                <w:highlight w:val="none"/>
                <w:lang w:val="en-US" w:eastAsia="zh-CN"/>
              </w:rPr>
              <w:t>☑</w:t>
            </w:r>
          </w:p>
        </w:tc>
        <w:tc>
          <w:tcPr>
            <w:tcW w:w="1669" w:type="dxa"/>
            <w:gridSpan w:val="4"/>
            <w:shd w:val="clear" w:color="auto" w:fill="auto"/>
            <w:vAlign w:val="center"/>
          </w:tcPr>
          <w:p w14:paraId="4CEB6CB3">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现状补充检测</w:t>
            </w:r>
            <w:r>
              <w:rPr>
                <w:rFonts w:hint="eastAsia" w:cs="Times New Roman"/>
                <w:color w:val="auto"/>
                <w:sz w:val="21"/>
                <w:szCs w:val="21"/>
                <w:highlight w:val="none"/>
                <w:lang w:val="en-US" w:eastAsia="zh-CN"/>
              </w:rPr>
              <w:t>☑</w:t>
            </w:r>
          </w:p>
        </w:tc>
      </w:tr>
      <w:tr w14:paraId="0C77D9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continue"/>
            <w:shd w:val="clear" w:color="auto" w:fill="auto"/>
            <w:vAlign w:val="center"/>
          </w:tcPr>
          <w:p w14:paraId="42D2C9DC">
            <w:pPr>
              <w:spacing w:line="360" w:lineRule="exact"/>
              <w:ind w:firstLine="0" w:firstLineChars="0"/>
              <w:jc w:val="center"/>
              <w:rPr>
                <w:rFonts w:hint="default" w:ascii="Times New Roman" w:hAnsi="Times New Roman" w:cs="Times New Roman"/>
                <w:color w:val="auto"/>
                <w:sz w:val="21"/>
                <w:szCs w:val="21"/>
                <w:highlight w:val="none"/>
              </w:rPr>
            </w:pPr>
          </w:p>
        </w:tc>
        <w:tc>
          <w:tcPr>
            <w:tcW w:w="1097" w:type="dxa"/>
            <w:shd w:val="clear" w:color="auto" w:fill="auto"/>
            <w:vAlign w:val="center"/>
          </w:tcPr>
          <w:p w14:paraId="3DBB314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现状评价</w:t>
            </w:r>
          </w:p>
        </w:tc>
        <w:tc>
          <w:tcPr>
            <w:tcW w:w="3623" w:type="dxa"/>
            <w:gridSpan w:val="11"/>
            <w:shd w:val="clear" w:color="auto" w:fill="auto"/>
            <w:vAlign w:val="center"/>
          </w:tcPr>
          <w:p w14:paraId="72AF00A1">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达标区</w:t>
            </w:r>
            <w:r>
              <w:rPr>
                <w:rFonts w:hint="eastAsia" w:cs="Times New Roman"/>
                <w:color w:val="auto"/>
                <w:sz w:val="21"/>
                <w:szCs w:val="21"/>
                <w:highlight w:val="none"/>
                <w:lang w:val="en-US" w:eastAsia="zh-CN"/>
              </w:rPr>
              <w:t>□</w:t>
            </w:r>
          </w:p>
        </w:tc>
        <w:tc>
          <w:tcPr>
            <w:tcW w:w="2755" w:type="dxa"/>
            <w:gridSpan w:val="6"/>
            <w:shd w:val="clear" w:color="auto" w:fill="auto"/>
            <w:vAlign w:val="center"/>
          </w:tcPr>
          <w:p w14:paraId="5A396089">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不达标区</w:t>
            </w:r>
            <w:r>
              <w:rPr>
                <w:rFonts w:hint="eastAsia" w:cs="Times New Roman"/>
                <w:color w:val="auto"/>
                <w:sz w:val="21"/>
                <w:szCs w:val="21"/>
                <w:highlight w:val="none"/>
                <w:lang w:val="en-US" w:eastAsia="zh-CN"/>
              </w:rPr>
              <w:t>☑</w:t>
            </w:r>
          </w:p>
        </w:tc>
      </w:tr>
      <w:tr w14:paraId="3F3EDD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shd w:val="clear" w:color="auto" w:fill="auto"/>
            <w:vAlign w:val="center"/>
          </w:tcPr>
          <w:p w14:paraId="25B22A4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污染源调查</w:t>
            </w:r>
          </w:p>
        </w:tc>
        <w:tc>
          <w:tcPr>
            <w:tcW w:w="1097" w:type="dxa"/>
            <w:shd w:val="clear" w:color="auto" w:fill="auto"/>
            <w:vAlign w:val="center"/>
          </w:tcPr>
          <w:p w14:paraId="0BB976B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调查内容</w:t>
            </w:r>
          </w:p>
        </w:tc>
        <w:tc>
          <w:tcPr>
            <w:tcW w:w="1860" w:type="dxa"/>
            <w:gridSpan w:val="5"/>
            <w:shd w:val="clear" w:color="auto" w:fill="auto"/>
            <w:vAlign w:val="center"/>
          </w:tcPr>
          <w:p w14:paraId="508D424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本项目正常排放源</w:t>
            </w:r>
            <w:r>
              <w:rPr>
                <w:rFonts w:hint="eastAsia" w:cs="Times New Roman"/>
                <w:color w:val="auto"/>
                <w:sz w:val="21"/>
                <w:szCs w:val="21"/>
                <w:highlight w:val="none"/>
                <w:lang w:val="en-US" w:eastAsia="zh-CN"/>
              </w:rPr>
              <w:t>☑</w:t>
            </w:r>
          </w:p>
          <w:p w14:paraId="006ED8D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本项目非正常排放源</w:t>
            </w:r>
            <w:r>
              <w:rPr>
                <w:rFonts w:hint="eastAsia" w:cs="Times New Roman"/>
                <w:color w:val="auto"/>
                <w:sz w:val="21"/>
                <w:szCs w:val="21"/>
                <w:highlight w:val="none"/>
                <w:lang w:val="en-US" w:eastAsia="zh-CN"/>
              </w:rPr>
              <w:t>☑</w:t>
            </w:r>
          </w:p>
          <w:p w14:paraId="6090D226">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现有污染源</w:t>
            </w:r>
            <w:r>
              <w:rPr>
                <w:rFonts w:hint="eastAsia" w:cs="Times New Roman"/>
                <w:color w:val="auto"/>
                <w:sz w:val="21"/>
                <w:szCs w:val="21"/>
                <w:highlight w:val="none"/>
                <w:lang w:val="en-US" w:eastAsia="zh-CN"/>
              </w:rPr>
              <w:t>□</w:t>
            </w:r>
          </w:p>
        </w:tc>
        <w:tc>
          <w:tcPr>
            <w:tcW w:w="1763" w:type="dxa"/>
            <w:gridSpan w:val="6"/>
            <w:shd w:val="clear" w:color="auto" w:fill="auto"/>
            <w:vAlign w:val="center"/>
          </w:tcPr>
          <w:p w14:paraId="3326DEC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拟替代的污染源</w:t>
            </w:r>
          </w:p>
          <w:p w14:paraId="1699F072">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w:t>
            </w:r>
          </w:p>
        </w:tc>
        <w:tc>
          <w:tcPr>
            <w:tcW w:w="1505" w:type="dxa"/>
            <w:gridSpan w:val="4"/>
            <w:shd w:val="clear" w:color="auto" w:fill="auto"/>
            <w:vAlign w:val="center"/>
          </w:tcPr>
          <w:p w14:paraId="09395A2A">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其他在建、拟建项目污染源</w:t>
            </w:r>
            <w:r>
              <w:rPr>
                <w:rFonts w:hint="eastAsia" w:cs="Times New Roman"/>
                <w:color w:val="auto"/>
                <w:sz w:val="21"/>
                <w:szCs w:val="21"/>
                <w:highlight w:val="none"/>
                <w:lang w:val="en-US" w:eastAsia="zh-CN"/>
              </w:rPr>
              <w:t>□</w:t>
            </w:r>
          </w:p>
        </w:tc>
        <w:tc>
          <w:tcPr>
            <w:tcW w:w="1250" w:type="dxa"/>
            <w:gridSpan w:val="2"/>
            <w:shd w:val="clear" w:color="auto" w:fill="auto"/>
            <w:vAlign w:val="center"/>
          </w:tcPr>
          <w:p w14:paraId="746CD35C">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区域污染源</w:t>
            </w:r>
            <w:r>
              <w:rPr>
                <w:rFonts w:hint="eastAsia" w:cs="Times New Roman"/>
                <w:color w:val="auto"/>
                <w:sz w:val="21"/>
                <w:szCs w:val="21"/>
                <w:highlight w:val="none"/>
                <w:lang w:val="en-US" w:eastAsia="zh-CN"/>
              </w:rPr>
              <w:t>□</w:t>
            </w:r>
          </w:p>
        </w:tc>
      </w:tr>
      <w:tr w14:paraId="6384EA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restart"/>
            <w:shd w:val="clear" w:color="auto" w:fill="auto"/>
            <w:vAlign w:val="center"/>
          </w:tcPr>
          <w:p w14:paraId="272B64F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大气环境影响预测与评价</w:t>
            </w:r>
          </w:p>
        </w:tc>
        <w:tc>
          <w:tcPr>
            <w:tcW w:w="1097" w:type="dxa"/>
            <w:shd w:val="clear" w:color="auto" w:fill="auto"/>
            <w:vAlign w:val="center"/>
          </w:tcPr>
          <w:p w14:paraId="791A8F1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预测模型</w:t>
            </w:r>
          </w:p>
        </w:tc>
        <w:tc>
          <w:tcPr>
            <w:tcW w:w="921" w:type="dxa"/>
            <w:shd w:val="clear" w:color="auto" w:fill="auto"/>
            <w:vAlign w:val="center"/>
          </w:tcPr>
          <w:p w14:paraId="4A23977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AERMOD</w:t>
            </w:r>
          </w:p>
          <w:p w14:paraId="2E3234CE">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w:t>
            </w:r>
          </w:p>
        </w:tc>
        <w:tc>
          <w:tcPr>
            <w:tcW w:w="662" w:type="dxa"/>
            <w:gridSpan w:val="2"/>
            <w:shd w:val="clear" w:color="auto" w:fill="auto"/>
            <w:vAlign w:val="center"/>
          </w:tcPr>
          <w:p w14:paraId="2891D59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ADMS</w:t>
            </w:r>
          </w:p>
          <w:p w14:paraId="5FD630D4">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w:t>
            </w:r>
          </w:p>
        </w:tc>
        <w:tc>
          <w:tcPr>
            <w:tcW w:w="1254" w:type="dxa"/>
            <w:gridSpan w:val="5"/>
            <w:shd w:val="clear" w:color="auto" w:fill="auto"/>
            <w:vAlign w:val="center"/>
          </w:tcPr>
          <w:p w14:paraId="188BA17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AUSTAL2000</w:t>
            </w:r>
          </w:p>
          <w:p w14:paraId="1D68D58D">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w:t>
            </w:r>
          </w:p>
        </w:tc>
        <w:tc>
          <w:tcPr>
            <w:tcW w:w="1212" w:type="dxa"/>
            <w:gridSpan w:val="4"/>
            <w:shd w:val="clear" w:color="auto" w:fill="auto"/>
            <w:vAlign w:val="center"/>
          </w:tcPr>
          <w:p w14:paraId="25443CC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EDMS/AEDT</w:t>
            </w:r>
          </w:p>
          <w:p w14:paraId="6FADB0F1">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w:t>
            </w:r>
          </w:p>
        </w:tc>
        <w:tc>
          <w:tcPr>
            <w:tcW w:w="1079" w:type="dxa"/>
            <w:gridSpan w:val="3"/>
            <w:shd w:val="clear" w:color="auto" w:fill="auto"/>
            <w:vAlign w:val="center"/>
          </w:tcPr>
          <w:p w14:paraId="12BF6C47">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CALPUFF</w:t>
            </w:r>
            <w:r>
              <w:rPr>
                <w:rFonts w:hint="eastAsia" w:cs="Times New Roman"/>
                <w:color w:val="auto"/>
                <w:sz w:val="21"/>
                <w:szCs w:val="21"/>
                <w:highlight w:val="none"/>
                <w:lang w:val="en-US" w:eastAsia="zh-CN"/>
              </w:rPr>
              <w:t>□</w:t>
            </w:r>
          </w:p>
        </w:tc>
        <w:tc>
          <w:tcPr>
            <w:tcW w:w="901" w:type="dxa"/>
            <w:shd w:val="clear" w:color="auto" w:fill="auto"/>
            <w:vAlign w:val="center"/>
          </w:tcPr>
          <w:p w14:paraId="0240B595">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网格模型</w:t>
            </w:r>
            <w:r>
              <w:rPr>
                <w:rFonts w:hint="eastAsia" w:cs="Times New Roman"/>
                <w:color w:val="auto"/>
                <w:sz w:val="21"/>
                <w:szCs w:val="21"/>
                <w:highlight w:val="none"/>
                <w:lang w:val="en-US" w:eastAsia="zh-CN"/>
              </w:rPr>
              <w:t>□</w:t>
            </w:r>
          </w:p>
        </w:tc>
        <w:tc>
          <w:tcPr>
            <w:tcW w:w="349" w:type="dxa"/>
            <w:shd w:val="clear" w:color="auto" w:fill="auto"/>
            <w:vAlign w:val="center"/>
          </w:tcPr>
          <w:p w14:paraId="6E680E9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其</w:t>
            </w:r>
          </w:p>
          <w:p w14:paraId="2057D1D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他</w:t>
            </w:r>
          </w:p>
          <w:p w14:paraId="1E6A223D">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w:t>
            </w:r>
          </w:p>
        </w:tc>
      </w:tr>
      <w:tr w14:paraId="3951D5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continue"/>
            <w:shd w:val="clear" w:color="auto" w:fill="auto"/>
            <w:vAlign w:val="center"/>
          </w:tcPr>
          <w:p w14:paraId="75DA79DE">
            <w:pPr>
              <w:spacing w:line="360" w:lineRule="exact"/>
              <w:ind w:firstLine="0" w:firstLineChars="0"/>
              <w:jc w:val="center"/>
              <w:rPr>
                <w:rFonts w:hint="default" w:ascii="Times New Roman" w:hAnsi="Times New Roman" w:cs="Times New Roman"/>
                <w:color w:val="auto"/>
                <w:sz w:val="21"/>
                <w:szCs w:val="21"/>
                <w:highlight w:val="none"/>
              </w:rPr>
            </w:pPr>
          </w:p>
        </w:tc>
        <w:tc>
          <w:tcPr>
            <w:tcW w:w="1097" w:type="dxa"/>
            <w:shd w:val="clear" w:color="auto" w:fill="auto"/>
            <w:vAlign w:val="center"/>
          </w:tcPr>
          <w:p w14:paraId="3400ECD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预测范围</w:t>
            </w:r>
          </w:p>
        </w:tc>
        <w:tc>
          <w:tcPr>
            <w:tcW w:w="2465" w:type="dxa"/>
            <w:gridSpan w:val="7"/>
            <w:shd w:val="clear" w:color="auto" w:fill="auto"/>
            <w:vAlign w:val="center"/>
          </w:tcPr>
          <w:p w14:paraId="36A1A042">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边长≥50km</w:t>
            </w:r>
            <w:r>
              <w:rPr>
                <w:rFonts w:hint="eastAsia" w:cs="Times New Roman"/>
                <w:color w:val="auto"/>
                <w:sz w:val="21"/>
                <w:szCs w:val="21"/>
                <w:highlight w:val="none"/>
                <w:lang w:val="en-US" w:eastAsia="zh-CN"/>
              </w:rPr>
              <w:t>□</w:t>
            </w:r>
          </w:p>
        </w:tc>
        <w:tc>
          <w:tcPr>
            <w:tcW w:w="2244" w:type="dxa"/>
            <w:gridSpan w:val="6"/>
            <w:shd w:val="clear" w:color="auto" w:fill="auto"/>
            <w:vAlign w:val="center"/>
          </w:tcPr>
          <w:p w14:paraId="3912E6F0">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边长5～50km</w:t>
            </w:r>
            <w:r>
              <w:rPr>
                <w:rFonts w:hint="eastAsia" w:cs="Times New Roman"/>
                <w:color w:val="auto"/>
                <w:sz w:val="21"/>
                <w:szCs w:val="21"/>
                <w:highlight w:val="none"/>
                <w:lang w:val="en-US" w:eastAsia="zh-CN"/>
              </w:rPr>
              <w:t>□</w:t>
            </w:r>
          </w:p>
        </w:tc>
        <w:tc>
          <w:tcPr>
            <w:tcW w:w="1669" w:type="dxa"/>
            <w:gridSpan w:val="4"/>
            <w:shd w:val="clear" w:color="auto" w:fill="auto"/>
            <w:vAlign w:val="center"/>
          </w:tcPr>
          <w:p w14:paraId="4CCC4B94">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边长=5km</w:t>
            </w:r>
            <w:r>
              <w:rPr>
                <w:rFonts w:hint="eastAsia" w:cs="Times New Roman"/>
                <w:color w:val="auto"/>
                <w:sz w:val="21"/>
                <w:szCs w:val="21"/>
                <w:highlight w:val="none"/>
                <w:lang w:val="en-US" w:eastAsia="zh-CN"/>
              </w:rPr>
              <w:t>□</w:t>
            </w:r>
          </w:p>
        </w:tc>
      </w:tr>
      <w:tr w14:paraId="49942A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continue"/>
            <w:shd w:val="clear" w:color="auto" w:fill="auto"/>
            <w:vAlign w:val="center"/>
          </w:tcPr>
          <w:p w14:paraId="5804BDCC">
            <w:pPr>
              <w:spacing w:line="360" w:lineRule="exact"/>
              <w:ind w:firstLine="0" w:firstLineChars="0"/>
              <w:jc w:val="center"/>
              <w:rPr>
                <w:rFonts w:hint="default" w:ascii="Times New Roman" w:hAnsi="Times New Roman" w:cs="Times New Roman"/>
                <w:color w:val="auto"/>
                <w:sz w:val="21"/>
                <w:szCs w:val="21"/>
                <w:highlight w:val="none"/>
              </w:rPr>
            </w:pPr>
          </w:p>
        </w:tc>
        <w:tc>
          <w:tcPr>
            <w:tcW w:w="1097" w:type="dxa"/>
            <w:vMerge w:val="restart"/>
            <w:shd w:val="clear" w:color="auto" w:fill="auto"/>
            <w:vAlign w:val="center"/>
          </w:tcPr>
          <w:p w14:paraId="5E51FF3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预测因子</w:t>
            </w:r>
          </w:p>
        </w:tc>
        <w:tc>
          <w:tcPr>
            <w:tcW w:w="3458" w:type="dxa"/>
            <w:gridSpan w:val="10"/>
            <w:vMerge w:val="restart"/>
            <w:shd w:val="clear" w:color="auto" w:fill="auto"/>
            <w:vAlign w:val="center"/>
          </w:tcPr>
          <w:p w14:paraId="45C351F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预测因子（TSP、PM</w:t>
            </w:r>
            <w:r>
              <w:rPr>
                <w:rFonts w:hint="default" w:ascii="Times New Roman" w:hAnsi="Times New Roman" w:cs="Times New Roman"/>
                <w:color w:val="auto"/>
                <w:sz w:val="21"/>
                <w:szCs w:val="21"/>
                <w:highlight w:val="none"/>
                <w:vertAlign w:val="subscript"/>
              </w:rPr>
              <w:t>10</w:t>
            </w:r>
            <w:r>
              <w:rPr>
                <w:rFonts w:hint="default" w:ascii="Times New Roman" w:hAnsi="Times New Roman" w:cs="Times New Roman"/>
                <w:color w:val="auto"/>
                <w:sz w:val="21"/>
                <w:szCs w:val="21"/>
                <w:highlight w:val="none"/>
                <w:vertAlign w:val="baseline"/>
                <w:lang w:eastAsia="zh-CN"/>
              </w:rPr>
              <w:t>、氟化物</w:t>
            </w:r>
            <w:r>
              <w:rPr>
                <w:rFonts w:hint="eastAsia" w:cs="Times New Roman"/>
                <w:color w:val="auto"/>
                <w:sz w:val="21"/>
                <w:szCs w:val="21"/>
                <w:highlight w:val="none"/>
                <w:vertAlign w:val="baseline"/>
                <w:lang w:eastAsia="zh-CN"/>
              </w:rPr>
              <w:t>、SO</w:t>
            </w:r>
            <w:r>
              <w:rPr>
                <w:rFonts w:hint="eastAsia" w:cs="Times New Roman"/>
                <w:color w:val="auto"/>
                <w:sz w:val="21"/>
                <w:szCs w:val="21"/>
                <w:highlight w:val="none"/>
                <w:vertAlign w:val="subscript"/>
                <w:lang w:eastAsia="zh-CN"/>
              </w:rPr>
              <w:t>2</w:t>
            </w:r>
            <w:r>
              <w:rPr>
                <w:rFonts w:hint="eastAsia" w:cs="Times New Roman"/>
                <w:color w:val="auto"/>
                <w:sz w:val="21"/>
                <w:szCs w:val="21"/>
                <w:highlight w:val="none"/>
                <w:vertAlign w:val="baseline"/>
                <w:lang w:eastAsia="zh-CN"/>
              </w:rPr>
              <w:t>、NOx、Hg</w:t>
            </w:r>
            <w:r>
              <w:rPr>
                <w:rFonts w:hint="default" w:ascii="Times New Roman" w:hAnsi="Times New Roman" w:cs="Times New Roman"/>
                <w:color w:val="auto"/>
                <w:sz w:val="21"/>
                <w:szCs w:val="21"/>
                <w:highlight w:val="none"/>
              </w:rPr>
              <w:t>）</w:t>
            </w:r>
          </w:p>
        </w:tc>
        <w:tc>
          <w:tcPr>
            <w:tcW w:w="2920" w:type="dxa"/>
            <w:gridSpan w:val="7"/>
            <w:shd w:val="clear" w:color="auto" w:fill="auto"/>
            <w:vAlign w:val="center"/>
          </w:tcPr>
          <w:p w14:paraId="39369929">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包括二次PM</w:t>
            </w:r>
            <w:r>
              <w:rPr>
                <w:rFonts w:hint="default" w:ascii="Times New Roman" w:hAnsi="Times New Roman" w:cs="Times New Roman"/>
                <w:color w:val="auto"/>
                <w:sz w:val="21"/>
                <w:szCs w:val="21"/>
                <w:highlight w:val="none"/>
                <w:vertAlign w:val="subscript"/>
              </w:rPr>
              <w:t>2.5</w:t>
            </w:r>
            <w:r>
              <w:rPr>
                <w:rFonts w:hint="eastAsia" w:cs="Times New Roman"/>
                <w:color w:val="auto"/>
                <w:sz w:val="21"/>
                <w:szCs w:val="21"/>
                <w:highlight w:val="none"/>
                <w:lang w:val="en-US" w:eastAsia="zh-CN"/>
              </w:rPr>
              <w:t>□</w:t>
            </w:r>
          </w:p>
        </w:tc>
      </w:tr>
      <w:tr w14:paraId="270B01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continue"/>
            <w:shd w:val="clear" w:color="auto" w:fill="auto"/>
            <w:vAlign w:val="center"/>
          </w:tcPr>
          <w:p w14:paraId="14178A71">
            <w:pPr>
              <w:spacing w:line="360" w:lineRule="exact"/>
              <w:ind w:firstLine="0" w:firstLineChars="0"/>
              <w:jc w:val="center"/>
              <w:rPr>
                <w:rFonts w:hint="default" w:ascii="Times New Roman" w:hAnsi="Times New Roman" w:cs="Times New Roman"/>
                <w:color w:val="auto"/>
                <w:sz w:val="21"/>
                <w:szCs w:val="21"/>
                <w:highlight w:val="none"/>
              </w:rPr>
            </w:pPr>
          </w:p>
        </w:tc>
        <w:tc>
          <w:tcPr>
            <w:tcW w:w="1097" w:type="dxa"/>
            <w:vMerge w:val="continue"/>
            <w:shd w:val="clear" w:color="auto" w:fill="auto"/>
            <w:vAlign w:val="center"/>
          </w:tcPr>
          <w:p w14:paraId="40BE8228">
            <w:pPr>
              <w:spacing w:line="360" w:lineRule="exact"/>
              <w:ind w:firstLine="0" w:firstLineChars="0"/>
              <w:jc w:val="center"/>
              <w:rPr>
                <w:rFonts w:hint="default" w:ascii="Times New Roman" w:hAnsi="Times New Roman" w:cs="Times New Roman"/>
                <w:color w:val="auto"/>
                <w:sz w:val="21"/>
                <w:szCs w:val="21"/>
                <w:highlight w:val="none"/>
              </w:rPr>
            </w:pPr>
          </w:p>
        </w:tc>
        <w:tc>
          <w:tcPr>
            <w:tcW w:w="3458" w:type="dxa"/>
            <w:gridSpan w:val="10"/>
            <w:vMerge w:val="continue"/>
            <w:shd w:val="clear" w:color="auto" w:fill="auto"/>
            <w:vAlign w:val="center"/>
          </w:tcPr>
          <w:p w14:paraId="343492D7">
            <w:pPr>
              <w:spacing w:line="360" w:lineRule="exact"/>
              <w:ind w:firstLine="0" w:firstLineChars="0"/>
              <w:jc w:val="center"/>
              <w:rPr>
                <w:rFonts w:hint="default" w:ascii="Times New Roman" w:hAnsi="Times New Roman" w:cs="Times New Roman"/>
                <w:color w:val="auto"/>
                <w:sz w:val="21"/>
                <w:szCs w:val="21"/>
                <w:highlight w:val="none"/>
              </w:rPr>
            </w:pPr>
          </w:p>
        </w:tc>
        <w:tc>
          <w:tcPr>
            <w:tcW w:w="2920" w:type="dxa"/>
            <w:gridSpan w:val="7"/>
            <w:shd w:val="clear" w:color="auto" w:fill="auto"/>
            <w:vAlign w:val="center"/>
          </w:tcPr>
          <w:p w14:paraId="293D5E23">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不包括二次PM</w:t>
            </w:r>
            <w:r>
              <w:rPr>
                <w:rFonts w:hint="default" w:ascii="Times New Roman" w:hAnsi="Times New Roman" w:cs="Times New Roman"/>
                <w:color w:val="auto"/>
                <w:sz w:val="21"/>
                <w:szCs w:val="21"/>
                <w:highlight w:val="none"/>
                <w:vertAlign w:val="subscript"/>
              </w:rPr>
              <w:t>2.5</w:t>
            </w:r>
            <w:r>
              <w:rPr>
                <w:rFonts w:hint="eastAsia" w:cs="Times New Roman"/>
                <w:color w:val="auto"/>
                <w:sz w:val="21"/>
                <w:szCs w:val="21"/>
                <w:highlight w:val="none"/>
                <w:lang w:val="en-US" w:eastAsia="zh-CN"/>
              </w:rPr>
              <w:t>□</w:t>
            </w:r>
          </w:p>
        </w:tc>
      </w:tr>
      <w:tr w14:paraId="464405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continue"/>
            <w:shd w:val="clear" w:color="auto" w:fill="auto"/>
            <w:vAlign w:val="center"/>
          </w:tcPr>
          <w:p w14:paraId="77643181">
            <w:pPr>
              <w:spacing w:line="360" w:lineRule="exact"/>
              <w:ind w:firstLine="0" w:firstLineChars="0"/>
              <w:jc w:val="center"/>
              <w:rPr>
                <w:rFonts w:hint="default" w:ascii="Times New Roman" w:hAnsi="Times New Roman" w:cs="Times New Roman"/>
                <w:color w:val="auto"/>
                <w:sz w:val="21"/>
                <w:szCs w:val="21"/>
                <w:highlight w:val="none"/>
              </w:rPr>
            </w:pPr>
          </w:p>
        </w:tc>
        <w:tc>
          <w:tcPr>
            <w:tcW w:w="1097" w:type="dxa"/>
            <w:shd w:val="clear" w:color="auto" w:fill="auto"/>
            <w:vAlign w:val="center"/>
          </w:tcPr>
          <w:p w14:paraId="20F8E3E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正常排放短</w:t>
            </w:r>
          </w:p>
          <w:p w14:paraId="0B8C128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期浓度贡献值</w:t>
            </w:r>
          </w:p>
        </w:tc>
        <w:tc>
          <w:tcPr>
            <w:tcW w:w="3458" w:type="dxa"/>
            <w:gridSpan w:val="10"/>
            <w:shd w:val="clear" w:color="auto" w:fill="auto"/>
            <w:vAlign w:val="center"/>
          </w:tcPr>
          <w:p w14:paraId="3E7F42EC">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C</w:t>
            </w:r>
            <w:r>
              <w:rPr>
                <w:rFonts w:hint="default" w:ascii="Times New Roman" w:hAnsi="Times New Roman" w:cs="Times New Roman"/>
                <w:color w:val="auto"/>
                <w:sz w:val="21"/>
                <w:szCs w:val="21"/>
                <w:highlight w:val="none"/>
                <w:vertAlign w:val="subscript"/>
              </w:rPr>
              <w:t>本项目</w:t>
            </w:r>
            <w:r>
              <w:rPr>
                <w:rFonts w:hint="default" w:ascii="Times New Roman" w:hAnsi="Times New Roman" w:cs="Times New Roman"/>
                <w:color w:val="auto"/>
                <w:sz w:val="21"/>
                <w:szCs w:val="21"/>
                <w:highlight w:val="none"/>
              </w:rPr>
              <w:t>最大占标率≤100%</w:t>
            </w:r>
            <w:r>
              <w:rPr>
                <w:rFonts w:hint="eastAsia" w:cs="Times New Roman"/>
                <w:color w:val="auto"/>
                <w:sz w:val="21"/>
                <w:szCs w:val="21"/>
                <w:highlight w:val="none"/>
                <w:lang w:val="en-US" w:eastAsia="zh-CN"/>
              </w:rPr>
              <w:t>□</w:t>
            </w:r>
          </w:p>
        </w:tc>
        <w:tc>
          <w:tcPr>
            <w:tcW w:w="2920" w:type="dxa"/>
            <w:gridSpan w:val="7"/>
            <w:shd w:val="clear" w:color="auto" w:fill="auto"/>
            <w:vAlign w:val="center"/>
          </w:tcPr>
          <w:p w14:paraId="7A075B27">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C</w:t>
            </w:r>
            <w:r>
              <w:rPr>
                <w:rFonts w:hint="default" w:ascii="Times New Roman" w:hAnsi="Times New Roman" w:cs="Times New Roman"/>
                <w:color w:val="auto"/>
                <w:sz w:val="21"/>
                <w:szCs w:val="21"/>
                <w:highlight w:val="none"/>
                <w:vertAlign w:val="subscript"/>
              </w:rPr>
              <w:t>本项目</w:t>
            </w:r>
            <w:r>
              <w:rPr>
                <w:rFonts w:hint="default" w:ascii="Times New Roman" w:hAnsi="Times New Roman" w:cs="Times New Roman"/>
                <w:color w:val="auto"/>
                <w:sz w:val="21"/>
                <w:szCs w:val="21"/>
                <w:highlight w:val="none"/>
              </w:rPr>
              <w:t>最大占标率&gt;100%</w:t>
            </w:r>
            <w:r>
              <w:rPr>
                <w:rFonts w:hint="eastAsia" w:cs="Times New Roman"/>
                <w:color w:val="auto"/>
                <w:sz w:val="21"/>
                <w:szCs w:val="21"/>
                <w:highlight w:val="none"/>
                <w:lang w:val="en-US" w:eastAsia="zh-CN"/>
              </w:rPr>
              <w:t>□</w:t>
            </w:r>
          </w:p>
        </w:tc>
      </w:tr>
      <w:tr w14:paraId="0E3478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continue"/>
            <w:shd w:val="clear" w:color="auto" w:fill="auto"/>
            <w:vAlign w:val="center"/>
          </w:tcPr>
          <w:p w14:paraId="64894A68">
            <w:pPr>
              <w:spacing w:line="360" w:lineRule="exact"/>
              <w:ind w:firstLine="0" w:firstLineChars="0"/>
              <w:jc w:val="center"/>
              <w:rPr>
                <w:rFonts w:hint="default" w:ascii="Times New Roman" w:hAnsi="Times New Roman" w:cs="Times New Roman"/>
                <w:color w:val="auto"/>
                <w:sz w:val="21"/>
                <w:szCs w:val="21"/>
                <w:highlight w:val="none"/>
              </w:rPr>
            </w:pPr>
          </w:p>
        </w:tc>
        <w:tc>
          <w:tcPr>
            <w:tcW w:w="1097" w:type="dxa"/>
            <w:vMerge w:val="restart"/>
            <w:shd w:val="clear" w:color="auto" w:fill="auto"/>
            <w:vAlign w:val="center"/>
          </w:tcPr>
          <w:p w14:paraId="13076B2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正常排放年均浓度贡献值</w:t>
            </w:r>
          </w:p>
        </w:tc>
        <w:tc>
          <w:tcPr>
            <w:tcW w:w="1719" w:type="dxa"/>
            <w:gridSpan w:val="4"/>
            <w:shd w:val="clear" w:color="auto" w:fill="auto"/>
            <w:vAlign w:val="center"/>
          </w:tcPr>
          <w:p w14:paraId="45E5B81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一类区</w:t>
            </w:r>
          </w:p>
        </w:tc>
        <w:tc>
          <w:tcPr>
            <w:tcW w:w="1739" w:type="dxa"/>
            <w:gridSpan w:val="6"/>
            <w:shd w:val="clear" w:color="auto" w:fill="auto"/>
            <w:vAlign w:val="center"/>
          </w:tcPr>
          <w:p w14:paraId="373D2A1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w:t>
            </w:r>
            <w:r>
              <w:rPr>
                <w:rFonts w:hint="default" w:ascii="Times New Roman" w:hAnsi="Times New Roman" w:cs="Times New Roman"/>
                <w:color w:val="auto"/>
                <w:sz w:val="21"/>
                <w:szCs w:val="21"/>
                <w:highlight w:val="none"/>
                <w:vertAlign w:val="subscript"/>
              </w:rPr>
              <w:t>本项目</w:t>
            </w:r>
            <w:r>
              <w:rPr>
                <w:rFonts w:hint="default" w:ascii="Times New Roman" w:hAnsi="Times New Roman" w:cs="Times New Roman"/>
                <w:color w:val="auto"/>
                <w:sz w:val="21"/>
                <w:szCs w:val="21"/>
                <w:highlight w:val="none"/>
              </w:rPr>
              <w:t>最大占标</w:t>
            </w:r>
          </w:p>
          <w:p w14:paraId="27D482C3">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率≤10%</w:t>
            </w:r>
            <w:r>
              <w:rPr>
                <w:rFonts w:hint="eastAsia" w:cs="Times New Roman"/>
                <w:color w:val="auto"/>
                <w:sz w:val="21"/>
                <w:szCs w:val="21"/>
                <w:highlight w:val="none"/>
                <w:lang w:val="en-US" w:eastAsia="zh-CN"/>
              </w:rPr>
              <w:t>□</w:t>
            </w:r>
          </w:p>
        </w:tc>
        <w:tc>
          <w:tcPr>
            <w:tcW w:w="2920" w:type="dxa"/>
            <w:gridSpan w:val="7"/>
            <w:shd w:val="clear" w:color="auto" w:fill="auto"/>
            <w:vAlign w:val="center"/>
          </w:tcPr>
          <w:p w14:paraId="1F000294">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C</w:t>
            </w:r>
            <w:r>
              <w:rPr>
                <w:rFonts w:hint="default" w:ascii="Times New Roman" w:hAnsi="Times New Roman" w:cs="Times New Roman"/>
                <w:color w:val="auto"/>
                <w:sz w:val="21"/>
                <w:szCs w:val="21"/>
                <w:highlight w:val="none"/>
                <w:vertAlign w:val="subscript"/>
              </w:rPr>
              <w:t>本项目</w:t>
            </w:r>
            <w:r>
              <w:rPr>
                <w:rFonts w:hint="default" w:ascii="Times New Roman" w:hAnsi="Times New Roman" w:cs="Times New Roman"/>
                <w:color w:val="auto"/>
                <w:sz w:val="21"/>
                <w:szCs w:val="21"/>
                <w:highlight w:val="none"/>
              </w:rPr>
              <w:t>最大占标率&gt;10%</w:t>
            </w:r>
            <w:r>
              <w:rPr>
                <w:rFonts w:hint="eastAsia" w:cs="Times New Roman"/>
                <w:color w:val="auto"/>
                <w:sz w:val="21"/>
                <w:szCs w:val="21"/>
                <w:highlight w:val="none"/>
                <w:lang w:val="en-US" w:eastAsia="zh-CN"/>
              </w:rPr>
              <w:t>□</w:t>
            </w:r>
          </w:p>
        </w:tc>
      </w:tr>
      <w:tr w14:paraId="684B11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continue"/>
            <w:shd w:val="clear" w:color="auto" w:fill="auto"/>
            <w:vAlign w:val="center"/>
          </w:tcPr>
          <w:p w14:paraId="12E2063E">
            <w:pPr>
              <w:spacing w:line="360" w:lineRule="exact"/>
              <w:ind w:firstLine="0" w:firstLineChars="0"/>
              <w:jc w:val="center"/>
              <w:rPr>
                <w:rFonts w:hint="default" w:ascii="Times New Roman" w:hAnsi="Times New Roman" w:cs="Times New Roman"/>
                <w:color w:val="auto"/>
                <w:sz w:val="21"/>
                <w:szCs w:val="21"/>
                <w:highlight w:val="none"/>
              </w:rPr>
            </w:pPr>
          </w:p>
        </w:tc>
        <w:tc>
          <w:tcPr>
            <w:tcW w:w="1097" w:type="dxa"/>
            <w:vMerge w:val="continue"/>
            <w:shd w:val="clear" w:color="auto" w:fill="auto"/>
            <w:vAlign w:val="center"/>
          </w:tcPr>
          <w:p w14:paraId="6E910F77">
            <w:pPr>
              <w:spacing w:line="360" w:lineRule="exact"/>
              <w:ind w:firstLine="0" w:firstLineChars="0"/>
              <w:jc w:val="center"/>
              <w:rPr>
                <w:rFonts w:hint="default" w:ascii="Times New Roman" w:hAnsi="Times New Roman" w:cs="Times New Roman"/>
                <w:color w:val="auto"/>
                <w:sz w:val="21"/>
                <w:szCs w:val="21"/>
                <w:highlight w:val="none"/>
              </w:rPr>
            </w:pPr>
          </w:p>
        </w:tc>
        <w:tc>
          <w:tcPr>
            <w:tcW w:w="1719" w:type="dxa"/>
            <w:gridSpan w:val="4"/>
            <w:shd w:val="clear" w:color="auto" w:fill="auto"/>
            <w:vAlign w:val="center"/>
          </w:tcPr>
          <w:p w14:paraId="5D0C60C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二类区</w:t>
            </w:r>
          </w:p>
        </w:tc>
        <w:tc>
          <w:tcPr>
            <w:tcW w:w="1739" w:type="dxa"/>
            <w:gridSpan w:val="6"/>
            <w:shd w:val="clear" w:color="auto" w:fill="auto"/>
            <w:vAlign w:val="center"/>
          </w:tcPr>
          <w:p w14:paraId="7A35411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w:t>
            </w:r>
            <w:r>
              <w:rPr>
                <w:rFonts w:hint="default" w:ascii="Times New Roman" w:hAnsi="Times New Roman" w:cs="Times New Roman"/>
                <w:color w:val="auto"/>
                <w:sz w:val="21"/>
                <w:szCs w:val="21"/>
                <w:highlight w:val="none"/>
                <w:vertAlign w:val="subscript"/>
              </w:rPr>
              <w:t>本项目</w:t>
            </w:r>
            <w:r>
              <w:rPr>
                <w:rFonts w:hint="default" w:ascii="Times New Roman" w:hAnsi="Times New Roman" w:cs="Times New Roman"/>
                <w:color w:val="auto"/>
                <w:sz w:val="21"/>
                <w:szCs w:val="21"/>
                <w:highlight w:val="none"/>
              </w:rPr>
              <w:t>最大占标</w:t>
            </w:r>
          </w:p>
          <w:p w14:paraId="455B03FD">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率≤30%</w:t>
            </w:r>
            <w:r>
              <w:rPr>
                <w:rFonts w:hint="eastAsia" w:cs="Times New Roman"/>
                <w:color w:val="auto"/>
                <w:sz w:val="21"/>
                <w:szCs w:val="21"/>
                <w:highlight w:val="none"/>
                <w:lang w:val="en-US" w:eastAsia="zh-CN"/>
              </w:rPr>
              <w:t>□</w:t>
            </w:r>
          </w:p>
        </w:tc>
        <w:tc>
          <w:tcPr>
            <w:tcW w:w="2920" w:type="dxa"/>
            <w:gridSpan w:val="7"/>
            <w:shd w:val="clear" w:color="auto" w:fill="auto"/>
            <w:vAlign w:val="center"/>
          </w:tcPr>
          <w:p w14:paraId="37B61F43">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C</w:t>
            </w:r>
            <w:r>
              <w:rPr>
                <w:rFonts w:hint="default" w:ascii="Times New Roman" w:hAnsi="Times New Roman" w:cs="Times New Roman"/>
                <w:color w:val="auto"/>
                <w:sz w:val="21"/>
                <w:szCs w:val="21"/>
                <w:highlight w:val="none"/>
                <w:vertAlign w:val="subscript"/>
              </w:rPr>
              <w:t>本项目</w:t>
            </w:r>
            <w:r>
              <w:rPr>
                <w:rFonts w:hint="default" w:ascii="Times New Roman" w:hAnsi="Times New Roman" w:cs="Times New Roman"/>
                <w:color w:val="auto"/>
                <w:sz w:val="21"/>
                <w:szCs w:val="21"/>
                <w:highlight w:val="none"/>
              </w:rPr>
              <w:t>最大占标率&gt;30%</w:t>
            </w:r>
            <w:r>
              <w:rPr>
                <w:rFonts w:hint="eastAsia" w:cs="Times New Roman"/>
                <w:color w:val="auto"/>
                <w:sz w:val="21"/>
                <w:szCs w:val="21"/>
                <w:highlight w:val="none"/>
                <w:lang w:val="en-US" w:eastAsia="zh-CN"/>
              </w:rPr>
              <w:t>□</w:t>
            </w:r>
          </w:p>
        </w:tc>
      </w:tr>
      <w:tr w14:paraId="49267D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continue"/>
            <w:shd w:val="clear" w:color="auto" w:fill="auto"/>
            <w:vAlign w:val="center"/>
          </w:tcPr>
          <w:p w14:paraId="3D80CA43">
            <w:pPr>
              <w:spacing w:line="360" w:lineRule="exact"/>
              <w:ind w:firstLine="0" w:firstLineChars="0"/>
              <w:jc w:val="center"/>
              <w:rPr>
                <w:rFonts w:hint="default" w:ascii="Times New Roman" w:hAnsi="Times New Roman" w:cs="Times New Roman"/>
                <w:color w:val="auto"/>
                <w:sz w:val="21"/>
                <w:szCs w:val="21"/>
                <w:highlight w:val="none"/>
              </w:rPr>
            </w:pPr>
          </w:p>
        </w:tc>
        <w:tc>
          <w:tcPr>
            <w:tcW w:w="1097" w:type="dxa"/>
            <w:shd w:val="clear" w:color="auto" w:fill="auto"/>
            <w:vAlign w:val="center"/>
          </w:tcPr>
          <w:p w14:paraId="0C9EDCE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非正常1h</w:t>
            </w:r>
          </w:p>
          <w:p w14:paraId="2C71ED6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浓度贡献值</w:t>
            </w:r>
          </w:p>
        </w:tc>
        <w:tc>
          <w:tcPr>
            <w:tcW w:w="1719" w:type="dxa"/>
            <w:gridSpan w:val="4"/>
            <w:shd w:val="clear" w:color="auto" w:fill="auto"/>
            <w:vAlign w:val="center"/>
          </w:tcPr>
          <w:p w14:paraId="05A90D0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非正常持续时长</w:t>
            </w:r>
          </w:p>
          <w:p w14:paraId="168D853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t>
            </w:r>
          </w:p>
        </w:tc>
        <w:tc>
          <w:tcPr>
            <w:tcW w:w="2990" w:type="dxa"/>
            <w:gridSpan w:val="9"/>
            <w:shd w:val="clear" w:color="auto" w:fill="auto"/>
            <w:vAlign w:val="center"/>
          </w:tcPr>
          <w:p w14:paraId="3B599310">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C</w:t>
            </w:r>
            <w:r>
              <w:rPr>
                <w:rFonts w:hint="default" w:ascii="Times New Roman" w:hAnsi="Times New Roman" w:cs="Times New Roman"/>
                <w:color w:val="auto"/>
                <w:sz w:val="21"/>
                <w:szCs w:val="21"/>
                <w:highlight w:val="none"/>
                <w:vertAlign w:val="subscript"/>
              </w:rPr>
              <w:t>非正常</w:t>
            </w:r>
            <w:r>
              <w:rPr>
                <w:rFonts w:hint="default" w:ascii="Times New Roman" w:hAnsi="Times New Roman" w:cs="Times New Roman"/>
                <w:color w:val="auto"/>
                <w:sz w:val="21"/>
                <w:szCs w:val="21"/>
                <w:highlight w:val="none"/>
              </w:rPr>
              <w:t>占标率≤100%</w:t>
            </w:r>
            <w:r>
              <w:rPr>
                <w:rFonts w:hint="eastAsia" w:cs="Times New Roman"/>
                <w:color w:val="auto"/>
                <w:sz w:val="21"/>
                <w:szCs w:val="21"/>
                <w:highlight w:val="none"/>
                <w:lang w:val="en-US" w:eastAsia="zh-CN"/>
              </w:rPr>
              <w:t>□</w:t>
            </w:r>
          </w:p>
        </w:tc>
        <w:tc>
          <w:tcPr>
            <w:tcW w:w="1669" w:type="dxa"/>
            <w:gridSpan w:val="4"/>
            <w:shd w:val="clear" w:color="auto" w:fill="auto"/>
            <w:vAlign w:val="center"/>
          </w:tcPr>
          <w:p w14:paraId="4D2B782C">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C</w:t>
            </w:r>
            <w:r>
              <w:rPr>
                <w:rFonts w:hint="default" w:ascii="Times New Roman" w:hAnsi="Times New Roman" w:cs="Times New Roman"/>
                <w:color w:val="auto"/>
                <w:sz w:val="21"/>
                <w:szCs w:val="21"/>
                <w:highlight w:val="none"/>
                <w:vertAlign w:val="subscript"/>
              </w:rPr>
              <w:t>非正常</w:t>
            </w:r>
            <w:r>
              <w:rPr>
                <w:rFonts w:hint="default" w:ascii="Times New Roman" w:hAnsi="Times New Roman" w:cs="Times New Roman"/>
                <w:color w:val="auto"/>
                <w:sz w:val="21"/>
                <w:szCs w:val="21"/>
                <w:highlight w:val="none"/>
              </w:rPr>
              <w:t>占标率&gt;100%</w:t>
            </w:r>
            <w:r>
              <w:rPr>
                <w:rFonts w:hint="eastAsia" w:cs="Times New Roman"/>
                <w:color w:val="auto"/>
                <w:sz w:val="21"/>
                <w:szCs w:val="21"/>
                <w:highlight w:val="none"/>
                <w:lang w:val="en-US" w:eastAsia="zh-CN"/>
              </w:rPr>
              <w:t>□</w:t>
            </w:r>
          </w:p>
        </w:tc>
      </w:tr>
      <w:tr w14:paraId="5240D5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continue"/>
            <w:shd w:val="clear" w:color="auto" w:fill="auto"/>
            <w:vAlign w:val="center"/>
          </w:tcPr>
          <w:p w14:paraId="250F5DD0">
            <w:pPr>
              <w:spacing w:line="360" w:lineRule="exact"/>
              <w:ind w:firstLine="0" w:firstLineChars="0"/>
              <w:jc w:val="center"/>
              <w:rPr>
                <w:rFonts w:hint="default" w:ascii="Times New Roman" w:hAnsi="Times New Roman" w:cs="Times New Roman"/>
                <w:color w:val="auto"/>
                <w:sz w:val="21"/>
                <w:szCs w:val="21"/>
                <w:highlight w:val="none"/>
              </w:rPr>
            </w:pPr>
          </w:p>
        </w:tc>
        <w:tc>
          <w:tcPr>
            <w:tcW w:w="1097" w:type="dxa"/>
            <w:shd w:val="clear" w:color="auto" w:fill="auto"/>
            <w:vAlign w:val="center"/>
          </w:tcPr>
          <w:p w14:paraId="6F21725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保证率日平均浓度和年平均浓度叠加值</w:t>
            </w:r>
          </w:p>
        </w:tc>
        <w:tc>
          <w:tcPr>
            <w:tcW w:w="3458" w:type="dxa"/>
            <w:gridSpan w:val="10"/>
            <w:shd w:val="clear" w:color="auto" w:fill="auto"/>
            <w:vAlign w:val="center"/>
          </w:tcPr>
          <w:p w14:paraId="1C08B51C">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C</w:t>
            </w:r>
            <w:r>
              <w:rPr>
                <w:rFonts w:hint="default" w:ascii="Times New Roman" w:hAnsi="Times New Roman" w:cs="Times New Roman"/>
                <w:color w:val="auto"/>
                <w:sz w:val="21"/>
                <w:szCs w:val="21"/>
                <w:highlight w:val="none"/>
                <w:vertAlign w:val="subscript"/>
              </w:rPr>
              <w:t>叠加</w:t>
            </w:r>
            <w:r>
              <w:rPr>
                <w:rFonts w:hint="default" w:ascii="Times New Roman" w:hAnsi="Times New Roman" w:cs="Times New Roman"/>
                <w:color w:val="auto"/>
                <w:sz w:val="21"/>
                <w:szCs w:val="21"/>
                <w:highlight w:val="none"/>
              </w:rPr>
              <w:t>达标</w:t>
            </w:r>
            <w:r>
              <w:rPr>
                <w:rFonts w:hint="eastAsia" w:cs="Times New Roman"/>
                <w:color w:val="auto"/>
                <w:sz w:val="21"/>
                <w:szCs w:val="21"/>
                <w:highlight w:val="none"/>
                <w:lang w:val="en-US" w:eastAsia="zh-CN"/>
              </w:rPr>
              <w:t>□</w:t>
            </w:r>
          </w:p>
        </w:tc>
        <w:tc>
          <w:tcPr>
            <w:tcW w:w="2920" w:type="dxa"/>
            <w:gridSpan w:val="7"/>
            <w:shd w:val="clear" w:color="auto" w:fill="auto"/>
            <w:vAlign w:val="center"/>
          </w:tcPr>
          <w:p w14:paraId="2514D751">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C</w:t>
            </w:r>
            <w:r>
              <w:rPr>
                <w:rFonts w:hint="default" w:ascii="Times New Roman" w:hAnsi="Times New Roman" w:cs="Times New Roman"/>
                <w:color w:val="auto"/>
                <w:sz w:val="21"/>
                <w:szCs w:val="21"/>
                <w:highlight w:val="none"/>
                <w:vertAlign w:val="subscript"/>
              </w:rPr>
              <w:t>叠加</w:t>
            </w:r>
            <w:r>
              <w:rPr>
                <w:rFonts w:hint="default" w:ascii="Times New Roman" w:hAnsi="Times New Roman" w:cs="Times New Roman"/>
                <w:color w:val="auto"/>
                <w:sz w:val="21"/>
                <w:szCs w:val="21"/>
                <w:highlight w:val="none"/>
              </w:rPr>
              <w:t>不达标</w:t>
            </w:r>
            <w:r>
              <w:rPr>
                <w:rFonts w:hint="eastAsia" w:cs="Times New Roman"/>
                <w:color w:val="auto"/>
                <w:sz w:val="21"/>
                <w:szCs w:val="21"/>
                <w:highlight w:val="none"/>
                <w:lang w:val="en-US" w:eastAsia="zh-CN"/>
              </w:rPr>
              <w:t>□</w:t>
            </w:r>
          </w:p>
        </w:tc>
      </w:tr>
      <w:tr w14:paraId="4ACFA1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continue"/>
            <w:shd w:val="clear" w:color="auto" w:fill="auto"/>
            <w:vAlign w:val="center"/>
          </w:tcPr>
          <w:p w14:paraId="1A0AD602">
            <w:pPr>
              <w:spacing w:line="360" w:lineRule="exact"/>
              <w:ind w:firstLine="0" w:firstLineChars="0"/>
              <w:jc w:val="center"/>
              <w:rPr>
                <w:rFonts w:hint="default" w:ascii="Times New Roman" w:hAnsi="Times New Roman" w:cs="Times New Roman"/>
                <w:color w:val="auto"/>
                <w:sz w:val="21"/>
                <w:szCs w:val="21"/>
                <w:highlight w:val="none"/>
              </w:rPr>
            </w:pPr>
          </w:p>
        </w:tc>
        <w:tc>
          <w:tcPr>
            <w:tcW w:w="1097" w:type="dxa"/>
            <w:shd w:val="clear" w:color="auto" w:fill="auto"/>
            <w:vAlign w:val="center"/>
          </w:tcPr>
          <w:p w14:paraId="42849B9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区域环境质</w:t>
            </w:r>
          </w:p>
          <w:p w14:paraId="4F1ADC5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量的整体变化情况</w:t>
            </w:r>
          </w:p>
        </w:tc>
        <w:tc>
          <w:tcPr>
            <w:tcW w:w="3458" w:type="dxa"/>
            <w:gridSpan w:val="10"/>
            <w:shd w:val="clear" w:color="auto" w:fill="auto"/>
            <w:vAlign w:val="center"/>
          </w:tcPr>
          <w:p w14:paraId="2AFB9AF5">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k≤-20%</w:t>
            </w:r>
            <w:r>
              <w:rPr>
                <w:rFonts w:hint="eastAsia" w:cs="Times New Roman"/>
                <w:color w:val="auto"/>
                <w:sz w:val="21"/>
                <w:szCs w:val="21"/>
                <w:highlight w:val="none"/>
                <w:lang w:val="en-US" w:eastAsia="zh-CN"/>
              </w:rPr>
              <w:t>□</w:t>
            </w:r>
          </w:p>
        </w:tc>
        <w:tc>
          <w:tcPr>
            <w:tcW w:w="2920" w:type="dxa"/>
            <w:gridSpan w:val="7"/>
            <w:shd w:val="clear" w:color="auto" w:fill="auto"/>
            <w:vAlign w:val="center"/>
          </w:tcPr>
          <w:p w14:paraId="5E7F162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k&gt;-20%</w:t>
            </w:r>
            <w:r>
              <w:rPr>
                <w:rFonts w:hint="eastAsia" w:cs="Times New Roman"/>
                <w:color w:val="auto"/>
                <w:sz w:val="21"/>
                <w:szCs w:val="21"/>
                <w:highlight w:val="none"/>
                <w:lang w:val="en-US" w:eastAsia="zh-CN"/>
              </w:rPr>
              <w:t>□</w:t>
            </w:r>
          </w:p>
        </w:tc>
      </w:tr>
      <w:tr w14:paraId="110B75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restart"/>
            <w:shd w:val="clear" w:color="auto" w:fill="auto"/>
            <w:vAlign w:val="center"/>
          </w:tcPr>
          <w:p w14:paraId="544A68D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环境监测计划</w:t>
            </w:r>
          </w:p>
        </w:tc>
        <w:tc>
          <w:tcPr>
            <w:tcW w:w="1097" w:type="dxa"/>
            <w:shd w:val="clear" w:color="auto" w:fill="auto"/>
            <w:vAlign w:val="center"/>
          </w:tcPr>
          <w:p w14:paraId="739B1B2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污染源监测</w:t>
            </w:r>
          </w:p>
        </w:tc>
        <w:tc>
          <w:tcPr>
            <w:tcW w:w="2465" w:type="dxa"/>
            <w:gridSpan w:val="7"/>
            <w:shd w:val="clear" w:color="auto" w:fill="auto"/>
            <w:vAlign w:val="center"/>
          </w:tcPr>
          <w:p w14:paraId="144322B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监测因子：（TSP、PM</w:t>
            </w:r>
            <w:r>
              <w:rPr>
                <w:rFonts w:hint="default" w:ascii="Times New Roman" w:hAnsi="Times New Roman" w:cs="Times New Roman"/>
                <w:color w:val="auto"/>
                <w:sz w:val="21"/>
                <w:szCs w:val="21"/>
                <w:highlight w:val="none"/>
                <w:vertAlign w:val="subscript"/>
              </w:rPr>
              <w:t>10</w:t>
            </w:r>
            <w:r>
              <w:rPr>
                <w:rFonts w:hint="default" w:ascii="Times New Roman" w:hAnsi="Times New Roman" w:cs="Times New Roman"/>
                <w:color w:val="auto"/>
                <w:sz w:val="21"/>
                <w:szCs w:val="21"/>
                <w:highlight w:val="none"/>
                <w:vertAlign w:val="baseline"/>
                <w:lang w:eastAsia="zh-CN"/>
              </w:rPr>
              <w:t>、氟化物</w:t>
            </w:r>
            <w:r>
              <w:rPr>
                <w:rFonts w:hint="eastAsia" w:cs="Times New Roman"/>
                <w:color w:val="auto"/>
                <w:sz w:val="21"/>
                <w:szCs w:val="21"/>
                <w:highlight w:val="none"/>
                <w:vertAlign w:val="baseline"/>
                <w:lang w:eastAsia="zh-CN"/>
              </w:rPr>
              <w:t>、SO</w:t>
            </w:r>
            <w:r>
              <w:rPr>
                <w:rFonts w:hint="eastAsia" w:cs="Times New Roman"/>
                <w:color w:val="auto"/>
                <w:sz w:val="21"/>
                <w:szCs w:val="21"/>
                <w:highlight w:val="none"/>
                <w:vertAlign w:val="subscript"/>
                <w:lang w:eastAsia="zh-CN"/>
              </w:rPr>
              <w:t>2</w:t>
            </w:r>
            <w:r>
              <w:rPr>
                <w:rFonts w:hint="eastAsia" w:cs="Times New Roman"/>
                <w:color w:val="auto"/>
                <w:sz w:val="21"/>
                <w:szCs w:val="21"/>
                <w:highlight w:val="none"/>
                <w:vertAlign w:val="baseline"/>
                <w:lang w:eastAsia="zh-CN"/>
              </w:rPr>
              <w:t>、NOx、Hg</w:t>
            </w:r>
            <w:r>
              <w:rPr>
                <w:rFonts w:hint="default" w:ascii="Times New Roman" w:hAnsi="Times New Roman" w:cs="Times New Roman"/>
                <w:color w:val="auto"/>
                <w:sz w:val="21"/>
                <w:szCs w:val="21"/>
                <w:highlight w:val="none"/>
              </w:rPr>
              <w:t>）</w:t>
            </w:r>
          </w:p>
        </w:tc>
        <w:tc>
          <w:tcPr>
            <w:tcW w:w="2244" w:type="dxa"/>
            <w:gridSpan w:val="6"/>
            <w:shd w:val="clear" w:color="auto" w:fill="auto"/>
            <w:vAlign w:val="center"/>
          </w:tcPr>
          <w:p w14:paraId="28E4D5C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有组织废气监测</w:t>
            </w:r>
            <w:r>
              <w:rPr>
                <w:rFonts w:hint="eastAsia" w:cs="Times New Roman"/>
                <w:color w:val="auto"/>
                <w:sz w:val="21"/>
                <w:szCs w:val="21"/>
                <w:highlight w:val="none"/>
                <w:lang w:val="en-US" w:eastAsia="zh-CN"/>
              </w:rPr>
              <w:t>☑</w:t>
            </w:r>
          </w:p>
          <w:p w14:paraId="516FD85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无组织废气监测</w:t>
            </w:r>
            <w:r>
              <w:rPr>
                <w:rFonts w:hint="eastAsia" w:cs="Times New Roman"/>
                <w:color w:val="auto"/>
                <w:sz w:val="21"/>
                <w:szCs w:val="21"/>
                <w:highlight w:val="none"/>
                <w:lang w:val="en-US" w:eastAsia="zh-CN"/>
              </w:rPr>
              <w:t>☑</w:t>
            </w:r>
          </w:p>
        </w:tc>
        <w:tc>
          <w:tcPr>
            <w:tcW w:w="1669" w:type="dxa"/>
            <w:gridSpan w:val="4"/>
            <w:shd w:val="clear" w:color="auto" w:fill="auto"/>
            <w:vAlign w:val="center"/>
          </w:tcPr>
          <w:p w14:paraId="3840AA4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无监测</w:t>
            </w:r>
            <w:r>
              <w:rPr>
                <w:rFonts w:hint="eastAsia" w:cs="Times New Roman"/>
                <w:color w:val="auto"/>
                <w:sz w:val="21"/>
                <w:szCs w:val="21"/>
                <w:highlight w:val="none"/>
                <w:lang w:val="en-US" w:eastAsia="zh-CN"/>
              </w:rPr>
              <w:t>□</w:t>
            </w:r>
          </w:p>
        </w:tc>
      </w:tr>
      <w:tr w14:paraId="71A41B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continue"/>
            <w:shd w:val="clear" w:color="auto" w:fill="auto"/>
            <w:vAlign w:val="center"/>
          </w:tcPr>
          <w:p w14:paraId="303FBC1D">
            <w:pPr>
              <w:spacing w:line="360" w:lineRule="exact"/>
              <w:ind w:firstLine="0" w:firstLineChars="0"/>
              <w:jc w:val="center"/>
              <w:rPr>
                <w:rFonts w:hint="default" w:ascii="Times New Roman" w:hAnsi="Times New Roman" w:cs="Times New Roman"/>
                <w:color w:val="auto"/>
                <w:sz w:val="21"/>
                <w:szCs w:val="21"/>
                <w:highlight w:val="none"/>
              </w:rPr>
            </w:pPr>
          </w:p>
        </w:tc>
        <w:tc>
          <w:tcPr>
            <w:tcW w:w="1097" w:type="dxa"/>
            <w:shd w:val="clear" w:color="auto" w:fill="auto"/>
            <w:vAlign w:val="center"/>
          </w:tcPr>
          <w:p w14:paraId="65DD023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环境质量监测</w:t>
            </w:r>
          </w:p>
        </w:tc>
        <w:tc>
          <w:tcPr>
            <w:tcW w:w="2465" w:type="dxa"/>
            <w:gridSpan w:val="7"/>
            <w:shd w:val="clear" w:color="auto" w:fill="auto"/>
            <w:vAlign w:val="center"/>
          </w:tcPr>
          <w:p w14:paraId="1816226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监测因子：（</w:t>
            </w:r>
            <w:r>
              <w:rPr>
                <w:rFonts w:hint="default" w:ascii="Times New Roman" w:hAnsi="Times New Roman" w:cs="Times New Roman"/>
                <w:color w:val="auto"/>
                <w:sz w:val="21"/>
                <w:szCs w:val="21"/>
                <w:highlight w:val="none"/>
                <w:lang w:val="en-US" w:eastAsia="zh-CN"/>
              </w:rPr>
              <w:t>PM</w:t>
            </w:r>
            <w:r>
              <w:rPr>
                <w:rFonts w:hint="default" w:ascii="Times New Roman" w:hAnsi="Times New Roman" w:cs="Times New Roman"/>
                <w:color w:val="auto"/>
                <w:sz w:val="21"/>
                <w:szCs w:val="21"/>
                <w:highlight w:val="none"/>
                <w:vertAlign w:val="subscript"/>
                <w:lang w:val="en-US" w:eastAsia="zh-CN"/>
              </w:rPr>
              <w:t>10</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TSP</w:t>
            </w:r>
            <w:r>
              <w:rPr>
                <w:rFonts w:hint="eastAsia" w:cs="Times New Roman"/>
                <w:color w:val="auto"/>
                <w:sz w:val="21"/>
                <w:szCs w:val="21"/>
                <w:highlight w:val="none"/>
                <w:vertAlign w:val="baseline"/>
                <w:lang w:eastAsia="zh-CN"/>
              </w:rPr>
              <w:t>、</w:t>
            </w:r>
            <w:r>
              <w:rPr>
                <w:rFonts w:hint="default" w:ascii="Times New Roman" w:hAnsi="Times New Roman" w:cs="Times New Roman"/>
                <w:color w:val="auto"/>
                <w:sz w:val="21"/>
                <w:szCs w:val="21"/>
                <w:highlight w:val="none"/>
                <w:vertAlign w:val="baseline"/>
                <w:lang w:eastAsia="zh-CN"/>
              </w:rPr>
              <w:t>氟化物</w:t>
            </w:r>
            <w:r>
              <w:rPr>
                <w:rFonts w:hint="eastAsia" w:ascii="Times New Roman" w:hAnsi="Times New Roman" w:cs="Times New Roman"/>
                <w:color w:val="auto"/>
                <w:sz w:val="21"/>
                <w:szCs w:val="21"/>
                <w:highlight w:val="none"/>
                <w:vertAlign w:val="baseline"/>
                <w:lang w:eastAsia="zh-CN"/>
              </w:rPr>
              <w:t>、</w:t>
            </w:r>
            <w:r>
              <w:rPr>
                <w:rFonts w:hint="eastAsia" w:cs="Times New Roman"/>
                <w:color w:val="auto"/>
                <w:sz w:val="21"/>
                <w:szCs w:val="21"/>
                <w:highlight w:val="none"/>
                <w:vertAlign w:val="baseline"/>
                <w:lang w:eastAsia="zh-CN"/>
              </w:rPr>
              <w:t>Hg</w:t>
            </w:r>
            <w:r>
              <w:rPr>
                <w:rFonts w:hint="default" w:ascii="Times New Roman" w:hAnsi="Times New Roman" w:cs="Times New Roman"/>
                <w:color w:val="auto"/>
                <w:sz w:val="21"/>
                <w:szCs w:val="21"/>
                <w:highlight w:val="none"/>
              </w:rPr>
              <w:t>）</w:t>
            </w:r>
          </w:p>
        </w:tc>
        <w:tc>
          <w:tcPr>
            <w:tcW w:w="2244" w:type="dxa"/>
            <w:gridSpan w:val="6"/>
            <w:shd w:val="clear" w:color="auto" w:fill="auto"/>
            <w:vAlign w:val="center"/>
          </w:tcPr>
          <w:p w14:paraId="1B77DBE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监测点位数（</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w:t>
            </w:r>
          </w:p>
        </w:tc>
        <w:tc>
          <w:tcPr>
            <w:tcW w:w="1669" w:type="dxa"/>
            <w:gridSpan w:val="4"/>
            <w:shd w:val="clear" w:color="auto" w:fill="auto"/>
            <w:vAlign w:val="center"/>
          </w:tcPr>
          <w:p w14:paraId="1A773B87">
            <w:pPr>
              <w:spacing w:line="360" w:lineRule="exact"/>
              <w:ind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无监测</w:t>
            </w:r>
            <w:r>
              <w:rPr>
                <w:rFonts w:hint="eastAsia" w:cs="Times New Roman"/>
                <w:color w:val="auto"/>
                <w:sz w:val="21"/>
                <w:szCs w:val="21"/>
                <w:highlight w:val="none"/>
                <w:lang w:eastAsia="zh-CN"/>
              </w:rPr>
              <w:t>□</w:t>
            </w:r>
          </w:p>
        </w:tc>
      </w:tr>
      <w:tr w14:paraId="35EB1A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restart"/>
            <w:shd w:val="clear" w:color="auto" w:fill="auto"/>
            <w:vAlign w:val="center"/>
          </w:tcPr>
          <w:p w14:paraId="7ACD737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评价结论</w:t>
            </w:r>
          </w:p>
        </w:tc>
        <w:tc>
          <w:tcPr>
            <w:tcW w:w="1097" w:type="dxa"/>
            <w:shd w:val="clear" w:color="auto" w:fill="auto"/>
            <w:vAlign w:val="center"/>
          </w:tcPr>
          <w:p w14:paraId="3A45A14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环境影响</w:t>
            </w:r>
          </w:p>
        </w:tc>
        <w:tc>
          <w:tcPr>
            <w:tcW w:w="6378" w:type="dxa"/>
            <w:gridSpan w:val="17"/>
            <w:shd w:val="clear" w:color="auto" w:fill="auto"/>
            <w:vAlign w:val="center"/>
          </w:tcPr>
          <w:p w14:paraId="4B48C08F">
            <w:pPr>
              <w:spacing w:line="360" w:lineRule="exact"/>
              <w:ind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可以接受</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不可以接受</w:t>
            </w:r>
            <w:r>
              <w:rPr>
                <w:rFonts w:hint="eastAsia" w:cs="Times New Roman"/>
                <w:color w:val="auto"/>
                <w:sz w:val="21"/>
                <w:szCs w:val="21"/>
                <w:highlight w:val="none"/>
                <w:lang w:eastAsia="zh-CN"/>
              </w:rPr>
              <w:t>□</w:t>
            </w:r>
          </w:p>
        </w:tc>
      </w:tr>
      <w:tr w14:paraId="58116E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continue"/>
            <w:shd w:val="clear" w:color="auto" w:fill="auto"/>
            <w:vAlign w:val="center"/>
          </w:tcPr>
          <w:p w14:paraId="01133D32">
            <w:pPr>
              <w:spacing w:line="360" w:lineRule="exact"/>
              <w:ind w:firstLine="0" w:firstLineChars="0"/>
              <w:jc w:val="center"/>
              <w:rPr>
                <w:rFonts w:hint="default" w:ascii="Times New Roman" w:hAnsi="Times New Roman" w:cs="Times New Roman"/>
                <w:color w:val="auto"/>
                <w:sz w:val="21"/>
                <w:szCs w:val="21"/>
                <w:highlight w:val="none"/>
              </w:rPr>
            </w:pPr>
          </w:p>
        </w:tc>
        <w:tc>
          <w:tcPr>
            <w:tcW w:w="1097" w:type="dxa"/>
            <w:shd w:val="clear" w:color="auto" w:fill="auto"/>
            <w:vAlign w:val="center"/>
          </w:tcPr>
          <w:p w14:paraId="575D09A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大气环境防</w:t>
            </w:r>
          </w:p>
          <w:p w14:paraId="5FED3F7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护距离</w:t>
            </w:r>
          </w:p>
        </w:tc>
        <w:tc>
          <w:tcPr>
            <w:tcW w:w="6378" w:type="dxa"/>
            <w:gridSpan w:val="17"/>
            <w:shd w:val="clear" w:color="auto" w:fill="auto"/>
            <w:vAlign w:val="center"/>
          </w:tcPr>
          <w:p w14:paraId="5A9F871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距（厂界）最远（0）m</w:t>
            </w:r>
          </w:p>
        </w:tc>
      </w:tr>
      <w:tr w14:paraId="61979E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59" w:type="dxa"/>
            <w:vMerge w:val="continue"/>
            <w:shd w:val="clear" w:color="auto" w:fill="auto"/>
            <w:vAlign w:val="center"/>
          </w:tcPr>
          <w:p w14:paraId="10D82331">
            <w:pPr>
              <w:spacing w:line="360" w:lineRule="exact"/>
              <w:ind w:firstLine="0" w:firstLineChars="0"/>
              <w:jc w:val="center"/>
              <w:rPr>
                <w:rFonts w:hint="default" w:ascii="Times New Roman" w:hAnsi="Times New Roman" w:cs="Times New Roman"/>
                <w:color w:val="auto"/>
                <w:sz w:val="21"/>
                <w:szCs w:val="21"/>
                <w:highlight w:val="none"/>
              </w:rPr>
            </w:pPr>
          </w:p>
        </w:tc>
        <w:tc>
          <w:tcPr>
            <w:tcW w:w="1097" w:type="dxa"/>
            <w:shd w:val="clear" w:color="auto" w:fill="auto"/>
            <w:vAlign w:val="center"/>
          </w:tcPr>
          <w:p w14:paraId="7A13FD9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污染源年排</w:t>
            </w:r>
          </w:p>
          <w:p w14:paraId="66E6289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放量</w:t>
            </w:r>
          </w:p>
        </w:tc>
        <w:tc>
          <w:tcPr>
            <w:tcW w:w="1388" w:type="dxa"/>
            <w:gridSpan w:val="2"/>
            <w:shd w:val="clear" w:color="auto" w:fill="auto"/>
            <w:vAlign w:val="center"/>
          </w:tcPr>
          <w:p w14:paraId="68725E2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2.093）</w:t>
            </w:r>
            <w:r>
              <w:rPr>
                <w:rFonts w:hint="default" w:ascii="Times New Roman" w:hAnsi="Times New Roman" w:cs="Times New Roman"/>
                <w:color w:val="auto"/>
                <w:sz w:val="21"/>
                <w:szCs w:val="21"/>
                <w:highlight w:val="none"/>
              </w:rPr>
              <w:t>t/a</w:t>
            </w:r>
          </w:p>
        </w:tc>
        <w:tc>
          <w:tcPr>
            <w:tcW w:w="1559" w:type="dxa"/>
            <w:gridSpan w:val="7"/>
            <w:shd w:val="clear" w:color="auto" w:fill="auto"/>
            <w:vAlign w:val="center"/>
          </w:tcPr>
          <w:p w14:paraId="35D28F1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NOx:</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11.113</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t/a</w:t>
            </w:r>
          </w:p>
        </w:tc>
        <w:tc>
          <w:tcPr>
            <w:tcW w:w="1998" w:type="dxa"/>
            <w:gridSpan w:val="5"/>
            <w:shd w:val="clear" w:color="auto" w:fill="auto"/>
            <w:vAlign w:val="center"/>
          </w:tcPr>
          <w:p w14:paraId="390284E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1.369</w:t>
            </w:r>
            <w:r>
              <w:rPr>
                <w:rFonts w:hint="default" w:ascii="Times New Roman" w:hAnsi="Times New Roman" w:cs="Times New Roman"/>
                <w:color w:val="auto"/>
                <w:sz w:val="21"/>
                <w:szCs w:val="21"/>
                <w:highlight w:val="none"/>
              </w:rPr>
              <w:t>）t/a</w:t>
            </w:r>
          </w:p>
        </w:tc>
        <w:tc>
          <w:tcPr>
            <w:tcW w:w="1433" w:type="dxa"/>
            <w:gridSpan w:val="3"/>
            <w:shd w:val="clear" w:color="auto" w:fill="auto"/>
            <w:vAlign w:val="center"/>
          </w:tcPr>
          <w:p w14:paraId="6EBD3A1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VOCs:（</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）t/a</w:t>
            </w:r>
          </w:p>
        </w:tc>
      </w:tr>
      <w:tr w14:paraId="5BBC7D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jc w:val="center"/>
        </w:trPr>
        <w:tc>
          <w:tcPr>
            <w:tcW w:w="8334" w:type="dxa"/>
            <w:gridSpan w:val="19"/>
            <w:shd w:val="clear" w:color="auto" w:fill="auto"/>
            <w:vAlign w:val="center"/>
          </w:tcPr>
          <w:p w14:paraId="2FDBBAD5">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注：</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为勾选项，填</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为内容填写项</w:t>
            </w:r>
          </w:p>
        </w:tc>
      </w:tr>
    </w:tbl>
    <w:p w14:paraId="74BF7C11">
      <w:pPr>
        <w:pStyle w:val="4"/>
        <w:rPr>
          <w:rFonts w:hint="default" w:ascii="Times New Roman" w:hAnsi="Times New Roman" w:cs="Times New Roman"/>
          <w:color w:val="auto"/>
          <w:highlight w:val="none"/>
        </w:rPr>
      </w:pPr>
      <w:bookmarkStart w:id="714" w:name="_Toc23305"/>
      <w:bookmarkStart w:id="715" w:name="_Toc3260"/>
      <w:bookmarkStart w:id="716" w:name="_Toc29792"/>
      <w:r>
        <w:rPr>
          <w:rFonts w:hint="default" w:ascii="Times New Roman" w:hAnsi="Times New Roman" w:cs="Times New Roman"/>
          <w:color w:val="auto"/>
          <w:highlight w:val="none"/>
        </w:rPr>
        <w:t>5.2.2运营期地表水环境影响分析与评价</w:t>
      </w:r>
      <w:bookmarkEnd w:id="714"/>
      <w:bookmarkEnd w:id="715"/>
      <w:bookmarkEnd w:id="716"/>
    </w:p>
    <w:p w14:paraId="5D6F4065">
      <w:pPr>
        <w:pStyle w:val="5"/>
        <w:ind w:firstLine="482" w:firstLineChars="200"/>
        <w:rPr>
          <w:rFonts w:hint="default" w:ascii="Times New Roman" w:hAnsi="Times New Roman" w:cs="Times New Roman"/>
          <w:color w:val="auto"/>
          <w:highlight w:val="none"/>
        </w:rPr>
      </w:pPr>
      <w:bookmarkStart w:id="717" w:name="_Toc11550"/>
      <w:r>
        <w:rPr>
          <w:rFonts w:hint="default" w:ascii="Times New Roman" w:hAnsi="Times New Roman" w:cs="Times New Roman"/>
          <w:color w:val="auto"/>
          <w:highlight w:val="none"/>
        </w:rPr>
        <w:t>5.2.2.1</w:t>
      </w:r>
      <w:bookmarkEnd w:id="717"/>
      <w:r>
        <w:rPr>
          <w:rFonts w:hint="default" w:ascii="Times New Roman" w:hAnsi="Times New Roman" w:cs="Times New Roman"/>
          <w:color w:val="auto"/>
          <w:highlight w:val="none"/>
        </w:rPr>
        <w:t>工程排水对地表水环境的影响</w:t>
      </w:r>
    </w:p>
    <w:p w14:paraId="3E1964AA">
      <w:pPr>
        <w:overflowPunct w:val="0"/>
        <w:topLinePunct/>
        <w:ind w:firstLine="480"/>
        <w:rPr>
          <w:rFonts w:hint="default" w:ascii="Times New Roman" w:hAnsi="Times New Roman" w:cs="Times New Roman"/>
          <w:color w:val="auto"/>
          <w:highlight w:val="none"/>
          <w:lang w:val="en-GB"/>
        </w:rPr>
      </w:pP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GB"/>
        </w:rPr>
        <w:t>正常工况下影响分析</w:t>
      </w:r>
    </w:p>
    <w:p w14:paraId="0C446432">
      <w:pPr>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（1）生产废水对地表水的影响</w:t>
      </w:r>
    </w:p>
    <w:p w14:paraId="04268C9F">
      <w:pPr>
        <w:pStyle w:val="43"/>
        <w:topLinePunct/>
        <w:spacing w:line="480" w:lineRule="exact"/>
        <w:ind w:firstLine="480"/>
        <w:rPr>
          <w:rFonts w:hint="default" w:ascii="Times New Roman" w:hAnsi="Times New Roman" w:cs="Times New Roman"/>
          <w:color w:val="auto"/>
          <w:kern w:val="0"/>
          <w:szCs w:val="24"/>
          <w:highlight w:val="none"/>
        </w:rPr>
      </w:pPr>
      <w:r>
        <w:rPr>
          <w:rFonts w:hint="default" w:ascii="Times New Roman" w:hAnsi="Times New Roman" w:cs="Times New Roman"/>
          <w:color w:val="auto"/>
          <w:highlight w:val="none"/>
        </w:rPr>
        <w:t>本项目运营期选矿废水产生于选矿过程中，选矿废水量约为</w:t>
      </w:r>
      <w:r>
        <w:rPr>
          <w:rFonts w:hint="eastAsia" w:cs="Times New Roman"/>
          <w:color w:val="auto"/>
          <w:highlight w:val="none"/>
          <w:lang w:val="en-US" w:eastAsia="zh-CN"/>
        </w:rPr>
        <w:t>1554</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kern w:val="0"/>
          <w:highlight w:val="none"/>
        </w:rPr>
        <w:t>主要污染因子为pH、COD、SS</w:t>
      </w:r>
      <w:r>
        <w:rPr>
          <w:rFonts w:hint="eastAsia" w:cs="Times New Roman"/>
          <w:color w:val="auto"/>
          <w:kern w:val="0"/>
          <w:highlight w:val="none"/>
          <w:lang w:eastAsia="zh-CN"/>
        </w:rPr>
        <w:t>、</w:t>
      </w:r>
      <w:r>
        <w:rPr>
          <w:rFonts w:hint="eastAsia" w:cs="Times New Roman"/>
          <w:color w:val="auto"/>
          <w:kern w:val="0"/>
          <w:highlight w:val="none"/>
          <w:lang w:val="en-US" w:eastAsia="zh-CN"/>
        </w:rPr>
        <w:t>氟化物</w:t>
      </w:r>
      <w:r>
        <w:rPr>
          <w:rFonts w:hint="default" w:ascii="Times New Roman" w:hAnsi="Times New Roman" w:cs="Times New Roman"/>
          <w:color w:val="auto"/>
          <w:kern w:val="0"/>
          <w:highlight w:val="none"/>
        </w:rPr>
        <w:t>及少量</w:t>
      </w:r>
      <w:r>
        <w:rPr>
          <w:rFonts w:hint="eastAsia" w:cs="Times New Roman"/>
          <w:color w:val="auto"/>
          <w:kern w:val="0"/>
          <w:highlight w:val="none"/>
          <w:lang w:val="en-US" w:eastAsia="zh-CN"/>
        </w:rPr>
        <w:t>非</w:t>
      </w:r>
      <w:r>
        <w:rPr>
          <w:rFonts w:hint="default" w:ascii="Times New Roman" w:hAnsi="Times New Roman" w:cs="Times New Roman"/>
          <w:color w:val="auto"/>
          <w:kern w:val="0"/>
          <w:highlight w:val="none"/>
        </w:rPr>
        <w:t>金属等</w:t>
      </w:r>
      <w:r>
        <w:rPr>
          <w:rFonts w:hint="default" w:ascii="Times New Roman" w:hAnsi="Times New Roman" w:cs="Times New Roman"/>
          <w:color w:val="auto"/>
          <w:highlight w:val="none"/>
        </w:rPr>
        <w:t>。选矿废水部分被</w:t>
      </w:r>
      <w:r>
        <w:rPr>
          <w:rFonts w:hint="default" w:ascii="Times New Roman" w:hAnsi="Times New Roman" w:cs="Times New Roman"/>
          <w:color w:val="auto"/>
          <w:highlight w:val="none"/>
          <w:lang w:eastAsia="zh-CN"/>
        </w:rPr>
        <w:t>萤石</w:t>
      </w:r>
      <w:r>
        <w:rPr>
          <w:rFonts w:hint="default" w:ascii="Times New Roman" w:hAnsi="Times New Roman" w:cs="Times New Roman"/>
          <w:color w:val="auto"/>
          <w:highlight w:val="none"/>
        </w:rPr>
        <w:t>精</w:t>
      </w:r>
      <w:r>
        <w:rPr>
          <w:rFonts w:hint="default" w:ascii="Times New Roman" w:hAnsi="Times New Roman" w:cs="Times New Roman"/>
          <w:color w:val="auto"/>
          <w:highlight w:val="none"/>
          <w:lang w:eastAsia="zh-CN"/>
        </w:rPr>
        <w:t>矿</w:t>
      </w:r>
      <w:r>
        <w:rPr>
          <w:rFonts w:hint="default" w:ascii="Times New Roman" w:hAnsi="Times New Roman" w:cs="Times New Roman"/>
          <w:color w:val="auto"/>
          <w:highlight w:val="none"/>
        </w:rPr>
        <w:t>带走，</w:t>
      </w:r>
      <w:r>
        <w:rPr>
          <w:rFonts w:hint="default" w:ascii="Times New Roman" w:hAnsi="Times New Roman" w:cs="Times New Roman"/>
          <w:color w:val="auto"/>
          <w:highlight w:val="none"/>
          <w:lang w:eastAsia="zh-CN"/>
        </w:rPr>
        <w:t>精矿压滤</w:t>
      </w:r>
      <w:r>
        <w:rPr>
          <w:rFonts w:hint="default" w:ascii="Times New Roman" w:hAnsi="Times New Roman" w:cs="Times New Roman"/>
          <w:color w:val="auto"/>
          <w:highlight w:val="none"/>
        </w:rPr>
        <w:t>水、尾矿浓缩溢流水返回生产工序循环利用，尾矿矿浆通过管道输送至尾矿库，尾矿库设有回水系统，使用水泵将库内澄清水通过管道泵送至选矿厂生产回水池，供选矿循环使用，实现生产废水</w:t>
      </w:r>
      <w:r>
        <w:rPr>
          <w:rFonts w:hint="eastAsia" w:cs="Times New Roman"/>
          <w:color w:val="auto"/>
          <w:highlight w:val="none"/>
          <w:lang w:eastAsia="zh-CN"/>
        </w:rPr>
        <w:t>“</w:t>
      </w:r>
      <w:r>
        <w:rPr>
          <w:rFonts w:hint="default" w:ascii="Times New Roman" w:hAnsi="Times New Roman" w:cs="Times New Roman"/>
          <w:color w:val="auto"/>
          <w:highlight w:val="none"/>
        </w:rPr>
        <w:t>闭路循环</w:t>
      </w:r>
      <w:r>
        <w:rPr>
          <w:rFonts w:hint="eastAsia" w:cs="Times New Roman"/>
          <w:color w:val="auto"/>
          <w:highlight w:val="none"/>
          <w:lang w:eastAsia="zh-CN"/>
        </w:rPr>
        <w:t>”</w:t>
      </w:r>
      <w:r>
        <w:rPr>
          <w:rFonts w:hint="default" w:ascii="Times New Roman" w:hAnsi="Times New Roman" w:cs="Times New Roman"/>
          <w:color w:val="auto"/>
          <w:highlight w:val="none"/>
        </w:rPr>
        <w:t>，不外排。</w:t>
      </w:r>
    </w:p>
    <w:p w14:paraId="4A2BA6C1">
      <w:pPr>
        <w:pStyle w:val="43"/>
        <w:topLinePunct/>
        <w:spacing w:line="480" w:lineRule="exact"/>
        <w:ind w:firstLine="480"/>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rPr>
        <w:t>（2）生活污水对地表水的影响</w:t>
      </w:r>
    </w:p>
    <w:p w14:paraId="5161FE7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生活污水主要为洗浴、食堂、卫生间以及洗衣等产生的，属于一般性生活污水，主要污染物为SS、BOD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、COD、氨氮及动植物油等，</w:t>
      </w:r>
      <w:r>
        <w:rPr>
          <w:rFonts w:hint="default" w:ascii="Times New Roman" w:hAnsi="Times New Roman" w:cs="Times New Roman"/>
          <w:color w:val="auto"/>
          <w:highlight w:val="none"/>
          <w:lang w:eastAsia="zh-CN"/>
        </w:rPr>
        <w:t>新增工作人员</w:t>
      </w:r>
      <w:r>
        <w:rPr>
          <w:rFonts w:hint="default" w:ascii="Times New Roman" w:hAnsi="Times New Roman" w:cs="Times New Roman"/>
          <w:color w:val="auto"/>
          <w:highlight w:val="none"/>
        </w:rPr>
        <w:t>生活污水产生量为</w:t>
      </w:r>
      <w:r>
        <w:rPr>
          <w:rFonts w:hint="eastAsia" w:cs="Times New Roman"/>
          <w:color w:val="auto"/>
          <w:highlight w:val="none"/>
          <w:lang w:val="en-US" w:eastAsia="zh-CN"/>
        </w:rPr>
        <w:t>6.12</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/d。生活污水污染物浓度及产生量为SS：220mg/L（</w:t>
      </w:r>
      <w:r>
        <w:rPr>
          <w:rFonts w:hint="eastAsia" w:cs="Times New Roman"/>
          <w:color w:val="auto"/>
          <w:highlight w:val="none"/>
          <w:lang w:val="en-US" w:eastAsia="zh-CN"/>
        </w:rPr>
        <w:t>0.40</w:t>
      </w:r>
      <w:r>
        <w:rPr>
          <w:rFonts w:hint="default" w:ascii="Times New Roman" w:hAnsi="Times New Roman" w:cs="Times New Roman"/>
          <w:color w:val="auto"/>
          <w:highlight w:val="none"/>
        </w:rPr>
        <w:t>t/a）、COD：300mg/L（</w:t>
      </w:r>
      <w:r>
        <w:rPr>
          <w:rFonts w:hint="eastAsia" w:cs="Times New Roman"/>
          <w:color w:val="auto"/>
          <w:highlight w:val="none"/>
          <w:lang w:val="en-US" w:eastAsia="zh-CN"/>
        </w:rPr>
        <w:t>0.55</w:t>
      </w:r>
      <w:r>
        <w:rPr>
          <w:rFonts w:hint="default" w:ascii="Times New Roman" w:hAnsi="Times New Roman" w:cs="Times New Roman"/>
          <w:color w:val="auto"/>
          <w:highlight w:val="none"/>
        </w:rPr>
        <w:t>t/a）、BOD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：200mg/L（</w:t>
      </w:r>
      <w:r>
        <w:rPr>
          <w:rFonts w:hint="eastAsia" w:cs="Times New Roman"/>
          <w:color w:val="auto"/>
          <w:highlight w:val="none"/>
          <w:lang w:val="en-US" w:eastAsia="zh-CN"/>
        </w:rPr>
        <w:t>0.37</w:t>
      </w:r>
      <w:r>
        <w:rPr>
          <w:rFonts w:hint="default" w:ascii="Times New Roman" w:hAnsi="Times New Roman" w:cs="Times New Roman"/>
          <w:color w:val="auto"/>
          <w:highlight w:val="none"/>
        </w:rPr>
        <w:t>t/a）、氨氮：30mg/L（</w:t>
      </w:r>
      <w:r>
        <w:rPr>
          <w:rFonts w:hint="eastAsia" w:cs="Times New Roman"/>
          <w:color w:val="auto"/>
          <w:highlight w:val="none"/>
          <w:lang w:val="en-US" w:eastAsia="zh-CN"/>
        </w:rPr>
        <w:t>0.6</w:t>
      </w:r>
      <w:r>
        <w:rPr>
          <w:rFonts w:hint="default" w:ascii="Times New Roman" w:hAnsi="Times New Roman" w:cs="Times New Roman"/>
          <w:color w:val="auto"/>
          <w:highlight w:val="none"/>
        </w:rPr>
        <w:t>t/a）、动植物油100mg/L（</w:t>
      </w:r>
      <w:r>
        <w:rPr>
          <w:rFonts w:hint="eastAsia" w:cs="Times New Roman"/>
          <w:color w:val="auto"/>
          <w:highlight w:val="none"/>
          <w:lang w:val="en-US" w:eastAsia="zh-CN"/>
        </w:rPr>
        <w:t>0.18</w:t>
      </w:r>
      <w:r>
        <w:rPr>
          <w:rFonts w:hint="default" w:ascii="Times New Roman" w:hAnsi="Times New Roman" w:cs="Times New Roman"/>
          <w:color w:val="auto"/>
          <w:highlight w:val="none"/>
        </w:rPr>
        <w:t>t/a）。本项目生活污水排入</w:t>
      </w:r>
      <w:r>
        <w:rPr>
          <w:rFonts w:hint="eastAsia" w:cs="Times New Roman"/>
          <w:color w:val="auto"/>
          <w:highlight w:val="none"/>
          <w:lang w:val="en-US" w:eastAsia="zh-CN"/>
        </w:rPr>
        <w:t>化粪池定期清运至哈密市污水处理厂</w:t>
      </w:r>
      <w:r>
        <w:rPr>
          <w:rFonts w:hint="default" w:ascii="Times New Roman" w:hAnsi="Times New Roman" w:cs="Times New Roman"/>
          <w:color w:val="auto"/>
          <w:highlight w:val="none"/>
        </w:rPr>
        <w:t>，不外排。</w:t>
      </w:r>
    </w:p>
    <w:p w14:paraId="15F2CD5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（3）锅炉房废水</w:t>
      </w:r>
      <w:r>
        <w:rPr>
          <w:rFonts w:hint="default" w:ascii="Times New Roman" w:hAnsi="Times New Roman" w:cs="Times New Roman"/>
          <w:color w:val="auto"/>
          <w:kern w:val="0"/>
          <w:szCs w:val="24"/>
          <w:highlight w:val="none"/>
        </w:rPr>
        <w:t>对地表水的影响</w:t>
      </w:r>
    </w:p>
    <w:p w14:paraId="4ABF14A9">
      <w:pPr>
        <w:overflowPunct w:val="0"/>
        <w:topLinePunct/>
        <w:ind w:firstLine="480"/>
        <w:rPr>
          <w:rFonts w:hint="default" w:ascii="Times New Roman" w:hAnsi="Times New Roman" w:eastAsia="宋体" w:cs="Times New Roman"/>
          <w:color w:val="auto"/>
          <w:spacing w:val="-1"/>
          <w:szCs w:val="24"/>
          <w:highlight w:val="none"/>
          <w:lang w:val="en-US" w:eastAsia="zh-CN"/>
        </w:rPr>
      </w:pPr>
      <w:r>
        <w:rPr>
          <w:rFonts w:hint="default" w:ascii="Times New Roman" w:hAnsi="Times New Roman" w:cs="Times New Roman"/>
          <w:color w:val="auto"/>
          <w:highlight w:val="none"/>
        </w:rPr>
        <w:t>锅炉房废水包括锅炉排污水、软水废水</w:t>
      </w:r>
      <w:r>
        <w:rPr>
          <w:rFonts w:hint="eastAsia" w:cs="Times New Roman"/>
          <w:color w:val="auto"/>
          <w:highlight w:val="none"/>
          <w:lang w:val="en-US" w:eastAsia="zh-CN"/>
        </w:rPr>
        <w:t>及脱硫废水</w:t>
      </w:r>
      <w:r>
        <w:rPr>
          <w:rFonts w:hint="default" w:ascii="Times New Roman" w:hAnsi="Times New Roman" w:cs="Times New Roman"/>
          <w:color w:val="auto"/>
          <w:highlight w:val="none"/>
        </w:rPr>
        <w:t>，废水量约</w:t>
      </w:r>
      <w:r>
        <w:rPr>
          <w:rFonts w:hint="eastAsia" w:cs="Times New Roman"/>
          <w:color w:val="auto"/>
          <w:highlight w:val="none"/>
          <w:lang w:val="en-US" w:eastAsia="zh-CN"/>
        </w:rPr>
        <w:t>49.2</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eastAsia" w:cs="Times New Roman"/>
          <w:color w:val="auto"/>
          <w:highlight w:val="none"/>
          <w:lang w:val="en-US" w:eastAsia="zh-CN"/>
        </w:rPr>
        <w:t>0.738</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r>
        <w:rPr>
          <w:rFonts w:hint="eastAsia" w:cs="Times New Roman"/>
          <w:color w:val="auto"/>
          <w:highlight w:val="none"/>
          <w:lang w:val="en-US" w:eastAsia="zh-CN"/>
        </w:rPr>
        <w:t>锅炉废水经沉淀池沉淀、中和处理后上清液回用选矿生产工序循环使用，不外排。</w:t>
      </w:r>
    </w:p>
    <w:p w14:paraId="0BAF2B68">
      <w:pPr>
        <w:overflowPunct w:val="0"/>
        <w:topLinePunct/>
        <w:ind w:firstLine="480"/>
        <w:rPr>
          <w:rFonts w:hint="default" w:ascii="Times New Roman" w:hAnsi="Times New Roman" w:cs="Times New Roman"/>
          <w:color w:val="auto"/>
          <w:highlight w:val="none"/>
          <w:lang w:val="en-GB"/>
        </w:rPr>
      </w:pPr>
      <w:r>
        <w:rPr>
          <w:rFonts w:hint="default" w:ascii="Times New Roman" w:hAnsi="Times New Roman" w:cs="Times New Roman"/>
          <w:color w:val="auto"/>
          <w:highlight w:val="none"/>
        </w:rPr>
        <w:t>2、</w:t>
      </w:r>
      <w:r>
        <w:rPr>
          <w:rFonts w:hint="default" w:ascii="Times New Roman" w:hAnsi="Times New Roman" w:cs="Times New Roman"/>
          <w:color w:val="auto"/>
          <w:highlight w:val="none"/>
          <w:lang w:val="en-GB"/>
        </w:rPr>
        <w:t>非正常工况下影响分析</w:t>
      </w:r>
    </w:p>
    <w:p w14:paraId="094BEEBC">
      <w:pPr>
        <w:overflowPunct w:val="0"/>
        <w:topLinePunct/>
        <w:ind w:firstLine="480"/>
        <w:rPr>
          <w:rFonts w:hint="default" w:ascii="Times New Roman" w:hAnsi="Times New Roman" w:cs="Times New Roman"/>
          <w:color w:val="auto"/>
          <w:highlight w:val="none"/>
          <w:lang w:val="en-GB"/>
        </w:rPr>
      </w:pPr>
      <w:r>
        <w:rPr>
          <w:rFonts w:hint="default" w:ascii="Times New Roman" w:hAnsi="Times New Roman" w:cs="Times New Roman"/>
          <w:color w:val="auto"/>
          <w:highlight w:val="none"/>
          <w:lang w:val="en-GB"/>
        </w:rPr>
        <w:t>①选矿生产系统故障或事故</w:t>
      </w:r>
      <w:r>
        <w:rPr>
          <w:rFonts w:hint="default" w:ascii="Times New Roman" w:hAnsi="Times New Roman" w:cs="Times New Roman"/>
          <w:color w:val="auto"/>
          <w:highlight w:val="none"/>
        </w:rPr>
        <w:t>浓密机溢流水</w:t>
      </w:r>
      <w:r>
        <w:rPr>
          <w:rFonts w:hint="default" w:ascii="Times New Roman" w:hAnsi="Times New Roman" w:cs="Times New Roman"/>
          <w:color w:val="auto"/>
          <w:highlight w:val="none"/>
          <w:lang w:val="en-GB"/>
        </w:rPr>
        <w:t>溢流</w:t>
      </w:r>
    </w:p>
    <w:p w14:paraId="72F38AB1">
      <w:pPr>
        <w:overflowPunct w:val="0"/>
        <w:topLinePunct/>
        <w:ind w:firstLine="480"/>
        <w:rPr>
          <w:rFonts w:hint="default" w:ascii="Times New Roman" w:hAnsi="Times New Roman" w:cs="Times New Roman"/>
          <w:bCs/>
          <w:snapToGrid w:val="0"/>
          <w:color w:val="auto"/>
          <w:highlight w:val="none"/>
        </w:rPr>
      </w:pPr>
      <w:r>
        <w:rPr>
          <w:rFonts w:hint="default" w:ascii="Times New Roman" w:hAnsi="Times New Roman" w:cs="Times New Roman"/>
          <w:color w:val="auto"/>
          <w:highlight w:val="none"/>
          <w:lang w:val="en-GB"/>
        </w:rPr>
        <w:t>为防止选矿生产系统故障或事故矿浆溢流对外环境造成污染影响，选厂在选矿车间外</w:t>
      </w:r>
      <w:r>
        <w:rPr>
          <w:rFonts w:hint="default" w:ascii="Times New Roman" w:hAnsi="Times New Roman" w:cs="Times New Roman"/>
          <w:color w:val="auto"/>
          <w:highlight w:val="none"/>
        </w:rPr>
        <w:t>新建</w:t>
      </w:r>
      <w:r>
        <w:rPr>
          <w:rFonts w:hint="default" w:ascii="Times New Roman" w:hAnsi="Times New Roman" w:cs="Times New Roman"/>
          <w:color w:val="auto"/>
          <w:highlight w:val="none"/>
          <w:lang w:val="en-GB"/>
        </w:rPr>
        <w:t>1座</w:t>
      </w:r>
      <w:r>
        <w:rPr>
          <w:rFonts w:hint="eastAsia" w:cs="Times New Roman"/>
          <w:color w:val="auto"/>
          <w:highlight w:val="none"/>
          <w:lang w:val="en-US" w:eastAsia="zh-CN"/>
        </w:rPr>
        <w:t>240</w:t>
      </w:r>
      <w:r>
        <w:rPr>
          <w:rFonts w:hint="default" w:ascii="Times New Roman" w:hAnsi="Times New Roman" w:cs="Times New Roman"/>
          <w:color w:val="auto"/>
          <w:highlight w:val="none"/>
          <w:lang w:val="en-GB"/>
        </w:rPr>
        <w:t>m</w:t>
      </w:r>
      <w:r>
        <w:rPr>
          <w:rFonts w:hint="default" w:ascii="Times New Roman" w:hAnsi="Times New Roman" w:cs="Times New Roman"/>
          <w:color w:val="auto"/>
          <w:highlight w:val="none"/>
          <w:vertAlign w:val="superscript"/>
          <w:lang w:val="en-GB"/>
        </w:rPr>
        <w:t>3</w:t>
      </w:r>
      <w:r>
        <w:rPr>
          <w:rFonts w:hint="default" w:ascii="Times New Roman" w:hAnsi="Times New Roman" w:cs="Times New Roman"/>
          <w:color w:val="auto"/>
          <w:highlight w:val="none"/>
          <w:lang w:val="en-GB"/>
        </w:rPr>
        <w:t>的事故池，用于收集</w:t>
      </w:r>
      <w:r>
        <w:rPr>
          <w:rFonts w:hint="default" w:ascii="Times New Roman" w:hAnsi="Times New Roman" w:cs="Times New Roman"/>
          <w:color w:val="auto"/>
          <w:highlight w:val="none"/>
        </w:rPr>
        <w:t>事故状态下的尾矿浆及事故废水</w:t>
      </w:r>
      <w:r>
        <w:rPr>
          <w:rFonts w:hint="default" w:ascii="Times New Roman" w:hAnsi="Times New Roman" w:cs="Times New Roman"/>
          <w:color w:val="auto"/>
          <w:highlight w:val="none"/>
          <w:lang w:val="en-GB"/>
        </w:rPr>
        <w:t>。根据《选矿厂尾矿设施设计规范》（ZBJ1-90）中的要求，事故池容积不小于10~20min的正常矿浆量。选厂正常工况下</w:t>
      </w:r>
      <w:r>
        <w:rPr>
          <w:rFonts w:hint="default" w:ascii="Times New Roman" w:hAnsi="Times New Roman" w:cs="Times New Roman"/>
          <w:color w:val="auto"/>
          <w:highlight w:val="none"/>
        </w:rPr>
        <w:t>选矿厂内尾矿</w:t>
      </w:r>
      <w:r>
        <w:rPr>
          <w:rFonts w:hint="default" w:ascii="Times New Roman" w:hAnsi="Times New Roman" w:cs="Times New Roman"/>
          <w:color w:val="auto"/>
          <w:highlight w:val="none"/>
          <w:lang w:eastAsia="zh-CN"/>
        </w:rPr>
        <w:t>浆</w:t>
      </w:r>
      <w:r>
        <w:rPr>
          <w:rFonts w:hint="default" w:ascii="Times New Roman" w:hAnsi="Times New Roman" w:cs="Times New Roman"/>
          <w:color w:val="auto"/>
          <w:highlight w:val="none"/>
        </w:rPr>
        <w:t>产生量</w:t>
      </w:r>
      <w:r>
        <w:rPr>
          <w:rFonts w:hint="default" w:ascii="Times New Roman" w:hAnsi="Times New Roman" w:cs="Times New Roman"/>
          <w:color w:val="auto"/>
          <w:highlight w:val="none"/>
          <w:lang w:val="en-GB"/>
        </w:rPr>
        <w:t>约</w:t>
      </w:r>
      <w:r>
        <w:rPr>
          <w:rFonts w:hint="eastAsia" w:cs="Times New Roman"/>
          <w:color w:val="auto"/>
          <w:highlight w:val="none"/>
          <w:lang w:val="en-US" w:eastAsia="zh-CN"/>
        </w:rPr>
        <w:t>432</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h</w:t>
      </w:r>
      <w:r>
        <w:rPr>
          <w:rFonts w:hint="default" w:ascii="Times New Roman" w:hAnsi="Times New Roman" w:cs="Times New Roman"/>
          <w:color w:val="auto"/>
          <w:highlight w:val="none"/>
          <w:lang w:val="en-GB"/>
        </w:rPr>
        <w:t>，则生产系统20min矿浆量为</w:t>
      </w:r>
      <w:r>
        <w:rPr>
          <w:rFonts w:hint="eastAsia" w:cs="Times New Roman"/>
          <w:color w:val="auto"/>
          <w:highlight w:val="none"/>
          <w:lang w:val="en-US" w:eastAsia="zh-CN"/>
        </w:rPr>
        <w:t>160</w:t>
      </w:r>
      <w:r>
        <w:rPr>
          <w:rFonts w:hint="default" w:ascii="Times New Roman" w:hAnsi="Times New Roman" w:cs="Times New Roman"/>
          <w:color w:val="auto"/>
          <w:highlight w:val="none"/>
          <w:lang w:val="en-GB"/>
        </w:rPr>
        <w:t>m</w:t>
      </w:r>
      <w:r>
        <w:rPr>
          <w:rFonts w:hint="default" w:ascii="Times New Roman" w:hAnsi="Times New Roman" w:cs="Times New Roman"/>
          <w:color w:val="auto"/>
          <w:highlight w:val="none"/>
          <w:vertAlign w:val="superscript"/>
          <w:lang w:val="en-GB"/>
        </w:rPr>
        <w:t>3</w:t>
      </w:r>
      <w:r>
        <w:rPr>
          <w:rFonts w:hint="default" w:ascii="Times New Roman" w:hAnsi="Times New Roman" w:cs="Times New Roman"/>
          <w:color w:val="auto"/>
          <w:highlight w:val="none"/>
          <w:lang w:val="en-GB"/>
        </w:rPr>
        <w:t>，事故池容积足以承纳规范要求的10~20min的正常矿浆量。因此，在选矿生产系统发生故障或事故时，通过将生产系统中矿浆排入事故池，并及时维修，在故障或事故排除后，再泵回生产系统，不会发生外排，对外环境影响不大</w:t>
      </w:r>
      <w:r>
        <w:rPr>
          <w:rFonts w:hint="default" w:ascii="Times New Roman" w:hAnsi="Times New Roman" w:cs="Times New Roman"/>
          <w:bCs/>
          <w:snapToGrid w:val="0"/>
          <w:color w:val="auto"/>
          <w:highlight w:val="none"/>
        </w:rPr>
        <w:t>。</w:t>
      </w:r>
    </w:p>
    <w:p w14:paraId="1354E00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GB"/>
        </w:rPr>
        <w:t>②</w:t>
      </w:r>
      <w:r>
        <w:rPr>
          <w:rFonts w:hint="default" w:ascii="Times New Roman" w:hAnsi="Times New Roman" w:cs="Times New Roman"/>
          <w:color w:val="auto"/>
          <w:highlight w:val="none"/>
        </w:rPr>
        <w:t>非正常工况下尾矿回水</w:t>
      </w:r>
    </w:p>
    <w:p w14:paraId="79B2EB34">
      <w:pPr>
        <w:overflowPunct w:val="0"/>
        <w:topLinePunct/>
        <w:ind w:firstLine="480"/>
        <w:rPr>
          <w:rFonts w:hint="default" w:ascii="Times New Roman" w:hAnsi="Times New Roman" w:cs="Times New Roman"/>
          <w:color w:val="auto"/>
          <w:highlight w:val="none"/>
          <w:lang w:val="en-GB"/>
        </w:rPr>
      </w:pPr>
      <w:r>
        <w:rPr>
          <w:rFonts w:hint="default" w:ascii="Times New Roman" w:hAnsi="Times New Roman" w:cs="Times New Roman"/>
          <w:color w:val="auto"/>
          <w:highlight w:val="none"/>
          <w:lang w:val="en-GB"/>
        </w:rPr>
        <w:t>为防止</w:t>
      </w:r>
      <w:r>
        <w:rPr>
          <w:rFonts w:hint="default" w:ascii="Times New Roman" w:hAnsi="Times New Roman" w:cs="Times New Roman"/>
          <w:color w:val="auto"/>
          <w:highlight w:val="none"/>
        </w:rPr>
        <w:t>回水</w:t>
      </w:r>
      <w:r>
        <w:rPr>
          <w:rFonts w:hint="default" w:ascii="Times New Roman" w:hAnsi="Times New Roman" w:cs="Times New Roman"/>
          <w:color w:val="auto"/>
          <w:highlight w:val="none"/>
          <w:lang w:val="en-GB"/>
        </w:rPr>
        <w:t>系统故障对外环境造成污染影响，</w:t>
      </w:r>
      <w:r>
        <w:rPr>
          <w:rFonts w:hint="default" w:ascii="Times New Roman" w:hAnsi="Times New Roman" w:cs="Times New Roman"/>
          <w:color w:val="auto"/>
          <w:highlight w:val="none"/>
        </w:rPr>
        <w:t>本项目尾矿库外侧</w:t>
      </w:r>
      <w:r>
        <w:rPr>
          <w:rFonts w:hint="default" w:ascii="Times New Roman" w:hAnsi="Times New Roman" w:cs="Times New Roman"/>
          <w:color w:val="auto"/>
          <w:highlight w:val="none"/>
          <w:lang w:val="en-GB"/>
        </w:rPr>
        <w:t>设置1座</w:t>
      </w:r>
      <w:r>
        <w:rPr>
          <w:rFonts w:hint="eastAsia" w:cs="Times New Roman"/>
          <w:color w:val="auto"/>
          <w:highlight w:val="none"/>
          <w:lang w:val="en-US" w:eastAsia="zh-CN"/>
        </w:rPr>
        <w:t>350</w:t>
      </w:r>
      <w:r>
        <w:rPr>
          <w:rFonts w:hint="default" w:ascii="Times New Roman" w:hAnsi="Times New Roman" w:cs="Times New Roman"/>
          <w:color w:val="auto"/>
          <w:highlight w:val="none"/>
          <w:lang w:val="en-GB"/>
        </w:rPr>
        <w:t>m</w:t>
      </w:r>
      <w:r>
        <w:rPr>
          <w:rFonts w:hint="default" w:ascii="Times New Roman" w:hAnsi="Times New Roman" w:cs="Times New Roman"/>
          <w:color w:val="auto"/>
          <w:highlight w:val="none"/>
          <w:vertAlign w:val="superscript"/>
          <w:lang w:val="en-GB"/>
        </w:rPr>
        <w:t>3</w:t>
      </w:r>
      <w:r>
        <w:rPr>
          <w:rFonts w:hint="default" w:ascii="Times New Roman" w:hAnsi="Times New Roman" w:cs="Times New Roman"/>
          <w:color w:val="auto"/>
          <w:highlight w:val="none"/>
          <w:lang w:val="en-GB"/>
        </w:rPr>
        <w:t>的事故池，用于收集</w:t>
      </w:r>
      <w:r>
        <w:rPr>
          <w:rFonts w:hint="default" w:ascii="Times New Roman" w:hAnsi="Times New Roman" w:cs="Times New Roman"/>
          <w:color w:val="auto"/>
          <w:highlight w:val="none"/>
        </w:rPr>
        <w:t>回水</w:t>
      </w:r>
      <w:r>
        <w:rPr>
          <w:rFonts w:hint="default" w:ascii="Times New Roman" w:hAnsi="Times New Roman" w:cs="Times New Roman"/>
          <w:color w:val="auto"/>
          <w:highlight w:val="none"/>
          <w:lang w:val="en-GB"/>
        </w:rPr>
        <w:t>系统事故溢流</w:t>
      </w:r>
      <w:r>
        <w:rPr>
          <w:rFonts w:hint="default" w:ascii="Times New Roman" w:hAnsi="Times New Roman" w:cs="Times New Roman"/>
          <w:color w:val="auto"/>
          <w:highlight w:val="none"/>
        </w:rPr>
        <w:t>废水</w:t>
      </w:r>
      <w:r>
        <w:rPr>
          <w:rFonts w:hint="default" w:ascii="Times New Roman" w:hAnsi="Times New Roman" w:cs="Times New Roman"/>
          <w:color w:val="auto"/>
          <w:highlight w:val="none"/>
          <w:lang w:val="en-GB"/>
        </w:rPr>
        <w:t>。根据《选矿厂尾矿设施设计规范》（ZBJ1-90）中的要求，事故池</w:t>
      </w:r>
      <w:r>
        <w:rPr>
          <w:rFonts w:hint="default" w:ascii="Times New Roman" w:hAnsi="Times New Roman" w:cs="Times New Roman"/>
          <w:color w:val="auto"/>
          <w:highlight w:val="none"/>
        </w:rPr>
        <w:t>的</w:t>
      </w:r>
      <w:r>
        <w:rPr>
          <w:rFonts w:hint="default" w:ascii="Times New Roman" w:hAnsi="Times New Roman" w:cs="Times New Roman"/>
          <w:color w:val="auto"/>
          <w:highlight w:val="none"/>
          <w:lang w:val="en-GB"/>
        </w:rPr>
        <w:t>容积</w:t>
      </w:r>
      <w:r>
        <w:rPr>
          <w:rFonts w:hint="default" w:ascii="Times New Roman" w:hAnsi="Times New Roman" w:cs="Times New Roman"/>
          <w:color w:val="auto"/>
          <w:highlight w:val="none"/>
        </w:rPr>
        <w:t>按</w:t>
      </w:r>
      <w:r>
        <w:rPr>
          <w:rFonts w:hint="default" w:ascii="Times New Roman" w:hAnsi="Times New Roman" w:cs="Times New Roman"/>
          <w:color w:val="auto"/>
          <w:highlight w:val="none"/>
          <w:lang w:val="en-GB"/>
        </w:rPr>
        <w:t>10~20min的正常矿浆量、</w:t>
      </w:r>
      <w:r>
        <w:rPr>
          <w:rFonts w:hint="default" w:ascii="Times New Roman" w:hAnsi="Times New Roman" w:cs="Times New Roman"/>
          <w:color w:val="auto"/>
          <w:highlight w:val="none"/>
        </w:rPr>
        <w:t>倒空管段的矿浆及矿浆池一次事故放空量之和确定</w:t>
      </w:r>
      <w:r>
        <w:rPr>
          <w:rFonts w:hint="default" w:ascii="Times New Roman" w:hAnsi="Times New Roman" w:cs="Times New Roman"/>
          <w:color w:val="auto"/>
          <w:highlight w:val="none"/>
          <w:lang w:val="en-GB"/>
        </w:rPr>
        <w:t>。</w:t>
      </w:r>
    </w:p>
    <w:p w14:paraId="3C2C157B">
      <w:pPr>
        <w:overflowPunct w:val="0"/>
        <w:topLinePunct/>
        <w:ind w:firstLine="480"/>
        <w:rPr>
          <w:rFonts w:hint="default" w:ascii="Times New Roman" w:hAnsi="Times New Roman" w:cs="Times New Roman"/>
          <w:color w:val="auto"/>
          <w:highlight w:val="none"/>
          <w:lang w:val="en-GB"/>
        </w:rPr>
      </w:pPr>
      <w:r>
        <w:rPr>
          <w:rFonts w:hint="default" w:ascii="Times New Roman" w:hAnsi="Times New Roman" w:cs="Times New Roman"/>
          <w:color w:val="auto"/>
          <w:highlight w:val="none"/>
          <w:lang w:val="en-GB"/>
        </w:rPr>
        <w:t>正常工况下</w:t>
      </w:r>
      <w:r>
        <w:rPr>
          <w:rFonts w:hint="default" w:ascii="Times New Roman" w:hAnsi="Times New Roman" w:cs="Times New Roman"/>
          <w:color w:val="auto"/>
          <w:highlight w:val="none"/>
        </w:rPr>
        <w:t>回水</w:t>
      </w:r>
      <w:r>
        <w:rPr>
          <w:rFonts w:hint="default" w:ascii="Times New Roman" w:hAnsi="Times New Roman" w:cs="Times New Roman"/>
          <w:color w:val="auto"/>
          <w:highlight w:val="none"/>
          <w:lang w:val="en-GB"/>
        </w:rPr>
        <w:t>系统20min矿浆量为</w:t>
      </w:r>
      <w:r>
        <w:rPr>
          <w:rFonts w:hint="eastAsia" w:cs="Times New Roman"/>
          <w:color w:val="auto"/>
          <w:highlight w:val="none"/>
          <w:lang w:val="en-US" w:eastAsia="zh-CN"/>
        </w:rPr>
        <w:t>130</w:t>
      </w:r>
      <w:r>
        <w:rPr>
          <w:rFonts w:hint="default" w:ascii="Times New Roman" w:hAnsi="Times New Roman" w:cs="Times New Roman"/>
          <w:color w:val="auto"/>
          <w:highlight w:val="none"/>
          <w:lang w:val="en-GB"/>
        </w:rPr>
        <w:t>m</w:t>
      </w:r>
      <w:r>
        <w:rPr>
          <w:rFonts w:hint="default" w:ascii="Times New Roman" w:hAnsi="Times New Roman" w:cs="Times New Roman"/>
          <w:color w:val="auto"/>
          <w:highlight w:val="none"/>
          <w:vertAlign w:val="superscript"/>
          <w:lang w:val="en-GB"/>
        </w:rPr>
        <w:t>3</w:t>
      </w:r>
      <w:r>
        <w:rPr>
          <w:rFonts w:hint="default" w:ascii="Times New Roman" w:hAnsi="Times New Roman" w:cs="Times New Roman"/>
          <w:color w:val="auto"/>
          <w:highlight w:val="none"/>
          <w:lang w:val="en-GB"/>
        </w:rPr>
        <w:t>。</w:t>
      </w:r>
      <w:r>
        <w:rPr>
          <w:rFonts w:hint="default" w:ascii="Times New Roman" w:hAnsi="Times New Roman" w:cs="Times New Roman"/>
          <w:color w:val="auto"/>
          <w:highlight w:val="none"/>
        </w:rPr>
        <w:t>项目回水管道长</w:t>
      </w:r>
      <w:r>
        <w:rPr>
          <w:rFonts w:hint="default" w:ascii="Times New Roman" w:hAnsi="Times New Roman" w:cs="Times New Roman"/>
          <w:color w:val="auto"/>
          <w:highlight w:val="none"/>
          <w:lang w:val="en-US" w:eastAsia="zh-CN"/>
        </w:rPr>
        <w:t>35</w:t>
      </w:r>
      <w:r>
        <w:rPr>
          <w:rFonts w:hint="default" w:ascii="Times New Roman" w:hAnsi="Times New Roman" w:cs="Times New Roman"/>
          <w:color w:val="auto"/>
          <w:highlight w:val="none"/>
        </w:rPr>
        <w:t>00m，直径为0.2</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m，倒空产生的</w:t>
      </w:r>
      <w:r>
        <w:rPr>
          <w:rFonts w:hint="default" w:ascii="Times New Roman" w:hAnsi="Times New Roman" w:cs="Times New Roman"/>
          <w:color w:val="auto"/>
          <w:highlight w:val="none"/>
          <w:lang w:val="en-GB" w:eastAsia="zh-CN"/>
        </w:rPr>
        <w:t>水</w:t>
      </w:r>
      <w:r>
        <w:rPr>
          <w:rFonts w:hint="default" w:ascii="Times New Roman" w:hAnsi="Times New Roman" w:cs="Times New Roman"/>
          <w:color w:val="auto"/>
          <w:highlight w:val="none"/>
          <w:lang w:val="en-GB"/>
        </w:rPr>
        <w:t>量为</w:t>
      </w:r>
      <w:r>
        <w:rPr>
          <w:rFonts w:hint="eastAsia" w:cs="Times New Roman"/>
          <w:color w:val="auto"/>
          <w:highlight w:val="none"/>
          <w:lang w:val="en-US" w:eastAsia="zh-CN"/>
        </w:rPr>
        <w:t>172</w:t>
      </w:r>
      <w:r>
        <w:rPr>
          <w:rFonts w:hint="default" w:ascii="Times New Roman" w:hAnsi="Times New Roman" w:cs="Times New Roman"/>
          <w:color w:val="auto"/>
          <w:highlight w:val="none"/>
          <w:lang w:val="en-GB"/>
        </w:rPr>
        <w:t>m</w:t>
      </w:r>
      <w:r>
        <w:rPr>
          <w:rFonts w:hint="default" w:ascii="Times New Roman" w:hAnsi="Times New Roman" w:cs="Times New Roman"/>
          <w:color w:val="auto"/>
          <w:highlight w:val="none"/>
          <w:vertAlign w:val="superscript"/>
          <w:lang w:val="en-GB"/>
        </w:rPr>
        <w:t>3</w:t>
      </w:r>
      <w:r>
        <w:rPr>
          <w:rFonts w:hint="default" w:ascii="Times New Roman" w:hAnsi="Times New Roman" w:cs="Times New Roman"/>
          <w:color w:val="auto"/>
          <w:highlight w:val="none"/>
          <w:lang w:val="en-GB"/>
        </w:rPr>
        <w:t>。事故</w:t>
      </w:r>
      <w:r>
        <w:rPr>
          <w:rFonts w:hint="default" w:ascii="Times New Roman" w:hAnsi="Times New Roman" w:cs="Times New Roman"/>
          <w:color w:val="auto"/>
          <w:highlight w:val="none"/>
        </w:rPr>
        <w:t>状态下产生的总量为</w:t>
      </w:r>
      <w:r>
        <w:rPr>
          <w:rFonts w:hint="eastAsia" w:cs="Times New Roman"/>
          <w:color w:val="auto"/>
          <w:highlight w:val="none"/>
          <w:lang w:val="en-US" w:eastAsia="zh-CN"/>
        </w:rPr>
        <w:t>302</w:t>
      </w:r>
      <w:r>
        <w:rPr>
          <w:rFonts w:hint="default" w:ascii="Times New Roman" w:hAnsi="Times New Roman" w:cs="Times New Roman"/>
          <w:color w:val="auto"/>
          <w:highlight w:val="none"/>
          <w:lang w:val="en-GB"/>
        </w:rPr>
        <w:t>m</w:t>
      </w:r>
      <w:r>
        <w:rPr>
          <w:rFonts w:hint="default" w:ascii="Times New Roman" w:hAnsi="Times New Roman" w:cs="Times New Roman"/>
          <w:color w:val="auto"/>
          <w:highlight w:val="none"/>
          <w:vertAlign w:val="superscript"/>
          <w:lang w:val="en-GB"/>
        </w:rPr>
        <w:t>3</w:t>
      </w:r>
      <w:r>
        <w:rPr>
          <w:rFonts w:hint="default" w:ascii="Times New Roman" w:hAnsi="Times New Roman" w:cs="Times New Roman"/>
          <w:color w:val="auto"/>
          <w:highlight w:val="none"/>
        </w:rPr>
        <w:t>，本项目设置</w:t>
      </w:r>
      <w:r>
        <w:rPr>
          <w:rFonts w:hint="default" w:ascii="Times New Roman" w:hAnsi="Times New Roman" w:cs="Times New Roman"/>
          <w:color w:val="auto"/>
          <w:highlight w:val="none"/>
          <w:lang w:val="en-GB"/>
        </w:rPr>
        <w:t>1座</w:t>
      </w:r>
      <w:r>
        <w:rPr>
          <w:rFonts w:hint="eastAsia" w:cs="Times New Roman"/>
          <w:color w:val="auto"/>
          <w:highlight w:val="none"/>
          <w:lang w:val="en-US" w:eastAsia="zh-CN"/>
        </w:rPr>
        <w:t>350</w:t>
      </w:r>
      <w:r>
        <w:rPr>
          <w:rFonts w:hint="default" w:ascii="Times New Roman" w:hAnsi="Times New Roman" w:cs="Times New Roman"/>
          <w:color w:val="auto"/>
          <w:highlight w:val="none"/>
          <w:lang w:val="en-GB"/>
        </w:rPr>
        <w:t>m</w:t>
      </w:r>
      <w:r>
        <w:rPr>
          <w:rFonts w:hint="default" w:ascii="Times New Roman" w:hAnsi="Times New Roman" w:cs="Times New Roman"/>
          <w:color w:val="auto"/>
          <w:highlight w:val="none"/>
          <w:vertAlign w:val="superscript"/>
          <w:lang w:val="en-GB"/>
        </w:rPr>
        <w:t>3</w:t>
      </w:r>
      <w:r>
        <w:rPr>
          <w:rFonts w:hint="default" w:ascii="Times New Roman" w:hAnsi="Times New Roman" w:cs="Times New Roman"/>
          <w:color w:val="auto"/>
          <w:highlight w:val="none"/>
          <w:lang w:val="en-GB"/>
        </w:rPr>
        <w:t>的事故池</w:t>
      </w:r>
      <w:r>
        <w:rPr>
          <w:rFonts w:hint="default" w:ascii="Times New Roman" w:hAnsi="Times New Roman" w:cs="Times New Roman"/>
          <w:color w:val="auto"/>
          <w:highlight w:val="none"/>
        </w:rPr>
        <w:t>，可</w:t>
      </w:r>
      <w:r>
        <w:rPr>
          <w:rFonts w:hint="default" w:ascii="Times New Roman" w:hAnsi="Times New Roman" w:cs="Times New Roman"/>
          <w:color w:val="auto"/>
          <w:highlight w:val="none"/>
          <w:lang w:val="en-GB"/>
        </w:rPr>
        <w:t>承纳规范要求的</w:t>
      </w:r>
      <w:r>
        <w:rPr>
          <w:rFonts w:hint="default" w:ascii="Times New Roman" w:hAnsi="Times New Roman" w:cs="Times New Roman"/>
          <w:color w:val="auto"/>
          <w:highlight w:val="none"/>
        </w:rPr>
        <w:t>事故状态下</w:t>
      </w:r>
      <w:r>
        <w:rPr>
          <w:rFonts w:hint="default" w:ascii="Times New Roman" w:hAnsi="Times New Roman" w:cs="Times New Roman"/>
          <w:color w:val="auto"/>
          <w:highlight w:val="none"/>
          <w:lang w:val="en-GB"/>
        </w:rPr>
        <w:t>矿浆量。因此，在选矿生产系统发生故障或事故时，通过将生产系统中矿浆排入事故池，并及时维修，在故障或事故排除后，再泵回生产系统，不会发生外排，对</w:t>
      </w:r>
      <w:r>
        <w:rPr>
          <w:rFonts w:hint="default" w:ascii="Times New Roman" w:hAnsi="Times New Roman" w:cs="Times New Roman"/>
          <w:color w:val="auto"/>
          <w:highlight w:val="none"/>
        </w:rPr>
        <w:t>外部水</w:t>
      </w:r>
      <w:r>
        <w:rPr>
          <w:rFonts w:hint="default" w:ascii="Times New Roman" w:hAnsi="Times New Roman" w:cs="Times New Roman"/>
          <w:color w:val="auto"/>
          <w:highlight w:val="none"/>
          <w:lang w:val="en-GB"/>
        </w:rPr>
        <w:t>环境影响</w:t>
      </w:r>
      <w:r>
        <w:rPr>
          <w:rFonts w:hint="default" w:ascii="Times New Roman" w:hAnsi="Times New Roman" w:cs="Times New Roman"/>
          <w:color w:val="auto"/>
          <w:highlight w:val="none"/>
        </w:rPr>
        <w:t>较小</w:t>
      </w:r>
      <w:r>
        <w:rPr>
          <w:rFonts w:hint="default" w:ascii="Times New Roman" w:hAnsi="Times New Roman" w:cs="Times New Roman"/>
          <w:bCs/>
          <w:snapToGrid w:val="0"/>
          <w:color w:val="auto"/>
          <w:highlight w:val="none"/>
        </w:rPr>
        <w:t>。</w:t>
      </w:r>
    </w:p>
    <w:p w14:paraId="4829B6D6">
      <w:pPr>
        <w:overflowPunct w:val="0"/>
        <w:topLinePunct/>
        <w:ind w:firstLine="48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3、地表水环境影响评价自查表</w:t>
      </w:r>
    </w:p>
    <w:p w14:paraId="2C619B17">
      <w:pPr>
        <w:overflowPunct w:val="0"/>
        <w:topLinePunct/>
        <w:ind w:firstLine="48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地表水环境影响评价自查表见下表。</w:t>
      </w:r>
    </w:p>
    <w:p w14:paraId="1618A827">
      <w:pPr>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表5.2-1</w:t>
      </w:r>
      <w:r>
        <w:rPr>
          <w:rFonts w:hint="default" w:ascii="Times New Roman" w:hAnsi="Times New Roman" w:cs="Times New Roman"/>
          <w:b/>
          <w:bCs/>
          <w:color w:val="auto"/>
          <w:highlight w:val="none"/>
          <w:lang w:val="en-US" w:eastAsia="zh-CN"/>
        </w:rPr>
        <w:t>1</w:t>
      </w:r>
      <w:r>
        <w:rPr>
          <w:rFonts w:hint="default" w:ascii="Times New Roman" w:hAnsi="Times New Roman" w:cs="Times New Roman"/>
          <w:b/>
          <w:bCs/>
          <w:color w:val="auto"/>
          <w:highlight w:val="none"/>
        </w:rPr>
        <w:t xml:space="preserve">    地表水环境影响评价自查表</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405"/>
        <w:gridCol w:w="1249"/>
        <w:gridCol w:w="312"/>
        <w:gridCol w:w="53"/>
        <w:gridCol w:w="468"/>
        <w:gridCol w:w="417"/>
        <w:gridCol w:w="623"/>
        <w:gridCol w:w="162"/>
        <w:gridCol w:w="464"/>
        <w:gridCol w:w="182"/>
        <w:gridCol w:w="234"/>
        <w:gridCol w:w="785"/>
        <w:gridCol w:w="49"/>
        <w:gridCol w:w="1249"/>
      </w:tblGrid>
      <w:tr w14:paraId="62E3B2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75" w:type="dxa"/>
            <w:gridSpan w:val="2"/>
            <w:vAlign w:val="center"/>
          </w:tcPr>
          <w:p w14:paraId="54AAF252">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工作内容</w:t>
            </w:r>
          </w:p>
        </w:tc>
        <w:tc>
          <w:tcPr>
            <w:tcW w:w="6247" w:type="dxa"/>
            <w:gridSpan w:val="13"/>
            <w:vAlign w:val="center"/>
          </w:tcPr>
          <w:p w14:paraId="4470D584">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自查项目</w:t>
            </w:r>
          </w:p>
        </w:tc>
      </w:tr>
      <w:tr w14:paraId="20851A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0" w:type="dxa"/>
            <w:vMerge w:val="restart"/>
            <w:vAlign w:val="center"/>
          </w:tcPr>
          <w:p w14:paraId="4163F07B">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影</w:t>
            </w:r>
          </w:p>
          <w:p w14:paraId="178A957B">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响</w:t>
            </w:r>
          </w:p>
          <w:p w14:paraId="3352D901">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识</w:t>
            </w:r>
          </w:p>
          <w:p w14:paraId="32A8F916">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别</w:t>
            </w:r>
          </w:p>
        </w:tc>
        <w:tc>
          <w:tcPr>
            <w:tcW w:w="1405" w:type="dxa"/>
            <w:vAlign w:val="center"/>
          </w:tcPr>
          <w:p w14:paraId="3ECF0A21">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影响类型</w:t>
            </w:r>
          </w:p>
        </w:tc>
        <w:tc>
          <w:tcPr>
            <w:tcW w:w="6247" w:type="dxa"/>
            <w:gridSpan w:val="13"/>
            <w:vAlign w:val="center"/>
          </w:tcPr>
          <w:p w14:paraId="60024B07">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水污染影响型</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；水文要素影响型</w:t>
            </w:r>
            <w:r>
              <w:rPr>
                <w:rFonts w:hint="eastAsia" w:cs="Times New Roman"/>
                <w:color w:val="auto"/>
                <w:sz w:val="21"/>
                <w:szCs w:val="21"/>
                <w:highlight w:val="none"/>
                <w:lang w:val="en-US" w:eastAsia="zh-CN"/>
              </w:rPr>
              <w:t>□</w:t>
            </w:r>
          </w:p>
        </w:tc>
      </w:tr>
      <w:tr w14:paraId="5D2E57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0" w:type="dxa"/>
            <w:vMerge w:val="continue"/>
            <w:vAlign w:val="center"/>
          </w:tcPr>
          <w:p w14:paraId="611CA51B">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405" w:type="dxa"/>
            <w:vAlign w:val="center"/>
          </w:tcPr>
          <w:p w14:paraId="361D9AB8">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水环境保护目标</w:t>
            </w:r>
          </w:p>
        </w:tc>
        <w:tc>
          <w:tcPr>
            <w:tcW w:w="6247" w:type="dxa"/>
            <w:gridSpan w:val="13"/>
            <w:vAlign w:val="center"/>
          </w:tcPr>
          <w:p w14:paraId="3E1923C3">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饮用水水源保护区</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；饮用水取水口</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；涉水的自然保护区</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；重要湿地</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w:t>
            </w:r>
          </w:p>
          <w:p w14:paraId="3EF453BF">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重点保护与珍稀水生生物的栖息地</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；重要水生生物的自然产卵场及索饵场、越冬场和洄游通道、天然渔场等渔业水体</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；涉水的风景名胜区</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；其他</w:t>
            </w:r>
            <w:r>
              <w:rPr>
                <w:rFonts w:hint="default" w:ascii="Times New Roman" w:hAnsi="Times New Roman" w:cs="Times New Roman"/>
                <w:color w:val="auto"/>
                <w:sz w:val="21"/>
                <w:szCs w:val="21"/>
                <w:highlight w:val="none"/>
                <w:lang w:eastAsia="zh-CN"/>
              </w:rPr>
              <w:t>（</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eastAsia="zh-CN"/>
              </w:rPr>
              <w:t>）</w:t>
            </w:r>
          </w:p>
        </w:tc>
      </w:tr>
      <w:tr w14:paraId="029440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0" w:type="dxa"/>
            <w:vMerge w:val="continue"/>
            <w:vAlign w:val="center"/>
          </w:tcPr>
          <w:p w14:paraId="3B975A37">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405" w:type="dxa"/>
            <w:vMerge w:val="restart"/>
            <w:vAlign w:val="center"/>
          </w:tcPr>
          <w:p w14:paraId="1C7AEA55">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影响途径</w:t>
            </w:r>
          </w:p>
        </w:tc>
        <w:tc>
          <w:tcPr>
            <w:tcW w:w="3284" w:type="dxa"/>
            <w:gridSpan w:val="7"/>
            <w:vAlign w:val="center"/>
          </w:tcPr>
          <w:p w14:paraId="180DA894">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水污染影响型</w:t>
            </w:r>
          </w:p>
        </w:tc>
        <w:tc>
          <w:tcPr>
            <w:tcW w:w="2963" w:type="dxa"/>
            <w:gridSpan w:val="6"/>
            <w:vAlign w:val="center"/>
          </w:tcPr>
          <w:p w14:paraId="4626CAA4">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水文要素影响型</w:t>
            </w:r>
          </w:p>
        </w:tc>
      </w:tr>
      <w:tr w14:paraId="15AF9E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0" w:type="dxa"/>
            <w:vMerge w:val="continue"/>
            <w:vAlign w:val="center"/>
          </w:tcPr>
          <w:p w14:paraId="5ECB6047">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405" w:type="dxa"/>
            <w:vMerge w:val="continue"/>
            <w:vAlign w:val="center"/>
          </w:tcPr>
          <w:p w14:paraId="1A0ECBFA">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3284" w:type="dxa"/>
            <w:gridSpan w:val="7"/>
            <w:vAlign w:val="center"/>
          </w:tcPr>
          <w:p w14:paraId="2A2A8711">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直接排放</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；间接排放</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；其他</w:t>
            </w:r>
            <w:r>
              <w:rPr>
                <w:rFonts w:hint="eastAsia" w:cs="Times New Roman"/>
                <w:color w:val="auto"/>
                <w:sz w:val="21"/>
                <w:szCs w:val="21"/>
                <w:highlight w:val="none"/>
                <w:lang w:val="en-US" w:eastAsia="zh-CN"/>
              </w:rPr>
              <w:t>☑</w:t>
            </w:r>
          </w:p>
        </w:tc>
        <w:tc>
          <w:tcPr>
            <w:tcW w:w="2963" w:type="dxa"/>
            <w:gridSpan w:val="6"/>
            <w:vAlign w:val="center"/>
          </w:tcPr>
          <w:p w14:paraId="0396E769">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水温</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；径流</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；水域面积</w:t>
            </w:r>
            <w:r>
              <w:rPr>
                <w:rFonts w:hint="eastAsia" w:cs="Times New Roman"/>
                <w:color w:val="auto"/>
                <w:sz w:val="21"/>
                <w:szCs w:val="21"/>
                <w:highlight w:val="none"/>
                <w:lang w:eastAsia="zh-CN"/>
              </w:rPr>
              <w:t>□</w:t>
            </w:r>
          </w:p>
        </w:tc>
      </w:tr>
      <w:tr w14:paraId="6E34AD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0" w:type="dxa"/>
            <w:vMerge w:val="continue"/>
            <w:vAlign w:val="center"/>
          </w:tcPr>
          <w:p w14:paraId="31E5CD90">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405" w:type="dxa"/>
            <w:vAlign w:val="center"/>
          </w:tcPr>
          <w:p w14:paraId="02078BBB">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影响因子</w:t>
            </w:r>
          </w:p>
        </w:tc>
        <w:tc>
          <w:tcPr>
            <w:tcW w:w="3284" w:type="dxa"/>
            <w:gridSpan w:val="7"/>
            <w:vAlign w:val="center"/>
          </w:tcPr>
          <w:p w14:paraId="11B598C4">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持久性污染物</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；毒有害污染物</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w:t>
            </w:r>
          </w:p>
          <w:p w14:paraId="4D434FDC">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非持久性污染物</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；pH值</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w:t>
            </w:r>
          </w:p>
          <w:p w14:paraId="6FB66FF9">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热污染</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；富营养化</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；其他</w:t>
            </w:r>
            <w:r>
              <w:rPr>
                <w:rFonts w:hint="eastAsia" w:cs="Times New Roman"/>
                <w:color w:val="auto"/>
                <w:sz w:val="21"/>
                <w:szCs w:val="21"/>
                <w:highlight w:val="none"/>
                <w:lang w:eastAsia="zh-CN"/>
              </w:rPr>
              <w:t>□</w:t>
            </w:r>
          </w:p>
        </w:tc>
        <w:tc>
          <w:tcPr>
            <w:tcW w:w="2963" w:type="dxa"/>
            <w:gridSpan w:val="6"/>
            <w:vAlign w:val="center"/>
          </w:tcPr>
          <w:p w14:paraId="263EB140">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水温</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；水位（水深）</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；流速</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；流量</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；其他</w:t>
            </w:r>
            <w:r>
              <w:rPr>
                <w:rFonts w:hint="eastAsia" w:cs="Times New Roman"/>
                <w:color w:val="auto"/>
                <w:sz w:val="21"/>
                <w:szCs w:val="21"/>
                <w:highlight w:val="none"/>
                <w:lang w:val="en-US" w:eastAsia="zh-CN"/>
              </w:rPr>
              <w:t>□</w:t>
            </w:r>
          </w:p>
        </w:tc>
      </w:tr>
      <w:tr w14:paraId="0DCFB6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75" w:type="dxa"/>
            <w:gridSpan w:val="2"/>
            <w:vMerge w:val="restart"/>
            <w:vAlign w:val="center"/>
          </w:tcPr>
          <w:p w14:paraId="105AC814">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评价等级</w:t>
            </w:r>
          </w:p>
        </w:tc>
        <w:tc>
          <w:tcPr>
            <w:tcW w:w="3284" w:type="dxa"/>
            <w:gridSpan w:val="7"/>
            <w:vAlign w:val="center"/>
          </w:tcPr>
          <w:p w14:paraId="011C605F">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水污染影响型</w:t>
            </w:r>
          </w:p>
        </w:tc>
        <w:tc>
          <w:tcPr>
            <w:tcW w:w="2963" w:type="dxa"/>
            <w:gridSpan w:val="6"/>
            <w:vAlign w:val="center"/>
          </w:tcPr>
          <w:p w14:paraId="654AE9F7">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水文要素影响型</w:t>
            </w:r>
          </w:p>
        </w:tc>
      </w:tr>
      <w:tr w14:paraId="06B9F2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75" w:type="dxa"/>
            <w:gridSpan w:val="2"/>
            <w:vMerge w:val="continue"/>
            <w:vAlign w:val="center"/>
          </w:tcPr>
          <w:p w14:paraId="067FC67F">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3284" w:type="dxa"/>
            <w:gridSpan w:val="7"/>
            <w:vAlign w:val="center"/>
          </w:tcPr>
          <w:p w14:paraId="564ABB21">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一级</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；二级</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；三级A</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w:t>
            </w:r>
          </w:p>
          <w:p w14:paraId="7AD505FF">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三级B</w:t>
            </w:r>
            <w:r>
              <w:rPr>
                <w:rFonts w:hint="eastAsia" w:cs="Times New Roman"/>
                <w:color w:val="auto"/>
                <w:sz w:val="21"/>
                <w:szCs w:val="21"/>
                <w:highlight w:val="none"/>
                <w:lang w:val="en-US" w:eastAsia="zh-CN"/>
              </w:rPr>
              <w:t>☑</w:t>
            </w:r>
          </w:p>
        </w:tc>
        <w:tc>
          <w:tcPr>
            <w:tcW w:w="2963" w:type="dxa"/>
            <w:gridSpan w:val="6"/>
            <w:vAlign w:val="center"/>
          </w:tcPr>
          <w:p w14:paraId="41359F34">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一级</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；二级</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；三级</w:t>
            </w:r>
            <w:r>
              <w:rPr>
                <w:rFonts w:hint="eastAsia" w:cs="Times New Roman"/>
                <w:color w:val="auto"/>
                <w:sz w:val="21"/>
                <w:szCs w:val="21"/>
                <w:highlight w:val="none"/>
                <w:lang w:val="en-US" w:eastAsia="zh-CN"/>
              </w:rPr>
              <w:t>□</w:t>
            </w:r>
          </w:p>
        </w:tc>
      </w:tr>
      <w:tr w14:paraId="6066D4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0" w:type="dxa"/>
            <w:vMerge w:val="restart"/>
            <w:vAlign w:val="center"/>
          </w:tcPr>
          <w:p w14:paraId="75EAF80C">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w:t>
            </w:r>
          </w:p>
          <w:p w14:paraId="25E2CE4A">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状</w:t>
            </w:r>
          </w:p>
          <w:p w14:paraId="220BB4AF">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调</w:t>
            </w:r>
          </w:p>
          <w:p w14:paraId="3EA81296">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查</w:t>
            </w:r>
          </w:p>
        </w:tc>
        <w:tc>
          <w:tcPr>
            <w:tcW w:w="1405" w:type="dxa"/>
            <w:vMerge w:val="restart"/>
            <w:vAlign w:val="center"/>
          </w:tcPr>
          <w:p w14:paraId="1BDBB5AB">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区域污染源</w:t>
            </w:r>
          </w:p>
        </w:tc>
        <w:tc>
          <w:tcPr>
            <w:tcW w:w="3284" w:type="dxa"/>
            <w:gridSpan w:val="7"/>
            <w:vAlign w:val="center"/>
          </w:tcPr>
          <w:p w14:paraId="038797F1">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调查项目</w:t>
            </w:r>
          </w:p>
        </w:tc>
        <w:tc>
          <w:tcPr>
            <w:tcW w:w="2963" w:type="dxa"/>
            <w:gridSpan w:val="6"/>
            <w:vAlign w:val="center"/>
          </w:tcPr>
          <w:p w14:paraId="0887CB41">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数据来源</w:t>
            </w:r>
          </w:p>
        </w:tc>
      </w:tr>
      <w:tr w14:paraId="2105D6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0" w:type="dxa"/>
            <w:vMerge w:val="continue"/>
            <w:vAlign w:val="center"/>
          </w:tcPr>
          <w:p w14:paraId="36DFFA0B">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405" w:type="dxa"/>
            <w:vMerge w:val="continue"/>
            <w:vAlign w:val="center"/>
          </w:tcPr>
          <w:p w14:paraId="2F4F7B49">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561" w:type="dxa"/>
            <w:gridSpan w:val="2"/>
            <w:vAlign w:val="center"/>
          </w:tcPr>
          <w:p w14:paraId="2DE74B2B">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已建</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；在建</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；拟建</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；其他</w:t>
            </w:r>
            <w:r>
              <w:rPr>
                <w:rFonts w:hint="eastAsia" w:cs="Times New Roman"/>
                <w:color w:val="auto"/>
                <w:sz w:val="21"/>
                <w:szCs w:val="21"/>
                <w:highlight w:val="none"/>
                <w:lang w:eastAsia="zh-CN"/>
              </w:rPr>
              <w:t>☑</w:t>
            </w:r>
          </w:p>
        </w:tc>
        <w:tc>
          <w:tcPr>
            <w:tcW w:w="1723" w:type="dxa"/>
            <w:gridSpan w:val="5"/>
            <w:vAlign w:val="center"/>
          </w:tcPr>
          <w:p w14:paraId="47A18EFE">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拟替代的污染源</w:t>
            </w:r>
            <w:r>
              <w:rPr>
                <w:rFonts w:hint="eastAsia" w:cs="Times New Roman"/>
                <w:color w:val="auto"/>
                <w:sz w:val="21"/>
                <w:szCs w:val="21"/>
                <w:highlight w:val="none"/>
                <w:lang w:eastAsia="zh-CN"/>
              </w:rPr>
              <w:t>□</w:t>
            </w:r>
          </w:p>
        </w:tc>
        <w:tc>
          <w:tcPr>
            <w:tcW w:w="2963" w:type="dxa"/>
            <w:gridSpan w:val="6"/>
            <w:vAlign w:val="center"/>
          </w:tcPr>
          <w:p w14:paraId="10B4CCFB">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排污许可证</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；环评</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；环保验收</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；既有实测</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；现场监测</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；入河排放口数据</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；其他</w:t>
            </w:r>
            <w:r>
              <w:rPr>
                <w:rFonts w:hint="eastAsia" w:cs="Times New Roman"/>
                <w:color w:val="auto"/>
                <w:sz w:val="21"/>
                <w:szCs w:val="21"/>
                <w:highlight w:val="none"/>
                <w:lang w:eastAsia="zh-CN"/>
              </w:rPr>
              <w:t>□</w:t>
            </w:r>
          </w:p>
        </w:tc>
      </w:tr>
      <w:tr w14:paraId="0BF435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0" w:type="dxa"/>
            <w:vMerge w:val="continue"/>
            <w:vAlign w:val="center"/>
          </w:tcPr>
          <w:p w14:paraId="41DAC84B">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405" w:type="dxa"/>
            <w:vMerge w:val="restart"/>
            <w:vAlign w:val="center"/>
          </w:tcPr>
          <w:p w14:paraId="6EC93BD4">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受影响水体水环境质量</w:t>
            </w:r>
          </w:p>
        </w:tc>
        <w:tc>
          <w:tcPr>
            <w:tcW w:w="3284" w:type="dxa"/>
            <w:gridSpan w:val="7"/>
            <w:vAlign w:val="center"/>
          </w:tcPr>
          <w:p w14:paraId="04023649">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调查时期</w:t>
            </w:r>
          </w:p>
        </w:tc>
        <w:tc>
          <w:tcPr>
            <w:tcW w:w="2963" w:type="dxa"/>
            <w:gridSpan w:val="6"/>
            <w:vAlign w:val="center"/>
          </w:tcPr>
          <w:p w14:paraId="14F42DB3">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数据来源</w:t>
            </w:r>
          </w:p>
        </w:tc>
      </w:tr>
      <w:tr w14:paraId="1E23E5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0" w:type="dxa"/>
            <w:vMerge w:val="continue"/>
            <w:vAlign w:val="center"/>
          </w:tcPr>
          <w:p w14:paraId="0152B501">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405" w:type="dxa"/>
            <w:vMerge w:val="continue"/>
            <w:vAlign w:val="center"/>
          </w:tcPr>
          <w:p w14:paraId="17E9AC43">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3284" w:type="dxa"/>
            <w:gridSpan w:val="7"/>
            <w:vAlign w:val="center"/>
          </w:tcPr>
          <w:p w14:paraId="1ABBF859">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丰水期</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；平水期</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；枯水期</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；冰封期</w:t>
            </w:r>
            <w:r>
              <w:rPr>
                <w:rFonts w:hint="eastAsia" w:cs="Times New Roman"/>
                <w:color w:val="auto"/>
                <w:sz w:val="21"/>
                <w:szCs w:val="21"/>
                <w:highlight w:val="none"/>
                <w:lang w:eastAsia="zh-CN"/>
              </w:rPr>
              <w:t>□</w:t>
            </w:r>
          </w:p>
          <w:p w14:paraId="7008B8D2">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春季</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；夏季</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；秋季</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；冬季</w:t>
            </w:r>
            <w:r>
              <w:rPr>
                <w:rFonts w:hint="eastAsia" w:cs="Times New Roman"/>
                <w:color w:val="auto"/>
                <w:sz w:val="21"/>
                <w:szCs w:val="21"/>
                <w:highlight w:val="none"/>
                <w:lang w:val="en-US" w:eastAsia="zh-CN"/>
              </w:rPr>
              <w:t>□</w:t>
            </w:r>
          </w:p>
        </w:tc>
        <w:tc>
          <w:tcPr>
            <w:tcW w:w="2963" w:type="dxa"/>
            <w:gridSpan w:val="6"/>
            <w:vAlign w:val="center"/>
          </w:tcPr>
          <w:p w14:paraId="5FE226AE">
            <w:pPr>
              <w:keepNext w:val="0"/>
              <w:keepLines w:val="0"/>
              <w:pageBreakBefore w:val="0"/>
              <w:widowControl w:val="0"/>
              <w:kinsoku/>
              <w:wordWrap w:val="0"/>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生态环境保护主管部门</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；补充监测</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；其他</w:t>
            </w:r>
            <w:r>
              <w:rPr>
                <w:rFonts w:hint="eastAsia" w:cs="Times New Roman"/>
                <w:color w:val="auto"/>
                <w:sz w:val="21"/>
                <w:szCs w:val="21"/>
                <w:highlight w:val="none"/>
                <w:lang w:eastAsia="zh-CN"/>
              </w:rPr>
              <w:t>□</w:t>
            </w:r>
          </w:p>
        </w:tc>
      </w:tr>
      <w:tr w14:paraId="1ECC00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0" w:type="dxa"/>
            <w:vMerge w:val="continue"/>
            <w:vAlign w:val="center"/>
          </w:tcPr>
          <w:p w14:paraId="5FBF59C6">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405" w:type="dxa"/>
            <w:vAlign w:val="center"/>
          </w:tcPr>
          <w:p w14:paraId="15C738F3">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区域水资源开发利用状况</w:t>
            </w:r>
          </w:p>
        </w:tc>
        <w:tc>
          <w:tcPr>
            <w:tcW w:w="6247" w:type="dxa"/>
            <w:gridSpan w:val="13"/>
            <w:vAlign w:val="center"/>
          </w:tcPr>
          <w:p w14:paraId="2DD3F364">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未开发</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；开发量40%以下</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；开发量40%以上</w:t>
            </w:r>
            <w:r>
              <w:rPr>
                <w:rFonts w:hint="eastAsia" w:cs="Times New Roman"/>
                <w:color w:val="auto"/>
                <w:sz w:val="21"/>
                <w:szCs w:val="21"/>
                <w:highlight w:val="none"/>
                <w:lang w:eastAsia="zh-CN"/>
              </w:rPr>
              <w:t>□</w:t>
            </w:r>
          </w:p>
        </w:tc>
      </w:tr>
      <w:tr w14:paraId="5AE3DB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0" w:type="dxa"/>
            <w:vMerge w:val="continue"/>
            <w:vAlign w:val="center"/>
          </w:tcPr>
          <w:p w14:paraId="27FEC9F5">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405" w:type="dxa"/>
            <w:vMerge w:val="restart"/>
            <w:vAlign w:val="center"/>
          </w:tcPr>
          <w:p w14:paraId="1B88158A">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水文情势调查</w:t>
            </w:r>
          </w:p>
        </w:tc>
        <w:tc>
          <w:tcPr>
            <w:tcW w:w="3122" w:type="dxa"/>
            <w:gridSpan w:val="6"/>
            <w:vAlign w:val="center"/>
          </w:tcPr>
          <w:p w14:paraId="396E1EF6">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调查时期</w:t>
            </w:r>
          </w:p>
        </w:tc>
        <w:tc>
          <w:tcPr>
            <w:tcW w:w="3125" w:type="dxa"/>
            <w:gridSpan w:val="7"/>
            <w:vAlign w:val="center"/>
          </w:tcPr>
          <w:p w14:paraId="2C6BEEE1">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数据来源</w:t>
            </w:r>
          </w:p>
        </w:tc>
      </w:tr>
      <w:tr w14:paraId="32CDE7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0" w:type="dxa"/>
            <w:vMerge w:val="continue"/>
            <w:vAlign w:val="center"/>
          </w:tcPr>
          <w:p w14:paraId="192E34A7">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405" w:type="dxa"/>
            <w:vMerge w:val="continue"/>
            <w:vAlign w:val="center"/>
          </w:tcPr>
          <w:p w14:paraId="5E2B49BB">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3122" w:type="dxa"/>
            <w:gridSpan w:val="6"/>
            <w:vAlign w:val="center"/>
          </w:tcPr>
          <w:p w14:paraId="0D38E0F7">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丰水期</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；平水期</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；枯水期</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；冰封期</w:t>
            </w:r>
          </w:p>
          <w:p w14:paraId="433A7A2E">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春季</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；夏季</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；秋季</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；冬季</w:t>
            </w:r>
            <w:r>
              <w:rPr>
                <w:rFonts w:hint="eastAsia" w:cs="Times New Roman"/>
                <w:color w:val="auto"/>
                <w:sz w:val="21"/>
                <w:szCs w:val="21"/>
                <w:highlight w:val="none"/>
                <w:lang w:eastAsia="zh-CN"/>
              </w:rPr>
              <w:t>□</w:t>
            </w:r>
          </w:p>
        </w:tc>
        <w:tc>
          <w:tcPr>
            <w:tcW w:w="3125" w:type="dxa"/>
            <w:gridSpan w:val="7"/>
            <w:vAlign w:val="center"/>
          </w:tcPr>
          <w:p w14:paraId="1CF20A3F">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水行政主管部门</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；补充监测</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；其他</w:t>
            </w:r>
            <w:r>
              <w:rPr>
                <w:rFonts w:hint="eastAsia" w:cs="Times New Roman"/>
                <w:color w:val="auto"/>
                <w:sz w:val="21"/>
                <w:szCs w:val="21"/>
                <w:highlight w:val="none"/>
                <w:lang w:eastAsia="zh-CN"/>
              </w:rPr>
              <w:t>□</w:t>
            </w:r>
          </w:p>
        </w:tc>
      </w:tr>
      <w:tr w14:paraId="0A4DE0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0" w:type="dxa"/>
            <w:vMerge w:val="continue"/>
            <w:vAlign w:val="center"/>
          </w:tcPr>
          <w:p w14:paraId="5F6EBA3E">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405" w:type="dxa"/>
            <w:vMerge w:val="restart"/>
            <w:vAlign w:val="center"/>
          </w:tcPr>
          <w:p w14:paraId="54979600">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补充监测</w:t>
            </w:r>
          </w:p>
        </w:tc>
        <w:tc>
          <w:tcPr>
            <w:tcW w:w="2082" w:type="dxa"/>
            <w:gridSpan w:val="4"/>
            <w:vAlign w:val="center"/>
          </w:tcPr>
          <w:p w14:paraId="3C9EE763">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监测时期</w:t>
            </w:r>
          </w:p>
        </w:tc>
        <w:tc>
          <w:tcPr>
            <w:tcW w:w="2082" w:type="dxa"/>
            <w:gridSpan w:val="6"/>
            <w:vAlign w:val="center"/>
          </w:tcPr>
          <w:p w14:paraId="6719D140">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监测因子</w:t>
            </w:r>
          </w:p>
        </w:tc>
        <w:tc>
          <w:tcPr>
            <w:tcW w:w="2083" w:type="dxa"/>
            <w:gridSpan w:val="3"/>
            <w:vAlign w:val="center"/>
          </w:tcPr>
          <w:p w14:paraId="066D1F86">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监测断面或点位</w:t>
            </w:r>
          </w:p>
        </w:tc>
      </w:tr>
      <w:tr w14:paraId="31F4E6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0" w:type="dxa"/>
            <w:vMerge w:val="continue"/>
            <w:vAlign w:val="center"/>
          </w:tcPr>
          <w:p w14:paraId="09F7825A">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405" w:type="dxa"/>
            <w:vMerge w:val="continue"/>
            <w:vAlign w:val="center"/>
          </w:tcPr>
          <w:p w14:paraId="5D004696">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2082" w:type="dxa"/>
            <w:gridSpan w:val="4"/>
            <w:vAlign w:val="center"/>
          </w:tcPr>
          <w:p w14:paraId="5B1F2B06">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丰水期</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；平水期</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；枯水期</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；冰封期</w:t>
            </w:r>
            <w:r>
              <w:rPr>
                <w:rFonts w:hint="eastAsia" w:cs="Times New Roman"/>
                <w:color w:val="auto"/>
                <w:sz w:val="21"/>
                <w:szCs w:val="21"/>
                <w:highlight w:val="none"/>
                <w:lang w:eastAsia="zh-CN"/>
              </w:rPr>
              <w:t>□</w:t>
            </w:r>
          </w:p>
          <w:p w14:paraId="7881741A">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春季</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；夏季</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w:t>
            </w:r>
          </w:p>
          <w:p w14:paraId="444341C7">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秋季</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；冬季</w:t>
            </w:r>
            <w:r>
              <w:rPr>
                <w:rFonts w:hint="eastAsia" w:cs="Times New Roman"/>
                <w:color w:val="auto"/>
                <w:sz w:val="21"/>
                <w:szCs w:val="21"/>
                <w:highlight w:val="none"/>
                <w:lang w:eastAsia="zh-CN"/>
              </w:rPr>
              <w:t>□</w:t>
            </w:r>
          </w:p>
        </w:tc>
        <w:tc>
          <w:tcPr>
            <w:tcW w:w="2082" w:type="dxa"/>
            <w:gridSpan w:val="6"/>
            <w:vAlign w:val="center"/>
          </w:tcPr>
          <w:p w14:paraId="5E3FA436">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w:t>
            </w:r>
          </w:p>
        </w:tc>
        <w:tc>
          <w:tcPr>
            <w:tcW w:w="2083" w:type="dxa"/>
            <w:gridSpan w:val="3"/>
            <w:vAlign w:val="center"/>
          </w:tcPr>
          <w:p w14:paraId="18AD6E61">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监测断面或点位个数（</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）个</w:t>
            </w:r>
          </w:p>
        </w:tc>
      </w:tr>
      <w:tr w14:paraId="3B907D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0" w:type="dxa"/>
            <w:vMerge w:val="restart"/>
            <w:vAlign w:val="center"/>
          </w:tcPr>
          <w:p w14:paraId="5FBC855C">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w:t>
            </w:r>
          </w:p>
          <w:p w14:paraId="14103E5A">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状</w:t>
            </w:r>
          </w:p>
          <w:p w14:paraId="23B6EA25">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w:t>
            </w:r>
          </w:p>
          <w:p w14:paraId="7F4AEECD">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价</w:t>
            </w:r>
          </w:p>
        </w:tc>
        <w:tc>
          <w:tcPr>
            <w:tcW w:w="1405" w:type="dxa"/>
            <w:vAlign w:val="center"/>
          </w:tcPr>
          <w:p w14:paraId="4BDBF9BC">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评价范围</w:t>
            </w:r>
          </w:p>
        </w:tc>
        <w:tc>
          <w:tcPr>
            <w:tcW w:w="6247" w:type="dxa"/>
            <w:gridSpan w:val="13"/>
            <w:vAlign w:val="center"/>
          </w:tcPr>
          <w:p w14:paraId="68879596">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河流：长度（</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）km；湖库、河口及近岸海域：面积（）km</w:t>
            </w:r>
            <w:r>
              <w:rPr>
                <w:rFonts w:hint="default" w:ascii="Times New Roman" w:hAnsi="Times New Roman" w:cs="Times New Roman"/>
                <w:color w:val="auto"/>
                <w:sz w:val="21"/>
                <w:szCs w:val="21"/>
                <w:highlight w:val="none"/>
                <w:vertAlign w:val="superscript"/>
              </w:rPr>
              <w:t>2</w:t>
            </w:r>
          </w:p>
        </w:tc>
      </w:tr>
      <w:tr w14:paraId="03C503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0" w:type="dxa"/>
            <w:vMerge w:val="continue"/>
            <w:vAlign w:val="center"/>
          </w:tcPr>
          <w:p w14:paraId="1D78E45C">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405" w:type="dxa"/>
            <w:vAlign w:val="center"/>
          </w:tcPr>
          <w:p w14:paraId="11CC3846">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评价因子</w:t>
            </w:r>
          </w:p>
        </w:tc>
        <w:tc>
          <w:tcPr>
            <w:tcW w:w="6247" w:type="dxa"/>
            <w:gridSpan w:val="13"/>
            <w:vAlign w:val="center"/>
          </w:tcPr>
          <w:p w14:paraId="219D01F4">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w:t>
            </w:r>
          </w:p>
        </w:tc>
      </w:tr>
      <w:tr w14:paraId="6FEFFD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0" w:type="dxa"/>
            <w:vMerge w:val="continue"/>
            <w:vAlign w:val="center"/>
          </w:tcPr>
          <w:p w14:paraId="7E24F432">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405" w:type="dxa"/>
            <w:vAlign w:val="center"/>
          </w:tcPr>
          <w:p w14:paraId="788717C0">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评价标准</w:t>
            </w:r>
          </w:p>
        </w:tc>
        <w:tc>
          <w:tcPr>
            <w:tcW w:w="6247" w:type="dxa"/>
            <w:gridSpan w:val="13"/>
            <w:vAlign w:val="center"/>
          </w:tcPr>
          <w:p w14:paraId="5C9C470F">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河流、湖库、河口：</w:t>
            </w:r>
            <w:r>
              <w:rPr>
                <w:rFonts w:hint="default" w:ascii="Times New Roman" w:hAnsi="Times New Roman" w:cs="Times New Roman"/>
                <w:color w:val="auto"/>
                <w:sz w:val="21"/>
                <w:szCs w:val="21"/>
                <w:highlight w:val="none"/>
                <w:lang w:eastAsia="zh-CN"/>
              </w:rPr>
              <w:t>I</w:t>
            </w:r>
            <w:r>
              <w:rPr>
                <w:rFonts w:hint="default" w:ascii="Times New Roman" w:hAnsi="Times New Roman" w:cs="Times New Roman"/>
                <w:color w:val="auto"/>
                <w:sz w:val="21"/>
                <w:szCs w:val="21"/>
                <w:highlight w:val="none"/>
              </w:rPr>
              <w:t>类</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；Ⅱ类</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eastAsia="zh-CN"/>
              </w:rPr>
              <w:t>Ⅲ类□</w:t>
            </w:r>
            <w:r>
              <w:rPr>
                <w:rFonts w:hint="default" w:ascii="Times New Roman" w:hAnsi="Times New Roman" w:cs="Times New Roman"/>
                <w:color w:val="auto"/>
                <w:sz w:val="21"/>
                <w:szCs w:val="21"/>
                <w:highlight w:val="none"/>
              </w:rPr>
              <w:t>；Ⅳ类</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；Ⅴ类</w:t>
            </w:r>
            <w:r>
              <w:rPr>
                <w:rFonts w:hint="eastAsia" w:cs="Times New Roman"/>
                <w:color w:val="auto"/>
                <w:sz w:val="21"/>
                <w:szCs w:val="21"/>
                <w:highlight w:val="none"/>
                <w:lang w:eastAsia="zh-CN"/>
              </w:rPr>
              <w:t>□</w:t>
            </w:r>
          </w:p>
          <w:p w14:paraId="351200A3">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近岸海域：第一类</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；第二类</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；第三类</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；第四类</w:t>
            </w:r>
            <w:r>
              <w:rPr>
                <w:rFonts w:hint="eastAsia" w:cs="Times New Roman"/>
                <w:color w:val="auto"/>
                <w:sz w:val="21"/>
                <w:szCs w:val="21"/>
                <w:highlight w:val="none"/>
                <w:lang w:eastAsia="zh-CN"/>
              </w:rPr>
              <w:t>□</w:t>
            </w:r>
          </w:p>
          <w:p w14:paraId="05901972">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规划年评价标准（/）</w:t>
            </w:r>
          </w:p>
        </w:tc>
      </w:tr>
      <w:tr w14:paraId="0878C9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0" w:type="dxa"/>
            <w:vMerge w:val="continue"/>
            <w:vAlign w:val="center"/>
          </w:tcPr>
          <w:p w14:paraId="37DE1315">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405" w:type="dxa"/>
            <w:vAlign w:val="center"/>
          </w:tcPr>
          <w:p w14:paraId="032DFA2C">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评价时期</w:t>
            </w:r>
          </w:p>
        </w:tc>
        <w:tc>
          <w:tcPr>
            <w:tcW w:w="6247" w:type="dxa"/>
            <w:gridSpan w:val="13"/>
            <w:vAlign w:val="center"/>
          </w:tcPr>
          <w:p w14:paraId="436B0616">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丰水期</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；平水期</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；枯水期</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；冰封期</w:t>
            </w:r>
            <w:r>
              <w:rPr>
                <w:rFonts w:hint="eastAsia" w:cs="Times New Roman"/>
                <w:color w:val="auto"/>
                <w:sz w:val="21"/>
                <w:szCs w:val="21"/>
                <w:highlight w:val="none"/>
                <w:lang w:eastAsia="zh-CN"/>
              </w:rPr>
              <w:t>□</w:t>
            </w:r>
          </w:p>
          <w:p w14:paraId="4DFC01F4">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春季</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；夏季</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；秋季</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；冬季</w:t>
            </w:r>
            <w:r>
              <w:rPr>
                <w:rFonts w:hint="eastAsia" w:cs="Times New Roman"/>
                <w:color w:val="auto"/>
                <w:sz w:val="21"/>
                <w:szCs w:val="21"/>
                <w:highlight w:val="none"/>
                <w:lang w:eastAsia="zh-CN"/>
              </w:rPr>
              <w:t>□</w:t>
            </w:r>
          </w:p>
        </w:tc>
      </w:tr>
      <w:tr w14:paraId="2E30DB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0" w:type="dxa"/>
            <w:vMerge w:val="continue"/>
            <w:vAlign w:val="center"/>
          </w:tcPr>
          <w:p w14:paraId="78C26A50">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405" w:type="dxa"/>
            <w:vAlign w:val="center"/>
          </w:tcPr>
          <w:p w14:paraId="3283C381">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评价结论</w:t>
            </w:r>
          </w:p>
        </w:tc>
        <w:tc>
          <w:tcPr>
            <w:tcW w:w="4949" w:type="dxa"/>
            <w:gridSpan w:val="11"/>
            <w:vAlign w:val="center"/>
          </w:tcPr>
          <w:p w14:paraId="0E69F472">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水环境功能区或水功能区、近岸海域环境功能区水质达标状况</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：达标</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；不达标</w:t>
            </w:r>
            <w:r>
              <w:rPr>
                <w:rFonts w:hint="eastAsia" w:cs="Times New Roman"/>
                <w:color w:val="auto"/>
                <w:sz w:val="21"/>
                <w:szCs w:val="21"/>
                <w:highlight w:val="none"/>
                <w:lang w:eastAsia="zh-CN"/>
              </w:rPr>
              <w:t>□</w:t>
            </w:r>
          </w:p>
          <w:p w14:paraId="4B0FAEE1">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水环境控制单元或断面水质达标状况</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：达标</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；不达标</w:t>
            </w:r>
            <w:r>
              <w:rPr>
                <w:rFonts w:hint="eastAsia" w:cs="Times New Roman"/>
                <w:color w:val="auto"/>
                <w:sz w:val="21"/>
                <w:szCs w:val="21"/>
                <w:highlight w:val="none"/>
                <w:lang w:eastAsia="zh-CN"/>
              </w:rPr>
              <w:t>□</w:t>
            </w:r>
          </w:p>
          <w:p w14:paraId="0D3C94ED">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水环境保护目标质量状况</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：达标</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；不达标</w:t>
            </w:r>
            <w:r>
              <w:rPr>
                <w:rFonts w:hint="eastAsia" w:cs="Times New Roman"/>
                <w:color w:val="auto"/>
                <w:sz w:val="21"/>
                <w:szCs w:val="21"/>
                <w:highlight w:val="none"/>
                <w:lang w:eastAsia="zh-CN"/>
              </w:rPr>
              <w:t>□</w:t>
            </w:r>
          </w:p>
          <w:p w14:paraId="08D25AA3">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对照断面、控制断面等代表性断面的水质状况</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：达标</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；不达标</w:t>
            </w:r>
            <w:r>
              <w:rPr>
                <w:rFonts w:hint="eastAsia" w:cs="Times New Roman"/>
                <w:color w:val="auto"/>
                <w:sz w:val="21"/>
                <w:szCs w:val="21"/>
                <w:highlight w:val="none"/>
                <w:lang w:eastAsia="zh-CN"/>
              </w:rPr>
              <w:t>□</w:t>
            </w:r>
          </w:p>
          <w:p w14:paraId="5FB0E923">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底泥污染评价</w:t>
            </w:r>
            <w:r>
              <w:rPr>
                <w:rFonts w:hint="eastAsia" w:cs="Times New Roman"/>
                <w:color w:val="auto"/>
                <w:sz w:val="21"/>
                <w:szCs w:val="21"/>
                <w:highlight w:val="none"/>
                <w:lang w:eastAsia="zh-CN"/>
              </w:rPr>
              <w:t>□</w:t>
            </w:r>
          </w:p>
          <w:p w14:paraId="53637150">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水资源与开发利用程度及其水文情势评价</w:t>
            </w:r>
            <w:r>
              <w:rPr>
                <w:rFonts w:hint="eastAsia" w:cs="Times New Roman"/>
                <w:color w:val="auto"/>
                <w:sz w:val="21"/>
                <w:szCs w:val="21"/>
                <w:highlight w:val="none"/>
                <w:lang w:eastAsia="zh-CN"/>
              </w:rPr>
              <w:t>□</w:t>
            </w:r>
          </w:p>
          <w:p w14:paraId="18E2F25D">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水环境质量回顾评价</w:t>
            </w:r>
            <w:r>
              <w:rPr>
                <w:rFonts w:hint="eastAsia" w:cs="Times New Roman"/>
                <w:color w:val="auto"/>
                <w:sz w:val="21"/>
                <w:szCs w:val="21"/>
                <w:highlight w:val="none"/>
                <w:lang w:eastAsia="zh-CN"/>
              </w:rPr>
              <w:t>□</w:t>
            </w:r>
          </w:p>
          <w:p w14:paraId="1C109EF6">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流域（区域）水资源（包括水能资源）与开发利用总体状况、生态流量管理要求与现状满足程度、建设项目占用水域空间的水流状况与河湖演变状况</w:t>
            </w:r>
            <w:r>
              <w:rPr>
                <w:rFonts w:hint="eastAsia" w:cs="Times New Roman"/>
                <w:color w:val="auto"/>
                <w:sz w:val="21"/>
                <w:szCs w:val="21"/>
                <w:highlight w:val="none"/>
                <w:lang w:eastAsia="zh-CN"/>
              </w:rPr>
              <w:t>□</w:t>
            </w:r>
          </w:p>
        </w:tc>
        <w:tc>
          <w:tcPr>
            <w:tcW w:w="1298" w:type="dxa"/>
            <w:gridSpan w:val="2"/>
            <w:vAlign w:val="center"/>
          </w:tcPr>
          <w:p w14:paraId="6FFD1788">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达标区</w:t>
            </w:r>
            <w:r>
              <w:rPr>
                <w:rFonts w:hint="eastAsia" w:cs="Times New Roman"/>
                <w:color w:val="auto"/>
                <w:sz w:val="21"/>
                <w:szCs w:val="21"/>
                <w:highlight w:val="none"/>
                <w:lang w:eastAsia="zh-CN"/>
              </w:rPr>
              <w:t>□</w:t>
            </w:r>
          </w:p>
          <w:p w14:paraId="4C3C4FC2">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不达标区</w:t>
            </w:r>
            <w:r>
              <w:rPr>
                <w:rFonts w:hint="eastAsia" w:cs="Times New Roman"/>
                <w:color w:val="auto"/>
                <w:sz w:val="21"/>
                <w:szCs w:val="21"/>
                <w:highlight w:val="none"/>
                <w:lang w:eastAsia="zh-CN"/>
              </w:rPr>
              <w:t>□</w:t>
            </w:r>
          </w:p>
        </w:tc>
      </w:tr>
      <w:tr w14:paraId="397E7B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0" w:type="dxa"/>
            <w:vMerge w:val="restart"/>
            <w:vAlign w:val="center"/>
          </w:tcPr>
          <w:p w14:paraId="4956DA16">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影</w:t>
            </w:r>
          </w:p>
          <w:p w14:paraId="5EC0DBD3">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响</w:t>
            </w:r>
          </w:p>
          <w:p w14:paraId="5D7F8410">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w:t>
            </w:r>
          </w:p>
          <w:p w14:paraId="638FC956">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测</w:t>
            </w:r>
          </w:p>
        </w:tc>
        <w:tc>
          <w:tcPr>
            <w:tcW w:w="1405" w:type="dxa"/>
            <w:vAlign w:val="center"/>
          </w:tcPr>
          <w:p w14:paraId="539450E9">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预测范围</w:t>
            </w:r>
          </w:p>
        </w:tc>
        <w:tc>
          <w:tcPr>
            <w:tcW w:w="6247" w:type="dxa"/>
            <w:gridSpan w:val="13"/>
            <w:vAlign w:val="center"/>
          </w:tcPr>
          <w:p w14:paraId="36E1A588">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河流：长度（</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）km；湖库、河口及近岸海域：面积（/）km</w:t>
            </w:r>
            <w:r>
              <w:rPr>
                <w:rFonts w:hint="default" w:ascii="Times New Roman" w:hAnsi="Times New Roman" w:cs="Times New Roman"/>
                <w:color w:val="auto"/>
                <w:sz w:val="21"/>
                <w:szCs w:val="21"/>
                <w:highlight w:val="none"/>
                <w:vertAlign w:val="superscript"/>
              </w:rPr>
              <w:t>2</w:t>
            </w:r>
          </w:p>
        </w:tc>
      </w:tr>
      <w:tr w14:paraId="425936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0" w:type="dxa"/>
            <w:vMerge w:val="continue"/>
            <w:vAlign w:val="center"/>
          </w:tcPr>
          <w:p w14:paraId="68488A54">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405" w:type="dxa"/>
            <w:vAlign w:val="center"/>
          </w:tcPr>
          <w:p w14:paraId="35D9A485">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预测因子</w:t>
            </w:r>
          </w:p>
        </w:tc>
        <w:tc>
          <w:tcPr>
            <w:tcW w:w="6247" w:type="dxa"/>
            <w:gridSpan w:val="13"/>
            <w:vAlign w:val="center"/>
          </w:tcPr>
          <w:p w14:paraId="738AAF66">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w:t>
            </w:r>
          </w:p>
        </w:tc>
      </w:tr>
      <w:tr w14:paraId="7621BB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0" w:type="dxa"/>
            <w:vMerge w:val="continue"/>
            <w:vAlign w:val="center"/>
          </w:tcPr>
          <w:p w14:paraId="625F3904">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405" w:type="dxa"/>
            <w:vAlign w:val="center"/>
          </w:tcPr>
          <w:p w14:paraId="28B9CEC3">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预测时期</w:t>
            </w:r>
          </w:p>
        </w:tc>
        <w:tc>
          <w:tcPr>
            <w:tcW w:w="6247" w:type="dxa"/>
            <w:gridSpan w:val="13"/>
            <w:vAlign w:val="center"/>
          </w:tcPr>
          <w:p w14:paraId="263840E0">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丰水期</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；平水期</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；枯水期</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；冰封期</w:t>
            </w:r>
            <w:r>
              <w:rPr>
                <w:rFonts w:hint="eastAsia" w:cs="Times New Roman"/>
                <w:color w:val="auto"/>
                <w:sz w:val="21"/>
                <w:szCs w:val="21"/>
                <w:highlight w:val="none"/>
                <w:lang w:eastAsia="zh-CN"/>
              </w:rPr>
              <w:t>□</w:t>
            </w:r>
          </w:p>
          <w:p w14:paraId="0FB1F687">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春季</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；夏季</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；秋季</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；冬季</w:t>
            </w:r>
            <w:r>
              <w:rPr>
                <w:rFonts w:hint="eastAsia" w:cs="Times New Roman"/>
                <w:color w:val="auto"/>
                <w:sz w:val="21"/>
                <w:szCs w:val="21"/>
                <w:highlight w:val="none"/>
                <w:lang w:eastAsia="zh-CN"/>
              </w:rPr>
              <w:t>□</w:t>
            </w:r>
          </w:p>
          <w:p w14:paraId="68FD83C6">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设计水文条件</w:t>
            </w:r>
            <w:r>
              <w:rPr>
                <w:rFonts w:hint="eastAsia" w:cs="Times New Roman"/>
                <w:color w:val="auto"/>
                <w:sz w:val="21"/>
                <w:szCs w:val="21"/>
                <w:highlight w:val="none"/>
                <w:lang w:eastAsia="zh-CN"/>
              </w:rPr>
              <w:t>□</w:t>
            </w:r>
          </w:p>
        </w:tc>
      </w:tr>
      <w:tr w14:paraId="3CC491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0" w:type="dxa"/>
            <w:vMerge w:val="continue"/>
            <w:vAlign w:val="center"/>
          </w:tcPr>
          <w:p w14:paraId="1CC01F2C">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405" w:type="dxa"/>
            <w:vAlign w:val="center"/>
          </w:tcPr>
          <w:p w14:paraId="132999C5">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预测情景</w:t>
            </w:r>
          </w:p>
        </w:tc>
        <w:tc>
          <w:tcPr>
            <w:tcW w:w="6247" w:type="dxa"/>
            <w:gridSpan w:val="13"/>
            <w:vAlign w:val="center"/>
          </w:tcPr>
          <w:p w14:paraId="5CE315C1">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建设期</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；生产运行期</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；服务期满后</w:t>
            </w:r>
            <w:r>
              <w:rPr>
                <w:rFonts w:hint="eastAsia" w:cs="Times New Roman"/>
                <w:color w:val="auto"/>
                <w:sz w:val="21"/>
                <w:szCs w:val="21"/>
                <w:highlight w:val="none"/>
                <w:lang w:eastAsia="zh-CN"/>
              </w:rPr>
              <w:t>□</w:t>
            </w:r>
          </w:p>
          <w:p w14:paraId="378F0B36">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正常工况</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；非正常工况</w:t>
            </w:r>
            <w:r>
              <w:rPr>
                <w:rFonts w:hint="eastAsia" w:cs="Times New Roman"/>
                <w:color w:val="auto"/>
                <w:sz w:val="21"/>
                <w:szCs w:val="21"/>
                <w:highlight w:val="none"/>
                <w:lang w:eastAsia="zh-CN"/>
              </w:rPr>
              <w:t>□</w:t>
            </w:r>
          </w:p>
          <w:p w14:paraId="07ADFC7D">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污染控制和减缓措施方案</w:t>
            </w:r>
            <w:r>
              <w:rPr>
                <w:rFonts w:hint="eastAsia" w:cs="Times New Roman"/>
                <w:color w:val="auto"/>
                <w:sz w:val="21"/>
                <w:szCs w:val="21"/>
                <w:highlight w:val="none"/>
                <w:lang w:eastAsia="zh-CN"/>
              </w:rPr>
              <w:t>□</w:t>
            </w:r>
          </w:p>
          <w:p w14:paraId="1B3069CE">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区（流）域环境质量改善目标要求情景</w:t>
            </w:r>
            <w:r>
              <w:rPr>
                <w:rFonts w:hint="eastAsia" w:cs="Times New Roman"/>
                <w:color w:val="auto"/>
                <w:sz w:val="21"/>
                <w:szCs w:val="21"/>
                <w:highlight w:val="none"/>
                <w:lang w:eastAsia="zh-CN"/>
              </w:rPr>
              <w:t>□</w:t>
            </w:r>
          </w:p>
        </w:tc>
      </w:tr>
      <w:tr w14:paraId="0FC7C7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0" w:type="dxa"/>
            <w:vMerge w:val="continue"/>
            <w:vAlign w:val="center"/>
          </w:tcPr>
          <w:p w14:paraId="515FBB1E">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405" w:type="dxa"/>
            <w:vAlign w:val="center"/>
          </w:tcPr>
          <w:p w14:paraId="2C7E225D">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预测方法</w:t>
            </w:r>
          </w:p>
        </w:tc>
        <w:tc>
          <w:tcPr>
            <w:tcW w:w="6247" w:type="dxa"/>
            <w:gridSpan w:val="13"/>
            <w:vAlign w:val="center"/>
          </w:tcPr>
          <w:p w14:paraId="4438FE31">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数值解</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：解析解</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；其他</w:t>
            </w:r>
            <w:r>
              <w:rPr>
                <w:rFonts w:hint="eastAsia" w:cs="Times New Roman"/>
                <w:color w:val="auto"/>
                <w:sz w:val="21"/>
                <w:szCs w:val="21"/>
                <w:highlight w:val="none"/>
                <w:lang w:eastAsia="zh-CN"/>
              </w:rPr>
              <w:t>□</w:t>
            </w:r>
          </w:p>
          <w:p w14:paraId="0B89FE36">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导则推荐模式</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：其他</w:t>
            </w:r>
            <w:r>
              <w:rPr>
                <w:rFonts w:hint="eastAsia" w:cs="Times New Roman"/>
                <w:color w:val="auto"/>
                <w:sz w:val="21"/>
                <w:szCs w:val="21"/>
                <w:highlight w:val="none"/>
                <w:lang w:eastAsia="zh-CN"/>
              </w:rPr>
              <w:t>□</w:t>
            </w:r>
          </w:p>
        </w:tc>
      </w:tr>
      <w:tr w14:paraId="290B66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0" w:type="dxa"/>
            <w:vMerge w:val="restart"/>
            <w:vAlign w:val="center"/>
          </w:tcPr>
          <w:p w14:paraId="00307F39">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影</w:t>
            </w:r>
          </w:p>
          <w:p w14:paraId="393A6563">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响</w:t>
            </w:r>
          </w:p>
          <w:p w14:paraId="742FE18C">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w:t>
            </w:r>
          </w:p>
          <w:p w14:paraId="7476195C">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价</w:t>
            </w:r>
          </w:p>
        </w:tc>
        <w:tc>
          <w:tcPr>
            <w:tcW w:w="1405" w:type="dxa"/>
            <w:vAlign w:val="center"/>
          </w:tcPr>
          <w:p w14:paraId="1B60B449">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水污染控制和水环境影响减缓措施有效性评价</w:t>
            </w:r>
          </w:p>
        </w:tc>
        <w:tc>
          <w:tcPr>
            <w:tcW w:w="6247" w:type="dxa"/>
            <w:gridSpan w:val="13"/>
            <w:vAlign w:val="center"/>
          </w:tcPr>
          <w:p w14:paraId="7341A34A">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区（流）域水环境质量改善目标</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；替代削减源</w:t>
            </w:r>
            <w:r>
              <w:rPr>
                <w:rFonts w:hint="eastAsia" w:cs="Times New Roman"/>
                <w:color w:val="auto"/>
                <w:sz w:val="21"/>
                <w:szCs w:val="21"/>
                <w:highlight w:val="none"/>
                <w:lang w:eastAsia="zh-CN"/>
              </w:rPr>
              <w:t>□</w:t>
            </w:r>
          </w:p>
        </w:tc>
      </w:tr>
      <w:tr w14:paraId="08D4D0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0" w:type="dxa"/>
            <w:vMerge w:val="continue"/>
            <w:vAlign w:val="center"/>
          </w:tcPr>
          <w:p w14:paraId="0C549799">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405" w:type="dxa"/>
            <w:vAlign w:val="center"/>
          </w:tcPr>
          <w:p w14:paraId="4C31F8AB">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水环境影响评价</w:t>
            </w:r>
          </w:p>
        </w:tc>
        <w:tc>
          <w:tcPr>
            <w:tcW w:w="6247" w:type="dxa"/>
            <w:gridSpan w:val="13"/>
            <w:vAlign w:val="center"/>
          </w:tcPr>
          <w:p w14:paraId="09B5AF0E">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排放口混合区外满足水环境管理要求</w:t>
            </w:r>
            <w:r>
              <w:rPr>
                <w:rFonts w:hint="eastAsia" w:cs="Times New Roman"/>
                <w:color w:val="auto"/>
                <w:sz w:val="21"/>
                <w:szCs w:val="21"/>
                <w:highlight w:val="none"/>
                <w:lang w:eastAsia="zh-CN"/>
              </w:rPr>
              <w:t>□</w:t>
            </w:r>
          </w:p>
          <w:p w14:paraId="6978A099">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水环境功能区或水功能区、近岸海域环境功能区水质达标</w:t>
            </w:r>
            <w:r>
              <w:rPr>
                <w:rFonts w:hint="eastAsia" w:cs="Times New Roman"/>
                <w:color w:val="auto"/>
                <w:sz w:val="21"/>
                <w:szCs w:val="21"/>
                <w:highlight w:val="none"/>
                <w:lang w:eastAsia="zh-CN"/>
              </w:rPr>
              <w:t>□</w:t>
            </w:r>
          </w:p>
          <w:p w14:paraId="6409C6EB">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满足水环境保护目标水域水环境质量要求</w:t>
            </w:r>
            <w:r>
              <w:rPr>
                <w:rFonts w:hint="eastAsia" w:cs="Times New Roman"/>
                <w:color w:val="auto"/>
                <w:sz w:val="21"/>
                <w:szCs w:val="21"/>
                <w:highlight w:val="none"/>
                <w:lang w:eastAsia="zh-CN"/>
              </w:rPr>
              <w:t>□</w:t>
            </w:r>
          </w:p>
          <w:p w14:paraId="3D476006">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水环境控制单元或断面水质达标</w:t>
            </w:r>
            <w:r>
              <w:rPr>
                <w:rFonts w:hint="eastAsia" w:cs="Times New Roman"/>
                <w:color w:val="auto"/>
                <w:sz w:val="21"/>
                <w:szCs w:val="21"/>
                <w:highlight w:val="none"/>
                <w:lang w:eastAsia="zh-CN"/>
              </w:rPr>
              <w:t>□</w:t>
            </w:r>
          </w:p>
          <w:p w14:paraId="31CAD0A3">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满足重点水污染物排放总量控制指标要求，重点行业建设项目，主要污染物排放满足等量或减量替代要求</w:t>
            </w:r>
            <w:r>
              <w:rPr>
                <w:rFonts w:hint="eastAsia" w:cs="Times New Roman"/>
                <w:color w:val="auto"/>
                <w:sz w:val="21"/>
                <w:szCs w:val="21"/>
                <w:highlight w:val="none"/>
                <w:lang w:eastAsia="zh-CN"/>
              </w:rPr>
              <w:t>□</w:t>
            </w:r>
          </w:p>
          <w:p w14:paraId="37063C0B">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满足区（流）域水环境质量改善目标要求</w:t>
            </w:r>
            <w:r>
              <w:rPr>
                <w:rFonts w:hint="eastAsia" w:cs="Times New Roman"/>
                <w:color w:val="auto"/>
                <w:sz w:val="21"/>
                <w:szCs w:val="21"/>
                <w:highlight w:val="none"/>
                <w:lang w:eastAsia="zh-CN"/>
              </w:rPr>
              <w:t>□</w:t>
            </w:r>
          </w:p>
          <w:p w14:paraId="39FD0F76">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水文要素影响型建设项目同时应包括水文情势变化评价、主要水文特征值影响评价、生态流量符合性评价</w:t>
            </w:r>
            <w:r>
              <w:rPr>
                <w:rFonts w:hint="eastAsia" w:cs="Times New Roman"/>
                <w:color w:val="auto"/>
                <w:sz w:val="21"/>
                <w:szCs w:val="21"/>
                <w:highlight w:val="none"/>
                <w:lang w:eastAsia="zh-CN"/>
              </w:rPr>
              <w:t>□</w:t>
            </w:r>
          </w:p>
          <w:p w14:paraId="5AFB07E6">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对于新设或调整入河（湖库、近岸海域）排放口的建设项目，应包括排放口设置的环境合理性评价</w:t>
            </w:r>
            <w:r>
              <w:rPr>
                <w:rFonts w:hint="eastAsia" w:cs="Times New Roman"/>
                <w:color w:val="auto"/>
                <w:sz w:val="21"/>
                <w:szCs w:val="21"/>
                <w:highlight w:val="none"/>
                <w:lang w:eastAsia="zh-CN"/>
              </w:rPr>
              <w:t>□</w:t>
            </w:r>
          </w:p>
          <w:p w14:paraId="194B8FF9">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满足生态保护红线、水环境质量底线、资源利用上线和环境准入清单管理要求</w:t>
            </w:r>
            <w:r>
              <w:rPr>
                <w:rFonts w:hint="eastAsia" w:cs="Times New Roman"/>
                <w:color w:val="auto"/>
                <w:sz w:val="21"/>
                <w:szCs w:val="21"/>
                <w:highlight w:val="none"/>
                <w:lang w:eastAsia="zh-CN"/>
              </w:rPr>
              <w:t>□</w:t>
            </w:r>
          </w:p>
        </w:tc>
      </w:tr>
      <w:tr w14:paraId="2925DD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0" w:type="dxa"/>
            <w:vMerge w:val="continue"/>
            <w:vAlign w:val="center"/>
          </w:tcPr>
          <w:p w14:paraId="34658D23">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405" w:type="dxa"/>
            <w:vMerge w:val="restart"/>
            <w:vAlign w:val="center"/>
          </w:tcPr>
          <w:p w14:paraId="17A75781">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污染源排放量核算</w:t>
            </w:r>
          </w:p>
        </w:tc>
        <w:tc>
          <w:tcPr>
            <w:tcW w:w="2082" w:type="dxa"/>
            <w:gridSpan w:val="4"/>
            <w:vAlign w:val="center"/>
          </w:tcPr>
          <w:p w14:paraId="3DB2ACF9">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污染物名称</w:t>
            </w:r>
          </w:p>
        </w:tc>
        <w:tc>
          <w:tcPr>
            <w:tcW w:w="2082" w:type="dxa"/>
            <w:gridSpan w:val="6"/>
            <w:vAlign w:val="center"/>
          </w:tcPr>
          <w:p w14:paraId="09AACAC2">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排放量/（t/a）</w:t>
            </w:r>
          </w:p>
        </w:tc>
        <w:tc>
          <w:tcPr>
            <w:tcW w:w="2083" w:type="dxa"/>
            <w:gridSpan w:val="3"/>
            <w:vAlign w:val="center"/>
          </w:tcPr>
          <w:p w14:paraId="40BED654">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排放浓度/（mg/L）</w:t>
            </w:r>
          </w:p>
        </w:tc>
      </w:tr>
      <w:tr w14:paraId="46DC81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0" w:type="dxa"/>
            <w:vMerge w:val="continue"/>
            <w:vAlign w:val="center"/>
          </w:tcPr>
          <w:p w14:paraId="350FCB3F">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405" w:type="dxa"/>
            <w:vMerge w:val="continue"/>
            <w:vAlign w:val="center"/>
          </w:tcPr>
          <w:p w14:paraId="487AE112">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2082" w:type="dxa"/>
            <w:gridSpan w:val="4"/>
            <w:vAlign w:val="center"/>
          </w:tcPr>
          <w:p w14:paraId="4F0B2675">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082" w:type="dxa"/>
            <w:gridSpan w:val="6"/>
            <w:vAlign w:val="center"/>
          </w:tcPr>
          <w:p w14:paraId="22F94A4E">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083" w:type="dxa"/>
            <w:gridSpan w:val="3"/>
            <w:vAlign w:val="center"/>
          </w:tcPr>
          <w:p w14:paraId="2B5E4FA5">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14:paraId="3A3CF8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0" w:type="dxa"/>
            <w:vMerge w:val="continue"/>
            <w:vAlign w:val="center"/>
          </w:tcPr>
          <w:p w14:paraId="679E9C13">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405" w:type="dxa"/>
            <w:vMerge w:val="restart"/>
            <w:vAlign w:val="center"/>
          </w:tcPr>
          <w:p w14:paraId="57229CA0">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替代源排放情况</w:t>
            </w:r>
          </w:p>
        </w:tc>
        <w:tc>
          <w:tcPr>
            <w:tcW w:w="1249" w:type="dxa"/>
            <w:vAlign w:val="center"/>
          </w:tcPr>
          <w:p w14:paraId="5E4BBE36">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污染源名称</w:t>
            </w:r>
          </w:p>
        </w:tc>
        <w:tc>
          <w:tcPr>
            <w:tcW w:w="1250" w:type="dxa"/>
            <w:gridSpan w:val="4"/>
            <w:vAlign w:val="center"/>
          </w:tcPr>
          <w:p w14:paraId="2FEE1200">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pacing w:val="-10"/>
                <w:sz w:val="21"/>
                <w:szCs w:val="21"/>
                <w:highlight w:val="none"/>
              </w:rPr>
            </w:pPr>
            <w:r>
              <w:rPr>
                <w:rFonts w:hint="default" w:ascii="Times New Roman" w:hAnsi="Times New Roman" w:cs="Times New Roman"/>
                <w:color w:val="auto"/>
                <w:spacing w:val="-10"/>
                <w:sz w:val="21"/>
                <w:szCs w:val="21"/>
                <w:highlight w:val="none"/>
              </w:rPr>
              <w:t>排污许可证编号</w:t>
            </w:r>
          </w:p>
        </w:tc>
        <w:tc>
          <w:tcPr>
            <w:tcW w:w="1249" w:type="dxa"/>
            <w:gridSpan w:val="3"/>
            <w:vAlign w:val="center"/>
          </w:tcPr>
          <w:p w14:paraId="4D0DDB7E">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污染物名称</w:t>
            </w:r>
          </w:p>
        </w:tc>
        <w:tc>
          <w:tcPr>
            <w:tcW w:w="1250" w:type="dxa"/>
            <w:gridSpan w:val="4"/>
            <w:vAlign w:val="center"/>
          </w:tcPr>
          <w:p w14:paraId="4B2929BB">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排放量/（t/a）</w:t>
            </w:r>
          </w:p>
        </w:tc>
        <w:tc>
          <w:tcPr>
            <w:tcW w:w="1249" w:type="dxa"/>
            <w:vAlign w:val="center"/>
          </w:tcPr>
          <w:p w14:paraId="6C11A910">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排放浓度/（mg/L）</w:t>
            </w:r>
          </w:p>
        </w:tc>
      </w:tr>
      <w:tr w14:paraId="594FCF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0" w:type="dxa"/>
            <w:vMerge w:val="continue"/>
            <w:vAlign w:val="center"/>
          </w:tcPr>
          <w:p w14:paraId="5C6AB2CE">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405" w:type="dxa"/>
            <w:vMerge w:val="continue"/>
            <w:vAlign w:val="center"/>
          </w:tcPr>
          <w:p w14:paraId="298B80F6">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249" w:type="dxa"/>
          </w:tcPr>
          <w:p w14:paraId="766789E2">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250" w:type="dxa"/>
            <w:gridSpan w:val="4"/>
          </w:tcPr>
          <w:p w14:paraId="7D059124">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249" w:type="dxa"/>
            <w:gridSpan w:val="3"/>
          </w:tcPr>
          <w:p w14:paraId="722EB947">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250" w:type="dxa"/>
            <w:gridSpan w:val="4"/>
          </w:tcPr>
          <w:p w14:paraId="75B4803A">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249" w:type="dxa"/>
          </w:tcPr>
          <w:p w14:paraId="3102D733">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14:paraId="5B458F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0" w:type="dxa"/>
            <w:vMerge w:val="continue"/>
            <w:vAlign w:val="center"/>
          </w:tcPr>
          <w:p w14:paraId="421E3432">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405" w:type="dxa"/>
            <w:vAlign w:val="center"/>
          </w:tcPr>
          <w:p w14:paraId="5510BA72">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生态流量确定</w:t>
            </w:r>
          </w:p>
        </w:tc>
        <w:tc>
          <w:tcPr>
            <w:tcW w:w="6247" w:type="dxa"/>
            <w:gridSpan w:val="13"/>
            <w:vAlign w:val="center"/>
          </w:tcPr>
          <w:p w14:paraId="205E1B2B">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生态流量：一般水期（ ）m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/s；鱼类繁殖期（ ）m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/s；其他（ ）m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 xml:space="preserve">/s </w:t>
            </w:r>
          </w:p>
          <w:p w14:paraId="7CCED7F4">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生态水位：一般水期（ ）m；鱼类繁殖期（ ）m；其他（ ）m</w:t>
            </w:r>
          </w:p>
        </w:tc>
      </w:tr>
      <w:tr w14:paraId="42646E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0" w:type="dxa"/>
            <w:vMerge w:val="restart"/>
            <w:vAlign w:val="center"/>
          </w:tcPr>
          <w:p w14:paraId="13CACE24">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防</w:t>
            </w:r>
          </w:p>
          <w:p w14:paraId="3BA26E64">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治</w:t>
            </w:r>
          </w:p>
          <w:p w14:paraId="48220DDB">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措</w:t>
            </w:r>
          </w:p>
          <w:p w14:paraId="2A61F1B4">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w:t>
            </w:r>
          </w:p>
        </w:tc>
        <w:tc>
          <w:tcPr>
            <w:tcW w:w="1405" w:type="dxa"/>
            <w:vAlign w:val="center"/>
          </w:tcPr>
          <w:p w14:paraId="090AFD1F">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环保措施</w:t>
            </w:r>
          </w:p>
        </w:tc>
        <w:tc>
          <w:tcPr>
            <w:tcW w:w="6247" w:type="dxa"/>
            <w:gridSpan w:val="13"/>
            <w:vAlign w:val="center"/>
          </w:tcPr>
          <w:p w14:paraId="62A51B70">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污水处理设施</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；水文减缓设施</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；生态流量保障设施</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；区域削减</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；依托其他工程措施</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；其他</w:t>
            </w:r>
            <w:r>
              <w:rPr>
                <w:rFonts w:hint="eastAsia" w:cs="Times New Roman"/>
                <w:color w:val="auto"/>
                <w:sz w:val="21"/>
                <w:szCs w:val="21"/>
                <w:highlight w:val="none"/>
                <w:lang w:eastAsia="zh-CN"/>
              </w:rPr>
              <w:t>□</w:t>
            </w:r>
          </w:p>
        </w:tc>
      </w:tr>
      <w:tr w14:paraId="04DF7D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0" w:type="dxa"/>
            <w:vMerge w:val="continue"/>
            <w:vAlign w:val="center"/>
          </w:tcPr>
          <w:p w14:paraId="18170149">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405" w:type="dxa"/>
            <w:vMerge w:val="restart"/>
            <w:vAlign w:val="center"/>
          </w:tcPr>
          <w:p w14:paraId="53E213A9">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监测计划</w:t>
            </w:r>
          </w:p>
        </w:tc>
        <w:tc>
          <w:tcPr>
            <w:tcW w:w="1614" w:type="dxa"/>
            <w:gridSpan w:val="3"/>
            <w:vAlign w:val="center"/>
          </w:tcPr>
          <w:p w14:paraId="769D8C60">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default" w:ascii="Times New Roman" w:hAnsi="Times New Roman" w:cs="Times New Roman"/>
                <w:color w:val="auto"/>
                <w:sz w:val="21"/>
                <w:szCs w:val="21"/>
                <w:highlight w:val="none"/>
              </w:rPr>
            </w:pPr>
          </w:p>
        </w:tc>
        <w:tc>
          <w:tcPr>
            <w:tcW w:w="2316" w:type="dxa"/>
            <w:gridSpan w:val="6"/>
            <w:vAlign w:val="center"/>
          </w:tcPr>
          <w:p w14:paraId="775AB93E">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环境质量</w:t>
            </w:r>
          </w:p>
        </w:tc>
        <w:tc>
          <w:tcPr>
            <w:tcW w:w="2317" w:type="dxa"/>
            <w:gridSpan w:val="4"/>
            <w:vAlign w:val="center"/>
          </w:tcPr>
          <w:p w14:paraId="33E71557">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污染源</w:t>
            </w:r>
          </w:p>
        </w:tc>
      </w:tr>
      <w:tr w14:paraId="3E3E39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0" w:type="dxa"/>
            <w:vMerge w:val="continue"/>
            <w:vAlign w:val="center"/>
          </w:tcPr>
          <w:p w14:paraId="6250A9BF">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405" w:type="dxa"/>
            <w:vMerge w:val="continue"/>
            <w:vAlign w:val="center"/>
          </w:tcPr>
          <w:p w14:paraId="7072FEFA">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614" w:type="dxa"/>
            <w:gridSpan w:val="3"/>
            <w:vAlign w:val="center"/>
          </w:tcPr>
          <w:p w14:paraId="59DCB2A5">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监测方式</w:t>
            </w:r>
          </w:p>
        </w:tc>
        <w:tc>
          <w:tcPr>
            <w:tcW w:w="2316" w:type="dxa"/>
            <w:gridSpan w:val="6"/>
            <w:vAlign w:val="center"/>
          </w:tcPr>
          <w:p w14:paraId="7625523A">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手动</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；自动</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w:t>
            </w:r>
          </w:p>
          <w:p w14:paraId="52472862">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无监测</w:t>
            </w:r>
            <w:r>
              <w:rPr>
                <w:rFonts w:hint="eastAsia" w:cs="Times New Roman"/>
                <w:color w:val="auto"/>
                <w:sz w:val="21"/>
                <w:szCs w:val="21"/>
                <w:highlight w:val="none"/>
                <w:lang w:eastAsia="zh-CN"/>
              </w:rPr>
              <w:t>☑</w:t>
            </w:r>
          </w:p>
        </w:tc>
        <w:tc>
          <w:tcPr>
            <w:tcW w:w="2317" w:type="dxa"/>
            <w:gridSpan w:val="4"/>
            <w:vAlign w:val="center"/>
          </w:tcPr>
          <w:p w14:paraId="0D2F51CC">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手动</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；自动</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w:t>
            </w:r>
          </w:p>
          <w:p w14:paraId="0122D101">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无监测</w:t>
            </w:r>
            <w:r>
              <w:rPr>
                <w:rFonts w:hint="eastAsia" w:cs="Times New Roman"/>
                <w:color w:val="auto"/>
                <w:sz w:val="21"/>
                <w:szCs w:val="21"/>
                <w:highlight w:val="none"/>
                <w:lang w:eastAsia="zh-CN"/>
              </w:rPr>
              <w:t>☑</w:t>
            </w:r>
          </w:p>
        </w:tc>
      </w:tr>
      <w:tr w14:paraId="21BE8E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0" w:type="dxa"/>
            <w:vMerge w:val="continue"/>
            <w:vAlign w:val="center"/>
          </w:tcPr>
          <w:p w14:paraId="33090F81">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405" w:type="dxa"/>
            <w:vMerge w:val="continue"/>
            <w:vAlign w:val="center"/>
          </w:tcPr>
          <w:p w14:paraId="4069183A">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614" w:type="dxa"/>
            <w:gridSpan w:val="3"/>
            <w:vAlign w:val="center"/>
          </w:tcPr>
          <w:p w14:paraId="5C12BCB5">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监测点位</w:t>
            </w:r>
          </w:p>
        </w:tc>
        <w:tc>
          <w:tcPr>
            <w:tcW w:w="2316" w:type="dxa"/>
            <w:gridSpan w:val="6"/>
            <w:vAlign w:val="center"/>
          </w:tcPr>
          <w:p w14:paraId="72CD7F05">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317" w:type="dxa"/>
            <w:gridSpan w:val="4"/>
            <w:vAlign w:val="center"/>
          </w:tcPr>
          <w:p w14:paraId="02996401">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14:paraId="528816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0" w:type="dxa"/>
            <w:vMerge w:val="continue"/>
            <w:vAlign w:val="center"/>
          </w:tcPr>
          <w:p w14:paraId="2B10F464">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405" w:type="dxa"/>
            <w:vMerge w:val="continue"/>
            <w:vAlign w:val="center"/>
          </w:tcPr>
          <w:p w14:paraId="138F4F7B">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614" w:type="dxa"/>
            <w:gridSpan w:val="3"/>
            <w:vAlign w:val="center"/>
          </w:tcPr>
          <w:p w14:paraId="43DED59B">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监测因子</w:t>
            </w:r>
          </w:p>
        </w:tc>
        <w:tc>
          <w:tcPr>
            <w:tcW w:w="2316" w:type="dxa"/>
            <w:gridSpan w:val="6"/>
            <w:vAlign w:val="center"/>
          </w:tcPr>
          <w:p w14:paraId="18355B6E">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317" w:type="dxa"/>
            <w:gridSpan w:val="4"/>
            <w:vAlign w:val="center"/>
          </w:tcPr>
          <w:p w14:paraId="38689CB3">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14:paraId="4465BD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0" w:type="dxa"/>
            <w:vMerge w:val="continue"/>
            <w:vAlign w:val="center"/>
          </w:tcPr>
          <w:p w14:paraId="11431F5D">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p>
        </w:tc>
        <w:tc>
          <w:tcPr>
            <w:tcW w:w="1405" w:type="dxa"/>
            <w:vAlign w:val="center"/>
          </w:tcPr>
          <w:p w14:paraId="30BE139B">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污染物排放清单</w:t>
            </w:r>
          </w:p>
        </w:tc>
        <w:tc>
          <w:tcPr>
            <w:tcW w:w="6247" w:type="dxa"/>
            <w:gridSpan w:val="13"/>
            <w:vAlign w:val="center"/>
          </w:tcPr>
          <w:p w14:paraId="2440001E">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w:t>
            </w:r>
          </w:p>
        </w:tc>
      </w:tr>
      <w:tr w14:paraId="656D07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75" w:type="dxa"/>
            <w:gridSpan w:val="2"/>
            <w:vAlign w:val="center"/>
          </w:tcPr>
          <w:p w14:paraId="18E8DAD6">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评价结论</w:t>
            </w:r>
          </w:p>
        </w:tc>
        <w:tc>
          <w:tcPr>
            <w:tcW w:w="6247" w:type="dxa"/>
            <w:gridSpan w:val="13"/>
            <w:vAlign w:val="center"/>
          </w:tcPr>
          <w:p w14:paraId="36D9DDD7">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可以接受</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；不可以接受</w:t>
            </w:r>
            <w:r>
              <w:rPr>
                <w:rFonts w:hint="eastAsia" w:cs="Times New Roman"/>
                <w:color w:val="auto"/>
                <w:sz w:val="21"/>
                <w:szCs w:val="21"/>
                <w:highlight w:val="none"/>
                <w:lang w:eastAsia="zh-CN"/>
              </w:rPr>
              <w:t>□</w:t>
            </w:r>
          </w:p>
        </w:tc>
      </w:tr>
      <w:tr w14:paraId="2B32C4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2" w:type="dxa"/>
            <w:gridSpan w:val="15"/>
            <w:vAlign w:val="center"/>
          </w:tcPr>
          <w:p w14:paraId="4A866A5C">
            <w:pPr>
              <w:keepNext w:val="0"/>
              <w:keepLines w:val="0"/>
              <w:pageBreakBefore w:val="0"/>
              <w:widowControl w:val="0"/>
              <w:kinsoku/>
              <w:wordWrap w:val="0"/>
              <w:overflowPunct/>
              <w:topLinePunct w:val="0"/>
              <w:autoSpaceDE/>
              <w:autoSpaceDN/>
              <w:bidi w:val="0"/>
              <w:adjustRightInd/>
              <w:snapToGrid/>
              <w:spacing w:line="360" w:lineRule="exact"/>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注：</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为勾选项，可√；</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 ）</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为内容填写项；</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备注</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为其他补充内容。</w:t>
            </w:r>
          </w:p>
        </w:tc>
      </w:tr>
    </w:tbl>
    <w:p w14:paraId="67846248">
      <w:pPr>
        <w:pStyle w:val="4"/>
        <w:rPr>
          <w:rFonts w:hint="default" w:ascii="Times New Roman" w:hAnsi="Times New Roman" w:cs="Times New Roman"/>
          <w:color w:val="auto"/>
          <w:highlight w:val="none"/>
        </w:rPr>
      </w:pPr>
      <w:bookmarkStart w:id="718" w:name="_Toc19875"/>
      <w:bookmarkStart w:id="719" w:name="_Toc26294"/>
      <w:bookmarkStart w:id="720" w:name="_Toc14191"/>
      <w:r>
        <w:rPr>
          <w:rFonts w:hint="default" w:ascii="Times New Roman" w:hAnsi="Times New Roman" w:cs="Times New Roman"/>
          <w:color w:val="auto"/>
          <w:highlight w:val="none"/>
        </w:rPr>
        <w:t>5.2.3运营期地下水环境影响分析与评价</w:t>
      </w:r>
      <w:bookmarkEnd w:id="718"/>
      <w:bookmarkEnd w:id="719"/>
      <w:bookmarkEnd w:id="720"/>
    </w:p>
    <w:p w14:paraId="5FFBC5BB">
      <w:pPr>
        <w:pStyle w:val="5"/>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rPr>
        <w:t>5.2.3.1</w:t>
      </w:r>
      <w:r>
        <w:rPr>
          <w:rFonts w:hint="default" w:ascii="Times New Roman" w:hAnsi="Times New Roman" w:cs="Times New Roman"/>
          <w:color w:val="auto"/>
          <w:highlight w:val="none"/>
          <w:lang w:val="zh-CN"/>
        </w:rPr>
        <w:t>区域水文地质条件</w:t>
      </w:r>
    </w:p>
    <w:p w14:paraId="64A06968">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区域内多为干旱丘陵、戈壁砾漠、岩漠、沙漠，地形总体属于中低山戈壁地带，地势较为平缓，海拔一般1150～1300米之间，</w:t>
      </w:r>
      <w:r>
        <w:rPr>
          <w:rFonts w:hint="eastAsia" w:cs="Times New Roman"/>
          <w:color w:val="auto"/>
          <w:highlight w:val="none"/>
          <w:lang w:val="en-US" w:eastAsia="zh-CN"/>
        </w:rPr>
        <w:t>最大相对高差100米</w:t>
      </w:r>
      <w:r>
        <w:rPr>
          <w:rFonts w:hint="default" w:ascii="Times New Roman" w:hAnsi="Times New Roman" w:cs="Times New Roman"/>
          <w:color w:val="auto"/>
          <w:highlight w:val="none"/>
          <w:lang w:val="en-US" w:eastAsia="zh-CN"/>
        </w:rPr>
        <w:t>。植被不发育，地表覆盖较大。</w:t>
      </w:r>
    </w:p>
    <w:p w14:paraId="3558CFAF">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区域内干旱缺水，除一些季节性洪流之外，无地表径流，仅有季节性洪水冲刷成的干沟。年蒸发量在3000毫米以上；平均年降水量约36毫米，最大降水量集中在6-9月，多形成大雨和暂时性地表径流，水过即干涸。冬季降雪量不大，沟内积雪甚少。</w:t>
      </w:r>
    </w:p>
    <w:p w14:paraId="190092D6">
      <w:pPr>
        <w:bidi w:val="0"/>
        <w:outlineLvl w:val="9"/>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（1）区域地下水特征</w:t>
      </w:r>
    </w:p>
    <w:p w14:paraId="46830F88">
      <w:pPr>
        <w:overflowPunct w:val="0"/>
        <w:topLinePunct/>
        <w:adjustRightInd w:val="0"/>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地下水的形成、运移、分布规律、补给条件主要受地层岩性、地形地貌、气象水文等因素的影响，依据区域内出露地层的富水性及含（隔）水层的结构不同，将区域地下水划分为以下2种类型。</w:t>
      </w:r>
    </w:p>
    <w:p w14:paraId="6A4D1FE5">
      <w:pPr>
        <w:overflowPunct w:val="0"/>
        <w:topLinePunct/>
        <w:adjustRightInd w:val="0"/>
        <w:ind w:firstLine="48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①</w:t>
      </w:r>
      <w:r>
        <w:rPr>
          <w:rFonts w:hint="default" w:ascii="Times New Roman" w:hAnsi="Times New Roman" w:cs="Times New Roman"/>
          <w:color w:val="auto"/>
          <w:highlight w:val="none"/>
          <w:lang w:val="en-US" w:eastAsia="zh-CN"/>
        </w:rPr>
        <w:t>松散岩类孔隙水</w:t>
      </w:r>
    </w:p>
    <w:p w14:paraId="362773A5">
      <w:pPr>
        <w:overflowPunct w:val="0"/>
        <w:topLinePunct/>
        <w:adjustRightInd w:val="0"/>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主要分布于沟谷等低洼地段，地层岩性为上更新统洪积层</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Q</w:t>
      </w:r>
      <w:r>
        <w:rPr>
          <w:rFonts w:hint="default" w:ascii="Times New Roman" w:hAnsi="Times New Roman" w:cs="Times New Roman"/>
          <w:color w:val="auto"/>
          <w:highlight w:val="none"/>
          <w:vertAlign w:val="subscript"/>
          <w:lang w:val="en-US" w:eastAsia="zh-CN"/>
        </w:rPr>
        <w:t>3</w:t>
      </w:r>
      <w:r>
        <w:rPr>
          <w:rFonts w:hint="default" w:ascii="Times New Roman" w:hAnsi="Times New Roman" w:cs="Times New Roman"/>
          <w:color w:val="auto"/>
          <w:highlight w:val="none"/>
          <w:vertAlign w:val="superscript"/>
          <w:lang w:val="en-US" w:eastAsia="zh-CN"/>
        </w:rPr>
        <w:t>Pl</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和上更新-全新统冲洪积层（Q</w:t>
      </w:r>
      <w:r>
        <w:rPr>
          <w:rFonts w:hint="default" w:ascii="Times New Roman" w:hAnsi="Times New Roman" w:cs="Times New Roman"/>
          <w:color w:val="auto"/>
          <w:highlight w:val="none"/>
          <w:vertAlign w:val="subscript"/>
          <w:lang w:val="en-US" w:eastAsia="zh-CN"/>
        </w:rPr>
        <w:t>3</w:t>
      </w:r>
      <w:r>
        <w:rPr>
          <w:rFonts w:hint="default" w:ascii="Times New Roman" w:hAnsi="Times New Roman" w:cs="Times New Roman"/>
          <w:color w:val="auto"/>
          <w:highlight w:val="none"/>
          <w:vertAlign w:val="superscript"/>
          <w:lang w:val="en-US" w:eastAsia="zh-CN"/>
        </w:rPr>
        <w:t>-4pl</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以及全新统冲积-洪积（Q</w:t>
      </w:r>
      <w:r>
        <w:rPr>
          <w:rFonts w:hint="default" w:ascii="Times New Roman" w:hAnsi="Times New Roman" w:cs="Times New Roman"/>
          <w:color w:val="auto"/>
          <w:highlight w:val="none"/>
          <w:vertAlign w:val="subscript"/>
          <w:lang w:val="en-US" w:eastAsia="zh-CN"/>
        </w:rPr>
        <w:t>4</w:t>
      </w:r>
      <w:r>
        <w:rPr>
          <w:rFonts w:hint="default" w:ascii="Times New Roman" w:hAnsi="Times New Roman" w:cs="Times New Roman"/>
          <w:color w:val="auto"/>
          <w:highlight w:val="none"/>
          <w:vertAlign w:val="superscript"/>
          <w:lang w:val="en-US" w:eastAsia="zh-CN"/>
        </w:rPr>
        <w:t>al+pl</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的砂砾石及粉土层，岩层堆积松散，孔隙发育，孔隙水不发育，一般厚度在0.5-6.0米左右；暴雨时形成的暂时性洪流汇集于低洼处,以蒸发和蒸腾形式排泄,受大气蒸发的影响，地下水矿化度较高。</w:t>
      </w:r>
    </w:p>
    <w:p w14:paraId="2DD86CC2">
      <w:pPr>
        <w:overflowPunct w:val="0"/>
        <w:topLinePunct/>
        <w:adjustRightInd w:val="0"/>
        <w:ind w:firstLine="48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②</w:t>
      </w:r>
      <w:r>
        <w:rPr>
          <w:rFonts w:hint="default" w:ascii="Times New Roman" w:hAnsi="Times New Roman" w:cs="Times New Roman"/>
          <w:color w:val="auto"/>
          <w:highlight w:val="none"/>
          <w:lang w:val="en-US" w:eastAsia="zh-CN"/>
        </w:rPr>
        <w:t>基岩裂隙水</w:t>
      </w:r>
    </w:p>
    <w:p w14:paraId="4402A775">
      <w:pPr>
        <w:overflowPunct w:val="0"/>
        <w:topLinePunct/>
        <w:adjustRightInd w:val="0"/>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lang w:val="en-US" w:eastAsia="zh-CN"/>
        </w:rPr>
        <w:t>主要分布在震旦系、寒武系、奥陶系、二叠系地层中以及华力西早期的花岗岩中，地下水主要赋存于岩石的风化裂隙带、层间节理、裂隙密集带及接触破碎带中，其风化裂隙与构造裂隙相互叠加、沟通，形成网状、网脉状基岩裂隙潜水。由于岩石的节理、裂隙发育程度不同，其富水性也极不均匀。</w:t>
      </w:r>
    </w:p>
    <w:p w14:paraId="2549D98F">
      <w:pPr>
        <w:keepNext w:val="0"/>
        <w:keepLines w:val="0"/>
        <w:pageBreakBefore w:val="0"/>
        <w:widowControl w:val="0"/>
        <w:kinsoku/>
        <w:wordWrap/>
        <w:autoSpaceDE/>
        <w:autoSpaceDN/>
        <w:bidi w:val="0"/>
        <w:adjustRightInd/>
        <w:snapToGrid/>
        <w:textAlignment w:val="auto"/>
        <w:outlineLvl w:val="9"/>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（2）区域地下水的补给、径流、排泄条件</w:t>
      </w:r>
    </w:p>
    <w:p w14:paraId="212FEB5E">
      <w:pPr>
        <w:keepNext w:val="0"/>
        <w:keepLines w:val="0"/>
        <w:pageBreakBefore w:val="0"/>
        <w:widowControl w:val="0"/>
        <w:kinsoku/>
        <w:wordWrap/>
        <w:autoSpaceDE/>
        <w:autoSpaceDN/>
        <w:bidi w:val="0"/>
        <w:adjustRightInd/>
        <w:snapToGrid/>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区域地下水补给的基本源泉主要是降水形成的暂时洪流的渗透补给。降水季节山区暴雨形成洪流自高向低径流，径流过程中下渗补给基岩裂隙，形成基岩裂隙水；没有入渗的水流向低处流动，出山后开始下渗，一部分补给低洼地带第四系松散岩类，形成孔隙潜水,由于蒸发量大于降水量，因此没有泉的出露。</w:t>
      </w:r>
    </w:p>
    <w:p w14:paraId="4236D0E2">
      <w:pPr>
        <w:keepNext w:val="0"/>
        <w:keepLines w:val="0"/>
        <w:pageBreakBefore w:val="0"/>
        <w:widowControl w:val="0"/>
        <w:kinsoku/>
        <w:wordWrap/>
        <w:autoSpaceDE/>
        <w:autoSpaceDN/>
        <w:bidi w:val="0"/>
        <w:adjustRightInd/>
        <w:snapToGrid/>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区域地下水的补给、径流和排泄条件，主要受地形、地质、地貌、构造及气象要素的控制，地下水动态特征明显受季节性影响而变化，较雨季和地表洪水稍有滞后，反映了大气降水渗入地下后需一定的径流过程。</w:t>
      </w:r>
    </w:p>
    <w:p w14:paraId="0EAEC0B8">
      <w:pPr>
        <w:keepNext w:val="0"/>
        <w:keepLines w:val="0"/>
        <w:pageBreakBefore w:val="0"/>
        <w:widowControl w:val="0"/>
        <w:kinsoku/>
        <w:wordWrap/>
        <w:autoSpaceDE/>
        <w:autoSpaceDN/>
        <w:bidi w:val="0"/>
        <w:adjustRightInd/>
        <w:snapToGrid/>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蒸发与蒸腾是区内地下水天然消耗的两种形式，降水稀少是本区地下水资源贫乏的根本原因，而地下水径流缓慢和强烈蒸发又导致了地下水质的恶化。</w:t>
      </w:r>
    </w:p>
    <w:p w14:paraId="051054ED">
      <w:pPr>
        <w:keepNext w:val="0"/>
        <w:keepLines w:val="0"/>
        <w:pageBreakBefore w:val="0"/>
        <w:widowControl w:val="0"/>
        <w:kinsoku/>
        <w:wordWrap/>
        <w:autoSpaceDE/>
        <w:autoSpaceDN/>
        <w:bidi w:val="0"/>
        <w:adjustRightInd/>
        <w:snapToGrid/>
        <w:textAlignment w:val="auto"/>
        <w:outlineLvl w:val="9"/>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（3）地下水的化学特征</w:t>
      </w:r>
    </w:p>
    <w:p w14:paraId="6983D37B">
      <w:pPr>
        <w:keepNext w:val="0"/>
        <w:keepLines w:val="0"/>
        <w:pageBreakBefore w:val="0"/>
        <w:widowControl w:val="0"/>
        <w:kinsoku/>
        <w:wordWrap/>
        <w:autoSpaceDE/>
        <w:autoSpaceDN/>
        <w:bidi w:val="0"/>
        <w:adjustRightInd/>
        <w:snapToGrid/>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依据以往工作的水样化验成果，地下水的化学成分随地形地貌的变化而变化，该区域南部靠近山区为补给区，矿化度一般为7～8g/L，中部径流区涌水量大的地段矿化度为4～5g/L；北部残山丘陵地带为该区域的排泄区，含有第四系孔隙潜水，受蒸发和浓缩作用，矿化度含量大于10g/L。区域内地下水水质均比较差，水化学类型均为Cl·SO</w:t>
      </w:r>
      <w:r>
        <w:rPr>
          <w:rFonts w:hint="default" w:ascii="Times New Roman" w:hAnsi="Times New Roman" w:cs="Times New Roman"/>
          <w:color w:val="auto"/>
          <w:highlight w:val="none"/>
          <w:vertAlign w:val="subscript"/>
          <w:lang w:val="en-US" w:eastAsia="zh-CN"/>
        </w:rPr>
        <w:t>4</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lang w:val="en-US" w:eastAsia="zh-CN"/>
        </w:rPr>
        <w:t>-Na型水。</w:t>
      </w:r>
    </w:p>
    <w:p w14:paraId="4059BEE4">
      <w:pPr>
        <w:pStyle w:val="5"/>
        <w:ind w:firstLine="482"/>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rPr>
        <w:t>5.2.3.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zh-CN"/>
        </w:rPr>
        <w:t>排水对地下水的影响</w:t>
      </w:r>
    </w:p>
    <w:p w14:paraId="067C0346">
      <w:pPr>
        <w:pStyle w:val="32"/>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1、含水层破坏现状分析</w:t>
      </w:r>
    </w:p>
    <w:p w14:paraId="74C92715">
      <w:pPr>
        <w:widowControl/>
        <w:ind w:firstLine="480"/>
        <w:jc w:val="left"/>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①选矿废水对地下水的影响</w:t>
      </w:r>
    </w:p>
    <w:p w14:paraId="6870ACA9">
      <w:pPr>
        <w:pStyle w:val="43"/>
        <w:topLinePunct/>
        <w:spacing w:line="480" w:lineRule="exact"/>
        <w:ind w:firstLine="480"/>
        <w:rPr>
          <w:rFonts w:hint="default" w:ascii="Times New Roman" w:hAnsi="Times New Roman" w:cs="Times New Roman"/>
          <w:color w:val="auto"/>
          <w:kern w:val="0"/>
          <w:szCs w:val="24"/>
          <w:highlight w:val="none"/>
        </w:rPr>
      </w:pPr>
      <w:r>
        <w:rPr>
          <w:rFonts w:hint="default" w:ascii="Times New Roman" w:hAnsi="Times New Roman" w:cs="Times New Roman"/>
          <w:color w:val="auto"/>
          <w:highlight w:val="none"/>
        </w:rPr>
        <w:t>本项目运营期选矿废水产生于选矿过程中，选矿废水量约为</w:t>
      </w:r>
      <w:r>
        <w:rPr>
          <w:rFonts w:hint="eastAsia" w:cs="Times New Roman"/>
          <w:color w:val="auto"/>
          <w:highlight w:val="none"/>
          <w:lang w:val="en-US" w:eastAsia="zh-CN"/>
        </w:rPr>
        <w:t>1554</w:t>
      </w:r>
      <w:r>
        <w:rPr>
          <w:rFonts w:hint="default" w:ascii="Times New Roman" w:hAnsi="Times New Roman" w:cs="Times New Roman"/>
          <w:color w:val="auto"/>
          <w:spacing w:val="0"/>
          <w:sz w:val="24"/>
          <w:highlight w:val="none"/>
        </w:rPr>
        <w:t>m</w:t>
      </w:r>
      <w:r>
        <w:rPr>
          <w:rFonts w:hint="default" w:ascii="Times New Roman" w:hAnsi="Times New Roman" w:cs="Times New Roman"/>
          <w:color w:val="auto"/>
          <w:spacing w:val="0"/>
          <w:sz w:val="24"/>
          <w:highlight w:val="none"/>
          <w:vertAlign w:val="superscript"/>
        </w:rPr>
        <w:t>3</w:t>
      </w:r>
      <w:r>
        <w:rPr>
          <w:rFonts w:hint="default" w:ascii="Times New Roman" w:hAnsi="Times New Roman" w:cs="Times New Roman"/>
          <w:color w:val="auto"/>
          <w:spacing w:val="0"/>
          <w:sz w:val="24"/>
          <w:highlight w:val="none"/>
        </w:rPr>
        <w:t>/d</w:t>
      </w:r>
      <w:r>
        <w:rPr>
          <w:rFonts w:hint="eastAsia" w:cs="Times New Roman"/>
          <w:color w:val="auto"/>
          <w:spacing w:val="0"/>
          <w:sz w:val="24"/>
          <w:highlight w:val="none"/>
          <w:lang w:eastAsia="zh-CN"/>
        </w:rPr>
        <w:t>（</w:t>
      </w:r>
      <w:r>
        <w:rPr>
          <w:rFonts w:hint="eastAsia" w:cs="Times New Roman"/>
          <w:color w:val="auto"/>
          <w:highlight w:val="none"/>
          <w:lang w:val="en-US" w:eastAsia="zh-CN"/>
        </w:rPr>
        <w:t>46.62</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r>
        <w:rPr>
          <w:rFonts w:hint="eastAsia" w:cs="Times New Roman"/>
          <w:color w:val="auto"/>
          <w:spacing w:val="0"/>
          <w:sz w:val="24"/>
          <w:highlight w:val="none"/>
          <w:lang w:eastAsia="zh-CN"/>
        </w:rPr>
        <w:t>），</w:t>
      </w:r>
      <w:r>
        <w:rPr>
          <w:rFonts w:hint="default" w:ascii="Times New Roman" w:hAnsi="Times New Roman" w:cs="Times New Roman"/>
          <w:color w:val="auto"/>
          <w:kern w:val="0"/>
          <w:highlight w:val="none"/>
        </w:rPr>
        <w:t>主要污染因子为pH、COD、SS</w:t>
      </w:r>
      <w:r>
        <w:rPr>
          <w:rFonts w:hint="eastAsia" w:cs="Times New Roman"/>
          <w:color w:val="auto"/>
          <w:kern w:val="0"/>
          <w:highlight w:val="none"/>
          <w:lang w:eastAsia="zh-CN"/>
        </w:rPr>
        <w:t>、</w:t>
      </w:r>
      <w:r>
        <w:rPr>
          <w:rFonts w:hint="eastAsia" w:cs="Times New Roman"/>
          <w:color w:val="auto"/>
          <w:kern w:val="0"/>
          <w:highlight w:val="none"/>
          <w:lang w:val="en-US" w:eastAsia="zh-CN"/>
        </w:rPr>
        <w:t>氟化物</w:t>
      </w:r>
      <w:r>
        <w:rPr>
          <w:rFonts w:hint="default" w:ascii="Times New Roman" w:hAnsi="Times New Roman" w:cs="Times New Roman"/>
          <w:color w:val="auto"/>
          <w:kern w:val="0"/>
          <w:highlight w:val="none"/>
        </w:rPr>
        <w:t>及少量</w:t>
      </w:r>
      <w:r>
        <w:rPr>
          <w:rFonts w:hint="eastAsia" w:cs="Times New Roman"/>
          <w:color w:val="auto"/>
          <w:kern w:val="0"/>
          <w:highlight w:val="none"/>
          <w:lang w:val="en-US" w:eastAsia="zh-CN"/>
        </w:rPr>
        <w:t>非</w:t>
      </w:r>
      <w:r>
        <w:rPr>
          <w:rFonts w:hint="default" w:ascii="Times New Roman" w:hAnsi="Times New Roman" w:cs="Times New Roman"/>
          <w:color w:val="auto"/>
          <w:kern w:val="0"/>
          <w:highlight w:val="none"/>
        </w:rPr>
        <w:t>金属等</w:t>
      </w:r>
      <w:r>
        <w:rPr>
          <w:rFonts w:hint="default" w:ascii="Times New Roman" w:hAnsi="Times New Roman" w:cs="Times New Roman"/>
          <w:color w:val="auto"/>
          <w:highlight w:val="none"/>
        </w:rPr>
        <w:t>。选矿废水部分被</w:t>
      </w:r>
      <w:r>
        <w:rPr>
          <w:rFonts w:hint="default" w:ascii="Times New Roman" w:hAnsi="Times New Roman" w:cs="Times New Roman"/>
          <w:color w:val="auto"/>
          <w:highlight w:val="none"/>
          <w:lang w:eastAsia="zh-CN"/>
        </w:rPr>
        <w:t>萤石</w:t>
      </w:r>
      <w:r>
        <w:rPr>
          <w:rFonts w:hint="default" w:ascii="Times New Roman" w:hAnsi="Times New Roman" w:cs="Times New Roman"/>
          <w:color w:val="auto"/>
          <w:highlight w:val="none"/>
        </w:rPr>
        <w:t>精</w:t>
      </w:r>
      <w:r>
        <w:rPr>
          <w:rFonts w:hint="default" w:ascii="Times New Roman" w:hAnsi="Times New Roman" w:cs="Times New Roman"/>
          <w:color w:val="auto"/>
          <w:highlight w:val="none"/>
          <w:lang w:eastAsia="zh-CN"/>
        </w:rPr>
        <w:t>矿</w:t>
      </w:r>
      <w:r>
        <w:rPr>
          <w:rFonts w:hint="default" w:ascii="Times New Roman" w:hAnsi="Times New Roman" w:cs="Times New Roman"/>
          <w:color w:val="auto"/>
          <w:highlight w:val="none"/>
        </w:rPr>
        <w:t>带走，</w:t>
      </w:r>
      <w:r>
        <w:rPr>
          <w:rFonts w:hint="default" w:ascii="Times New Roman" w:hAnsi="Times New Roman" w:cs="Times New Roman"/>
          <w:color w:val="auto"/>
          <w:highlight w:val="none"/>
          <w:lang w:eastAsia="zh-CN"/>
        </w:rPr>
        <w:t>精矿压滤</w:t>
      </w:r>
      <w:r>
        <w:rPr>
          <w:rFonts w:hint="default" w:ascii="Times New Roman" w:hAnsi="Times New Roman" w:cs="Times New Roman"/>
          <w:color w:val="auto"/>
          <w:highlight w:val="none"/>
        </w:rPr>
        <w:t>水、尾矿浓缩溢流水返回生产工序循环利用，尾矿矿浆通过管道输送至尾矿库，尾矿库设有回水系统，使用水泵将库内澄清水通过管道泵送至选矿厂生产回水池，供选矿循环使用，实现生产废水</w:t>
      </w:r>
      <w:r>
        <w:rPr>
          <w:rFonts w:hint="eastAsia" w:cs="Times New Roman"/>
          <w:color w:val="auto"/>
          <w:highlight w:val="none"/>
          <w:lang w:eastAsia="zh-CN"/>
        </w:rPr>
        <w:t>“</w:t>
      </w:r>
      <w:r>
        <w:rPr>
          <w:rFonts w:hint="default" w:ascii="Times New Roman" w:hAnsi="Times New Roman" w:cs="Times New Roman"/>
          <w:color w:val="auto"/>
          <w:highlight w:val="none"/>
        </w:rPr>
        <w:t>闭路循环</w:t>
      </w:r>
      <w:r>
        <w:rPr>
          <w:rFonts w:hint="eastAsia" w:cs="Times New Roman"/>
          <w:color w:val="auto"/>
          <w:highlight w:val="none"/>
          <w:lang w:eastAsia="zh-CN"/>
        </w:rPr>
        <w:t>”</w:t>
      </w:r>
      <w:r>
        <w:rPr>
          <w:rFonts w:hint="default" w:ascii="Times New Roman" w:hAnsi="Times New Roman" w:cs="Times New Roman"/>
          <w:color w:val="auto"/>
          <w:highlight w:val="none"/>
        </w:rPr>
        <w:t>，不外排。</w:t>
      </w:r>
    </w:p>
    <w:p w14:paraId="7CEE0ACF">
      <w:pPr>
        <w:widowControl/>
        <w:ind w:firstLine="480"/>
        <w:jc w:val="left"/>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②生活污水对地下水的影响</w:t>
      </w:r>
    </w:p>
    <w:p w14:paraId="060563D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生活污水主要为洗浴、食堂、卫生间以及洗衣等产生的，属于一般性生活污水，主要污染物为SS、BOD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、COD、氨氮及动植物油等，</w:t>
      </w:r>
      <w:r>
        <w:rPr>
          <w:rFonts w:hint="default" w:ascii="Times New Roman" w:hAnsi="Times New Roman" w:cs="Times New Roman"/>
          <w:color w:val="auto"/>
          <w:highlight w:val="none"/>
          <w:lang w:eastAsia="zh-CN"/>
        </w:rPr>
        <w:t>新增工作人员</w:t>
      </w:r>
      <w:r>
        <w:rPr>
          <w:rFonts w:hint="default" w:ascii="Times New Roman" w:hAnsi="Times New Roman" w:cs="Times New Roman"/>
          <w:color w:val="auto"/>
          <w:highlight w:val="none"/>
        </w:rPr>
        <w:t>生活污水产生量为</w:t>
      </w:r>
      <w:r>
        <w:rPr>
          <w:rFonts w:hint="eastAsia" w:cs="Times New Roman"/>
          <w:color w:val="auto"/>
          <w:highlight w:val="none"/>
          <w:lang w:val="en-US" w:eastAsia="zh-CN"/>
        </w:rPr>
        <w:t>6.12</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/d。生活污水污染物浓度及产生量为SS：220mg/L（</w:t>
      </w:r>
      <w:r>
        <w:rPr>
          <w:rFonts w:hint="eastAsia" w:cs="Times New Roman"/>
          <w:color w:val="auto"/>
          <w:highlight w:val="none"/>
          <w:lang w:val="en-US" w:eastAsia="zh-CN"/>
        </w:rPr>
        <w:t>0.40</w:t>
      </w:r>
      <w:r>
        <w:rPr>
          <w:rFonts w:hint="default" w:ascii="Times New Roman" w:hAnsi="Times New Roman" w:cs="Times New Roman"/>
          <w:color w:val="auto"/>
          <w:highlight w:val="none"/>
        </w:rPr>
        <w:t>t/a）、COD：300mg/L（</w:t>
      </w:r>
      <w:r>
        <w:rPr>
          <w:rFonts w:hint="eastAsia" w:cs="Times New Roman"/>
          <w:color w:val="auto"/>
          <w:highlight w:val="none"/>
          <w:lang w:val="en-US" w:eastAsia="zh-CN"/>
        </w:rPr>
        <w:t>0.55</w:t>
      </w:r>
      <w:r>
        <w:rPr>
          <w:rFonts w:hint="default" w:ascii="Times New Roman" w:hAnsi="Times New Roman" w:cs="Times New Roman"/>
          <w:color w:val="auto"/>
          <w:highlight w:val="none"/>
        </w:rPr>
        <w:t>t/a）、BOD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：200mg/L（</w:t>
      </w:r>
      <w:r>
        <w:rPr>
          <w:rFonts w:hint="eastAsia" w:cs="Times New Roman"/>
          <w:color w:val="auto"/>
          <w:highlight w:val="none"/>
          <w:lang w:val="en-US" w:eastAsia="zh-CN"/>
        </w:rPr>
        <w:t>0.37</w:t>
      </w:r>
      <w:r>
        <w:rPr>
          <w:rFonts w:hint="default" w:ascii="Times New Roman" w:hAnsi="Times New Roman" w:cs="Times New Roman"/>
          <w:color w:val="auto"/>
          <w:highlight w:val="none"/>
        </w:rPr>
        <w:t>t/a）、氨氮：30mg/L（</w:t>
      </w:r>
      <w:r>
        <w:rPr>
          <w:rFonts w:hint="eastAsia" w:cs="Times New Roman"/>
          <w:color w:val="auto"/>
          <w:highlight w:val="none"/>
          <w:lang w:val="en-US" w:eastAsia="zh-CN"/>
        </w:rPr>
        <w:t>0.6</w:t>
      </w:r>
      <w:r>
        <w:rPr>
          <w:rFonts w:hint="default" w:ascii="Times New Roman" w:hAnsi="Times New Roman" w:cs="Times New Roman"/>
          <w:color w:val="auto"/>
          <w:highlight w:val="none"/>
        </w:rPr>
        <w:t>t/a）、动植物油100mg/L（</w:t>
      </w:r>
      <w:r>
        <w:rPr>
          <w:rFonts w:hint="eastAsia" w:cs="Times New Roman"/>
          <w:color w:val="auto"/>
          <w:highlight w:val="none"/>
          <w:lang w:val="en-US" w:eastAsia="zh-CN"/>
        </w:rPr>
        <w:t>0.18</w:t>
      </w:r>
      <w:r>
        <w:rPr>
          <w:rFonts w:hint="default" w:ascii="Times New Roman" w:hAnsi="Times New Roman" w:cs="Times New Roman"/>
          <w:color w:val="auto"/>
          <w:highlight w:val="none"/>
        </w:rPr>
        <w:t>t/a）。本项目生活污水排入</w:t>
      </w:r>
      <w:r>
        <w:rPr>
          <w:rFonts w:hint="eastAsia" w:cs="Times New Roman"/>
          <w:color w:val="auto"/>
          <w:highlight w:val="none"/>
          <w:lang w:val="en-US" w:eastAsia="zh-CN"/>
        </w:rPr>
        <w:t>化粪池定期清运至就近的污水处理厂</w:t>
      </w:r>
      <w:r>
        <w:rPr>
          <w:rFonts w:hint="default" w:ascii="Times New Roman" w:hAnsi="Times New Roman" w:cs="Times New Roman"/>
          <w:color w:val="auto"/>
          <w:highlight w:val="none"/>
        </w:rPr>
        <w:t>，不外排。</w:t>
      </w:r>
    </w:p>
    <w:p w14:paraId="66028CC7">
      <w:pPr>
        <w:autoSpaceDE w:val="0"/>
        <w:autoSpaceDN w:val="0"/>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③锅炉房废水对地下水的影响</w:t>
      </w:r>
    </w:p>
    <w:p w14:paraId="668B939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锅炉房废水包括锅炉排污水、软水废水，废水量约</w:t>
      </w:r>
      <w:r>
        <w:rPr>
          <w:rFonts w:hint="eastAsia" w:cs="Times New Roman"/>
          <w:color w:val="auto"/>
          <w:highlight w:val="none"/>
          <w:lang w:val="en-US" w:eastAsia="zh-CN"/>
        </w:rPr>
        <w:t>49.2</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eastAsia" w:cs="Times New Roman"/>
          <w:color w:val="auto"/>
          <w:highlight w:val="none"/>
          <w:lang w:val="en-US" w:eastAsia="zh-CN"/>
        </w:rPr>
        <w:t>0.738</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/a）。锅炉排污水主要污染物为SS；软化废水为浓盐水，主要污染物为pH、COD、溶解性总固体（全盐量），全盐量浓度较高。锅炉排污水和软化废水排至沉淀池经沉淀处理后用于</w:t>
      </w:r>
      <w:r>
        <w:rPr>
          <w:rFonts w:hint="eastAsia" w:cs="Times New Roman"/>
          <w:color w:val="auto"/>
          <w:highlight w:val="none"/>
          <w:lang w:val="en-US" w:eastAsia="zh-CN"/>
        </w:rPr>
        <w:t>道路</w:t>
      </w:r>
      <w:r>
        <w:rPr>
          <w:rFonts w:hint="default" w:ascii="Times New Roman" w:hAnsi="Times New Roman" w:cs="Times New Roman"/>
          <w:color w:val="auto"/>
          <w:highlight w:val="none"/>
          <w:lang w:eastAsia="zh-CN"/>
        </w:rPr>
        <w:t>降尘和</w:t>
      </w:r>
      <w:r>
        <w:rPr>
          <w:rFonts w:hint="eastAsia" w:cs="Times New Roman"/>
          <w:color w:val="auto"/>
          <w:highlight w:val="none"/>
          <w:lang w:val="en-US" w:eastAsia="zh-CN"/>
        </w:rPr>
        <w:t>选矿</w:t>
      </w:r>
      <w:r>
        <w:rPr>
          <w:rFonts w:hint="default" w:ascii="Times New Roman" w:hAnsi="Times New Roman" w:cs="Times New Roman"/>
          <w:color w:val="auto"/>
          <w:highlight w:val="none"/>
        </w:rPr>
        <w:t>使用，不外排。</w:t>
      </w:r>
    </w:p>
    <w:p w14:paraId="3FF72BA4">
      <w:pPr>
        <w:autoSpaceDE w:val="0"/>
        <w:autoSpaceDN w:val="0"/>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2、危废贮存点对地下水的影响</w:t>
      </w:r>
    </w:p>
    <w:p w14:paraId="7D9565EF">
      <w:pPr>
        <w:autoSpaceDE w:val="0"/>
        <w:autoSpaceDN w:val="0"/>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为防止</w:t>
      </w:r>
      <w:r>
        <w:rPr>
          <w:rFonts w:hint="eastAsia" w:cs="Times New Roman"/>
          <w:color w:val="auto"/>
          <w:highlight w:val="none"/>
          <w:lang w:val="en-US" w:eastAsia="zh-CN"/>
        </w:rPr>
        <w:t>危废贮存点</w:t>
      </w:r>
      <w:r>
        <w:rPr>
          <w:rFonts w:hint="default" w:ascii="Times New Roman" w:hAnsi="Times New Roman" w:cs="Times New Roman"/>
          <w:color w:val="auto"/>
          <w:highlight w:val="none"/>
        </w:rPr>
        <w:t>发生跑冒滴漏，危废贮存点地面需为混凝土结构，防渗系数小于10</w:t>
      </w:r>
      <w:r>
        <w:rPr>
          <w:rFonts w:hint="default" w:ascii="Times New Roman" w:hAnsi="Times New Roman" w:cs="Times New Roman"/>
          <w:color w:val="auto"/>
          <w:highlight w:val="none"/>
          <w:vertAlign w:val="superscript"/>
        </w:rPr>
        <w:t>-10</w:t>
      </w:r>
      <w:r>
        <w:rPr>
          <w:rFonts w:hint="default" w:ascii="Times New Roman" w:hAnsi="Times New Roman" w:cs="Times New Roman"/>
          <w:color w:val="auto"/>
          <w:highlight w:val="none"/>
        </w:rPr>
        <w:t>cm/s，有效防止</w:t>
      </w:r>
      <w:r>
        <w:rPr>
          <w:rFonts w:hint="default" w:ascii="Times New Roman" w:hAnsi="Times New Roman" w:cs="Times New Roman"/>
          <w:color w:val="auto"/>
          <w:highlight w:val="none"/>
          <w:lang w:eastAsia="zh-CN"/>
        </w:rPr>
        <w:t>废机油等石油类污染物</w:t>
      </w:r>
      <w:r>
        <w:rPr>
          <w:rFonts w:hint="default" w:ascii="Times New Roman" w:hAnsi="Times New Roman" w:cs="Times New Roman"/>
          <w:color w:val="auto"/>
          <w:highlight w:val="none"/>
        </w:rPr>
        <w:t>渗漏。同时，对储运过</w:t>
      </w:r>
      <w:r>
        <w:rPr>
          <w:rFonts w:hint="eastAsia" w:cs="Times New Roman"/>
          <w:color w:val="auto"/>
          <w:highlight w:val="none"/>
          <w:lang w:eastAsia="zh-CN"/>
        </w:rPr>
        <w:t>程中</w:t>
      </w:r>
      <w:r>
        <w:rPr>
          <w:rFonts w:hint="default" w:ascii="Times New Roman" w:hAnsi="Times New Roman" w:cs="Times New Roman"/>
          <w:color w:val="auto"/>
          <w:highlight w:val="none"/>
        </w:rPr>
        <w:t>产生的危险废物按照《危险废物贮存污染控制标准》（</w:t>
      </w:r>
      <w:r>
        <w:rPr>
          <w:rFonts w:hint="default" w:ascii="Times New Roman" w:hAnsi="Times New Roman" w:cs="Times New Roman"/>
          <w:color w:val="auto"/>
          <w:highlight w:val="none"/>
          <w:lang w:eastAsia="zh-CN"/>
        </w:rPr>
        <w:t>GB18597-2023</w:t>
      </w:r>
      <w:r>
        <w:rPr>
          <w:rFonts w:hint="default" w:ascii="Times New Roman" w:hAnsi="Times New Roman" w:cs="Times New Roman"/>
          <w:color w:val="auto"/>
          <w:highlight w:val="none"/>
        </w:rPr>
        <w:t>）及修改单的要求利用相应的容器进行收集，定期委托有资质的单位进行处置，不会对地下水产生影响。</w:t>
      </w:r>
    </w:p>
    <w:p w14:paraId="4381B325">
      <w:pPr>
        <w:autoSpaceDE w:val="0"/>
        <w:autoSpaceDN w:val="0"/>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3、尾矿库对地下水的影响</w:t>
      </w:r>
    </w:p>
    <w:p w14:paraId="660EFFF4">
      <w:pPr>
        <w:pStyle w:val="10"/>
        <w:widowControl w:val="0"/>
        <w:overflowPunct w:val="0"/>
        <w:topLinePunct/>
        <w:spacing w:after="0"/>
        <w:ind w:firstLine="480"/>
        <w:jc w:val="both"/>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正常情况下，尾矿库蓄水对地下水的污染主要</w:t>
      </w:r>
      <w:r>
        <w:rPr>
          <w:rFonts w:hint="eastAsia" w:ascii="Times New Roman" w:hAnsi="Times New Roman" w:cs="Times New Roman"/>
          <w:color w:val="auto"/>
          <w:kern w:val="2"/>
          <w:highlight w:val="none"/>
          <w:lang w:eastAsia="zh-CN"/>
        </w:rPr>
        <w:t>是由于污染物迁移穿过包气带进入含水层</w:t>
      </w:r>
      <w:r>
        <w:rPr>
          <w:rFonts w:hint="default" w:ascii="Times New Roman" w:hAnsi="Times New Roman" w:cs="Times New Roman"/>
          <w:color w:val="auto"/>
          <w:kern w:val="2"/>
          <w:highlight w:val="none"/>
        </w:rPr>
        <w:t>。</w:t>
      </w:r>
    </w:p>
    <w:p w14:paraId="2B6CF2AE">
      <w:pPr>
        <w:pStyle w:val="10"/>
        <w:widowControl w:val="0"/>
        <w:overflowPunct w:val="0"/>
        <w:topLinePunct/>
        <w:spacing w:after="0"/>
        <w:ind w:firstLine="480"/>
        <w:jc w:val="both"/>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尾矿库废水能否进入含水层取决于地质、水文地质条件和工程采取的防渗漏措施。对于承压水层由于上部有隔水顶板，只要废水不进入补给区，就不会污染地下水。对于潜水含水层，若其顶板为厚度不大的强透水层，废水则有可能通过隔水顶板进入含水层。由于潜水含水层的埋藏特点，导致其在任何部位都可接受补给，污染的危险性较大，其能否被污染取决于包气带的土壤性质和厚度，包气带中的细小颗粒可以滤去吸附某些污染物质。当废水分布于流域系统的补给区时，随着时间延续，污染物质将沿流线从补给区向排泄区逐渐扩展，最终可波及整个流动系统。当污染源位于排泄区，污染影响的范围比较局限，对地下水的影响较小。</w:t>
      </w:r>
    </w:p>
    <w:p w14:paraId="2629415D">
      <w:pPr>
        <w:pStyle w:val="10"/>
        <w:keepNext w:val="0"/>
        <w:keepLines w:val="0"/>
        <w:pageBreakBefore w:val="0"/>
        <w:widowControl w:val="0"/>
        <w:kinsoku/>
        <w:wordWrap w:val="0"/>
        <w:overflowPunct/>
        <w:topLinePunct/>
        <w:autoSpaceDE/>
        <w:autoSpaceDN/>
        <w:bidi w:val="0"/>
        <w:adjustRightInd/>
        <w:snapToGrid/>
        <w:spacing w:after="0"/>
        <w:ind w:firstLine="480"/>
        <w:jc w:val="both"/>
        <w:textAlignment w:val="auto"/>
        <w:rPr>
          <w:rFonts w:hint="default" w:ascii="Times New Roman" w:hAnsi="Times New Roman" w:cs="Times New Roman"/>
          <w:color w:val="auto"/>
          <w:kern w:val="2"/>
          <w:highlight w:val="none"/>
        </w:rPr>
      </w:pPr>
      <w:r>
        <w:rPr>
          <w:rFonts w:hint="default" w:ascii="Times New Roman" w:hAnsi="Times New Roman" w:cs="Times New Roman"/>
          <w:color w:val="auto"/>
          <w:highlight w:val="none"/>
        </w:rPr>
        <w:t>按照《一般工业固体废物贮存和填埋污染控制标准》（GB18599-2020）第</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1 \* ROMAN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I</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类一般工业固废要求，</w:t>
      </w:r>
      <w:r>
        <w:rPr>
          <w:rFonts w:hint="default" w:ascii="Times New Roman" w:hAnsi="Times New Roman" w:cs="Times New Roman"/>
          <w:color w:val="auto"/>
          <w:szCs w:val="28"/>
          <w:highlight w:val="none"/>
        </w:rPr>
        <w:t>尾矿库坝体内坡均设防渗层和库区防渗层联合形成完整的全库防渗系统。尾矿坝内坡防渗结构由下到上依次为：土石坝体、0.3m厚压实细砂垫层、1.0mm厚双糙面HDPE土工膜、600g/m</w:t>
      </w:r>
      <w:r>
        <w:rPr>
          <w:rFonts w:hint="default" w:ascii="Times New Roman" w:hAnsi="Times New Roman" w:cs="Times New Roman"/>
          <w:color w:val="auto"/>
          <w:szCs w:val="28"/>
          <w:highlight w:val="none"/>
          <w:vertAlign w:val="superscript"/>
        </w:rPr>
        <w:t>2</w:t>
      </w:r>
      <w:r>
        <w:rPr>
          <w:rFonts w:hint="default" w:ascii="Times New Roman" w:hAnsi="Times New Roman" w:cs="Times New Roman"/>
          <w:color w:val="auto"/>
          <w:szCs w:val="28"/>
          <w:highlight w:val="none"/>
        </w:rPr>
        <w:t>长丝无纺土工布保护层。尾矿库库底防渗结构由下到上依次为：基础层、0.3m厚压实细砂垫层、1.0mm厚光面HDPE土工膜、600g/m</w:t>
      </w:r>
      <w:r>
        <w:rPr>
          <w:rFonts w:hint="default" w:ascii="Times New Roman" w:hAnsi="Times New Roman" w:cs="Times New Roman"/>
          <w:color w:val="auto"/>
          <w:szCs w:val="28"/>
          <w:highlight w:val="none"/>
          <w:vertAlign w:val="superscript"/>
        </w:rPr>
        <w:t>2</w:t>
      </w:r>
      <w:r>
        <w:rPr>
          <w:rFonts w:hint="default" w:ascii="Times New Roman" w:hAnsi="Times New Roman" w:cs="Times New Roman"/>
          <w:color w:val="auto"/>
          <w:szCs w:val="28"/>
          <w:highlight w:val="none"/>
        </w:rPr>
        <w:t>长丝无纺土工布保护层、尾矿。</w:t>
      </w:r>
    </w:p>
    <w:p w14:paraId="3049D563">
      <w:pPr>
        <w:pStyle w:val="5"/>
        <w:ind w:firstLine="482"/>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rPr>
        <w:t>5.2.3.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运营期尾矿库地下水环境影响预测与评价</w:t>
      </w:r>
    </w:p>
    <w:p w14:paraId="74C27DF3">
      <w:pPr>
        <w:rPr>
          <w:rFonts w:hint="default" w:ascii="Times New Roman" w:hAnsi="Times New Roman" w:cs="Times New Roman"/>
          <w:color w:val="auto"/>
          <w:highlight w:val="none"/>
        </w:rPr>
      </w:pPr>
      <w:r>
        <w:rPr>
          <w:rFonts w:hint="default" w:ascii="Times New Roman" w:hAnsi="Times New Roman" w:cs="Times New Roman"/>
          <w:color w:val="auto"/>
          <w:highlight w:val="none"/>
        </w:rPr>
        <w:t>本次非正常工况主要考虑了生产过程中由于选矿废水循环水池、澄清池、尾矿库、涉污管线出现破损导致的废水渗/泄漏排放，假设</w:t>
      </w:r>
      <w:r>
        <w:rPr>
          <w:rFonts w:hint="default" w:ascii="Times New Roman" w:hAnsi="Times New Roman" w:cs="Times New Roman"/>
          <w:color w:val="auto"/>
          <w:highlight w:val="none"/>
          <w:lang w:eastAsia="zh-CN"/>
        </w:rPr>
        <w:t>选矿废水循环水池发生</w:t>
      </w:r>
      <w:r>
        <w:rPr>
          <w:rFonts w:hint="default" w:ascii="Times New Roman" w:hAnsi="Times New Roman" w:cs="Times New Roman"/>
          <w:color w:val="auto"/>
          <w:highlight w:val="none"/>
        </w:rPr>
        <w:t>泄/渗漏</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下渗污染地下水。</w:t>
      </w:r>
    </w:p>
    <w:p w14:paraId="70AE5844">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 地下水环境》（HJ610-2016）中9.4.2规定，本次评价对非正常状况下</w:t>
      </w:r>
      <w:r>
        <w:rPr>
          <w:rFonts w:hint="default" w:ascii="Times New Roman" w:hAnsi="Times New Roman" w:cs="Times New Roman"/>
          <w:color w:val="auto"/>
          <w:highlight w:val="none"/>
          <w:lang w:eastAsia="zh-CN"/>
        </w:rPr>
        <w:t>选矿废水循环水池泄漏对潜水</w:t>
      </w:r>
      <w:r>
        <w:rPr>
          <w:rFonts w:hint="default" w:ascii="Times New Roman" w:hAnsi="Times New Roman" w:cs="Times New Roman"/>
          <w:color w:val="auto"/>
          <w:highlight w:val="none"/>
        </w:rPr>
        <w:t>地下水环境进行预测。</w:t>
      </w:r>
    </w:p>
    <w:p w14:paraId="4008606C">
      <w:pPr>
        <w:pStyle w:val="10"/>
        <w:widowControl w:val="0"/>
        <w:overflowPunct w:val="0"/>
        <w:topLinePunct/>
        <w:spacing w:after="0"/>
        <w:ind w:firstLine="480"/>
        <w:jc w:val="both"/>
        <w:rPr>
          <w:rFonts w:hint="default" w:ascii="Times New Roman" w:hAnsi="Times New Roman" w:eastAsia="宋体" w:cs="Times New Roman"/>
          <w:color w:val="auto"/>
          <w:kern w:val="2"/>
          <w:highlight w:val="none"/>
          <w:lang w:eastAsia="zh-CN"/>
        </w:rPr>
      </w:pPr>
      <w:r>
        <w:rPr>
          <w:rFonts w:hint="default" w:ascii="Times New Roman" w:hAnsi="Times New Roman" w:cs="Times New Roman"/>
          <w:color w:val="auto"/>
          <w:kern w:val="2"/>
          <w:highlight w:val="none"/>
          <w:lang w:eastAsia="zh-CN"/>
        </w:rPr>
        <w:t>（</w:t>
      </w:r>
      <w:r>
        <w:rPr>
          <w:rFonts w:hint="default" w:ascii="Times New Roman" w:hAnsi="Times New Roman" w:cs="Times New Roman"/>
          <w:color w:val="auto"/>
          <w:kern w:val="2"/>
          <w:highlight w:val="none"/>
          <w:lang w:val="en-US" w:eastAsia="zh-CN"/>
        </w:rPr>
        <w:t>1</w:t>
      </w:r>
      <w:r>
        <w:rPr>
          <w:rFonts w:hint="default" w:ascii="Times New Roman" w:hAnsi="Times New Roman" w:cs="Times New Roman"/>
          <w:color w:val="auto"/>
          <w:kern w:val="2"/>
          <w:highlight w:val="none"/>
          <w:lang w:eastAsia="zh-CN"/>
        </w:rPr>
        <w:t>）</w:t>
      </w:r>
      <w:r>
        <w:rPr>
          <w:rFonts w:hint="default" w:ascii="Times New Roman" w:hAnsi="Times New Roman" w:cs="Times New Roman"/>
          <w:color w:val="auto"/>
          <w:kern w:val="2"/>
          <w:highlight w:val="none"/>
        </w:rPr>
        <w:t>预测范围</w:t>
      </w:r>
      <w:r>
        <w:rPr>
          <w:rFonts w:hint="default" w:ascii="Times New Roman" w:hAnsi="Times New Roman" w:cs="Times New Roman"/>
          <w:color w:val="auto"/>
          <w:kern w:val="2"/>
          <w:highlight w:val="none"/>
          <w:lang w:eastAsia="zh-CN"/>
        </w:rPr>
        <w:t>及时间</w:t>
      </w:r>
    </w:p>
    <w:p w14:paraId="17847068">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left"/>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地下水环境影响预测范围一般与调查评价范围一致。预测层位以潜水含水层为主。</w:t>
      </w:r>
    </w:p>
    <w:p w14:paraId="5FB7C5F6">
      <w:pPr>
        <w:pStyle w:val="10"/>
        <w:widowControl w:val="0"/>
        <w:overflowPunct w:val="0"/>
        <w:topLinePunct/>
        <w:spacing w:after="0"/>
        <w:ind w:firstLine="48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预测时间为100d、1000d。</w:t>
      </w:r>
    </w:p>
    <w:p w14:paraId="21231A4C">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sz w:val="24"/>
          <w:highlight w:val="none"/>
          <w:lang w:val="en-US" w:eastAsia="zh-CN"/>
        </w:rPr>
      </w:pPr>
      <w:r>
        <w:rPr>
          <w:rFonts w:hint="default" w:ascii="Times New Roman" w:hAnsi="Times New Roman" w:cs="Times New Roman"/>
          <w:color w:val="auto"/>
          <w:spacing w:val="0"/>
          <w:sz w:val="24"/>
          <w:highlight w:val="none"/>
          <w:lang w:val="en-US" w:eastAsia="zh-CN"/>
        </w:rPr>
        <w:t>（2）</w:t>
      </w:r>
      <w:r>
        <w:rPr>
          <w:rFonts w:hint="default" w:ascii="Times New Roman" w:hAnsi="Times New Roman" w:eastAsia="宋体" w:cs="Times New Roman"/>
          <w:color w:val="auto"/>
          <w:spacing w:val="0"/>
          <w:sz w:val="24"/>
          <w:highlight w:val="none"/>
          <w:lang w:val="en-US" w:eastAsia="zh-CN"/>
        </w:rPr>
        <w:t>污染因子及浓度确定</w:t>
      </w:r>
    </w:p>
    <w:p w14:paraId="70B4CE95">
      <w:pPr>
        <w:keepNext w:val="0"/>
        <w:keepLines w:val="0"/>
        <w:pageBreakBefore w:val="0"/>
        <w:widowControl w:val="0"/>
        <w:kinsoku/>
        <w:wordWrap/>
        <w:overflowPunct/>
        <w:topLinePunct w:val="0"/>
        <w:bidi w:val="0"/>
        <w:snapToGrid/>
        <w:spacing w:line="480" w:lineRule="exact"/>
        <w:ind w:left="0" w:leftChars="0" w:right="0" w:rightChars="0" w:firstLine="480" w:firstLineChars="200"/>
        <w:jc w:val="both"/>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本次环评污染物源强采取最不利情况，即浓度较大</w:t>
      </w:r>
      <w:r>
        <w:rPr>
          <w:rFonts w:hint="default" w:ascii="Times New Roman" w:hAnsi="Times New Roman" w:eastAsia="宋体" w:cs="Times New Roman"/>
          <w:color w:val="auto"/>
          <w:sz w:val="24"/>
          <w:highlight w:val="none"/>
          <w:lang w:val="en-US" w:eastAsia="zh-CN"/>
        </w:rPr>
        <w:t>且危害较大</w:t>
      </w:r>
      <w:r>
        <w:rPr>
          <w:rFonts w:hint="eastAsia" w:ascii="Times New Roman" w:hAnsi="Times New Roman" w:eastAsia="宋体" w:cs="Times New Roman"/>
          <w:color w:val="auto"/>
          <w:sz w:val="24"/>
          <w:highlight w:val="none"/>
          <w:lang w:val="en-US" w:eastAsia="zh-CN"/>
        </w:rPr>
        <w:t>的</w:t>
      </w:r>
      <w:r>
        <w:rPr>
          <w:rFonts w:hint="default" w:ascii="Times New Roman" w:hAnsi="Times New Roman" w:eastAsia="宋体" w:cs="Times New Roman"/>
          <w:color w:val="auto"/>
          <w:sz w:val="24"/>
          <w:highlight w:val="none"/>
        </w:rPr>
        <w:t>污染因子的浓度作为预测浓度</w:t>
      </w:r>
      <w:r>
        <w:rPr>
          <w:rFonts w:hint="default" w:ascii="Times New Roman" w:hAnsi="Times New Roman" w:cs="Times New Roman"/>
          <w:color w:val="auto"/>
          <w:sz w:val="24"/>
          <w:highlight w:val="none"/>
          <w:lang w:eastAsia="zh-CN"/>
        </w:rPr>
        <w:t>，根据固废浸出毒性监测报告确定</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本项目</w:t>
      </w:r>
      <w:r>
        <w:rPr>
          <w:rFonts w:hint="eastAsia" w:cs="Times New Roman"/>
          <w:color w:val="auto"/>
          <w:sz w:val="24"/>
          <w:highlight w:val="none"/>
          <w:lang w:val="en-US" w:eastAsia="zh-CN"/>
        </w:rPr>
        <w:t>尾砂</w:t>
      </w:r>
      <w:r>
        <w:rPr>
          <w:rFonts w:hint="default" w:ascii="Times New Roman" w:hAnsi="Times New Roman" w:eastAsia="宋体" w:cs="Times New Roman"/>
          <w:color w:val="auto"/>
          <w:sz w:val="24"/>
          <w:highlight w:val="none"/>
          <w:lang w:val="en-US" w:eastAsia="zh-CN"/>
        </w:rPr>
        <w:t>浸出液中含有</w:t>
      </w:r>
      <w:r>
        <w:rPr>
          <w:rFonts w:hint="eastAsia" w:ascii="Times New Roman" w:hAnsi="Times New Roman" w:cs="Times New Roman"/>
          <w:color w:val="auto"/>
          <w:sz w:val="24"/>
          <w:highlight w:val="none"/>
          <w:lang w:val="en-US" w:eastAsia="zh-CN"/>
        </w:rPr>
        <w:t>汞</w:t>
      </w:r>
      <w:r>
        <w:rPr>
          <w:rFonts w:hint="default"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氟化物等污染物，根据地下水评价导则</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按照重金属、持久性有机物和其他类别进行分类，对每一类别中的各项因子采用标准指数法进行排序，分别选取指数最大的因子作为预测因子</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，本次评价因子判定如下表所示</w:t>
      </w:r>
      <w:r>
        <w:rPr>
          <w:rFonts w:hint="default" w:ascii="Times New Roman" w:hAnsi="Times New Roman" w:cs="Times New Roman"/>
          <w:color w:val="auto"/>
          <w:sz w:val="24"/>
          <w:highlight w:val="none"/>
          <w:lang w:val="en-US" w:eastAsia="zh-CN"/>
        </w:rPr>
        <w:t>。</w:t>
      </w:r>
    </w:p>
    <w:p w14:paraId="582F3262">
      <w:pPr>
        <w:keepNext w:val="0"/>
        <w:keepLines w:val="0"/>
        <w:pageBreakBefore w:val="0"/>
        <w:widowControl w:val="0"/>
        <w:kinsoku/>
        <w:wordWrap/>
        <w:overflowPunct/>
        <w:topLinePunct w:val="0"/>
        <w:autoSpaceDE/>
        <w:autoSpaceDN/>
        <w:bidi w:val="0"/>
        <w:adjustRightInd/>
        <w:snapToGrid/>
        <w:spacing w:before="72" w:beforeLines="30" w:line="400" w:lineRule="exact"/>
        <w:ind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rPr>
        <w:t>表</w:t>
      </w:r>
      <w:r>
        <w:rPr>
          <w:rFonts w:hint="default" w:ascii="Times New Roman" w:hAnsi="Times New Roman" w:cs="Times New Roman"/>
          <w:b/>
          <w:bCs/>
          <w:color w:val="auto"/>
          <w:sz w:val="24"/>
          <w:szCs w:val="24"/>
          <w:highlight w:val="none"/>
          <w:lang w:val="en-US" w:eastAsia="zh-CN"/>
        </w:rPr>
        <w:t>5.2-12</w:t>
      </w:r>
      <w:r>
        <w:rPr>
          <w:rFonts w:hint="default" w:ascii="Times New Roman" w:hAnsi="Times New Roman" w:eastAsia="宋体" w:cs="Times New Roman"/>
          <w:b/>
          <w:bCs/>
          <w:color w:val="auto"/>
          <w:sz w:val="24"/>
          <w:szCs w:val="24"/>
          <w:highlight w:val="none"/>
        </w:rPr>
        <w:t xml:space="preserve">    </w:t>
      </w:r>
      <w:r>
        <w:rPr>
          <w:rFonts w:hint="default" w:ascii="Times New Roman" w:hAnsi="Times New Roman" w:eastAsia="宋体" w:cs="Times New Roman"/>
          <w:b/>
          <w:bCs/>
          <w:color w:val="auto"/>
          <w:sz w:val="24"/>
          <w:szCs w:val="24"/>
          <w:highlight w:val="none"/>
          <w:lang w:val="en-US" w:eastAsia="zh-CN"/>
        </w:rPr>
        <w:t>地下水评价因子判定一览表</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1415"/>
        <w:gridCol w:w="1418"/>
        <w:gridCol w:w="1418"/>
        <w:gridCol w:w="1418"/>
        <w:gridCol w:w="1435"/>
      </w:tblGrid>
      <w:tr w14:paraId="5B1687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30" w:type="pct"/>
            <w:tcBorders>
              <w:left w:val="single" w:color="auto" w:sz="12" w:space="0"/>
            </w:tcBorders>
            <w:shd w:val="clear" w:color="auto" w:fill="auto"/>
            <w:noWrap w:val="0"/>
            <w:vAlign w:val="center"/>
          </w:tcPr>
          <w:p w14:paraId="6BA7BBC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cs="Times New Roman"/>
                <w:b/>
                <w:bCs/>
                <w:color w:val="auto"/>
                <w:kern w:val="0"/>
                <w:sz w:val="21"/>
                <w:szCs w:val="21"/>
                <w:highlight w:val="none"/>
                <w:lang w:eastAsia="zh-CN"/>
              </w:rPr>
              <w:t>类别</w:t>
            </w:r>
          </w:p>
        </w:tc>
        <w:tc>
          <w:tcPr>
            <w:tcW w:w="830" w:type="pct"/>
            <w:shd w:val="clear" w:color="auto" w:fill="auto"/>
            <w:noWrap w:val="0"/>
            <w:vAlign w:val="center"/>
          </w:tcPr>
          <w:p w14:paraId="264C97E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cs="Times New Roman"/>
                <w:b/>
                <w:bCs/>
                <w:color w:val="auto"/>
                <w:kern w:val="0"/>
                <w:sz w:val="21"/>
                <w:szCs w:val="21"/>
                <w:highlight w:val="none"/>
                <w:lang w:eastAsia="zh-CN"/>
              </w:rPr>
              <w:t>污染物</w:t>
            </w:r>
          </w:p>
        </w:tc>
        <w:tc>
          <w:tcPr>
            <w:tcW w:w="832" w:type="pct"/>
            <w:shd w:val="clear" w:color="auto" w:fill="auto"/>
            <w:noWrap w:val="0"/>
            <w:vAlign w:val="center"/>
          </w:tcPr>
          <w:p w14:paraId="32A28F7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kern w:val="0"/>
                <w:sz w:val="21"/>
                <w:szCs w:val="21"/>
                <w:highlight w:val="none"/>
                <w:lang w:eastAsia="zh-CN"/>
              </w:rPr>
            </w:pPr>
            <w:r>
              <w:rPr>
                <w:rFonts w:hint="default" w:ascii="Times New Roman" w:hAnsi="Times New Roman" w:cs="Times New Roman"/>
                <w:b/>
                <w:bCs/>
                <w:color w:val="auto"/>
                <w:kern w:val="0"/>
                <w:sz w:val="21"/>
                <w:szCs w:val="21"/>
                <w:highlight w:val="none"/>
                <w:lang w:eastAsia="zh-CN"/>
              </w:rPr>
              <w:t>排放浓度</w:t>
            </w:r>
          </w:p>
          <w:p w14:paraId="152395E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eastAsia="zh-CN"/>
              </w:rPr>
            </w:pPr>
            <w:r>
              <w:rPr>
                <w:rFonts w:hint="eastAsia" w:cs="Times New Roman"/>
                <w:b/>
                <w:bCs/>
                <w:color w:val="auto"/>
                <w:kern w:val="0"/>
                <w:sz w:val="21"/>
                <w:szCs w:val="21"/>
                <w:highlight w:val="none"/>
                <w:lang w:eastAsia="zh-CN"/>
              </w:rPr>
              <w:t>（</w:t>
            </w:r>
            <w:r>
              <w:rPr>
                <w:rFonts w:hint="default" w:ascii="Times New Roman" w:hAnsi="Times New Roman" w:cs="Times New Roman"/>
                <w:b/>
                <w:bCs/>
                <w:color w:val="auto"/>
                <w:kern w:val="0"/>
                <w:sz w:val="21"/>
                <w:szCs w:val="21"/>
                <w:highlight w:val="none"/>
                <w:lang w:val="en-US" w:eastAsia="zh-CN"/>
              </w:rPr>
              <w:t>mg/L</w:t>
            </w:r>
            <w:r>
              <w:rPr>
                <w:rFonts w:hint="eastAsia" w:cs="Times New Roman"/>
                <w:b/>
                <w:bCs/>
                <w:color w:val="auto"/>
                <w:kern w:val="0"/>
                <w:sz w:val="21"/>
                <w:szCs w:val="21"/>
                <w:highlight w:val="none"/>
                <w:lang w:val="en-US" w:eastAsia="zh-CN"/>
              </w:rPr>
              <w:t>）</w:t>
            </w:r>
          </w:p>
        </w:tc>
        <w:tc>
          <w:tcPr>
            <w:tcW w:w="832" w:type="pct"/>
            <w:shd w:val="clear" w:color="auto" w:fill="auto"/>
            <w:noWrap w:val="0"/>
            <w:vAlign w:val="center"/>
          </w:tcPr>
          <w:p w14:paraId="009D052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kern w:val="0"/>
                <w:sz w:val="21"/>
                <w:szCs w:val="21"/>
                <w:highlight w:val="none"/>
                <w:lang w:eastAsia="zh-CN"/>
              </w:rPr>
            </w:pPr>
            <w:r>
              <w:rPr>
                <w:rFonts w:hint="default" w:ascii="Times New Roman" w:hAnsi="Times New Roman" w:cs="Times New Roman"/>
                <w:b/>
                <w:bCs/>
                <w:color w:val="auto"/>
                <w:kern w:val="0"/>
                <w:sz w:val="21"/>
                <w:szCs w:val="21"/>
                <w:highlight w:val="none"/>
                <w:lang w:eastAsia="zh-CN"/>
              </w:rPr>
              <w:t>标准值</w:t>
            </w:r>
          </w:p>
          <w:p w14:paraId="71CEEC2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highlight w:val="none"/>
                <w:lang w:eastAsia="zh-CN"/>
              </w:rPr>
            </w:pPr>
            <w:r>
              <w:rPr>
                <w:rFonts w:hint="eastAsia" w:cs="Times New Roman"/>
                <w:b/>
                <w:bCs/>
                <w:color w:val="auto"/>
                <w:kern w:val="0"/>
                <w:sz w:val="21"/>
                <w:szCs w:val="21"/>
                <w:highlight w:val="none"/>
                <w:lang w:eastAsia="zh-CN"/>
              </w:rPr>
              <w:t>（</w:t>
            </w:r>
            <w:r>
              <w:rPr>
                <w:rFonts w:hint="default" w:ascii="Times New Roman" w:hAnsi="Times New Roman" w:cs="Times New Roman"/>
                <w:b/>
                <w:bCs/>
                <w:color w:val="auto"/>
                <w:kern w:val="0"/>
                <w:sz w:val="21"/>
                <w:szCs w:val="21"/>
                <w:highlight w:val="none"/>
                <w:lang w:val="en-US" w:eastAsia="zh-CN"/>
              </w:rPr>
              <w:t>mg/L</w:t>
            </w:r>
            <w:r>
              <w:rPr>
                <w:rFonts w:hint="eastAsia" w:cs="Times New Roman"/>
                <w:b/>
                <w:bCs/>
                <w:color w:val="auto"/>
                <w:kern w:val="0"/>
                <w:sz w:val="21"/>
                <w:szCs w:val="21"/>
                <w:highlight w:val="none"/>
                <w:lang w:val="en-US" w:eastAsia="zh-CN"/>
              </w:rPr>
              <w:t>）</w:t>
            </w:r>
          </w:p>
        </w:tc>
        <w:tc>
          <w:tcPr>
            <w:tcW w:w="832" w:type="pct"/>
            <w:shd w:val="clear" w:color="auto" w:fill="auto"/>
            <w:noWrap w:val="0"/>
            <w:vAlign w:val="center"/>
          </w:tcPr>
          <w:p w14:paraId="5F3300D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cs="Times New Roman"/>
                <w:b/>
                <w:bCs/>
                <w:color w:val="auto"/>
                <w:kern w:val="0"/>
                <w:sz w:val="21"/>
                <w:szCs w:val="21"/>
                <w:highlight w:val="none"/>
                <w:lang w:eastAsia="zh-CN"/>
              </w:rPr>
              <w:t>标准指数</w:t>
            </w:r>
          </w:p>
        </w:tc>
        <w:tc>
          <w:tcPr>
            <w:tcW w:w="842" w:type="pct"/>
            <w:tcBorders>
              <w:right w:val="single" w:color="auto" w:sz="12" w:space="0"/>
            </w:tcBorders>
            <w:shd w:val="clear" w:color="auto" w:fill="auto"/>
            <w:noWrap w:val="0"/>
            <w:vAlign w:val="center"/>
          </w:tcPr>
          <w:p w14:paraId="069F780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cs="Times New Roman"/>
                <w:b/>
                <w:bCs/>
                <w:color w:val="auto"/>
                <w:kern w:val="0"/>
                <w:sz w:val="21"/>
                <w:szCs w:val="21"/>
                <w:highlight w:val="none"/>
                <w:lang w:eastAsia="zh-CN"/>
              </w:rPr>
              <w:t>排序</w:t>
            </w:r>
          </w:p>
        </w:tc>
      </w:tr>
      <w:tr w14:paraId="49444C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0" w:type="pct"/>
            <w:vMerge w:val="restart"/>
            <w:tcBorders>
              <w:left w:val="single" w:color="auto" w:sz="12" w:space="0"/>
            </w:tcBorders>
            <w:shd w:val="clear" w:color="auto" w:fill="auto"/>
            <w:noWrap/>
            <w:vAlign w:val="center"/>
          </w:tcPr>
          <w:p w14:paraId="3C0FF72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重金属</w:t>
            </w:r>
          </w:p>
        </w:tc>
        <w:tc>
          <w:tcPr>
            <w:tcW w:w="830" w:type="pct"/>
            <w:shd w:val="clear" w:color="auto" w:fill="auto"/>
            <w:noWrap/>
            <w:vAlign w:val="center"/>
          </w:tcPr>
          <w:p w14:paraId="1BC9C9C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六价铬</w:t>
            </w:r>
          </w:p>
        </w:tc>
        <w:tc>
          <w:tcPr>
            <w:tcW w:w="832" w:type="pct"/>
            <w:shd w:val="clear" w:color="auto" w:fill="auto"/>
            <w:noWrap/>
            <w:vAlign w:val="center"/>
          </w:tcPr>
          <w:p w14:paraId="420C6D0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sz w:val="21"/>
                <w:szCs w:val="21"/>
                <w:highlight w:val="none"/>
                <w:lang w:val="en-US" w:eastAsia="zh-CN"/>
              </w:rPr>
              <w:t>&lt;0.004</w:t>
            </w:r>
          </w:p>
        </w:tc>
        <w:tc>
          <w:tcPr>
            <w:tcW w:w="832" w:type="pct"/>
            <w:shd w:val="clear" w:color="auto" w:fill="auto"/>
            <w:noWrap/>
            <w:vAlign w:val="center"/>
          </w:tcPr>
          <w:p w14:paraId="2D23576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0.05</w:t>
            </w:r>
          </w:p>
        </w:tc>
        <w:tc>
          <w:tcPr>
            <w:tcW w:w="832" w:type="pct"/>
            <w:shd w:val="clear" w:color="auto" w:fill="auto"/>
            <w:noWrap/>
            <w:vAlign w:val="center"/>
          </w:tcPr>
          <w:p w14:paraId="1E28753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842" w:type="pct"/>
            <w:tcBorders>
              <w:right w:val="single" w:color="auto" w:sz="12" w:space="0"/>
            </w:tcBorders>
            <w:shd w:val="clear" w:color="auto" w:fill="auto"/>
            <w:noWrap/>
            <w:vAlign w:val="center"/>
          </w:tcPr>
          <w:p w14:paraId="3D073F6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r>
      <w:tr w14:paraId="59F9FC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0" w:type="pct"/>
            <w:vMerge w:val="continue"/>
            <w:tcBorders>
              <w:left w:val="single" w:color="auto" w:sz="12" w:space="0"/>
            </w:tcBorders>
            <w:shd w:val="clear" w:color="auto" w:fill="auto"/>
            <w:noWrap/>
            <w:vAlign w:val="center"/>
          </w:tcPr>
          <w:p w14:paraId="00499DF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kern w:val="0"/>
                <w:sz w:val="21"/>
                <w:szCs w:val="21"/>
                <w:highlight w:val="none"/>
                <w:lang w:eastAsia="zh-CN"/>
              </w:rPr>
            </w:pPr>
          </w:p>
        </w:tc>
        <w:tc>
          <w:tcPr>
            <w:tcW w:w="830" w:type="pct"/>
            <w:shd w:val="clear" w:color="auto" w:fill="auto"/>
            <w:noWrap/>
            <w:vAlign w:val="center"/>
          </w:tcPr>
          <w:p w14:paraId="6BAD0E9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snapToGrid w:val="0"/>
                <w:color w:val="auto"/>
                <w:kern w:val="0"/>
                <w:sz w:val="21"/>
                <w:highlight w:val="none"/>
                <w:lang w:bidi="ar"/>
              </w:rPr>
              <w:t>镉</w:t>
            </w:r>
          </w:p>
        </w:tc>
        <w:tc>
          <w:tcPr>
            <w:tcW w:w="832" w:type="pct"/>
            <w:shd w:val="clear" w:color="auto" w:fill="auto"/>
            <w:noWrap/>
            <w:vAlign w:val="center"/>
          </w:tcPr>
          <w:p w14:paraId="49EAEDB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sz w:val="21"/>
                <w:szCs w:val="21"/>
                <w:highlight w:val="none"/>
                <w:lang w:val="en-US" w:eastAsia="zh-CN"/>
              </w:rPr>
              <w:t>&lt;0.01</w:t>
            </w:r>
          </w:p>
        </w:tc>
        <w:tc>
          <w:tcPr>
            <w:tcW w:w="832" w:type="pct"/>
            <w:shd w:val="clear" w:color="auto" w:fill="auto"/>
            <w:noWrap/>
            <w:vAlign w:val="center"/>
          </w:tcPr>
          <w:p w14:paraId="4664132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0.005</w:t>
            </w:r>
          </w:p>
        </w:tc>
        <w:tc>
          <w:tcPr>
            <w:tcW w:w="832" w:type="pct"/>
            <w:shd w:val="clear" w:color="auto" w:fill="auto"/>
            <w:noWrap/>
            <w:vAlign w:val="center"/>
          </w:tcPr>
          <w:p w14:paraId="3A0B38B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842" w:type="pct"/>
            <w:tcBorders>
              <w:right w:val="single" w:color="auto" w:sz="12" w:space="0"/>
            </w:tcBorders>
            <w:shd w:val="clear" w:color="auto" w:fill="auto"/>
            <w:noWrap/>
            <w:vAlign w:val="center"/>
          </w:tcPr>
          <w:p w14:paraId="783B214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r>
      <w:tr w14:paraId="336156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0" w:type="pct"/>
            <w:vMerge w:val="continue"/>
            <w:tcBorders>
              <w:left w:val="single" w:color="auto" w:sz="12" w:space="0"/>
            </w:tcBorders>
            <w:shd w:val="clear" w:color="auto" w:fill="auto"/>
            <w:noWrap/>
            <w:vAlign w:val="center"/>
          </w:tcPr>
          <w:p w14:paraId="4286DE7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kern w:val="0"/>
                <w:sz w:val="21"/>
                <w:szCs w:val="21"/>
                <w:highlight w:val="none"/>
                <w:lang w:eastAsia="zh-CN"/>
              </w:rPr>
            </w:pPr>
          </w:p>
        </w:tc>
        <w:tc>
          <w:tcPr>
            <w:tcW w:w="830" w:type="pct"/>
            <w:shd w:val="clear" w:color="auto" w:fill="auto"/>
            <w:noWrap/>
            <w:vAlign w:val="center"/>
          </w:tcPr>
          <w:p w14:paraId="123357E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铅</w:t>
            </w:r>
          </w:p>
        </w:tc>
        <w:tc>
          <w:tcPr>
            <w:tcW w:w="832" w:type="pct"/>
            <w:shd w:val="clear" w:color="auto" w:fill="auto"/>
            <w:noWrap/>
            <w:vAlign w:val="center"/>
          </w:tcPr>
          <w:p w14:paraId="4E21BB2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sz w:val="21"/>
                <w:szCs w:val="21"/>
                <w:highlight w:val="none"/>
                <w:lang w:val="en-US" w:eastAsia="zh-CN"/>
              </w:rPr>
              <w:t>&lt;0.03</w:t>
            </w:r>
          </w:p>
        </w:tc>
        <w:tc>
          <w:tcPr>
            <w:tcW w:w="832" w:type="pct"/>
            <w:shd w:val="clear" w:color="auto" w:fill="auto"/>
            <w:noWrap/>
            <w:vAlign w:val="center"/>
          </w:tcPr>
          <w:p w14:paraId="1B1DA21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0.01</w:t>
            </w:r>
          </w:p>
        </w:tc>
        <w:tc>
          <w:tcPr>
            <w:tcW w:w="832" w:type="pct"/>
            <w:shd w:val="clear" w:color="auto" w:fill="auto"/>
            <w:noWrap/>
            <w:vAlign w:val="center"/>
          </w:tcPr>
          <w:p w14:paraId="599B7E8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842" w:type="pct"/>
            <w:tcBorders>
              <w:right w:val="single" w:color="auto" w:sz="12" w:space="0"/>
            </w:tcBorders>
            <w:shd w:val="clear" w:color="auto" w:fill="auto"/>
            <w:noWrap/>
            <w:vAlign w:val="center"/>
          </w:tcPr>
          <w:p w14:paraId="579343A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r>
      <w:tr w14:paraId="48C914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0" w:type="pct"/>
            <w:vMerge w:val="continue"/>
            <w:tcBorders>
              <w:left w:val="single" w:color="auto" w:sz="12" w:space="0"/>
            </w:tcBorders>
            <w:shd w:val="clear" w:color="auto" w:fill="auto"/>
            <w:noWrap/>
            <w:vAlign w:val="center"/>
          </w:tcPr>
          <w:p w14:paraId="53A6012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kern w:val="0"/>
                <w:sz w:val="21"/>
                <w:szCs w:val="21"/>
                <w:highlight w:val="none"/>
                <w:lang w:eastAsia="zh-CN"/>
              </w:rPr>
            </w:pPr>
          </w:p>
        </w:tc>
        <w:tc>
          <w:tcPr>
            <w:tcW w:w="830" w:type="pct"/>
            <w:shd w:val="clear" w:color="auto" w:fill="auto"/>
            <w:noWrap/>
            <w:vAlign w:val="center"/>
          </w:tcPr>
          <w:p w14:paraId="238C310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铜</w:t>
            </w:r>
          </w:p>
        </w:tc>
        <w:tc>
          <w:tcPr>
            <w:tcW w:w="832" w:type="pct"/>
            <w:shd w:val="clear" w:color="auto" w:fill="auto"/>
            <w:noWrap/>
            <w:vAlign w:val="center"/>
          </w:tcPr>
          <w:p w14:paraId="601699D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sz w:val="21"/>
                <w:szCs w:val="21"/>
                <w:highlight w:val="none"/>
                <w:lang w:val="en-US" w:eastAsia="zh-CN"/>
              </w:rPr>
              <w:t>&lt;0.01</w:t>
            </w:r>
          </w:p>
        </w:tc>
        <w:tc>
          <w:tcPr>
            <w:tcW w:w="832" w:type="pct"/>
            <w:shd w:val="clear" w:color="auto" w:fill="auto"/>
            <w:noWrap/>
            <w:vAlign w:val="center"/>
          </w:tcPr>
          <w:p w14:paraId="0807624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1.00</w:t>
            </w:r>
          </w:p>
        </w:tc>
        <w:tc>
          <w:tcPr>
            <w:tcW w:w="832" w:type="pct"/>
            <w:shd w:val="clear" w:color="auto" w:fill="auto"/>
            <w:noWrap/>
            <w:vAlign w:val="center"/>
          </w:tcPr>
          <w:p w14:paraId="3402DCB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842" w:type="pct"/>
            <w:tcBorders>
              <w:right w:val="single" w:color="auto" w:sz="12" w:space="0"/>
            </w:tcBorders>
            <w:shd w:val="clear" w:color="auto" w:fill="auto"/>
            <w:noWrap/>
            <w:vAlign w:val="center"/>
          </w:tcPr>
          <w:p w14:paraId="5F97954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r>
      <w:tr w14:paraId="4A1631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0" w:type="pct"/>
            <w:vMerge w:val="continue"/>
            <w:tcBorders>
              <w:left w:val="single" w:color="auto" w:sz="12" w:space="0"/>
            </w:tcBorders>
            <w:shd w:val="clear" w:color="auto" w:fill="auto"/>
            <w:noWrap/>
            <w:vAlign w:val="center"/>
          </w:tcPr>
          <w:p w14:paraId="629723E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kern w:val="0"/>
                <w:sz w:val="21"/>
                <w:szCs w:val="21"/>
                <w:highlight w:val="none"/>
                <w:lang w:eastAsia="zh-CN"/>
              </w:rPr>
            </w:pPr>
          </w:p>
        </w:tc>
        <w:tc>
          <w:tcPr>
            <w:tcW w:w="830" w:type="pct"/>
            <w:shd w:val="clear" w:color="auto" w:fill="auto"/>
            <w:noWrap/>
            <w:vAlign w:val="center"/>
          </w:tcPr>
          <w:p w14:paraId="3B48FDB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锌</w:t>
            </w:r>
          </w:p>
        </w:tc>
        <w:tc>
          <w:tcPr>
            <w:tcW w:w="832" w:type="pct"/>
            <w:shd w:val="clear" w:color="auto" w:fill="auto"/>
            <w:noWrap/>
            <w:vAlign w:val="center"/>
          </w:tcPr>
          <w:p w14:paraId="61930BB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sz w:val="21"/>
                <w:szCs w:val="21"/>
                <w:highlight w:val="none"/>
                <w:lang w:val="en-US" w:eastAsia="zh-CN"/>
              </w:rPr>
              <w:t>&lt;0.01</w:t>
            </w:r>
          </w:p>
        </w:tc>
        <w:tc>
          <w:tcPr>
            <w:tcW w:w="832" w:type="pct"/>
            <w:shd w:val="clear" w:color="auto" w:fill="auto"/>
            <w:noWrap/>
            <w:vAlign w:val="center"/>
          </w:tcPr>
          <w:p w14:paraId="5A106CF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1.00</w:t>
            </w:r>
          </w:p>
        </w:tc>
        <w:tc>
          <w:tcPr>
            <w:tcW w:w="832" w:type="pct"/>
            <w:shd w:val="clear" w:color="auto" w:fill="auto"/>
            <w:noWrap/>
            <w:vAlign w:val="center"/>
          </w:tcPr>
          <w:p w14:paraId="010FB58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842" w:type="pct"/>
            <w:tcBorders>
              <w:right w:val="single" w:color="auto" w:sz="12" w:space="0"/>
            </w:tcBorders>
            <w:shd w:val="clear" w:color="auto" w:fill="auto"/>
            <w:noWrap/>
            <w:vAlign w:val="center"/>
          </w:tcPr>
          <w:p w14:paraId="26EF91C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r>
      <w:tr w14:paraId="411DB7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0" w:type="pct"/>
            <w:vMerge w:val="continue"/>
            <w:tcBorders>
              <w:left w:val="single" w:color="auto" w:sz="12" w:space="0"/>
            </w:tcBorders>
            <w:shd w:val="clear" w:color="auto" w:fill="auto"/>
            <w:noWrap/>
            <w:vAlign w:val="center"/>
          </w:tcPr>
          <w:p w14:paraId="36197F7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kern w:val="0"/>
                <w:sz w:val="21"/>
                <w:szCs w:val="21"/>
                <w:highlight w:val="none"/>
                <w:lang w:eastAsia="zh-CN"/>
              </w:rPr>
            </w:pPr>
          </w:p>
        </w:tc>
        <w:tc>
          <w:tcPr>
            <w:tcW w:w="830" w:type="pct"/>
            <w:shd w:val="clear" w:color="auto" w:fill="auto"/>
            <w:noWrap/>
            <w:vAlign w:val="center"/>
          </w:tcPr>
          <w:p w14:paraId="3A97B9D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snapToGrid w:val="0"/>
                <w:color w:val="auto"/>
                <w:kern w:val="0"/>
                <w:sz w:val="21"/>
                <w:szCs w:val="21"/>
                <w:highlight w:val="none"/>
                <w:lang w:bidi="ar"/>
              </w:rPr>
              <w:t>汞</w:t>
            </w:r>
          </w:p>
        </w:tc>
        <w:tc>
          <w:tcPr>
            <w:tcW w:w="832" w:type="pct"/>
            <w:shd w:val="clear" w:color="auto" w:fill="auto"/>
            <w:noWrap/>
            <w:vAlign w:val="center"/>
          </w:tcPr>
          <w:p w14:paraId="4B9610B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Segoe UI" w:cs="Times New Roman"/>
                <w:i w:val="0"/>
                <w:iCs w:val="0"/>
                <w:caps w:val="0"/>
                <w:color w:val="auto"/>
                <w:spacing w:val="0"/>
                <w:sz w:val="21"/>
                <w:szCs w:val="21"/>
                <w:highlight w:val="none"/>
                <w:shd w:val="clear" w:fill="FFFFFF"/>
              </w:rPr>
              <w:t>0.0001</w:t>
            </w:r>
          </w:p>
        </w:tc>
        <w:tc>
          <w:tcPr>
            <w:tcW w:w="832" w:type="pct"/>
            <w:shd w:val="clear" w:color="auto" w:fill="auto"/>
            <w:noWrap/>
            <w:vAlign w:val="center"/>
          </w:tcPr>
          <w:p w14:paraId="63F8ED2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≤0.001</w:t>
            </w:r>
          </w:p>
        </w:tc>
        <w:tc>
          <w:tcPr>
            <w:tcW w:w="832" w:type="pct"/>
            <w:shd w:val="clear" w:color="auto" w:fill="auto"/>
            <w:noWrap/>
            <w:vAlign w:val="center"/>
          </w:tcPr>
          <w:p w14:paraId="4B5D9D8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0.1</w:t>
            </w:r>
          </w:p>
        </w:tc>
        <w:tc>
          <w:tcPr>
            <w:tcW w:w="842" w:type="pct"/>
            <w:tcBorders>
              <w:right w:val="single" w:color="auto" w:sz="12" w:space="0"/>
            </w:tcBorders>
            <w:shd w:val="clear" w:color="auto" w:fill="auto"/>
            <w:noWrap/>
            <w:vAlign w:val="center"/>
          </w:tcPr>
          <w:p w14:paraId="3C0E9AE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r>
      <w:tr w14:paraId="5941E9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0" w:type="pct"/>
            <w:tcBorders>
              <w:left w:val="single" w:color="auto" w:sz="12" w:space="0"/>
            </w:tcBorders>
            <w:shd w:val="clear" w:color="auto" w:fill="auto"/>
            <w:noWrap/>
            <w:vAlign w:val="center"/>
          </w:tcPr>
          <w:p w14:paraId="1F21DDC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其他</w:t>
            </w:r>
          </w:p>
        </w:tc>
        <w:tc>
          <w:tcPr>
            <w:tcW w:w="830" w:type="pct"/>
            <w:shd w:val="clear" w:color="auto" w:fill="auto"/>
            <w:noWrap/>
            <w:vAlign w:val="center"/>
          </w:tcPr>
          <w:p w14:paraId="2C95EBF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氟化物</w:t>
            </w:r>
          </w:p>
        </w:tc>
        <w:tc>
          <w:tcPr>
            <w:tcW w:w="832" w:type="pct"/>
            <w:shd w:val="clear" w:color="auto" w:fill="auto"/>
            <w:noWrap/>
            <w:vAlign w:val="center"/>
          </w:tcPr>
          <w:p w14:paraId="46400F9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snapToGrid w:val="0"/>
                <w:color w:val="auto"/>
                <w:kern w:val="0"/>
                <w:sz w:val="21"/>
                <w:highlight w:val="none"/>
                <w:lang w:val="en-US" w:eastAsia="zh-CN" w:bidi="ar"/>
              </w:rPr>
              <w:t>5.24</w:t>
            </w:r>
          </w:p>
        </w:tc>
        <w:tc>
          <w:tcPr>
            <w:tcW w:w="832" w:type="pct"/>
            <w:shd w:val="clear" w:color="auto" w:fill="auto"/>
            <w:noWrap/>
            <w:vAlign w:val="center"/>
          </w:tcPr>
          <w:p w14:paraId="42D6D41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1.0</w:t>
            </w:r>
          </w:p>
        </w:tc>
        <w:tc>
          <w:tcPr>
            <w:tcW w:w="832" w:type="pct"/>
            <w:shd w:val="clear" w:color="auto" w:fill="auto"/>
            <w:noWrap/>
            <w:vAlign w:val="center"/>
          </w:tcPr>
          <w:p w14:paraId="27B0023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5.24</w:t>
            </w:r>
          </w:p>
        </w:tc>
        <w:tc>
          <w:tcPr>
            <w:tcW w:w="842" w:type="pct"/>
            <w:tcBorders>
              <w:right w:val="single" w:color="auto" w:sz="12" w:space="0"/>
            </w:tcBorders>
            <w:shd w:val="clear" w:color="auto" w:fill="auto"/>
            <w:noWrap/>
            <w:vAlign w:val="center"/>
          </w:tcPr>
          <w:p w14:paraId="782C59C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r>
    </w:tbl>
    <w:p w14:paraId="6188DC5A">
      <w:pPr>
        <w:pStyle w:val="10"/>
        <w:widowControl w:val="0"/>
        <w:overflowPunct w:val="0"/>
        <w:topLinePunct/>
        <w:spacing w:after="0"/>
        <w:ind w:firstLine="48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由上表判定，本次预测将氟化物</w:t>
      </w:r>
      <w:r>
        <w:rPr>
          <w:rFonts w:hint="default" w:ascii="Times New Roman" w:hAnsi="Times New Roman" w:cs="Times New Roman"/>
          <w:color w:val="auto"/>
          <w:sz w:val="24"/>
          <w:highlight w:val="none"/>
          <w:lang w:val="en-US" w:eastAsia="zh-CN"/>
        </w:rPr>
        <w:t>、汞</w:t>
      </w:r>
      <w:r>
        <w:rPr>
          <w:rFonts w:hint="default" w:ascii="Times New Roman" w:hAnsi="Times New Roman" w:eastAsia="宋体" w:cs="Times New Roman"/>
          <w:color w:val="auto"/>
          <w:sz w:val="24"/>
          <w:highlight w:val="none"/>
          <w:lang w:val="en-US" w:eastAsia="zh-CN"/>
        </w:rPr>
        <w:t>确定为预测因子。本次预测因子氟化物</w:t>
      </w:r>
      <w:r>
        <w:rPr>
          <w:rFonts w:hint="default" w:ascii="Times New Roman" w:hAnsi="Times New Roman" w:cs="Times New Roman"/>
          <w:color w:val="auto"/>
          <w:sz w:val="24"/>
          <w:highlight w:val="none"/>
          <w:lang w:val="en-US" w:eastAsia="zh-CN"/>
        </w:rPr>
        <w:t>、汞</w:t>
      </w:r>
      <w:r>
        <w:rPr>
          <w:rFonts w:hint="default" w:ascii="Times New Roman" w:hAnsi="Times New Roman" w:eastAsia="宋体" w:cs="Times New Roman"/>
          <w:color w:val="auto"/>
          <w:sz w:val="24"/>
          <w:highlight w:val="none"/>
          <w:lang w:val="en-US" w:eastAsia="zh-CN"/>
        </w:rPr>
        <w:t>执行《地下水质量标准》</w:t>
      </w:r>
      <w:r>
        <w:rPr>
          <w:rFonts w:hint="default" w:ascii="Times New Roman" w:hAnsi="Times New Roman" w:cs="Times New Roman"/>
          <w:color w:val="auto"/>
          <w:sz w:val="24"/>
          <w:highlight w:val="none"/>
          <w:lang w:val="en-US" w:eastAsia="zh-CN"/>
        </w:rPr>
        <w:t>（GB/T 14848-2017）中</w:t>
      </w:r>
      <w:r>
        <w:rPr>
          <w:rFonts w:hint="default" w:ascii="Times New Roman" w:hAnsi="Times New Roman" w:eastAsia="宋体" w:cs="Times New Roman"/>
          <w:color w:val="auto"/>
          <w:sz w:val="24"/>
          <w:highlight w:val="none"/>
          <w:lang w:val="en-US" w:eastAsia="zh-CN"/>
        </w:rPr>
        <w:t>Ⅲ类水体限值。</w:t>
      </w:r>
    </w:p>
    <w:p w14:paraId="26606B99">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sz w:val="24"/>
          <w:highlight w:val="none"/>
          <w:lang w:val="en-US" w:eastAsia="zh-CN"/>
        </w:rPr>
      </w:pPr>
      <w:r>
        <w:rPr>
          <w:rFonts w:hint="default" w:ascii="Times New Roman" w:hAnsi="Times New Roman" w:cs="Times New Roman"/>
          <w:color w:val="auto"/>
          <w:spacing w:val="0"/>
          <w:sz w:val="24"/>
          <w:highlight w:val="none"/>
          <w:lang w:val="en-US" w:eastAsia="zh-CN"/>
        </w:rPr>
        <w:t>（3）预测源强</w:t>
      </w:r>
    </w:p>
    <w:p w14:paraId="2541841E">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sz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本次评价源强渗漏强度根据《给水排水构筑物工程施工及验收规范》中钢筋混凝土结构水池不得超过2L/</w:t>
      </w:r>
      <w:r>
        <w:rPr>
          <w:rFonts w:hint="default"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 xml:space="preserve">2 </w:t>
      </w:r>
      <w:r>
        <w:rPr>
          <w:rFonts w:hint="default" w:ascii="Times New Roman" w:hAnsi="Times New Roman" w:eastAsia="宋体" w:cs="Times New Roman"/>
          <w:color w:val="auto"/>
          <w:kern w:val="2"/>
          <w:sz w:val="24"/>
          <w:szCs w:val="24"/>
          <w:highlight w:val="none"/>
          <w:lang w:val="en-US" w:eastAsia="zh-CN" w:bidi="ar-SA"/>
        </w:rPr>
        <w:t>d</w:t>
      </w:r>
      <w:r>
        <w:rPr>
          <w:rFonts w:hint="default"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，计算非正常渗漏量大小应不小于正常状况渗漏量的10倍，本次计算渗漏量按照正常渗漏量的10倍计算，</w:t>
      </w:r>
      <w:r>
        <w:rPr>
          <w:rFonts w:hint="eastAsia"/>
          <w:color w:val="auto"/>
          <w:highlight w:val="none"/>
        </w:rPr>
        <w:t>选矿废水循环水池</w:t>
      </w:r>
      <w:r>
        <w:rPr>
          <w:rFonts w:hint="eastAsia"/>
          <w:color w:val="auto"/>
          <w:highlight w:val="none"/>
          <w:lang w:val="en-US" w:eastAsia="zh-CN"/>
        </w:rPr>
        <w:t>面</w:t>
      </w:r>
      <w:r>
        <w:rPr>
          <w:rFonts w:hint="default" w:ascii="Times New Roman" w:hAnsi="Times New Roman" w:eastAsia="宋体" w:cs="Times New Roman"/>
          <w:color w:val="auto"/>
          <w:kern w:val="2"/>
          <w:sz w:val="24"/>
          <w:szCs w:val="24"/>
          <w:highlight w:val="none"/>
          <w:lang w:val="en-US" w:eastAsia="zh-CN" w:bidi="ar-SA"/>
        </w:rPr>
        <w:t>积为</w:t>
      </w:r>
      <w:r>
        <w:rPr>
          <w:rFonts w:hint="eastAsia" w:cs="Times New Roman"/>
          <w:color w:val="auto"/>
          <w:kern w:val="2"/>
          <w:sz w:val="24"/>
          <w:szCs w:val="24"/>
          <w:highlight w:val="none"/>
          <w:lang w:val="en-US" w:eastAsia="zh-CN" w:bidi="ar-SA"/>
        </w:rPr>
        <w:t>2000</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。假设泄漏10d发现泄漏，采取相关措施，泄漏事件按10d算。计算得到选矿废水循环水池</w:t>
      </w:r>
      <w:r>
        <w:rPr>
          <w:rFonts w:hint="default" w:ascii="Times New Roman" w:hAnsi="Times New Roman" w:cs="Times New Roman"/>
          <w:color w:val="auto"/>
          <w:sz w:val="24"/>
          <w:highlight w:val="none"/>
          <w:lang w:val="en-US" w:eastAsia="zh-CN"/>
        </w:rPr>
        <w:t>氟化物</w:t>
      </w:r>
      <w:r>
        <w:rPr>
          <w:rFonts w:hint="default" w:ascii="Times New Roman" w:hAnsi="Times New Roman" w:eastAsia="宋体" w:cs="Times New Roman"/>
          <w:color w:val="auto"/>
          <w:kern w:val="2"/>
          <w:sz w:val="24"/>
          <w:szCs w:val="24"/>
          <w:highlight w:val="none"/>
          <w:lang w:val="en-US" w:eastAsia="zh-CN" w:bidi="ar-SA"/>
        </w:rPr>
        <w:t>泄漏量为</w:t>
      </w:r>
      <w:r>
        <w:rPr>
          <w:rFonts w:hint="eastAsia" w:cs="Times New Roman"/>
          <w:color w:val="auto"/>
          <w:kern w:val="2"/>
          <w:sz w:val="24"/>
          <w:szCs w:val="24"/>
          <w:highlight w:val="none"/>
          <w:lang w:val="en-US" w:eastAsia="zh-CN" w:bidi="ar-SA"/>
        </w:rPr>
        <w:t>2096g</w:t>
      </w:r>
      <w:r>
        <w:rPr>
          <w:rFonts w:hint="default" w:ascii="Times New Roman" w:hAnsi="Times New Roman" w:cs="Times New Roman"/>
          <w:color w:val="auto"/>
          <w:kern w:val="2"/>
          <w:sz w:val="24"/>
          <w:szCs w:val="24"/>
          <w:highlight w:val="none"/>
          <w:lang w:val="en-US" w:eastAsia="zh-CN" w:bidi="ar-SA"/>
        </w:rPr>
        <w:t>、</w:t>
      </w:r>
      <w:r>
        <w:rPr>
          <w:rFonts w:hint="eastAsia" w:cs="Times New Roman"/>
          <w:color w:val="auto"/>
          <w:sz w:val="24"/>
          <w:highlight w:val="none"/>
          <w:lang w:val="en-US" w:eastAsia="zh-CN"/>
        </w:rPr>
        <w:t>汞</w:t>
      </w:r>
      <w:r>
        <w:rPr>
          <w:rFonts w:hint="default" w:ascii="Times New Roman" w:hAnsi="Times New Roman" w:eastAsia="宋体" w:cs="Times New Roman"/>
          <w:color w:val="auto"/>
          <w:kern w:val="2"/>
          <w:sz w:val="24"/>
          <w:szCs w:val="24"/>
          <w:highlight w:val="none"/>
          <w:lang w:val="en-US" w:eastAsia="zh-CN" w:bidi="ar-SA"/>
        </w:rPr>
        <w:t>泄漏量为</w:t>
      </w:r>
      <w:r>
        <w:rPr>
          <w:rFonts w:hint="eastAsia" w:cs="Times New Roman"/>
          <w:color w:val="auto"/>
          <w:kern w:val="2"/>
          <w:sz w:val="24"/>
          <w:szCs w:val="24"/>
          <w:highlight w:val="none"/>
          <w:lang w:val="en-US" w:eastAsia="zh-CN" w:bidi="ar-SA"/>
        </w:rPr>
        <w:t>0.04g</w:t>
      </w:r>
      <w:r>
        <w:rPr>
          <w:rFonts w:hint="default" w:ascii="Times New Roman" w:hAnsi="Times New Roman" w:eastAsia="宋体" w:cs="Times New Roman"/>
          <w:color w:val="auto"/>
          <w:kern w:val="2"/>
          <w:sz w:val="24"/>
          <w:szCs w:val="24"/>
          <w:highlight w:val="none"/>
          <w:lang w:val="en-US" w:eastAsia="zh-CN" w:bidi="ar-SA"/>
        </w:rPr>
        <w:t>。</w:t>
      </w:r>
    </w:p>
    <w:p w14:paraId="60FE7AFE">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sz w:val="24"/>
          <w:highlight w:val="none"/>
          <w:lang w:val="en-US" w:eastAsia="zh-CN"/>
        </w:rPr>
      </w:pPr>
      <w:r>
        <w:rPr>
          <w:rFonts w:hint="default" w:ascii="Times New Roman" w:hAnsi="Times New Roman" w:eastAsia="宋体" w:cs="Times New Roman"/>
          <w:color w:val="auto"/>
          <w:spacing w:val="0"/>
          <w:sz w:val="24"/>
          <w:highlight w:val="none"/>
          <w:lang w:val="en-US" w:eastAsia="zh-CN"/>
        </w:rPr>
        <w:t>非正常状况具体见表5.</w:t>
      </w:r>
      <w:r>
        <w:rPr>
          <w:rFonts w:hint="default" w:ascii="Times New Roman" w:hAnsi="Times New Roman" w:cs="Times New Roman"/>
          <w:color w:val="auto"/>
          <w:spacing w:val="0"/>
          <w:sz w:val="24"/>
          <w:highlight w:val="none"/>
          <w:lang w:val="en-US" w:eastAsia="zh-CN"/>
        </w:rPr>
        <w:t>2</w:t>
      </w:r>
      <w:r>
        <w:rPr>
          <w:rFonts w:hint="default" w:ascii="Times New Roman" w:hAnsi="Times New Roman" w:eastAsia="宋体" w:cs="Times New Roman"/>
          <w:color w:val="auto"/>
          <w:spacing w:val="0"/>
          <w:sz w:val="24"/>
          <w:highlight w:val="none"/>
          <w:lang w:val="en-US" w:eastAsia="zh-CN"/>
        </w:rPr>
        <w:t>-1</w:t>
      </w:r>
      <w:r>
        <w:rPr>
          <w:rFonts w:hint="default" w:ascii="Times New Roman" w:hAnsi="Times New Roman" w:cs="Times New Roman"/>
          <w:color w:val="auto"/>
          <w:spacing w:val="0"/>
          <w:sz w:val="24"/>
          <w:highlight w:val="none"/>
          <w:lang w:val="en-US" w:eastAsia="zh-CN"/>
        </w:rPr>
        <w:t>3</w:t>
      </w:r>
      <w:r>
        <w:rPr>
          <w:rFonts w:hint="default" w:ascii="Times New Roman" w:hAnsi="Times New Roman" w:eastAsia="宋体" w:cs="Times New Roman"/>
          <w:color w:val="auto"/>
          <w:spacing w:val="0"/>
          <w:sz w:val="24"/>
          <w:highlight w:val="none"/>
          <w:lang w:val="en-US" w:eastAsia="zh-CN"/>
        </w:rPr>
        <w:t>。</w:t>
      </w:r>
    </w:p>
    <w:p w14:paraId="642CE8B2">
      <w:pP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br w:type="page"/>
      </w:r>
    </w:p>
    <w:p w14:paraId="27A4F259">
      <w:pPr>
        <w:spacing w:before="72" w:beforeLines="30" w:line="400" w:lineRule="exact"/>
        <w:ind w:firstLine="482" w:firstLineChars="20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cs="Times New Roman"/>
          <w:b/>
          <w:bCs/>
          <w:color w:val="auto"/>
          <w:sz w:val="24"/>
          <w:szCs w:val="24"/>
          <w:highlight w:val="none"/>
          <w:lang w:val="en-US" w:eastAsia="zh-CN"/>
        </w:rPr>
        <w:t>5.2-13</w:t>
      </w:r>
      <w:r>
        <w:rPr>
          <w:rFonts w:hint="default" w:ascii="Times New Roman" w:hAnsi="Times New Roman" w:eastAsia="宋体" w:cs="Times New Roman"/>
          <w:b/>
          <w:bCs/>
          <w:color w:val="auto"/>
          <w:sz w:val="24"/>
          <w:szCs w:val="24"/>
          <w:highlight w:val="none"/>
        </w:rPr>
        <w:t xml:space="preserve">    </w:t>
      </w:r>
      <w:r>
        <w:rPr>
          <w:rFonts w:hint="default" w:ascii="Times New Roman" w:hAnsi="Times New Roman" w:eastAsia="宋体" w:cs="Times New Roman"/>
          <w:b/>
          <w:bCs/>
          <w:color w:val="auto"/>
          <w:sz w:val="24"/>
          <w:szCs w:val="24"/>
          <w:highlight w:val="none"/>
          <w:lang w:val="en-US" w:eastAsia="zh-CN"/>
        </w:rPr>
        <w:t>非正常工况下地下水污染物排放一览表</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3191"/>
        <w:gridCol w:w="1449"/>
        <w:gridCol w:w="1452"/>
        <w:gridCol w:w="1452"/>
      </w:tblGrid>
      <w:tr w14:paraId="6C44B1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2" w:type="pct"/>
            <w:tcBorders>
              <w:left w:val="single" w:color="auto" w:sz="12" w:space="0"/>
            </w:tcBorders>
            <w:shd w:val="clear" w:color="auto" w:fill="auto"/>
            <w:noWrap w:val="0"/>
            <w:vAlign w:val="center"/>
          </w:tcPr>
          <w:p w14:paraId="488E6AD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cs="Times New Roman"/>
                <w:b/>
                <w:bCs/>
                <w:color w:val="auto"/>
                <w:kern w:val="0"/>
                <w:sz w:val="21"/>
                <w:szCs w:val="21"/>
                <w:highlight w:val="none"/>
                <w:lang w:eastAsia="zh-CN"/>
              </w:rPr>
              <w:t>序号</w:t>
            </w:r>
          </w:p>
        </w:tc>
        <w:tc>
          <w:tcPr>
            <w:tcW w:w="1872" w:type="pct"/>
            <w:shd w:val="clear" w:color="auto" w:fill="auto"/>
            <w:noWrap w:val="0"/>
            <w:vAlign w:val="center"/>
          </w:tcPr>
          <w:p w14:paraId="62C702E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cs="Times New Roman"/>
                <w:b/>
                <w:bCs/>
                <w:color w:val="auto"/>
                <w:kern w:val="0"/>
                <w:sz w:val="21"/>
                <w:szCs w:val="21"/>
                <w:highlight w:val="none"/>
                <w:lang w:eastAsia="zh-CN"/>
              </w:rPr>
              <w:t>事故排放源</w:t>
            </w:r>
          </w:p>
        </w:tc>
        <w:tc>
          <w:tcPr>
            <w:tcW w:w="850" w:type="pct"/>
            <w:shd w:val="clear" w:color="auto" w:fill="auto"/>
            <w:noWrap w:val="0"/>
            <w:vAlign w:val="center"/>
          </w:tcPr>
          <w:p w14:paraId="04A2F4E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cs="Times New Roman"/>
                <w:b/>
                <w:bCs/>
                <w:color w:val="auto"/>
                <w:kern w:val="0"/>
                <w:sz w:val="21"/>
                <w:szCs w:val="21"/>
                <w:highlight w:val="none"/>
                <w:lang w:eastAsia="zh-CN"/>
              </w:rPr>
              <w:t>污染物</w:t>
            </w:r>
          </w:p>
        </w:tc>
        <w:tc>
          <w:tcPr>
            <w:tcW w:w="852" w:type="pct"/>
            <w:shd w:val="clear" w:color="auto" w:fill="auto"/>
            <w:noWrap w:val="0"/>
            <w:vAlign w:val="center"/>
          </w:tcPr>
          <w:p w14:paraId="6864F08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auto"/>
                <w:kern w:val="0"/>
                <w:sz w:val="21"/>
                <w:szCs w:val="21"/>
                <w:highlight w:val="none"/>
                <w:lang w:eastAsia="zh-CN"/>
              </w:rPr>
            </w:pPr>
            <w:r>
              <w:rPr>
                <w:rFonts w:hint="default" w:ascii="Times New Roman" w:hAnsi="Times New Roman" w:cs="Times New Roman"/>
                <w:b/>
                <w:bCs/>
                <w:color w:val="auto"/>
                <w:kern w:val="0"/>
                <w:sz w:val="21"/>
                <w:szCs w:val="21"/>
                <w:highlight w:val="none"/>
                <w:lang w:eastAsia="zh-CN"/>
              </w:rPr>
              <w:t>排放浓度</w:t>
            </w:r>
          </w:p>
          <w:p w14:paraId="3ED6B41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highlight w:val="none"/>
                <w:lang w:eastAsia="zh-CN"/>
              </w:rPr>
            </w:pPr>
            <w:r>
              <w:rPr>
                <w:rFonts w:hint="eastAsia" w:cs="Times New Roman"/>
                <w:b/>
                <w:bCs/>
                <w:color w:val="auto"/>
                <w:kern w:val="0"/>
                <w:sz w:val="21"/>
                <w:szCs w:val="21"/>
                <w:highlight w:val="none"/>
                <w:lang w:eastAsia="zh-CN"/>
              </w:rPr>
              <w:t>（</w:t>
            </w:r>
            <w:r>
              <w:rPr>
                <w:rFonts w:hint="default" w:ascii="Times New Roman" w:hAnsi="Times New Roman" w:cs="Times New Roman"/>
                <w:b/>
                <w:bCs/>
                <w:color w:val="auto"/>
                <w:kern w:val="0"/>
                <w:sz w:val="21"/>
                <w:szCs w:val="21"/>
                <w:highlight w:val="none"/>
                <w:lang w:val="en-US" w:eastAsia="zh-CN"/>
              </w:rPr>
              <w:t>mg/L</w:t>
            </w:r>
            <w:r>
              <w:rPr>
                <w:rFonts w:hint="eastAsia" w:cs="Times New Roman"/>
                <w:b/>
                <w:bCs/>
                <w:color w:val="auto"/>
                <w:kern w:val="0"/>
                <w:sz w:val="21"/>
                <w:szCs w:val="21"/>
                <w:highlight w:val="none"/>
                <w:lang w:val="en-US" w:eastAsia="zh-CN"/>
              </w:rPr>
              <w:t>）</w:t>
            </w:r>
          </w:p>
        </w:tc>
        <w:tc>
          <w:tcPr>
            <w:tcW w:w="852" w:type="pct"/>
            <w:tcBorders>
              <w:right w:val="single" w:color="auto" w:sz="12" w:space="0"/>
            </w:tcBorders>
            <w:shd w:val="clear" w:color="auto" w:fill="auto"/>
            <w:noWrap w:val="0"/>
            <w:vAlign w:val="center"/>
          </w:tcPr>
          <w:p w14:paraId="6B94511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cs="Times New Roman"/>
                <w:b/>
                <w:bCs/>
                <w:color w:val="auto"/>
                <w:kern w:val="0"/>
                <w:sz w:val="21"/>
                <w:szCs w:val="21"/>
                <w:highlight w:val="none"/>
                <w:lang w:eastAsia="zh-CN"/>
              </w:rPr>
              <w:t>排放量（</w:t>
            </w:r>
            <w:r>
              <w:rPr>
                <w:rFonts w:hint="default" w:ascii="Times New Roman" w:hAnsi="Times New Roman" w:cs="Times New Roman"/>
                <w:b/>
                <w:bCs/>
                <w:color w:val="auto"/>
                <w:kern w:val="0"/>
                <w:sz w:val="21"/>
                <w:szCs w:val="21"/>
                <w:highlight w:val="none"/>
                <w:lang w:val="en-US" w:eastAsia="zh-CN"/>
              </w:rPr>
              <w:t>g</w:t>
            </w:r>
            <w:r>
              <w:rPr>
                <w:rFonts w:hint="default" w:ascii="Times New Roman" w:hAnsi="Times New Roman" w:cs="Times New Roman"/>
                <w:b/>
                <w:bCs/>
                <w:color w:val="auto"/>
                <w:kern w:val="0"/>
                <w:sz w:val="21"/>
                <w:szCs w:val="21"/>
                <w:highlight w:val="none"/>
                <w:lang w:eastAsia="zh-CN"/>
              </w:rPr>
              <w:t>）</w:t>
            </w:r>
          </w:p>
        </w:tc>
      </w:tr>
      <w:tr w14:paraId="0CCC24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72" w:type="pct"/>
            <w:vMerge w:val="restart"/>
            <w:tcBorders>
              <w:left w:val="single" w:color="auto" w:sz="12" w:space="0"/>
            </w:tcBorders>
            <w:shd w:val="clear" w:color="auto" w:fill="auto"/>
            <w:noWrap/>
            <w:vAlign w:val="center"/>
          </w:tcPr>
          <w:p w14:paraId="4382F5A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val="en-US" w:eastAsia="zh-CN"/>
              </w:rPr>
              <w:t>1</w:t>
            </w:r>
          </w:p>
        </w:tc>
        <w:tc>
          <w:tcPr>
            <w:tcW w:w="1872" w:type="pct"/>
            <w:vMerge w:val="restart"/>
            <w:shd w:val="clear" w:color="auto" w:fill="auto"/>
            <w:noWrap/>
            <w:vAlign w:val="center"/>
          </w:tcPr>
          <w:p w14:paraId="530E43C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选矿废水循环水池</w:t>
            </w:r>
          </w:p>
        </w:tc>
        <w:tc>
          <w:tcPr>
            <w:tcW w:w="850" w:type="pct"/>
            <w:shd w:val="clear" w:color="auto" w:fill="auto"/>
            <w:noWrap/>
            <w:vAlign w:val="center"/>
          </w:tcPr>
          <w:p w14:paraId="50567F3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eastAsia="zh-CN"/>
              </w:rPr>
              <w:t>氟化物</w:t>
            </w:r>
          </w:p>
        </w:tc>
        <w:tc>
          <w:tcPr>
            <w:tcW w:w="852" w:type="pct"/>
            <w:shd w:val="clear" w:color="auto" w:fill="auto"/>
            <w:noWrap/>
            <w:vAlign w:val="center"/>
          </w:tcPr>
          <w:p w14:paraId="6AD4880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5.24</w:t>
            </w:r>
          </w:p>
        </w:tc>
        <w:tc>
          <w:tcPr>
            <w:tcW w:w="852" w:type="pct"/>
            <w:tcBorders>
              <w:right w:val="single" w:color="auto" w:sz="12" w:space="0"/>
            </w:tcBorders>
            <w:shd w:val="clear" w:color="auto" w:fill="auto"/>
            <w:noWrap/>
            <w:vAlign w:val="center"/>
          </w:tcPr>
          <w:p w14:paraId="1AA2A4E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2096</w:t>
            </w:r>
          </w:p>
        </w:tc>
      </w:tr>
      <w:tr w14:paraId="497E8E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2" w:type="pct"/>
            <w:vMerge w:val="continue"/>
            <w:tcBorders>
              <w:left w:val="single" w:color="auto" w:sz="12" w:space="0"/>
            </w:tcBorders>
            <w:shd w:val="clear" w:color="auto" w:fill="auto"/>
            <w:noWrap/>
            <w:vAlign w:val="center"/>
          </w:tcPr>
          <w:p w14:paraId="7E45A46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kern w:val="0"/>
                <w:sz w:val="21"/>
                <w:szCs w:val="21"/>
                <w:highlight w:val="none"/>
                <w:lang w:eastAsia="zh-CN"/>
              </w:rPr>
            </w:pPr>
          </w:p>
        </w:tc>
        <w:tc>
          <w:tcPr>
            <w:tcW w:w="1872" w:type="pct"/>
            <w:vMerge w:val="continue"/>
            <w:shd w:val="clear" w:color="auto" w:fill="auto"/>
            <w:noWrap/>
            <w:vAlign w:val="center"/>
          </w:tcPr>
          <w:p w14:paraId="47790DA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p>
        </w:tc>
        <w:tc>
          <w:tcPr>
            <w:tcW w:w="850" w:type="pct"/>
            <w:shd w:val="clear" w:color="auto" w:fill="auto"/>
            <w:noWrap/>
            <w:vAlign w:val="center"/>
          </w:tcPr>
          <w:p w14:paraId="21A2A2D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汞</w:t>
            </w:r>
          </w:p>
        </w:tc>
        <w:tc>
          <w:tcPr>
            <w:tcW w:w="852" w:type="pct"/>
            <w:shd w:val="clear" w:color="auto" w:fill="auto"/>
            <w:noWrap/>
            <w:vAlign w:val="center"/>
          </w:tcPr>
          <w:p w14:paraId="37F8FBD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0.0001</w:t>
            </w:r>
          </w:p>
        </w:tc>
        <w:tc>
          <w:tcPr>
            <w:tcW w:w="852" w:type="pct"/>
            <w:tcBorders>
              <w:right w:val="single" w:color="auto" w:sz="12" w:space="0"/>
            </w:tcBorders>
            <w:shd w:val="clear" w:color="auto" w:fill="auto"/>
            <w:noWrap/>
            <w:vAlign w:val="center"/>
          </w:tcPr>
          <w:p w14:paraId="242CFD1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0.04</w:t>
            </w:r>
          </w:p>
        </w:tc>
      </w:tr>
    </w:tbl>
    <w:p w14:paraId="11375AA4">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auto"/>
          <w:spacing w:val="0"/>
          <w:sz w:val="24"/>
          <w:highlight w:val="none"/>
          <w:lang w:val="en-US" w:eastAsia="zh-CN"/>
        </w:rPr>
      </w:pPr>
      <w:r>
        <w:rPr>
          <w:rFonts w:hint="default" w:ascii="Times New Roman" w:hAnsi="Times New Roman" w:eastAsia="宋体" w:cs="Times New Roman"/>
          <w:color w:val="auto"/>
          <w:spacing w:val="0"/>
          <w:sz w:val="24"/>
          <w:highlight w:val="none"/>
          <w:lang w:val="en-US" w:eastAsia="zh-CN"/>
        </w:rPr>
        <w:t>（</w:t>
      </w:r>
      <w:r>
        <w:rPr>
          <w:rFonts w:hint="default" w:ascii="Times New Roman" w:hAnsi="Times New Roman" w:cs="Times New Roman"/>
          <w:color w:val="auto"/>
          <w:spacing w:val="0"/>
          <w:sz w:val="24"/>
          <w:highlight w:val="none"/>
          <w:lang w:val="en-US" w:eastAsia="zh-CN"/>
        </w:rPr>
        <w:t>4</w:t>
      </w:r>
      <w:r>
        <w:rPr>
          <w:rFonts w:hint="default" w:ascii="Times New Roman" w:hAnsi="Times New Roman" w:eastAsia="宋体" w:cs="Times New Roman"/>
          <w:color w:val="auto"/>
          <w:spacing w:val="0"/>
          <w:sz w:val="24"/>
          <w:highlight w:val="none"/>
          <w:lang w:val="en-US" w:eastAsia="zh-CN"/>
        </w:rPr>
        <w:t>）预测模型</w:t>
      </w:r>
    </w:p>
    <w:p w14:paraId="5856CB8D">
      <w:pPr>
        <w:keepNext w:val="0"/>
        <w:keepLines w:val="0"/>
        <w:pageBreakBefore w:val="0"/>
        <w:widowControl w:val="0"/>
        <w:kinsoku/>
        <w:wordWrap/>
        <w:overflowPunct/>
        <w:topLinePunct w:val="0"/>
        <w:bidi w:val="0"/>
        <w:snapToGrid/>
        <w:spacing w:line="480" w:lineRule="exact"/>
        <w:ind w:left="0" w:leftChars="0" w:right="0" w:rightChars="0"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采用解析模型预测污染物在含水层中的扩散时，一般应满足以下条件：①污染物的排放对地下水流场没有明显的影响；②预测区内含水层的基本参数（如渗透系数、有效孔隙度等）不变或变化很小。通过对本期工程污染物排放特征及水文地质概况分析可知，本次污染预测可满足以上条件。</w:t>
      </w:r>
    </w:p>
    <w:p w14:paraId="6BC58F15">
      <w:pPr>
        <w:keepNext w:val="0"/>
        <w:keepLines w:val="0"/>
        <w:pageBreakBefore w:val="0"/>
        <w:widowControl w:val="0"/>
        <w:kinsoku/>
        <w:wordWrap/>
        <w:overflowPunct/>
        <w:topLinePunct w:val="0"/>
        <w:bidi w:val="0"/>
        <w:snapToGrid/>
        <w:spacing w:line="480" w:lineRule="exact"/>
        <w:ind w:left="0" w:leftChars="0" w:right="0" w:rightChars="0"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为了揭示污染物进入地下水体后，地下水质的时空变化规律，将污染场地地下水污染物的溶质迁移问题概化为污染物连续注入的一端定浓度的一维水动力弥散问题。预测按最不利的情况设计情景，污染物泄漏直接进入地下水，并在含水层中沿水力梯度方向径流，污染质浓度在未渗入地下水前不发生变化，不考虑污水在包气带中下渗过程的降解与吸附作用，不考虑含水层中对污染物的吸附、挥发、生物化学反应。设计情景为极端情况，用于表征污水排放对地下水环境的最大影响程度和影响范围。</w:t>
      </w:r>
    </w:p>
    <w:p w14:paraId="19116600">
      <w:pPr>
        <w:keepNext w:val="0"/>
        <w:keepLines w:val="0"/>
        <w:pageBreakBefore w:val="0"/>
        <w:widowControl w:val="0"/>
        <w:kinsoku/>
        <w:wordWrap/>
        <w:overflowPunct/>
        <w:topLinePunct w:val="0"/>
        <w:bidi w:val="0"/>
        <w:snapToGrid/>
        <w:spacing w:line="480" w:lineRule="exact"/>
        <w:ind w:left="0" w:leftChars="0" w:right="0" w:rightChars="0"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w:t>
      </w:r>
      <w:r>
        <w:rPr>
          <w:rFonts w:hint="default" w:ascii="Times New Roman" w:hAnsi="Times New Roman" w:eastAsia="宋体" w:cs="Times New Roman"/>
          <w:color w:val="auto"/>
          <w:sz w:val="24"/>
          <w:highlight w:val="none"/>
          <w:lang w:eastAsia="zh-CN"/>
        </w:rPr>
        <w:t>本工程</w:t>
      </w:r>
      <w:r>
        <w:rPr>
          <w:rFonts w:hint="default" w:ascii="Times New Roman" w:hAnsi="Times New Roman" w:eastAsia="宋体" w:cs="Times New Roman"/>
          <w:color w:val="auto"/>
          <w:sz w:val="24"/>
          <w:highlight w:val="none"/>
        </w:rPr>
        <w:t>污染特征分析，地下潜水流向基本与地形一致，呈</w:t>
      </w:r>
      <w:r>
        <w:rPr>
          <w:rFonts w:hint="default" w:ascii="Times New Roman" w:hAnsi="Times New Roman" w:cs="Times New Roman"/>
          <w:color w:val="auto"/>
          <w:sz w:val="24"/>
          <w:highlight w:val="none"/>
          <w:lang w:eastAsia="zh-CN"/>
        </w:rPr>
        <w:t>南</w:t>
      </w:r>
      <w:r>
        <w:rPr>
          <w:rFonts w:hint="default" w:ascii="Times New Roman" w:hAnsi="Times New Roman" w:eastAsia="宋体" w:cs="Times New Roman"/>
          <w:color w:val="auto"/>
          <w:sz w:val="24"/>
          <w:highlight w:val="none"/>
        </w:rPr>
        <w:t>向</w:t>
      </w:r>
      <w:r>
        <w:rPr>
          <w:rFonts w:hint="default" w:ascii="Times New Roman" w:hAnsi="Times New Roman" w:cs="Times New Roman"/>
          <w:color w:val="auto"/>
          <w:sz w:val="24"/>
          <w:highlight w:val="none"/>
          <w:lang w:eastAsia="zh-CN"/>
        </w:rPr>
        <w:t>北、东向西</w:t>
      </w:r>
      <w:r>
        <w:rPr>
          <w:rFonts w:hint="default" w:ascii="Times New Roman" w:hAnsi="Times New Roman" w:eastAsia="宋体" w:cs="Times New Roman"/>
          <w:color w:val="auto"/>
          <w:sz w:val="24"/>
          <w:highlight w:val="none"/>
        </w:rPr>
        <w:t>下游方向径流的线状特征；污水渗漏是一个长期的过程，在区域上可假定</w:t>
      </w:r>
      <w:r>
        <w:rPr>
          <w:rFonts w:hint="eastAsia" w:ascii="Times New Roman" w:hAnsi="Times New Roman" w:eastAsia="宋体" w:cs="Times New Roman"/>
          <w:color w:val="auto"/>
          <w:sz w:val="24"/>
          <w:highlight w:val="none"/>
          <w:lang w:eastAsia="zh-CN"/>
        </w:rPr>
        <w:t>为一</w:t>
      </w:r>
      <w:r>
        <w:rPr>
          <w:rFonts w:hint="default" w:ascii="Times New Roman" w:hAnsi="Times New Roman" w:eastAsia="宋体" w:cs="Times New Roman"/>
          <w:color w:val="auto"/>
          <w:sz w:val="24"/>
          <w:highlight w:val="none"/>
        </w:rPr>
        <w:t>定浓度的渗漏点。</w:t>
      </w:r>
    </w:p>
    <w:p w14:paraId="16A6A3AD">
      <w:pPr>
        <w:keepNext w:val="0"/>
        <w:keepLines w:val="0"/>
        <w:pageBreakBefore w:val="0"/>
        <w:widowControl w:val="0"/>
        <w:kinsoku/>
        <w:wordWrap/>
        <w:overflowPunct/>
        <w:topLinePunct w:val="0"/>
        <w:bidi w:val="0"/>
        <w:snapToGrid/>
        <w:spacing w:line="480" w:lineRule="exact"/>
        <w:ind w:left="0" w:leftChars="0" w:right="0" w:rightChars="0" w:firstLine="480" w:firstLineChars="200"/>
        <w:jc w:val="left"/>
        <w:textAlignment w:val="auto"/>
        <w:rPr>
          <w:rFonts w:hint="default" w:ascii="Times New Roman" w:hAnsi="Times New Roman"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淋溶废水预测采用一维稳定流动一维水动力弥散问题，概化条件为一维半无限长多孔介质柱体，一端为定浓度边界</w:t>
      </w:r>
      <w:r>
        <w:rPr>
          <w:rFonts w:hint="default" w:ascii="Times New Roman" w:hAnsi="Times New Roman" w:cs="Times New Roman"/>
          <w:color w:val="auto"/>
          <w:sz w:val="24"/>
          <w:highlight w:val="none"/>
          <w:lang w:val="en-US" w:eastAsia="zh-CN"/>
        </w:rPr>
        <w:t>，其解析解为：</w:t>
      </w:r>
    </w:p>
    <w:p w14:paraId="18BF0B83">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color w:val="auto"/>
          <w:sz w:val="24"/>
          <w:highlight w:val="none"/>
        </w:rPr>
      </w:pPr>
      <w:r>
        <w:rPr>
          <w:rFonts w:hint="default" w:ascii="Times New Roman" w:hAnsi="Times New Roman" w:cs="Times New Roman"/>
          <w:color w:val="auto"/>
          <w:spacing w:val="0"/>
          <w:w w:val="100"/>
          <w:position w:val="0"/>
          <w:highlight w:val="none"/>
        </w:rPr>
        <w:drawing>
          <wp:inline distT="0" distB="0" distL="0" distR="0">
            <wp:extent cx="2844165" cy="421640"/>
            <wp:effectExtent l="0" t="0" r="13335" b="16510"/>
            <wp:docPr id="770" name="IM 770"/>
            <wp:cNvGraphicFramePr/>
            <a:graphic xmlns:a="http://schemas.openxmlformats.org/drawingml/2006/main">
              <a:graphicData uri="http://schemas.openxmlformats.org/drawingml/2006/picture">
                <pic:pic xmlns:pic="http://schemas.openxmlformats.org/drawingml/2006/picture">
                  <pic:nvPicPr>
                    <pic:cNvPr id="770" name="IM 770"/>
                    <pic:cNvPicPr/>
                  </pic:nvPicPr>
                  <pic:blipFill>
                    <a:blip r:embed="rId39"/>
                    <a:stretch>
                      <a:fillRect/>
                    </a:stretch>
                  </pic:blipFill>
                  <pic:spPr>
                    <a:xfrm>
                      <a:off x="0" y="0"/>
                      <a:ext cx="2844394" cy="421690"/>
                    </a:xfrm>
                    <a:prstGeom prst="rect">
                      <a:avLst/>
                    </a:prstGeom>
                  </pic:spPr>
                </pic:pic>
              </a:graphicData>
            </a:graphic>
          </wp:inline>
        </w:drawing>
      </w:r>
    </w:p>
    <w:p w14:paraId="7423C94F">
      <w:pPr>
        <w:keepNext w:val="0"/>
        <w:keepLines w:val="0"/>
        <w:pageBreakBefore w:val="0"/>
        <w:widowControl w:val="0"/>
        <w:kinsoku/>
        <w:wordWrap/>
        <w:overflowPunct/>
        <w:topLinePunct w:val="0"/>
        <w:autoSpaceDE w:val="0"/>
        <w:autoSpaceDN w:val="0"/>
        <w:bidi w:val="0"/>
        <w:adjustRightInd w:val="0"/>
        <w:snapToGrid/>
        <w:spacing w:line="480" w:lineRule="exact"/>
        <w:ind w:firstLine="505"/>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highlight w:val="none"/>
        </w:rPr>
        <w:t>式中：</w:t>
      </w:r>
      <w:r>
        <w:rPr>
          <w:rFonts w:hint="default" w:ascii="Times New Roman" w:hAnsi="Times New Roman" w:eastAsia="宋体" w:cs="Times New Roman"/>
          <w:color w:val="auto"/>
          <w:sz w:val="24"/>
          <w:szCs w:val="24"/>
          <w:highlight w:val="none"/>
          <w:lang w:val="en-US" w:eastAsia="zh-CN"/>
        </w:rPr>
        <w:t>x—预测点距污染源强的距离</w:t>
      </w:r>
      <w:r>
        <w:rPr>
          <w:rFonts w:hint="default" w:ascii="Times New Roman" w:hAnsi="Times New Roman"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lang w:val="en-US" w:eastAsia="zh-CN"/>
        </w:rPr>
        <w:t>；</w:t>
      </w:r>
    </w:p>
    <w:p w14:paraId="0D103F60">
      <w:pPr>
        <w:keepNext w:val="0"/>
        <w:keepLines w:val="0"/>
        <w:pageBreakBefore w:val="0"/>
        <w:widowControl w:val="0"/>
        <w:kinsoku/>
        <w:wordWrap/>
        <w:overflowPunct/>
        <w:topLinePunct w:val="0"/>
        <w:autoSpaceDE/>
        <w:autoSpaceDN/>
        <w:bidi w:val="0"/>
        <w:adjustRightInd/>
        <w:snapToGrid/>
        <w:spacing w:line="480" w:lineRule="exact"/>
        <w:ind w:right="0" w:right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t—预测时间，d，取100d、1000d；</w:t>
      </w:r>
    </w:p>
    <w:p w14:paraId="5F1A68BB">
      <w:pPr>
        <w:keepNext w:val="0"/>
        <w:keepLines w:val="0"/>
        <w:pageBreakBefore w:val="0"/>
        <w:widowControl w:val="0"/>
        <w:kinsoku/>
        <w:wordWrap/>
        <w:overflowPunct/>
        <w:topLinePunct w:val="0"/>
        <w:autoSpaceDE/>
        <w:autoSpaceDN/>
        <w:bidi w:val="0"/>
        <w:adjustRightInd/>
        <w:snapToGrid/>
        <w:spacing w:line="480" w:lineRule="exact"/>
        <w:ind w:right="0" w:right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C—t时刻x处的污染物浓度，mg/L；</w:t>
      </w:r>
    </w:p>
    <w:p w14:paraId="03B4026C">
      <w:pPr>
        <w:keepNext w:val="0"/>
        <w:keepLines w:val="0"/>
        <w:pageBreakBefore w:val="0"/>
        <w:widowControl w:val="0"/>
        <w:kinsoku/>
        <w:wordWrap/>
        <w:overflowPunct/>
        <w:topLinePunct w:val="0"/>
        <w:autoSpaceDE/>
        <w:autoSpaceDN/>
        <w:bidi w:val="0"/>
        <w:adjustRightInd/>
        <w:snapToGrid/>
        <w:spacing w:line="480" w:lineRule="exact"/>
        <w:ind w:right="0" w:right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val="en-US" w:eastAsia="zh-CN"/>
        </w:rPr>
        <w:t>C</w:t>
      </w:r>
      <w:r>
        <w:rPr>
          <w:rFonts w:hint="default" w:ascii="Times New Roman" w:hAnsi="Times New Roman" w:cs="Times New Roman"/>
          <w:color w:val="auto"/>
          <w:sz w:val="24"/>
          <w:szCs w:val="24"/>
          <w:highlight w:val="none"/>
          <w:vertAlign w:val="subscript"/>
          <w:lang w:val="en-US" w:eastAsia="zh-CN"/>
        </w:rPr>
        <w:t>0</w:t>
      </w:r>
      <w:r>
        <w:rPr>
          <w:rFonts w:hint="default" w:ascii="Times New Roman" w:hAnsi="Times New Roman" w:eastAsia="宋体" w:cs="Times New Roman"/>
          <w:color w:val="auto"/>
          <w:sz w:val="24"/>
          <w:szCs w:val="24"/>
          <w:highlight w:val="none"/>
          <w:lang w:val="en-US" w:eastAsia="zh-CN"/>
        </w:rPr>
        <w:t>—地下水污染源强浓度，mg/L；</w:t>
      </w:r>
    </w:p>
    <w:p w14:paraId="5A576FE0">
      <w:pPr>
        <w:keepNext w:val="0"/>
        <w:keepLines w:val="0"/>
        <w:pageBreakBefore w:val="0"/>
        <w:widowControl w:val="0"/>
        <w:kinsoku/>
        <w:wordWrap/>
        <w:overflowPunct/>
        <w:topLinePunct w:val="0"/>
        <w:autoSpaceDE/>
        <w:autoSpaceDN/>
        <w:bidi w:val="0"/>
        <w:adjustRightInd/>
        <w:snapToGrid/>
        <w:spacing w:line="480" w:lineRule="exact"/>
        <w:ind w:right="0" w:right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u—地下水流速度，m/d；</w:t>
      </w:r>
    </w:p>
    <w:p w14:paraId="0F73E813">
      <w:pPr>
        <w:keepNext w:val="0"/>
        <w:keepLines w:val="0"/>
        <w:pageBreakBefore w:val="0"/>
        <w:widowControl w:val="0"/>
        <w:kinsoku/>
        <w:wordWrap/>
        <w:overflowPunct/>
        <w:topLinePunct w:val="0"/>
        <w:autoSpaceDE/>
        <w:autoSpaceDN/>
        <w:bidi w:val="0"/>
        <w:adjustRightInd/>
        <w:snapToGrid/>
        <w:spacing w:line="480" w:lineRule="exact"/>
        <w:ind w:right="0" w:right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vertAlign w:val="subscript"/>
          <w:lang w:val="en-US" w:eastAsia="zh-CN"/>
        </w:rPr>
        <w:t>L</w:t>
      </w:r>
      <w:r>
        <w:rPr>
          <w:rFonts w:hint="default" w:ascii="Times New Roman" w:hAnsi="Times New Roman" w:eastAsia="宋体" w:cs="Times New Roman"/>
          <w:color w:val="auto"/>
          <w:sz w:val="24"/>
          <w:szCs w:val="24"/>
          <w:highlight w:val="none"/>
          <w:lang w:val="en-US" w:eastAsia="zh-CN"/>
        </w:rPr>
        <w:t>—纵向弥散系数，m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/d；</w:t>
      </w:r>
    </w:p>
    <w:p w14:paraId="5DE40651">
      <w:pPr>
        <w:keepNext w:val="0"/>
        <w:keepLines w:val="0"/>
        <w:pageBreakBefore w:val="0"/>
        <w:widowControl w:val="0"/>
        <w:kinsoku/>
        <w:wordWrap/>
        <w:overflowPunct/>
        <w:topLinePunct w:val="0"/>
        <w:autoSpaceDE/>
        <w:autoSpaceDN/>
        <w:bidi w:val="0"/>
        <w:adjustRightInd/>
        <w:snapToGrid/>
        <w:spacing w:line="480" w:lineRule="exact"/>
        <w:ind w:right="0" w:rightChars="0"/>
        <w:jc w:val="left"/>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szCs w:val="24"/>
          <w:highlight w:val="none"/>
          <w:lang w:val="en-US" w:eastAsia="zh-CN"/>
        </w:rPr>
        <w:t>erfc（）</w:t>
      </w:r>
      <w:r>
        <w:rPr>
          <w:rFonts w:hint="default" w:ascii="Times New Roman" w:hAnsi="Times New Roman" w:eastAsia="宋体" w:cs="Times New Roman"/>
          <w:color w:val="auto"/>
          <w:sz w:val="24"/>
          <w:szCs w:val="24"/>
          <w:highlight w:val="none"/>
          <w:lang w:val="en-US" w:eastAsia="zh-CN"/>
        </w:rPr>
        <w:t>—余误差函数。</w:t>
      </w:r>
    </w:p>
    <w:p w14:paraId="3C464376">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利用所选取的污染物迁移模型，能否达到对污染物迁移过程的合理预测，关键就在于模型参数的选取和确定是否正确合理。</w:t>
      </w:r>
    </w:p>
    <w:p w14:paraId="0FAF7607">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由上述模型可知，模型需要的参数有：有效孔隙度n；水流的实际平均速度u；污染物在含水层中的纵向弥散系数D</w:t>
      </w:r>
      <w:r>
        <w:rPr>
          <w:rFonts w:hint="default" w:ascii="Times New Roman" w:hAnsi="Times New Roman" w:eastAsia="宋体" w:cs="Times New Roman"/>
          <w:color w:val="auto"/>
          <w:sz w:val="24"/>
          <w:szCs w:val="24"/>
          <w:highlight w:val="none"/>
          <w:vertAlign w:val="subscript"/>
        </w:rPr>
        <w:t>L</w:t>
      </w:r>
      <w:r>
        <w:rPr>
          <w:rFonts w:hint="default" w:ascii="Times New Roman" w:hAnsi="Times New Roman" w:eastAsia="宋体" w:cs="Times New Roman"/>
          <w:color w:val="auto"/>
          <w:sz w:val="24"/>
          <w:szCs w:val="24"/>
          <w:highlight w:val="none"/>
        </w:rPr>
        <w:t>；这些参数主要由勘察成果资料来确定</w:t>
      </w:r>
      <w:r>
        <w:rPr>
          <w:rFonts w:hint="default" w:ascii="Times New Roman" w:hAnsi="Times New Roman" w:cs="Times New Roman"/>
          <w:color w:val="auto"/>
          <w:sz w:val="24"/>
          <w:szCs w:val="24"/>
          <w:highlight w:val="none"/>
          <w:lang w:eastAsia="zh-CN"/>
        </w:rPr>
        <w:t>。</w:t>
      </w:r>
    </w:p>
    <w:p w14:paraId="63BF4BC0">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含水层的平均有效孔隙度n：含水层密实程度为中密，根据《水文地质手册》，可取孔隙度为0.</w:t>
      </w:r>
      <w:r>
        <w:rPr>
          <w:rFonts w:hint="default" w:ascii="Times New Roman" w:hAnsi="Times New Roman" w:cs="Times New Roman"/>
          <w:color w:val="auto"/>
          <w:sz w:val="24"/>
          <w:szCs w:val="24"/>
          <w:highlight w:val="none"/>
          <w:lang w:val="en-US" w:eastAsia="zh-CN"/>
        </w:rPr>
        <w:t>35</w:t>
      </w:r>
      <w:r>
        <w:rPr>
          <w:rFonts w:hint="default" w:ascii="Times New Roman" w:hAnsi="Times New Roman" w:eastAsia="宋体" w:cs="Times New Roman"/>
          <w:color w:val="auto"/>
          <w:sz w:val="24"/>
          <w:szCs w:val="24"/>
          <w:highlight w:val="none"/>
        </w:rPr>
        <w:t>，而根据以往</w:t>
      </w:r>
      <w:r>
        <w:rPr>
          <w:rFonts w:hint="eastAsia" w:ascii="Times New Roman" w:hAnsi="Times New Roman" w:eastAsia="宋体" w:cs="Times New Roman"/>
          <w:color w:val="auto"/>
          <w:sz w:val="24"/>
          <w:szCs w:val="24"/>
          <w:highlight w:val="none"/>
          <w:lang w:eastAsia="zh-CN"/>
        </w:rPr>
        <w:t>生产</w:t>
      </w:r>
      <w:r>
        <w:rPr>
          <w:rFonts w:hint="default" w:ascii="Times New Roman" w:hAnsi="Times New Roman" w:eastAsia="宋体" w:cs="Times New Roman"/>
          <w:color w:val="auto"/>
          <w:sz w:val="24"/>
          <w:szCs w:val="24"/>
          <w:highlight w:val="none"/>
        </w:rPr>
        <w:t>经验，有效孔隙度一般比孔隙度小10%</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20%，因此本次取有效孔隙度n=0.</w:t>
      </w:r>
      <w:r>
        <w:rPr>
          <w:rFonts w:hint="default" w:ascii="Times New Roman" w:hAnsi="Times New Roman" w:cs="Times New Roman"/>
          <w:color w:val="auto"/>
          <w:sz w:val="24"/>
          <w:szCs w:val="24"/>
          <w:highlight w:val="none"/>
          <w:lang w:val="en-US" w:eastAsia="zh-CN"/>
        </w:rPr>
        <w:t>35</w:t>
      </w:r>
      <w:r>
        <w:rPr>
          <w:rFonts w:hint="default" w:ascii="Times New Roman" w:hAnsi="Times New Roman" w:eastAsia="宋体" w:cs="Times New Roman"/>
          <w:color w:val="auto"/>
          <w:sz w:val="24"/>
          <w:szCs w:val="24"/>
          <w:highlight w:val="none"/>
        </w:rPr>
        <w:t>×0.8=0.</w:t>
      </w:r>
      <w:r>
        <w:rPr>
          <w:rFonts w:hint="default" w:ascii="Times New Roman" w:hAnsi="Times New Roman" w:cs="Times New Roman"/>
          <w:color w:val="auto"/>
          <w:sz w:val="24"/>
          <w:szCs w:val="24"/>
          <w:highlight w:val="none"/>
          <w:lang w:val="en-US" w:eastAsia="zh-CN"/>
        </w:rPr>
        <w:t>28</w:t>
      </w:r>
      <w:r>
        <w:rPr>
          <w:rFonts w:hint="default" w:ascii="Times New Roman" w:hAnsi="Times New Roman" w:eastAsia="宋体" w:cs="Times New Roman"/>
          <w:color w:val="auto"/>
          <w:sz w:val="24"/>
          <w:szCs w:val="24"/>
          <w:highlight w:val="none"/>
        </w:rPr>
        <w:t>。</w:t>
      </w:r>
    </w:p>
    <w:p w14:paraId="1A8E6FA5">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left"/>
        <w:textAlignment w:val="auto"/>
        <w:rPr>
          <w:rFonts w:hint="default" w:ascii="Times New Roman" w:hAnsi="Times New Roman" w:cs="Times New Roman"/>
          <w:bCs/>
          <w:color w:val="auto"/>
          <w:sz w:val="24"/>
          <w:szCs w:val="24"/>
          <w:highlight w:val="none"/>
          <w:lang w:eastAsia="zh-CN"/>
        </w:rPr>
      </w:pPr>
      <w:r>
        <w:rPr>
          <w:rFonts w:hint="default" w:ascii="Times New Roman" w:hAnsi="Times New Roman" w:eastAsia="宋体" w:cs="Times New Roman"/>
          <w:color w:val="auto"/>
          <w:sz w:val="24"/>
          <w:szCs w:val="24"/>
          <w:highlight w:val="none"/>
        </w:rPr>
        <w:t>水流实际平均流速u：根据含水层岩性等相关资料，确定含水层渗透系数为0.0325</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rPr>
        <w:t>/d</w:t>
      </w:r>
      <w:r>
        <w:rPr>
          <w:rFonts w:hint="default" w:ascii="Times New Roman" w:hAnsi="Times New Roman" w:cs="Times New Roman"/>
          <w:bCs/>
          <w:color w:val="auto"/>
          <w:sz w:val="24"/>
          <w:szCs w:val="24"/>
          <w:highlight w:val="none"/>
          <w:lang w:eastAsia="zh-CN"/>
        </w:rPr>
        <w:t>。</w:t>
      </w:r>
    </w:p>
    <w:p w14:paraId="2316560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水力坡度</w:t>
      </w:r>
      <w:r>
        <w:rPr>
          <w:rFonts w:hint="default" w:ascii="Times New Roman" w:hAnsi="Times New Roman" w:eastAsia="宋体" w:cs="Times New Roman"/>
          <w:color w:val="auto"/>
          <w:position w:val="-24"/>
          <w:sz w:val="24"/>
          <w:szCs w:val="24"/>
          <w:highlight w:val="none"/>
        </w:rPr>
        <w:object>
          <v:shape id="_x0000_i1026" o:spt="75" type="#_x0000_t75" style="height:31pt;width:34pt;" o:ole="t" filled="f" o:preferrelative="t" stroked="f" coordsize="21600,21600">
            <v:path/>
            <v:fill on="f" focussize="0,0"/>
            <v:stroke on="f"/>
            <v:imagedata r:id="rId41" o:title=""/>
            <o:lock v:ext="edit" aspectratio="t"/>
            <w10:wrap type="none"/>
            <w10:anchorlock/>
          </v:shape>
          <o:OLEObject Type="Embed" ProgID="Equation.KSEE3" ShapeID="_x0000_i1026" DrawAspect="Content" ObjectID="_1468075728" r:id="rId40">
            <o:LockedField>false</o:LockedField>
          </o:OLEObject>
        </w:object>
      </w:r>
      <w:r>
        <w:rPr>
          <w:rFonts w:hint="default" w:ascii="Times New Roman" w:hAnsi="Times New Roman" w:cs="Times New Roman"/>
          <w:color w:val="auto"/>
          <w:sz w:val="24"/>
          <w:szCs w:val="24"/>
          <w:highlight w:val="none"/>
          <w:lang w:val="en-US" w:eastAsia="zh-CN"/>
        </w:rPr>
        <w:t>=0.</w:t>
      </w:r>
      <w:r>
        <w:rPr>
          <w:rFonts w:hint="eastAsia" w:cs="Times New Roman"/>
          <w:color w:val="auto"/>
          <w:sz w:val="24"/>
          <w:szCs w:val="24"/>
          <w:highlight w:val="none"/>
          <w:lang w:val="en-US" w:eastAsia="zh-CN"/>
        </w:rPr>
        <w:t>01</w:t>
      </w:r>
      <w:r>
        <w:rPr>
          <w:rFonts w:hint="default" w:ascii="Times New Roman" w:hAnsi="Times New Roman" w:cs="Times New Roman"/>
          <w:color w:val="auto"/>
          <w:sz w:val="24"/>
          <w:szCs w:val="24"/>
          <w:highlight w:val="none"/>
          <w:lang w:val="en-US" w:eastAsia="zh-CN"/>
        </w:rPr>
        <w:t>5</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w:t>
      </w:r>
    </w:p>
    <w:p w14:paraId="26CB5392">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left"/>
        <w:textAlignment w:val="auto"/>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z w:val="24"/>
          <w:szCs w:val="24"/>
          <w:highlight w:val="none"/>
        </w:rPr>
        <w:t>因此地下水的渗透流速：</w:t>
      </w:r>
    </w:p>
    <w:p w14:paraId="3BD5113A">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V=KI=0.0325m/d×</w:t>
      </w:r>
      <w:r>
        <w:rPr>
          <w:rFonts w:hint="default" w:ascii="Times New Roman" w:hAnsi="Times New Roman" w:cs="Times New Roman"/>
          <w:color w:val="auto"/>
          <w:sz w:val="24"/>
          <w:szCs w:val="24"/>
          <w:highlight w:val="none"/>
          <w:lang w:val="en-US" w:eastAsia="zh-CN"/>
        </w:rPr>
        <w:t>0.0154</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0.0005</w:t>
      </w:r>
      <w:r>
        <w:rPr>
          <w:rFonts w:hint="default" w:ascii="Times New Roman" w:hAnsi="Times New Roman" w:eastAsia="宋体" w:cs="Times New Roman"/>
          <w:color w:val="auto"/>
          <w:sz w:val="24"/>
          <w:szCs w:val="24"/>
          <w:highlight w:val="none"/>
        </w:rPr>
        <w:t>m/d，</w:t>
      </w:r>
    </w:p>
    <w:p w14:paraId="70A3AF69">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平均实际流速u=V/n=</w:t>
      </w:r>
      <w:r>
        <w:rPr>
          <w:rFonts w:hint="default" w:ascii="Times New Roman" w:hAnsi="Times New Roman" w:cs="Times New Roman"/>
          <w:color w:val="auto"/>
          <w:sz w:val="24"/>
          <w:szCs w:val="24"/>
          <w:highlight w:val="none"/>
          <w:lang w:val="en-US" w:eastAsia="zh-CN"/>
        </w:rPr>
        <w:t>0.0017875</w:t>
      </w:r>
      <w:r>
        <w:rPr>
          <w:rFonts w:hint="default" w:ascii="Times New Roman" w:hAnsi="Times New Roman" w:eastAsia="宋体" w:cs="Times New Roman"/>
          <w:color w:val="auto"/>
          <w:sz w:val="24"/>
          <w:szCs w:val="24"/>
          <w:highlight w:val="none"/>
        </w:rPr>
        <w:t>m/d。</w:t>
      </w:r>
    </w:p>
    <w:p w14:paraId="1A77103D">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纵向x方向的弥散系数D</w:t>
      </w:r>
      <w:r>
        <w:rPr>
          <w:rFonts w:hint="default" w:ascii="Times New Roman" w:hAnsi="Times New Roman" w:eastAsia="宋体" w:cs="Times New Roman"/>
          <w:color w:val="auto"/>
          <w:sz w:val="24"/>
          <w:szCs w:val="24"/>
          <w:highlight w:val="none"/>
          <w:vertAlign w:val="subscript"/>
        </w:rPr>
        <w:t>L</w:t>
      </w:r>
      <w:r>
        <w:rPr>
          <w:rFonts w:hint="default" w:ascii="Times New Roman" w:hAnsi="Times New Roman" w:eastAsia="宋体" w:cs="Times New Roman"/>
          <w:color w:val="auto"/>
          <w:sz w:val="24"/>
          <w:szCs w:val="24"/>
          <w:highlight w:val="none"/>
        </w:rPr>
        <w:t>：参考Gelhar等人关于纵向弥散度与观测尺度关系的理论，通常弥散度随着溶质运移距离的增加而加大，这种现象称之为水动力弥散尺度效应。其具体表现为：野外弥散试验所求出的弥散度远远大于在实验室所测出的值；即使是同一含水层，溶质运移距离越大，所计算出的弥散度也越大。将世界范围内所收集到的百余个水质模型中所使用的纵向弥散度</w:t>
      </w:r>
      <w:r>
        <w:rPr>
          <w:rFonts w:hint="default" w:ascii="Times New Roman" w:hAnsi="Times New Roman" w:eastAsia="宋体" w:cs="Times New Roman"/>
          <w:i/>
          <w:color w:val="auto"/>
          <w:sz w:val="24"/>
          <w:szCs w:val="24"/>
          <w:highlight w:val="none"/>
        </w:rPr>
        <w:t>α</w:t>
      </w:r>
      <w:r>
        <w:rPr>
          <w:rFonts w:hint="default" w:ascii="Times New Roman" w:hAnsi="Times New Roman" w:eastAsia="宋体" w:cs="Times New Roman"/>
          <w:color w:val="auto"/>
          <w:sz w:val="24"/>
          <w:szCs w:val="24"/>
          <w:highlight w:val="none"/>
        </w:rPr>
        <w:t>L绘在双对数坐标纸上，从图上可以看出纵向弥散度</w:t>
      </w:r>
      <w:r>
        <w:rPr>
          <w:rFonts w:hint="default" w:ascii="Times New Roman" w:hAnsi="Times New Roman" w:eastAsia="宋体" w:cs="Times New Roman"/>
          <w:i/>
          <w:color w:val="auto"/>
          <w:sz w:val="24"/>
          <w:szCs w:val="24"/>
          <w:highlight w:val="none"/>
        </w:rPr>
        <w:t>α</w:t>
      </w:r>
      <w:r>
        <w:rPr>
          <w:rFonts w:hint="default" w:ascii="Times New Roman" w:hAnsi="Times New Roman" w:eastAsia="宋体" w:cs="Times New Roman"/>
          <w:color w:val="auto"/>
          <w:sz w:val="24"/>
          <w:szCs w:val="24"/>
          <w:highlight w:val="none"/>
        </w:rPr>
        <w:t>L从整体上随着尺度的增加而增大（图5.2-</w:t>
      </w:r>
      <w:r>
        <w:rPr>
          <w:rFonts w:hint="default"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）。基准尺度Ls是指研究区大小的度量，一般用溶质运移到观测孔的最大距离表示，或用计算区的近似最大内径长度代替。故本次参考以往研究成果，考虑距污染源下游约</w:t>
      </w:r>
      <w:r>
        <w:rPr>
          <w:rFonts w:hint="default" w:ascii="Times New Roman" w:hAnsi="Times New Roman"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00m的研究区范围，因此，本次模拟取弥散度参数值取</w:t>
      </w:r>
      <w:r>
        <w:rPr>
          <w:rFonts w:hint="default" w:ascii="Times New Roman" w:hAnsi="Times New Roman" w:cs="Times New Roman"/>
          <w:color w:val="auto"/>
          <w:sz w:val="24"/>
          <w:szCs w:val="24"/>
          <w:highlight w:val="none"/>
          <w:lang w:val="en-US" w:eastAsia="zh-CN"/>
        </w:rPr>
        <w:t>14.83</w:t>
      </w:r>
      <w:r>
        <w:rPr>
          <w:rFonts w:hint="default" w:ascii="Times New Roman" w:hAnsi="Times New Roman" w:eastAsia="宋体" w:cs="Times New Roman"/>
          <w:color w:val="auto"/>
          <w:sz w:val="24"/>
          <w:szCs w:val="24"/>
          <w:highlight w:val="none"/>
        </w:rPr>
        <w:t>m。</w:t>
      </w:r>
    </w:p>
    <w:p w14:paraId="072D9D39">
      <w:pPr>
        <w:keepNext w:val="0"/>
        <w:keepLines w:val="0"/>
        <w:pageBreakBefore w:val="0"/>
        <w:widowControl w:val="0"/>
        <w:kinsoku/>
        <w:wordWrap/>
        <w:overflowPunct/>
        <w:topLinePunct w:val="0"/>
        <w:autoSpaceDE/>
        <w:autoSpaceDN/>
        <w:bidi w:val="0"/>
        <w:adjustRightInd/>
        <w:snapToGrid/>
        <w:spacing w:line="240" w:lineRule="atLeast"/>
        <w:ind w:right="0" w:rightChars="0" w:firstLine="0" w:firstLineChars="0"/>
        <w:jc w:val="center"/>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color w:val="auto"/>
          <w:highlight w:val="none"/>
        </w:rPr>
        <w:drawing>
          <wp:inline distT="0" distB="0" distL="114300" distR="114300">
            <wp:extent cx="4185285" cy="3260725"/>
            <wp:effectExtent l="0" t="0" r="5715" b="15875"/>
            <wp:docPr id="19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3"/>
                    <pic:cNvPicPr>
                      <a:picLocks noChangeAspect="1"/>
                    </pic:cNvPicPr>
                  </pic:nvPicPr>
                  <pic:blipFill>
                    <a:blip r:embed="rId42"/>
                    <a:stretch>
                      <a:fillRect/>
                    </a:stretch>
                  </pic:blipFill>
                  <pic:spPr>
                    <a:xfrm>
                      <a:off x="0" y="0"/>
                      <a:ext cx="4185285" cy="3260725"/>
                    </a:xfrm>
                    <a:prstGeom prst="rect">
                      <a:avLst/>
                    </a:prstGeom>
                    <a:noFill/>
                    <a:ln>
                      <a:noFill/>
                    </a:ln>
                  </pic:spPr>
                </pic:pic>
              </a:graphicData>
            </a:graphic>
          </wp:inline>
        </w:drawing>
      </w:r>
    </w:p>
    <w:p w14:paraId="124BE65A">
      <w:pPr>
        <w:keepNext w:val="0"/>
        <w:keepLines w:val="0"/>
        <w:pageBreakBefore w:val="0"/>
        <w:widowControl w:val="0"/>
        <w:kinsoku/>
        <w:wordWrap/>
        <w:overflowPunct/>
        <w:topLinePunct w:val="0"/>
        <w:bidi w:val="0"/>
        <w:snapToGrid/>
        <w:spacing w:line="48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图5.2-</w:t>
      </w:r>
      <w:r>
        <w:rPr>
          <w:rFonts w:hint="default" w:ascii="Times New Roman" w:hAnsi="Times New Roman"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 xml:space="preserve">    lg</w:t>
      </w:r>
      <w:r>
        <w:rPr>
          <w:rFonts w:hint="default" w:ascii="Times New Roman" w:hAnsi="Times New Roman" w:eastAsia="宋体" w:cs="Times New Roman"/>
          <w:color w:val="auto"/>
          <w:sz w:val="24"/>
          <w:szCs w:val="24"/>
          <w:highlight w:val="none"/>
          <w:lang w:val="en-US" w:eastAsia="zh-CN"/>
        </w:rPr>
        <w:t>α</w:t>
      </w:r>
      <w:r>
        <w:rPr>
          <w:rFonts w:hint="default" w:ascii="Times New Roman" w:hAnsi="Times New Roman" w:eastAsia="宋体" w:cs="Times New Roman"/>
          <w:color w:val="auto"/>
          <w:sz w:val="24"/>
          <w:szCs w:val="24"/>
          <w:highlight w:val="none"/>
          <w:vertAlign w:val="subscript"/>
          <w:lang w:val="en-US" w:eastAsia="zh-CN"/>
        </w:rPr>
        <w:t>L---</w:t>
      </w:r>
      <w:r>
        <w:rPr>
          <w:rFonts w:hint="default" w:ascii="Times New Roman" w:hAnsi="Times New Roman" w:eastAsia="宋体" w:cs="Times New Roman"/>
          <w:b/>
          <w:bCs/>
          <w:color w:val="auto"/>
          <w:sz w:val="24"/>
          <w:szCs w:val="24"/>
          <w:highlight w:val="none"/>
          <w:lang w:val="en-US" w:eastAsia="zh-CN"/>
        </w:rPr>
        <w:t>lg</w:t>
      </w:r>
      <w:r>
        <w:rPr>
          <w:rFonts w:hint="default" w:ascii="Times New Roman" w:hAnsi="Times New Roman" w:eastAsia="宋体" w:cs="Times New Roman"/>
          <w:color w:val="auto"/>
          <w:sz w:val="24"/>
          <w:szCs w:val="24"/>
          <w:highlight w:val="none"/>
          <w:lang w:val="en-US" w:eastAsia="zh-CN"/>
        </w:rPr>
        <w:t>α</w:t>
      </w:r>
      <w:r>
        <w:rPr>
          <w:rFonts w:hint="default" w:ascii="Times New Roman" w:hAnsi="Times New Roman" w:eastAsia="宋体" w:cs="Times New Roman"/>
          <w:color w:val="auto"/>
          <w:sz w:val="24"/>
          <w:szCs w:val="24"/>
          <w:highlight w:val="none"/>
          <w:vertAlign w:val="subscript"/>
          <w:lang w:val="en-US" w:eastAsia="zh-CN"/>
        </w:rPr>
        <w:t>s</w:t>
      </w:r>
      <w:r>
        <w:rPr>
          <w:rFonts w:hint="default" w:ascii="Times New Roman" w:hAnsi="Times New Roman" w:eastAsia="宋体" w:cs="Times New Roman"/>
          <w:b/>
          <w:bCs/>
          <w:color w:val="auto"/>
          <w:sz w:val="24"/>
          <w:szCs w:val="24"/>
          <w:highlight w:val="none"/>
          <w:lang w:val="en-US" w:eastAsia="zh-CN"/>
        </w:rPr>
        <w:t>关系图</w:t>
      </w:r>
    </w:p>
    <w:p w14:paraId="75BD73A6">
      <w:pPr>
        <w:keepNext w:val="0"/>
        <w:keepLines w:val="0"/>
        <w:pageBreakBefore w:val="0"/>
        <w:widowControl w:val="0"/>
        <w:kinsoku/>
        <w:wordWrap/>
        <w:overflowPunct/>
        <w:topLinePunct w:val="0"/>
        <w:autoSpaceDE w:val="0"/>
        <w:autoSpaceDN w:val="0"/>
        <w:bidi w:val="0"/>
        <w:adjustRightInd w:val="0"/>
        <w:snapToGrid/>
        <w:spacing w:line="480" w:lineRule="exact"/>
        <w:ind w:left="0" w:leftChars="0" w:right="0" w:rightChars="0" w:firstLine="480" w:firstLineChars="200"/>
        <w:jc w:val="both"/>
        <w:textAlignment w:val="auto"/>
        <w:outlineLvl w:val="9"/>
        <w:rPr>
          <w:rFonts w:hint="default" w:ascii="Times New Roman" w:hAnsi="Times New Roman"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模型计算中纵向弥散度选用</w:t>
      </w:r>
      <w:r>
        <w:rPr>
          <w:rFonts w:hint="default" w:ascii="Times New Roman" w:hAnsi="Times New Roman" w:cs="Times New Roman"/>
          <w:color w:val="auto"/>
          <w:sz w:val="24"/>
          <w:highlight w:val="none"/>
          <w:lang w:val="en-US" w:eastAsia="zh-CN"/>
        </w:rPr>
        <w:t>14.83</w:t>
      </w:r>
      <w:r>
        <w:rPr>
          <w:rFonts w:hint="default" w:ascii="Times New Roman" w:hAnsi="Times New Roman" w:eastAsia="宋体" w:cs="Times New Roman"/>
          <w:color w:val="auto"/>
          <w:sz w:val="24"/>
          <w:highlight w:val="none"/>
          <w:lang w:val="en-US" w:eastAsia="zh-CN"/>
        </w:rPr>
        <w:t>m。由此计算项目区含水层中的纵向弥散系数D</w:t>
      </w:r>
      <w:r>
        <w:rPr>
          <w:rFonts w:hint="default" w:ascii="Times New Roman" w:hAnsi="Times New Roman" w:eastAsia="宋体" w:cs="Times New Roman"/>
          <w:color w:val="auto"/>
          <w:sz w:val="24"/>
          <w:highlight w:val="none"/>
          <w:vertAlign w:val="subscript"/>
          <w:lang w:val="en-US" w:eastAsia="zh-CN"/>
        </w:rPr>
        <w:t>L</w:t>
      </w:r>
      <w:r>
        <w:rPr>
          <w:rFonts w:hint="default" w:ascii="Times New Roman" w:hAnsi="Times New Roman" w:eastAsia="宋体" w:cs="Times New Roman"/>
          <w:color w:val="auto"/>
          <w:sz w:val="24"/>
          <w:highlight w:val="none"/>
          <w:lang w:val="en-US" w:eastAsia="zh-CN"/>
        </w:rPr>
        <w:t>=α</w:t>
      </w:r>
      <w:r>
        <w:rPr>
          <w:rFonts w:hint="default" w:ascii="Times New Roman" w:hAnsi="Times New Roman" w:eastAsia="宋体" w:cs="Times New Roman"/>
          <w:color w:val="auto"/>
          <w:sz w:val="24"/>
          <w:highlight w:val="none"/>
          <w:vertAlign w:val="subscript"/>
          <w:lang w:val="en-US" w:eastAsia="zh-CN"/>
        </w:rPr>
        <w:t>L×</w:t>
      </w:r>
      <w:r>
        <w:rPr>
          <w:rFonts w:hint="default" w:ascii="Times New Roman" w:hAnsi="Times New Roman" w:eastAsia="宋体" w:cs="Times New Roman"/>
          <w:color w:val="auto"/>
          <w:sz w:val="24"/>
          <w:highlight w:val="none"/>
          <w:lang w:val="en-US" w:eastAsia="zh-CN"/>
        </w:rPr>
        <w:t>u =</w:t>
      </w:r>
      <w:r>
        <w:rPr>
          <w:rFonts w:hint="default" w:ascii="Times New Roman" w:hAnsi="Times New Roman" w:cs="Times New Roman"/>
          <w:color w:val="auto"/>
          <w:sz w:val="24"/>
          <w:highlight w:val="none"/>
          <w:lang w:val="en-US" w:eastAsia="zh-CN"/>
        </w:rPr>
        <w:t>14.83</w:t>
      </w:r>
      <w:r>
        <w:rPr>
          <w:rFonts w:hint="default" w:ascii="Times New Roman" w:hAnsi="Times New Roman" w:eastAsia="宋体"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0.0017875</w:t>
      </w:r>
      <w:r>
        <w:rPr>
          <w:rFonts w:hint="default" w:ascii="Times New Roman" w:hAnsi="Times New Roman" w:eastAsia="宋体" w:cs="Times New Roman"/>
          <w:color w:val="auto"/>
          <w:sz w:val="24"/>
          <w:highlight w:val="none"/>
          <w:lang w:val="en-US" w:eastAsia="zh-CN"/>
        </w:rPr>
        <w:t>m/d=</w:t>
      </w:r>
      <w:r>
        <w:rPr>
          <w:rFonts w:hint="default" w:ascii="Times New Roman" w:hAnsi="Times New Roman" w:cs="Times New Roman"/>
          <w:color w:val="auto"/>
          <w:sz w:val="24"/>
          <w:highlight w:val="none"/>
          <w:lang w:val="en-US" w:eastAsia="zh-CN"/>
        </w:rPr>
        <w:t>0.02651</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/d）</w:t>
      </w:r>
      <w:r>
        <w:rPr>
          <w:rFonts w:hint="default" w:ascii="Times New Roman" w:hAnsi="Times New Roman" w:cs="Times New Roman"/>
          <w:color w:val="auto"/>
          <w:sz w:val="24"/>
          <w:highlight w:val="none"/>
          <w:lang w:val="en-US" w:eastAsia="zh-CN"/>
        </w:rPr>
        <w:t>。</w:t>
      </w:r>
    </w:p>
    <w:p w14:paraId="3E8D6389">
      <w:pPr>
        <w:keepNext w:val="0"/>
        <w:keepLines w:val="0"/>
        <w:pageBreakBefore w:val="0"/>
        <w:widowControl w:val="0"/>
        <w:kinsoku/>
        <w:wordWrap/>
        <w:overflowPunct/>
        <w:topLinePunct w:val="0"/>
        <w:bidi w:val="0"/>
        <w:snapToGrid/>
        <w:spacing w:line="480" w:lineRule="exact"/>
        <w:jc w:val="center"/>
        <w:textAlignment w:val="auto"/>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表5.2-14    地下水预测参数一览表</w:t>
      </w:r>
    </w:p>
    <w:tbl>
      <w:tblPr>
        <w:tblStyle w:val="3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16"/>
        <w:gridCol w:w="2026"/>
        <w:gridCol w:w="2473"/>
        <w:gridCol w:w="2304"/>
      </w:tblGrid>
      <w:tr w14:paraId="439ED3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7" w:type="pct"/>
            <w:tcBorders>
              <w:tl2br w:val="nil"/>
              <w:tr2bl w:val="nil"/>
            </w:tcBorders>
            <w:noWrap w:val="0"/>
            <w:vAlign w:val="center"/>
          </w:tcPr>
          <w:p w14:paraId="2793D01A">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预测因子</w:t>
            </w:r>
          </w:p>
        </w:tc>
        <w:tc>
          <w:tcPr>
            <w:tcW w:w="1189" w:type="pct"/>
            <w:tcBorders>
              <w:tl2br w:val="nil"/>
              <w:tr2bl w:val="nil"/>
            </w:tcBorders>
            <w:noWrap w:val="0"/>
            <w:vAlign w:val="center"/>
          </w:tcPr>
          <w:p w14:paraId="4E4A21F0">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C</w:t>
            </w:r>
            <w:r>
              <w:rPr>
                <w:rFonts w:hint="default" w:ascii="Times New Roman" w:hAnsi="Times New Roman" w:cs="Times New Roman"/>
                <w:color w:val="auto"/>
                <w:sz w:val="21"/>
                <w:szCs w:val="21"/>
                <w:highlight w:val="none"/>
                <w:vertAlign w:val="subscript"/>
                <w:lang w:val="en-US" w:eastAsia="zh-CN"/>
              </w:rPr>
              <w:t>0</w:t>
            </w:r>
            <w:r>
              <w:rPr>
                <w:rFonts w:hint="eastAsia" w:cs="Times New Roman"/>
                <w:color w:val="auto"/>
                <w:sz w:val="21"/>
                <w:szCs w:val="21"/>
                <w:highlight w:val="none"/>
                <w:vertAlign w:val="subscript"/>
                <w:lang w:val="en-US" w:eastAsia="zh-CN"/>
              </w:rPr>
              <w:t>（</w:t>
            </w:r>
            <w:r>
              <w:rPr>
                <w:rFonts w:hint="default" w:ascii="Times New Roman" w:hAnsi="Times New Roman" w:cs="Times New Roman"/>
                <w:b/>
                <w:bCs/>
                <w:color w:val="auto"/>
                <w:sz w:val="21"/>
                <w:szCs w:val="21"/>
                <w:highlight w:val="none"/>
                <w:vertAlign w:val="baseline"/>
                <w:lang w:val="en-US" w:eastAsia="zh-CN"/>
              </w:rPr>
              <w:t>mg/L</w:t>
            </w:r>
            <w:r>
              <w:rPr>
                <w:rFonts w:hint="eastAsia" w:cs="Times New Roman"/>
                <w:b/>
                <w:bCs/>
                <w:color w:val="auto"/>
                <w:sz w:val="21"/>
                <w:szCs w:val="21"/>
                <w:highlight w:val="none"/>
                <w:vertAlign w:val="baseline"/>
                <w:lang w:val="en-US" w:eastAsia="zh-CN"/>
              </w:rPr>
              <w:t>）</w:t>
            </w:r>
          </w:p>
        </w:tc>
        <w:tc>
          <w:tcPr>
            <w:tcW w:w="1451" w:type="pct"/>
            <w:tcBorders>
              <w:tl2br w:val="nil"/>
              <w:tr2bl w:val="nil"/>
            </w:tcBorders>
            <w:noWrap w:val="0"/>
            <w:vAlign w:val="center"/>
          </w:tcPr>
          <w:p w14:paraId="6BB6BBB8">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lang w:val="en-US" w:eastAsia="zh-CN"/>
              </w:rPr>
              <w:t>u</w:t>
            </w:r>
            <w:r>
              <w:rPr>
                <w:rFonts w:hint="eastAsia"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lang w:val="en-US" w:eastAsia="zh-CN"/>
              </w:rPr>
              <w:t>m/d</w:t>
            </w:r>
            <w:r>
              <w:rPr>
                <w:rFonts w:hint="eastAsia" w:cs="Times New Roman"/>
                <w:b/>
                <w:bCs/>
                <w:color w:val="auto"/>
                <w:sz w:val="21"/>
                <w:szCs w:val="21"/>
                <w:highlight w:val="none"/>
                <w:lang w:val="en-US" w:eastAsia="zh-CN"/>
              </w:rPr>
              <w:t>）</w:t>
            </w:r>
          </w:p>
        </w:tc>
        <w:tc>
          <w:tcPr>
            <w:tcW w:w="1352" w:type="pct"/>
            <w:tcBorders>
              <w:tl2br w:val="nil"/>
              <w:tr2bl w:val="nil"/>
            </w:tcBorders>
            <w:noWrap w:val="0"/>
            <w:vAlign w:val="center"/>
          </w:tcPr>
          <w:p w14:paraId="2AC91A8C">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lang w:val="en-US" w:eastAsia="zh-CN"/>
              </w:rPr>
              <w:t>D</w:t>
            </w:r>
            <w:r>
              <w:rPr>
                <w:rFonts w:hint="default" w:ascii="Times New Roman" w:hAnsi="Times New Roman" w:eastAsia="宋体" w:cs="Times New Roman"/>
                <w:b/>
                <w:bCs/>
                <w:color w:val="auto"/>
                <w:sz w:val="21"/>
                <w:szCs w:val="21"/>
                <w:highlight w:val="none"/>
                <w:vertAlign w:val="subscript"/>
                <w:lang w:val="en-US" w:eastAsia="zh-CN"/>
              </w:rPr>
              <w:t>L</w:t>
            </w:r>
            <w:r>
              <w:rPr>
                <w:rFonts w:hint="eastAsia" w:cs="Times New Roman"/>
                <w:b/>
                <w:bCs/>
                <w:color w:val="auto"/>
                <w:sz w:val="21"/>
                <w:szCs w:val="21"/>
                <w:highlight w:val="none"/>
                <w:vertAlign w:val="subscript"/>
                <w:lang w:val="en-US" w:eastAsia="zh-CN"/>
              </w:rPr>
              <w:t>（</w:t>
            </w:r>
            <w:r>
              <w:rPr>
                <w:rFonts w:hint="default" w:ascii="Times New Roman" w:hAnsi="Times New Roman" w:eastAsia="宋体" w:cs="Times New Roman"/>
                <w:b/>
                <w:bCs/>
                <w:color w:val="auto"/>
                <w:sz w:val="21"/>
                <w:szCs w:val="21"/>
                <w:highlight w:val="none"/>
                <w:lang w:val="en-US" w:eastAsia="zh-CN"/>
              </w:rPr>
              <w:t>m</w:t>
            </w:r>
            <w:r>
              <w:rPr>
                <w:rFonts w:hint="default" w:ascii="Times New Roman" w:hAnsi="Times New Roman" w:eastAsia="宋体" w:cs="Times New Roman"/>
                <w:b/>
                <w:bCs/>
                <w:color w:val="auto"/>
                <w:sz w:val="21"/>
                <w:szCs w:val="21"/>
                <w:highlight w:val="none"/>
                <w:vertAlign w:val="superscript"/>
                <w:lang w:val="en-US" w:eastAsia="zh-CN"/>
              </w:rPr>
              <w:t>2</w:t>
            </w:r>
            <w:r>
              <w:rPr>
                <w:rFonts w:hint="default" w:ascii="Times New Roman" w:hAnsi="Times New Roman" w:eastAsia="宋体" w:cs="Times New Roman"/>
                <w:b/>
                <w:bCs/>
                <w:color w:val="auto"/>
                <w:sz w:val="21"/>
                <w:szCs w:val="21"/>
                <w:highlight w:val="none"/>
                <w:lang w:val="en-US" w:eastAsia="zh-CN"/>
              </w:rPr>
              <w:t>/d</w:t>
            </w:r>
            <w:r>
              <w:rPr>
                <w:rFonts w:hint="eastAsia" w:cs="Times New Roman"/>
                <w:b/>
                <w:bCs/>
                <w:color w:val="auto"/>
                <w:sz w:val="21"/>
                <w:szCs w:val="21"/>
                <w:highlight w:val="none"/>
                <w:lang w:val="en-US" w:eastAsia="zh-CN"/>
              </w:rPr>
              <w:t>）</w:t>
            </w:r>
          </w:p>
        </w:tc>
      </w:tr>
      <w:tr w14:paraId="496CBA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16" w:type="dxa"/>
            <w:tcBorders>
              <w:tl2br w:val="nil"/>
              <w:tr2bl w:val="nil"/>
            </w:tcBorders>
            <w:noWrap w:val="0"/>
            <w:vAlign w:val="center"/>
          </w:tcPr>
          <w:p w14:paraId="6AC96B4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kern w:val="0"/>
                <w:sz w:val="21"/>
                <w:szCs w:val="21"/>
                <w:highlight w:val="none"/>
                <w:lang w:eastAsia="zh-CN"/>
              </w:rPr>
              <w:t>氟化物</w:t>
            </w:r>
          </w:p>
        </w:tc>
        <w:tc>
          <w:tcPr>
            <w:tcW w:w="1189" w:type="pct"/>
            <w:tcBorders>
              <w:tl2br w:val="nil"/>
              <w:tr2bl w:val="nil"/>
            </w:tcBorders>
            <w:noWrap w:val="0"/>
            <w:vAlign w:val="center"/>
          </w:tcPr>
          <w:p w14:paraId="5170BB1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5.24</w:t>
            </w:r>
          </w:p>
        </w:tc>
        <w:tc>
          <w:tcPr>
            <w:tcW w:w="1451" w:type="pct"/>
            <w:tcBorders>
              <w:tl2br w:val="nil"/>
              <w:tr2bl w:val="nil"/>
            </w:tcBorders>
            <w:noWrap w:val="0"/>
            <w:vAlign w:val="center"/>
          </w:tcPr>
          <w:p w14:paraId="26212734">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0.0017875</w:t>
            </w:r>
          </w:p>
        </w:tc>
        <w:tc>
          <w:tcPr>
            <w:tcW w:w="1352" w:type="pct"/>
            <w:tcBorders>
              <w:tl2br w:val="nil"/>
              <w:tr2bl w:val="nil"/>
            </w:tcBorders>
            <w:noWrap w:val="0"/>
            <w:vAlign w:val="center"/>
          </w:tcPr>
          <w:p w14:paraId="42393727">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0.02651</w:t>
            </w:r>
          </w:p>
        </w:tc>
      </w:tr>
      <w:tr w14:paraId="4880B9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16" w:type="dxa"/>
            <w:tcBorders>
              <w:tl2br w:val="nil"/>
              <w:tr2bl w:val="nil"/>
            </w:tcBorders>
            <w:noWrap w:val="0"/>
            <w:vAlign w:val="center"/>
          </w:tcPr>
          <w:p w14:paraId="6FEAD99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kern w:val="0"/>
                <w:sz w:val="21"/>
                <w:szCs w:val="21"/>
                <w:highlight w:val="none"/>
                <w:lang w:val="en-US" w:eastAsia="zh-CN"/>
              </w:rPr>
              <w:t>汞</w:t>
            </w:r>
          </w:p>
        </w:tc>
        <w:tc>
          <w:tcPr>
            <w:tcW w:w="1189" w:type="pct"/>
            <w:tcBorders>
              <w:tl2br w:val="nil"/>
              <w:tr2bl w:val="nil"/>
            </w:tcBorders>
            <w:noWrap w:val="0"/>
            <w:vAlign w:val="center"/>
          </w:tcPr>
          <w:p w14:paraId="523E869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0.0001</w:t>
            </w:r>
          </w:p>
        </w:tc>
        <w:tc>
          <w:tcPr>
            <w:tcW w:w="1451" w:type="pct"/>
            <w:tcBorders>
              <w:tl2br w:val="nil"/>
              <w:tr2bl w:val="nil"/>
            </w:tcBorders>
            <w:noWrap w:val="0"/>
            <w:vAlign w:val="center"/>
          </w:tcPr>
          <w:p w14:paraId="49136FF5">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0.0017875</w:t>
            </w:r>
          </w:p>
        </w:tc>
        <w:tc>
          <w:tcPr>
            <w:tcW w:w="1352" w:type="pct"/>
            <w:tcBorders>
              <w:tl2br w:val="nil"/>
              <w:tr2bl w:val="nil"/>
            </w:tcBorders>
            <w:noWrap w:val="0"/>
            <w:vAlign w:val="center"/>
          </w:tcPr>
          <w:p w14:paraId="58914EB3">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0.02651</w:t>
            </w:r>
          </w:p>
        </w:tc>
      </w:tr>
    </w:tbl>
    <w:p w14:paraId="0E68E3E2">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right="0" w:rightChars="0" w:firstLine="480" w:firstLineChars="200"/>
        <w:jc w:val="both"/>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（5）</w:t>
      </w:r>
      <w:r>
        <w:rPr>
          <w:rFonts w:hint="default" w:ascii="Times New Roman" w:hAnsi="Times New Roman" w:eastAsia="宋体" w:cs="Times New Roman"/>
          <w:color w:val="auto"/>
          <w:sz w:val="24"/>
          <w:highlight w:val="none"/>
          <w:lang w:val="en-US" w:eastAsia="zh-CN"/>
        </w:rPr>
        <w:t>预测结果</w:t>
      </w:r>
    </w:p>
    <w:p w14:paraId="38D744A3">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right="0" w:rightChars="0" w:firstLine="480" w:firstLineChars="200"/>
        <w:jc w:val="both"/>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预测结果分别见表</w:t>
      </w:r>
      <w:r>
        <w:rPr>
          <w:rFonts w:hint="default" w:ascii="Times New Roman" w:hAnsi="Times New Roman" w:cs="Times New Roman"/>
          <w:color w:val="auto"/>
          <w:sz w:val="24"/>
          <w:highlight w:val="none"/>
          <w:lang w:val="en-US" w:eastAsia="zh-CN"/>
        </w:rPr>
        <w:t>5.2-15~5.2-16</w:t>
      </w:r>
      <w:r>
        <w:rPr>
          <w:rFonts w:hint="default" w:ascii="Times New Roman" w:hAnsi="Times New Roman" w:cs="Times New Roman"/>
          <w:color w:val="auto"/>
          <w:sz w:val="24"/>
          <w:highlight w:val="none"/>
        </w:rPr>
        <w:t>。</w:t>
      </w:r>
    </w:p>
    <w:p w14:paraId="03DA976A">
      <w:pPr>
        <w:keepNext w:val="0"/>
        <w:keepLines w:val="0"/>
        <w:pageBreakBefore w:val="0"/>
        <w:widowControl w:val="0"/>
        <w:kinsoku/>
        <w:wordWrap/>
        <w:overflowPunct/>
        <w:topLinePunct w:val="0"/>
        <w:bidi w:val="0"/>
        <w:snapToGrid/>
        <w:spacing w:line="480" w:lineRule="exact"/>
        <w:jc w:val="center"/>
        <w:textAlignment w:val="auto"/>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表5.2-15    选矿废水聚集池渗入地下</w:t>
      </w:r>
      <w:r>
        <w:rPr>
          <w:rFonts w:hint="default" w:ascii="Times New Roman" w:hAnsi="Times New Roman" w:cs="Times New Roman"/>
          <w:b/>
          <w:bCs/>
          <w:color w:val="auto"/>
          <w:highlight w:val="none"/>
          <w:lang w:eastAsia="zh-CN"/>
        </w:rPr>
        <w:t>氟化物</w:t>
      </w:r>
      <w:r>
        <w:rPr>
          <w:rFonts w:hint="default" w:ascii="Times New Roman" w:hAnsi="Times New Roman" w:cs="Times New Roman"/>
          <w:b/>
          <w:bCs/>
          <w:color w:val="auto"/>
          <w:sz w:val="24"/>
          <w:highlight w:val="none"/>
          <w:lang w:val="en-US" w:eastAsia="zh-CN"/>
        </w:rPr>
        <w:t>浓度预测结果（mg/l）</w:t>
      </w:r>
    </w:p>
    <w:tbl>
      <w:tblPr>
        <w:tblStyle w:val="3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16"/>
        <w:gridCol w:w="2026"/>
        <w:gridCol w:w="2473"/>
        <w:gridCol w:w="2304"/>
      </w:tblGrid>
      <w:tr w14:paraId="1F83EB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007" w:type="pct"/>
            <w:tcBorders>
              <w:tl2br w:val="nil"/>
              <w:tr2bl w:val="nil"/>
            </w:tcBorders>
            <w:noWrap w:val="0"/>
            <w:vAlign w:val="center"/>
          </w:tcPr>
          <w:p w14:paraId="4544AFCD">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预测时段</w:t>
            </w:r>
          </w:p>
        </w:tc>
        <w:tc>
          <w:tcPr>
            <w:tcW w:w="1189" w:type="pct"/>
            <w:tcBorders>
              <w:tl2br w:val="nil"/>
              <w:tr2bl w:val="nil"/>
            </w:tcBorders>
            <w:noWrap w:val="0"/>
            <w:vAlign w:val="center"/>
          </w:tcPr>
          <w:p w14:paraId="6FF44522">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超标距离（m）</w:t>
            </w:r>
          </w:p>
        </w:tc>
        <w:tc>
          <w:tcPr>
            <w:tcW w:w="1451" w:type="pct"/>
            <w:tcBorders>
              <w:tl2br w:val="nil"/>
              <w:tr2bl w:val="nil"/>
            </w:tcBorders>
            <w:noWrap w:val="0"/>
            <w:vAlign w:val="center"/>
          </w:tcPr>
          <w:p w14:paraId="67272CC5">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最大浓度（mg/L）</w:t>
            </w:r>
          </w:p>
        </w:tc>
        <w:tc>
          <w:tcPr>
            <w:tcW w:w="1352" w:type="pct"/>
            <w:tcBorders>
              <w:tl2br w:val="nil"/>
              <w:tr2bl w:val="nil"/>
            </w:tcBorders>
            <w:noWrap w:val="0"/>
            <w:vAlign w:val="center"/>
          </w:tcPr>
          <w:p w14:paraId="285EFAB6">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最大浓度处距离（m）</w:t>
            </w:r>
          </w:p>
        </w:tc>
      </w:tr>
      <w:tr w14:paraId="1707EE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7" w:type="pct"/>
            <w:tcBorders>
              <w:tl2br w:val="nil"/>
              <w:tr2bl w:val="nil"/>
            </w:tcBorders>
            <w:noWrap w:val="0"/>
            <w:vAlign w:val="center"/>
          </w:tcPr>
          <w:p w14:paraId="2B34E1F5">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100天</w:t>
            </w:r>
          </w:p>
        </w:tc>
        <w:tc>
          <w:tcPr>
            <w:tcW w:w="1189" w:type="pct"/>
            <w:tcBorders>
              <w:tl2br w:val="nil"/>
              <w:tr2bl w:val="nil"/>
            </w:tcBorders>
            <w:noWrap w:val="0"/>
            <w:vAlign w:val="center"/>
          </w:tcPr>
          <w:p w14:paraId="091DA0CB">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w:t>
            </w:r>
          </w:p>
        </w:tc>
        <w:tc>
          <w:tcPr>
            <w:tcW w:w="1451" w:type="pct"/>
            <w:tcBorders>
              <w:tl2br w:val="nil"/>
              <w:tr2bl w:val="nil"/>
            </w:tcBorders>
            <w:noWrap w:val="0"/>
            <w:vAlign w:val="center"/>
          </w:tcPr>
          <w:p w14:paraId="1AAA1053">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0.07634407</w:t>
            </w:r>
          </w:p>
        </w:tc>
        <w:tc>
          <w:tcPr>
            <w:tcW w:w="1352" w:type="pct"/>
            <w:tcBorders>
              <w:tl2br w:val="nil"/>
              <w:tr2bl w:val="nil"/>
            </w:tcBorders>
            <w:noWrap w:val="0"/>
            <w:vAlign w:val="center"/>
          </w:tcPr>
          <w:p w14:paraId="5C835BB5">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w:t>
            </w:r>
          </w:p>
        </w:tc>
      </w:tr>
      <w:tr w14:paraId="39B49D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7" w:type="pct"/>
            <w:tcBorders>
              <w:tl2br w:val="nil"/>
              <w:tr2bl w:val="nil"/>
            </w:tcBorders>
            <w:noWrap w:val="0"/>
            <w:vAlign w:val="center"/>
          </w:tcPr>
          <w:p w14:paraId="1A74C111">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1000天</w:t>
            </w:r>
          </w:p>
        </w:tc>
        <w:tc>
          <w:tcPr>
            <w:tcW w:w="1189" w:type="pct"/>
            <w:tcBorders>
              <w:tl2br w:val="nil"/>
              <w:tr2bl w:val="nil"/>
            </w:tcBorders>
            <w:noWrap w:val="0"/>
            <w:vAlign w:val="center"/>
          </w:tcPr>
          <w:p w14:paraId="4B613E60">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w:t>
            </w:r>
          </w:p>
        </w:tc>
        <w:tc>
          <w:tcPr>
            <w:tcW w:w="1451" w:type="pct"/>
            <w:tcBorders>
              <w:tl2br w:val="nil"/>
              <w:tr2bl w:val="nil"/>
            </w:tcBorders>
            <w:noWrap w:val="0"/>
            <w:vAlign w:val="center"/>
          </w:tcPr>
          <w:p w14:paraId="75CB2D68">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0.009805384</w:t>
            </w:r>
          </w:p>
        </w:tc>
        <w:tc>
          <w:tcPr>
            <w:tcW w:w="1352" w:type="pct"/>
            <w:tcBorders>
              <w:tl2br w:val="nil"/>
              <w:tr2bl w:val="nil"/>
            </w:tcBorders>
            <w:noWrap w:val="0"/>
            <w:vAlign w:val="center"/>
          </w:tcPr>
          <w:p w14:paraId="027E5D3F">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7</w:t>
            </w:r>
          </w:p>
        </w:tc>
      </w:tr>
    </w:tbl>
    <w:p w14:paraId="2D7C5609">
      <w:pPr>
        <w:keepNext w:val="0"/>
        <w:keepLines w:val="0"/>
        <w:pageBreakBefore w:val="0"/>
        <w:widowControl w:val="0"/>
        <w:kinsoku/>
        <w:wordWrap/>
        <w:overflowPunct/>
        <w:topLinePunct w:val="0"/>
        <w:bidi w:val="0"/>
        <w:snapToGrid/>
        <w:spacing w:line="480" w:lineRule="exact"/>
        <w:jc w:val="center"/>
        <w:textAlignment w:val="auto"/>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表5.2-16    选矿废水聚集池渗入地下</w:t>
      </w:r>
      <w:r>
        <w:rPr>
          <w:rFonts w:hint="eastAsia" w:ascii="Times New Roman" w:hAnsi="Times New Roman" w:cs="Times New Roman"/>
          <w:b/>
          <w:bCs/>
          <w:color w:val="auto"/>
          <w:highlight w:val="none"/>
          <w:lang w:val="en-US" w:eastAsia="zh-CN"/>
        </w:rPr>
        <w:t>汞</w:t>
      </w:r>
      <w:r>
        <w:rPr>
          <w:rFonts w:hint="default" w:ascii="Times New Roman" w:hAnsi="Times New Roman" w:cs="Times New Roman"/>
          <w:b/>
          <w:bCs/>
          <w:color w:val="auto"/>
          <w:sz w:val="24"/>
          <w:highlight w:val="none"/>
          <w:lang w:val="en-US" w:eastAsia="zh-CN"/>
        </w:rPr>
        <w:t>浓度预测结果（mg/l）</w:t>
      </w:r>
    </w:p>
    <w:tbl>
      <w:tblPr>
        <w:tblStyle w:val="3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16"/>
        <w:gridCol w:w="2026"/>
        <w:gridCol w:w="2473"/>
        <w:gridCol w:w="2304"/>
      </w:tblGrid>
      <w:tr w14:paraId="779DAD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007" w:type="pct"/>
            <w:tcBorders>
              <w:tl2br w:val="nil"/>
              <w:tr2bl w:val="nil"/>
            </w:tcBorders>
            <w:noWrap w:val="0"/>
            <w:vAlign w:val="center"/>
          </w:tcPr>
          <w:p w14:paraId="71FC5BF6">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预测时段</w:t>
            </w:r>
          </w:p>
        </w:tc>
        <w:tc>
          <w:tcPr>
            <w:tcW w:w="1189" w:type="pct"/>
            <w:tcBorders>
              <w:tl2br w:val="nil"/>
              <w:tr2bl w:val="nil"/>
            </w:tcBorders>
            <w:noWrap w:val="0"/>
            <w:vAlign w:val="center"/>
          </w:tcPr>
          <w:p w14:paraId="718A5F48">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超标距离（m）</w:t>
            </w:r>
          </w:p>
        </w:tc>
        <w:tc>
          <w:tcPr>
            <w:tcW w:w="1451" w:type="pct"/>
            <w:tcBorders>
              <w:tl2br w:val="nil"/>
              <w:tr2bl w:val="nil"/>
            </w:tcBorders>
            <w:noWrap w:val="0"/>
            <w:vAlign w:val="center"/>
          </w:tcPr>
          <w:p w14:paraId="7707734E">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最大浓度（mg/L）</w:t>
            </w:r>
          </w:p>
        </w:tc>
        <w:tc>
          <w:tcPr>
            <w:tcW w:w="1352" w:type="pct"/>
            <w:tcBorders>
              <w:tl2br w:val="nil"/>
              <w:tr2bl w:val="nil"/>
            </w:tcBorders>
            <w:noWrap w:val="0"/>
            <w:vAlign w:val="center"/>
          </w:tcPr>
          <w:p w14:paraId="3D1E6C78">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最大浓度处距离（m）</w:t>
            </w:r>
          </w:p>
        </w:tc>
      </w:tr>
      <w:tr w14:paraId="3EC6A0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7" w:type="pct"/>
            <w:tcBorders>
              <w:tl2br w:val="nil"/>
              <w:tr2bl w:val="nil"/>
            </w:tcBorders>
            <w:noWrap w:val="0"/>
            <w:vAlign w:val="center"/>
          </w:tcPr>
          <w:p w14:paraId="1B199214">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100天</w:t>
            </w:r>
          </w:p>
        </w:tc>
        <w:tc>
          <w:tcPr>
            <w:tcW w:w="1189" w:type="pct"/>
            <w:tcBorders>
              <w:tl2br w:val="nil"/>
              <w:tr2bl w:val="nil"/>
            </w:tcBorders>
            <w:noWrap w:val="0"/>
            <w:vAlign w:val="center"/>
          </w:tcPr>
          <w:p w14:paraId="6981CEB2">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w:t>
            </w:r>
          </w:p>
        </w:tc>
        <w:tc>
          <w:tcPr>
            <w:tcW w:w="2473" w:type="dxa"/>
            <w:tcBorders>
              <w:tl2br w:val="nil"/>
              <w:tr2bl w:val="nil"/>
            </w:tcBorders>
            <w:noWrap w:val="0"/>
            <w:vAlign w:val="center"/>
          </w:tcPr>
          <w:p w14:paraId="560A55E1">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1.456948</w:t>
            </w:r>
            <w:r>
              <w:rPr>
                <w:rFonts w:hint="eastAsia" w:cs="Times New Roman"/>
                <w:color w:val="auto"/>
                <w:sz w:val="21"/>
                <w:szCs w:val="21"/>
                <w:highlight w:val="none"/>
                <w:vertAlign w:val="baseline"/>
                <w:lang w:val="en-US" w:eastAsia="zh-CN"/>
              </w:rPr>
              <w:t>×10</w:t>
            </w:r>
            <w:r>
              <w:rPr>
                <w:rFonts w:hint="eastAsia" w:cs="Times New Roman"/>
                <w:color w:val="auto"/>
                <w:sz w:val="21"/>
                <w:szCs w:val="21"/>
                <w:highlight w:val="none"/>
                <w:vertAlign w:val="superscript"/>
                <w:lang w:val="en-US" w:eastAsia="zh-CN"/>
              </w:rPr>
              <w:t>-6</w:t>
            </w:r>
          </w:p>
        </w:tc>
        <w:tc>
          <w:tcPr>
            <w:tcW w:w="2304" w:type="dxa"/>
            <w:tcBorders>
              <w:tl2br w:val="nil"/>
              <w:tr2bl w:val="nil"/>
            </w:tcBorders>
            <w:noWrap w:val="0"/>
            <w:vAlign w:val="center"/>
          </w:tcPr>
          <w:p w14:paraId="3BBDA9DB">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w:t>
            </w:r>
          </w:p>
        </w:tc>
      </w:tr>
      <w:tr w14:paraId="78B106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07" w:type="pct"/>
            <w:tcBorders>
              <w:tl2br w:val="nil"/>
              <w:tr2bl w:val="nil"/>
            </w:tcBorders>
            <w:noWrap w:val="0"/>
            <w:vAlign w:val="center"/>
          </w:tcPr>
          <w:p w14:paraId="4F17EE00">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1000天</w:t>
            </w:r>
          </w:p>
        </w:tc>
        <w:tc>
          <w:tcPr>
            <w:tcW w:w="1189" w:type="pct"/>
            <w:tcBorders>
              <w:tl2br w:val="nil"/>
              <w:tr2bl w:val="nil"/>
            </w:tcBorders>
            <w:noWrap w:val="0"/>
            <w:vAlign w:val="center"/>
          </w:tcPr>
          <w:p w14:paraId="3E72558F">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w:t>
            </w:r>
          </w:p>
        </w:tc>
        <w:tc>
          <w:tcPr>
            <w:tcW w:w="2473" w:type="dxa"/>
            <w:tcBorders>
              <w:tl2br w:val="nil"/>
              <w:tr2bl w:val="nil"/>
            </w:tcBorders>
            <w:noWrap w:val="0"/>
            <w:vAlign w:val="center"/>
          </w:tcPr>
          <w:p w14:paraId="28C5ABD2">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1.871257</w:t>
            </w:r>
            <w:r>
              <w:rPr>
                <w:rFonts w:hint="eastAsia" w:cs="Times New Roman"/>
                <w:color w:val="auto"/>
                <w:sz w:val="21"/>
                <w:szCs w:val="21"/>
                <w:highlight w:val="none"/>
                <w:vertAlign w:val="baseline"/>
                <w:lang w:val="en-US" w:eastAsia="zh-CN"/>
              </w:rPr>
              <w:t>×10</w:t>
            </w:r>
            <w:r>
              <w:rPr>
                <w:rFonts w:hint="eastAsia" w:cs="Times New Roman"/>
                <w:color w:val="auto"/>
                <w:sz w:val="21"/>
                <w:szCs w:val="21"/>
                <w:highlight w:val="none"/>
                <w:vertAlign w:val="superscript"/>
                <w:lang w:val="en-US" w:eastAsia="zh-CN"/>
              </w:rPr>
              <w:t>-7</w:t>
            </w:r>
          </w:p>
        </w:tc>
        <w:tc>
          <w:tcPr>
            <w:tcW w:w="2304" w:type="dxa"/>
            <w:tcBorders>
              <w:tl2br w:val="nil"/>
              <w:tr2bl w:val="nil"/>
            </w:tcBorders>
            <w:noWrap w:val="0"/>
            <w:vAlign w:val="center"/>
          </w:tcPr>
          <w:p w14:paraId="386A5D18">
            <w:pPr>
              <w:keepNext w:val="0"/>
              <w:keepLines w:val="0"/>
              <w:pageBreakBefore w:val="0"/>
              <w:widowControl w:val="0"/>
              <w:kinsoku/>
              <w:wordWrap/>
              <w:overflowPunct/>
              <w:topLinePunct w:val="0"/>
              <w:autoSpaceDE w:val="0"/>
              <w:autoSpaceDN w:val="0"/>
              <w:bidi w:val="0"/>
              <w:adjustRightInd/>
              <w:snapToGrid/>
              <w:spacing w:line="360" w:lineRule="exact"/>
              <w:ind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7</w:t>
            </w:r>
          </w:p>
        </w:tc>
      </w:tr>
    </w:tbl>
    <w:p w14:paraId="3403EC28">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从表5.2-15~5.2-16预测结果可以看出，非正常工况下淋溶水中的氟化物预测结果超标距离为0，100d时，预测最大浓度值为0.07634407mg/L，位于下游</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rPr>
        <w:t>m处；1000d时，预测</w:t>
      </w:r>
      <w:r>
        <w:rPr>
          <w:rFonts w:hint="default" w:ascii="Times New Roman" w:hAnsi="Times New Roman" w:cs="Times New Roman"/>
          <w:color w:val="auto"/>
          <w:sz w:val="24"/>
          <w:szCs w:val="24"/>
          <w:highlight w:val="none"/>
        </w:rPr>
        <w:t>最大浓度值为</w:t>
      </w:r>
      <w:r>
        <w:rPr>
          <w:rFonts w:hint="default" w:ascii="Times New Roman" w:hAnsi="Times New Roman" w:eastAsia="宋体" w:cs="Times New Roman"/>
          <w:color w:val="auto"/>
          <w:sz w:val="24"/>
          <w:szCs w:val="24"/>
          <w:highlight w:val="none"/>
          <w:vertAlign w:val="baseline"/>
          <w:lang w:val="en-US" w:eastAsia="zh-CN"/>
        </w:rPr>
        <w:t>0.009805384</w:t>
      </w:r>
      <w:r>
        <w:rPr>
          <w:rFonts w:hint="default" w:ascii="Times New Roman" w:hAnsi="Times New Roman" w:cs="Times New Roman"/>
          <w:color w:val="auto"/>
          <w:sz w:val="24"/>
          <w:szCs w:val="24"/>
          <w:highlight w:val="none"/>
        </w:rPr>
        <w:t>mg/L，位</w:t>
      </w:r>
      <w:r>
        <w:rPr>
          <w:rFonts w:hint="default" w:ascii="Times New Roman" w:hAnsi="Times New Roman" w:cs="Times New Roman"/>
          <w:color w:val="auto"/>
          <w:sz w:val="24"/>
          <w:highlight w:val="none"/>
        </w:rPr>
        <w:t>于下游</w:t>
      </w:r>
      <w:r>
        <w:rPr>
          <w:rFonts w:hint="eastAsia" w:cs="Times New Roman"/>
          <w:color w:val="auto"/>
          <w:sz w:val="24"/>
          <w:highlight w:val="none"/>
          <w:lang w:val="en-US" w:eastAsia="zh-CN"/>
        </w:rPr>
        <w:t>7</w:t>
      </w:r>
      <w:r>
        <w:rPr>
          <w:rFonts w:hint="default" w:ascii="Times New Roman" w:hAnsi="Times New Roman" w:cs="Times New Roman"/>
          <w:color w:val="auto"/>
          <w:sz w:val="24"/>
          <w:highlight w:val="none"/>
        </w:rPr>
        <w:t>m处；污染物运移到下游污染浓度满足《地下水质量标准》（GB/T14848-2017）中的</w:t>
      </w:r>
      <w:r>
        <w:rPr>
          <w:rFonts w:hint="default" w:ascii="Times New Roman" w:hAnsi="Times New Roman" w:cs="Times New Roman"/>
          <w:color w:val="auto"/>
          <w:sz w:val="24"/>
          <w:highlight w:val="none"/>
          <w:lang w:eastAsia="zh-CN"/>
        </w:rPr>
        <w:t>Ⅲ类</w:t>
      </w:r>
      <w:r>
        <w:rPr>
          <w:rFonts w:hint="default" w:ascii="Times New Roman" w:hAnsi="Times New Roman" w:cs="Times New Roman"/>
          <w:color w:val="auto"/>
          <w:sz w:val="24"/>
          <w:highlight w:val="none"/>
        </w:rPr>
        <w:t>标准。</w:t>
      </w:r>
    </w:p>
    <w:p w14:paraId="37F3DB36">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从表5.2-15~5.2-16预测结果可以看出，非正常工况下淋溶水中的氟化物预测结果超标距离为0，100d时，预测最大浓度值为1.456948×10</w:t>
      </w:r>
      <w:r>
        <w:rPr>
          <w:rFonts w:hint="default" w:ascii="Times New Roman" w:hAnsi="Times New Roman" w:cs="Times New Roman"/>
          <w:color w:val="auto"/>
          <w:sz w:val="24"/>
          <w:highlight w:val="none"/>
          <w:vertAlign w:val="superscript"/>
        </w:rPr>
        <w:t>-6</w:t>
      </w:r>
      <w:r>
        <w:rPr>
          <w:rFonts w:hint="default" w:ascii="Times New Roman" w:hAnsi="Times New Roman" w:cs="Times New Roman"/>
          <w:color w:val="auto"/>
          <w:sz w:val="24"/>
          <w:highlight w:val="none"/>
        </w:rPr>
        <w:t>mg/L，位于下游</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rPr>
        <w:t>m处；1000d时，预测最大浓度值为1.871257×10</w:t>
      </w:r>
      <w:r>
        <w:rPr>
          <w:rFonts w:hint="default" w:ascii="Times New Roman" w:hAnsi="Times New Roman" w:cs="Times New Roman"/>
          <w:color w:val="auto"/>
          <w:sz w:val="24"/>
          <w:highlight w:val="none"/>
          <w:vertAlign w:val="superscript"/>
        </w:rPr>
        <w:t>-7</w:t>
      </w:r>
      <w:r>
        <w:rPr>
          <w:rFonts w:hint="default" w:ascii="Times New Roman" w:hAnsi="Times New Roman" w:cs="Times New Roman"/>
          <w:color w:val="auto"/>
          <w:sz w:val="24"/>
          <w:highlight w:val="none"/>
        </w:rPr>
        <w:t>mg/L，位于下游</w:t>
      </w:r>
      <w:r>
        <w:rPr>
          <w:rFonts w:hint="eastAsia" w:cs="Times New Roman"/>
          <w:color w:val="auto"/>
          <w:sz w:val="24"/>
          <w:highlight w:val="none"/>
          <w:lang w:val="en-US" w:eastAsia="zh-CN"/>
        </w:rPr>
        <w:t>7</w:t>
      </w:r>
      <w:r>
        <w:rPr>
          <w:rFonts w:hint="default" w:ascii="Times New Roman" w:hAnsi="Times New Roman" w:cs="Times New Roman"/>
          <w:color w:val="auto"/>
          <w:sz w:val="24"/>
          <w:highlight w:val="none"/>
        </w:rPr>
        <w:t>m处；污染物运移到下游污染浓度满足《地下水质量标准》（GB/T14848-2017）中的</w:t>
      </w:r>
      <w:r>
        <w:rPr>
          <w:rFonts w:hint="default" w:ascii="Times New Roman" w:hAnsi="Times New Roman" w:cs="Times New Roman"/>
          <w:color w:val="auto"/>
          <w:sz w:val="24"/>
          <w:highlight w:val="none"/>
          <w:lang w:eastAsia="zh-CN"/>
        </w:rPr>
        <w:t>Ⅲ类</w:t>
      </w:r>
      <w:r>
        <w:rPr>
          <w:rFonts w:hint="default" w:ascii="Times New Roman" w:hAnsi="Times New Roman" w:cs="Times New Roman"/>
          <w:color w:val="auto"/>
          <w:sz w:val="24"/>
          <w:highlight w:val="none"/>
        </w:rPr>
        <w:t>标准。</w:t>
      </w:r>
    </w:p>
    <w:p w14:paraId="2C75EF14">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rPr>
        <w:t>从预测结果可以看出，尾矿淋溶水渗漏溢流到下游区域预测超标距离为0m。污染物运移到下游污染浓度满足《地下水质量标准》（GB/T14848-2017）</w:t>
      </w:r>
      <w:r>
        <w:rPr>
          <w:rFonts w:hint="default" w:ascii="Times New Roman" w:hAnsi="Times New Roman" w:cs="Times New Roman"/>
          <w:color w:val="auto"/>
          <w:sz w:val="24"/>
          <w:highlight w:val="none"/>
          <w:lang w:eastAsia="zh-CN"/>
        </w:rPr>
        <w:t>Ⅲ类</w:t>
      </w:r>
      <w:r>
        <w:rPr>
          <w:rFonts w:hint="default" w:ascii="Times New Roman" w:hAnsi="Times New Roman" w:cs="Times New Roman"/>
          <w:color w:val="auto"/>
          <w:sz w:val="24"/>
          <w:highlight w:val="none"/>
        </w:rPr>
        <w:t>标准。根据项目区块地形，下游1km范围内无耕地和村落、乡镇分布，非正常状况下，项目非正常状况对周边环境无明显影响。</w:t>
      </w:r>
    </w:p>
    <w:p w14:paraId="70FAE59C">
      <w:pPr>
        <w:pStyle w:val="4"/>
        <w:rPr>
          <w:rFonts w:hint="default" w:ascii="Times New Roman" w:hAnsi="Times New Roman" w:cs="Times New Roman"/>
          <w:color w:val="auto"/>
          <w:highlight w:val="none"/>
        </w:rPr>
      </w:pPr>
      <w:bookmarkStart w:id="721" w:name="_Toc26249"/>
      <w:bookmarkStart w:id="722" w:name="_Toc22124"/>
      <w:bookmarkStart w:id="723" w:name="_Toc20422"/>
      <w:r>
        <w:rPr>
          <w:rFonts w:hint="default" w:ascii="Times New Roman" w:hAnsi="Times New Roman" w:cs="Times New Roman"/>
          <w:color w:val="auto"/>
          <w:highlight w:val="none"/>
        </w:rPr>
        <w:t>5.2.4运营期声环境影响分析与评价</w:t>
      </w:r>
      <w:bookmarkEnd w:id="721"/>
      <w:bookmarkEnd w:id="722"/>
      <w:bookmarkEnd w:id="723"/>
    </w:p>
    <w:p w14:paraId="329660A2">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5.2.4.1</w:t>
      </w:r>
      <w:r>
        <w:rPr>
          <w:rFonts w:hint="default" w:ascii="Times New Roman" w:hAnsi="Times New Roman" w:cs="Times New Roman"/>
          <w:color w:val="auto"/>
          <w:highlight w:val="none"/>
          <w:lang w:val="zh-CN"/>
        </w:rPr>
        <w:t>声环境质量影响预测</w:t>
      </w:r>
    </w:p>
    <w:p w14:paraId="1200AE8F">
      <w:pPr>
        <w:overflowPunct w:val="0"/>
        <w:topLinePunct/>
        <w:adjustRightInd w:val="0"/>
        <w:ind w:firstLine="48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项目噪声污染源主要是选矿过程中各设备工作时产生的机械噪声及</w:t>
      </w:r>
      <w:r>
        <w:rPr>
          <w:rFonts w:hint="default" w:ascii="Times New Roman" w:hAnsi="Times New Roman" w:cs="Times New Roman"/>
          <w:color w:val="auto"/>
          <w:highlight w:val="none"/>
          <w:lang w:val="en-US" w:eastAsia="zh-CN"/>
        </w:rPr>
        <w:t>车辆</w:t>
      </w:r>
      <w:r>
        <w:rPr>
          <w:rFonts w:hint="default" w:ascii="Times New Roman" w:hAnsi="Times New Roman" w:cs="Times New Roman"/>
          <w:color w:val="auto"/>
          <w:highlight w:val="none"/>
        </w:rPr>
        <w:t>运输过程产生的运输噪声</w:t>
      </w:r>
      <w:r>
        <w:rPr>
          <w:rFonts w:hint="default" w:ascii="Times New Roman" w:hAnsi="Times New Roman" w:cs="Times New Roman"/>
          <w:color w:val="auto"/>
          <w:highlight w:val="none"/>
          <w:lang w:eastAsia="zh-CN"/>
        </w:rPr>
        <w:t>。</w:t>
      </w:r>
    </w:p>
    <w:p w14:paraId="767D23AF">
      <w:pPr>
        <w:overflowPunct w:val="0"/>
        <w:topLinePunct/>
        <w:adjustRightInd w:val="0"/>
        <w:ind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选矿噪声</w:t>
      </w:r>
    </w:p>
    <w:p w14:paraId="2A7616E0">
      <w:pPr>
        <w:overflowPunct w:val="0"/>
        <w:topLinePunct/>
        <w:adjustRightInd w:val="0"/>
        <w:ind w:firstLine="480"/>
        <w:rPr>
          <w:rFonts w:hint="default" w:ascii="Times New Roman" w:hAnsi="Times New Roman" w:eastAsia="宋体" w:cs="Times New Roman"/>
          <w:color w:val="auto"/>
          <w:highlight w:val="none"/>
          <w:lang w:eastAsia="zh-CN"/>
        </w:rPr>
      </w:pPr>
      <w:r>
        <w:rPr>
          <w:rFonts w:hint="default" w:ascii="Times New Roman" w:hAnsi="Times New Roman" w:cs="Times New Roman"/>
          <w:snapToGrid w:val="0"/>
          <w:color w:val="auto"/>
          <w:kern w:val="0"/>
          <w:sz w:val="24"/>
          <w:szCs w:val="20"/>
          <w:highlight w:val="none"/>
        </w:rPr>
        <w:t>选矿设备噪声源大部分为宽频带，且多为固定、连续声源。选厂的主要噪声源有破碎机、</w:t>
      </w:r>
      <w:r>
        <w:rPr>
          <w:rFonts w:hint="default" w:ascii="Times New Roman" w:hAnsi="Times New Roman" w:cs="Times New Roman"/>
          <w:snapToGrid w:val="0"/>
          <w:color w:val="auto"/>
          <w:kern w:val="0"/>
          <w:sz w:val="24"/>
          <w:szCs w:val="20"/>
          <w:highlight w:val="none"/>
          <w:lang w:val="en-US" w:eastAsia="zh-CN"/>
        </w:rPr>
        <w:t>振动筛</w:t>
      </w:r>
      <w:r>
        <w:rPr>
          <w:rFonts w:hint="default" w:ascii="Times New Roman" w:hAnsi="Times New Roman" w:cs="Times New Roman"/>
          <w:snapToGrid w:val="0"/>
          <w:color w:val="auto"/>
          <w:kern w:val="0"/>
          <w:sz w:val="24"/>
          <w:szCs w:val="20"/>
          <w:highlight w:val="none"/>
        </w:rPr>
        <w:t>、球磨机、</w:t>
      </w:r>
      <w:r>
        <w:rPr>
          <w:rFonts w:hint="default" w:ascii="Times New Roman" w:hAnsi="Times New Roman" w:cs="Times New Roman"/>
          <w:snapToGrid w:val="0"/>
          <w:color w:val="auto"/>
          <w:kern w:val="0"/>
          <w:sz w:val="24"/>
          <w:szCs w:val="20"/>
          <w:highlight w:val="none"/>
          <w:lang w:val="en-US" w:eastAsia="zh-CN"/>
        </w:rPr>
        <w:t>浓缩机、</w:t>
      </w:r>
      <w:r>
        <w:rPr>
          <w:rFonts w:hint="default" w:ascii="Times New Roman" w:hAnsi="Times New Roman" w:cs="Times New Roman"/>
          <w:snapToGrid w:val="0"/>
          <w:color w:val="auto"/>
          <w:kern w:val="0"/>
          <w:sz w:val="24"/>
          <w:szCs w:val="20"/>
          <w:highlight w:val="none"/>
        </w:rPr>
        <w:t>风机</w:t>
      </w:r>
      <w:r>
        <w:rPr>
          <w:rFonts w:hint="default" w:ascii="Times New Roman" w:hAnsi="Times New Roman" w:cs="Times New Roman"/>
          <w:snapToGrid w:val="0"/>
          <w:color w:val="auto"/>
          <w:kern w:val="0"/>
          <w:sz w:val="24"/>
          <w:szCs w:val="20"/>
          <w:highlight w:val="none"/>
          <w:lang w:eastAsia="zh-CN"/>
        </w:rPr>
        <w:t>、</w:t>
      </w:r>
      <w:r>
        <w:rPr>
          <w:rFonts w:hint="default" w:ascii="Times New Roman" w:hAnsi="Times New Roman" w:cs="Times New Roman"/>
          <w:snapToGrid w:val="0"/>
          <w:color w:val="auto"/>
          <w:kern w:val="0"/>
          <w:sz w:val="24"/>
          <w:szCs w:val="20"/>
          <w:highlight w:val="none"/>
          <w:lang w:val="en-US" w:eastAsia="zh-CN"/>
        </w:rPr>
        <w:t>空压机</w:t>
      </w:r>
      <w:r>
        <w:rPr>
          <w:rFonts w:hint="default" w:ascii="Times New Roman" w:hAnsi="Times New Roman" w:cs="Times New Roman"/>
          <w:snapToGrid w:val="0"/>
          <w:color w:val="auto"/>
          <w:kern w:val="0"/>
          <w:sz w:val="24"/>
          <w:szCs w:val="20"/>
          <w:highlight w:val="none"/>
        </w:rPr>
        <w:t>等设备，其噪声声压级在</w:t>
      </w:r>
      <w:r>
        <w:rPr>
          <w:rFonts w:hint="default" w:ascii="Times New Roman" w:hAnsi="Times New Roman" w:cs="Times New Roman"/>
          <w:snapToGrid w:val="0"/>
          <w:color w:val="auto"/>
          <w:kern w:val="0"/>
          <w:sz w:val="24"/>
          <w:szCs w:val="20"/>
          <w:highlight w:val="none"/>
          <w:lang w:val="en-US" w:eastAsia="zh-CN"/>
        </w:rPr>
        <w:t>8</w:t>
      </w:r>
      <w:r>
        <w:rPr>
          <w:rFonts w:hint="default" w:ascii="Times New Roman" w:hAnsi="Times New Roman" w:cs="Times New Roman"/>
          <w:snapToGrid w:val="0"/>
          <w:color w:val="auto"/>
          <w:kern w:val="0"/>
          <w:sz w:val="24"/>
          <w:szCs w:val="20"/>
          <w:highlight w:val="none"/>
        </w:rPr>
        <w:t>0~100dB（A）之间，各设备均安置在厂房内，对主要噪声源采取减振、消声等措施，经墙体等建筑隔声措施</w:t>
      </w:r>
      <w:r>
        <w:rPr>
          <w:rFonts w:hint="default" w:ascii="Times New Roman" w:hAnsi="Times New Roman" w:cs="Times New Roman"/>
          <w:snapToGrid w:val="0"/>
          <w:color w:val="auto"/>
          <w:kern w:val="0"/>
          <w:sz w:val="24"/>
          <w:szCs w:val="20"/>
          <w:highlight w:val="none"/>
          <w:lang w:eastAsia="zh-CN"/>
        </w:rPr>
        <w:t>。</w:t>
      </w:r>
    </w:p>
    <w:p w14:paraId="5A99D22F">
      <w:pPr>
        <w:overflowPunct w:val="0"/>
        <w:topLinePunct/>
        <w:adjustRightInd w:val="0"/>
        <w:ind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2、</w:t>
      </w:r>
      <w:r>
        <w:rPr>
          <w:rFonts w:hint="default" w:ascii="Times New Roman" w:hAnsi="Times New Roman" w:cs="Times New Roman"/>
          <w:color w:val="auto"/>
          <w:highlight w:val="none"/>
          <w:lang w:val="en-US" w:eastAsia="zh-CN"/>
        </w:rPr>
        <w:t>运输噪声</w:t>
      </w:r>
    </w:p>
    <w:p w14:paraId="3A4A2B29">
      <w:pPr>
        <w:overflowPunct w:val="0"/>
        <w:topLinePunct/>
        <w:adjustRightInd w:val="0"/>
        <w:ind w:firstLine="480"/>
        <w:rPr>
          <w:rFonts w:hint="default" w:ascii="Times New Roman" w:hAnsi="Times New Roman" w:eastAsia="宋体" w:cs="Times New Roman"/>
          <w:color w:val="auto"/>
          <w:highlight w:val="none"/>
          <w:lang w:val="zh-CN" w:eastAsia="zh-CN"/>
        </w:rPr>
      </w:pPr>
      <w:r>
        <w:rPr>
          <w:rFonts w:hint="default" w:ascii="Times New Roman" w:hAnsi="Times New Roman" w:cs="Times New Roman"/>
          <w:snapToGrid w:val="0"/>
          <w:color w:val="auto"/>
          <w:kern w:val="0"/>
          <w:sz w:val="24"/>
          <w:szCs w:val="20"/>
          <w:highlight w:val="none"/>
        </w:rPr>
        <w:t>汽车全速行驶产生的交通噪声在7</w:t>
      </w:r>
      <w:r>
        <w:rPr>
          <w:rFonts w:hint="default" w:ascii="Times New Roman" w:hAnsi="Times New Roman" w:cs="Times New Roman"/>
          <w:snapToGrid w:val="0"/>
          <w:color w:val="auto"/>
          <w:kern w:val="0"/>
          <w:sz w:val="24"/>
          <w:szCs w:val="20"/>
          <w:highlight w:val="none"/>
          <w:lang w:val="en-US" w:eastAsia="zh-CN"/>
        </w:rPr>
        <w:t>5</w:t>
      </w:r>
      <w:r>
        <w:rPr>
          <w:rFonts w:hint="default" w:ascii="Times New Roman" w:hAnsi="Times New Roman" w:cs="Times New Roman"/>
          <w:snapToGrid w:val="0"/>
          <w:color w:val="auto"/>
          <w:kern w:val="0"/>
          <w:sz w:val="24"/>
          <w:szCs w:val="20"/>
          <w:highlight w:val="none"/>
        </w:rPr>
        <w:t>～8</w:t>
      </w:r>
      <w:r>
        <w:rPr>
          <w:rFonts w:hint="default" w:ascii="Times New Roman" w:hAnsi="Times New Roman" w:cs="Times New Roman"/>
          <w:snapToGrid w:val="0"/>
          <w:color w:val="auto"/>
          <w:kern w:val="0"/>
          <w:sz w:val="24"/>
          <w:szCs w:val="20"/>
          <w:highlight w:val="none"/>
          <w:lang w:val="en-US" w:eastAsia="zh-CN"/>
        </w:rPr>
        <w:t>5</w:t>
      </w:r>
      <w:r>
        <w:rPr>
          <w:rFonts w:hint="default" w:ascii="Times New Roman" w:hAnsi="Times New Roman" w:cs="Times New Roman"/>
          <w:snapToGrid w:val="0"/>
          <w:color w:val="auto"/>
          <w:kern w:val="0"/>
          <w:sz w:val="24"/>
          <w:szCs w:val="20"/>
          <w:highlight w:val="none"/>
        </w:rPr>
        <w:t>dB</w:t>
      </w:r>
      <w:r>
        <w:rPr>
          <w:rFonts w:hint="default" w:ascii="Times New Roman" w:hAnsi="Times New Roman" w:cs="Times New Roman"/>
          <w:snapToGrid w:val="0"/>
          <w:color w:val="auto"/>
          <w:kern w:val="0"/>
          <w:sz w:val="24"/>
          <w:szCs w:val="20"/>
          <w:highlight w:val="none"/>
          <w:lang w:eastAsia="zh-CN"/>
        </w:rPr>
        <w:t>（</w:t>
      </w:r>
      <w:r>
        <w:rPr>
          <w:rFonts w:hint="default" w:ascii="Times New Roman" w:hAnsi="Times New Roman" w:cs="Times New Roman"/>
          <w:snapToGrid w:val="0"/>
          <w:color w:val="auto"/>
          <w:kern w:val="0"/>
          <w:sz w:val="24"/>
          <w:szCs w:val="20"/>
          <w:highlight w:val="none"/>
        </w:rPr>
        <w:t>A</w:t>
      </w:r>
      <w:r>
        <w:rPr>
          <w:rFonts w:hint="default" w:ascii="Times New Roman" w:hAnsi="Times New Roman" w:cs="Times New Roman"/>
          <w:snapToGrid w:val="0"/>
          <w:color w:val="auto"/>
          <w:kern w:val="0"/>
          <w:sz w:val="24"/>
          <w:szCs w:val="20"/>
          <w:highlight w:val="none"/>
          <w:lang w:eastAsia="zh-CN"/>
        </w:rPr>
        <w:t>）</w:t>
      </w:r>
      <w:r>
        <w:rPr>
          <w:rFonts w:hint="default" w:ascii="Times New Roman" w:hAnsi="Times New Roman" w:cs="Times New Roman"/>
          <w:snapToGrid w:val="0"/>
          <w:color w:val="auto"/>
          <w:kern w:val="0"/>
          <w:sz w:val="24"/>
          <w:szCs w:val="20"/>
          <w:highlight w:val="none"/>
        </w:rPr>
        <w:t>之间</w:t>
      </w:r>
      <w:r>
        <w:rPr>
          <w:rFonts w:hint="default" w:ascii="Times New Roman" w:hAnsi="Times New Roman" w:cs="Times New Roman"/>
          <w:snapToGrid w:val="0"/>
          <w:color w:val="auto"/>
          <w:kern w:val="0"/>
          <w:sz w:val="24"/>
          <w:szCs w:val="20"/>
          <w:highlight w:val="none"/>
          <w:lang w:eastAsia="zh-CN"/>
        </w:rPr>
        <w:t>。</w:t>
      </w:r>
    </w:p>
    <w:p w14:paraId="5BA1EABF">
      <w:pPr>
        <w:tabs>
          <w:tab w:val="left" w:pos="8959"/>
        </w:tabs>
        <w:autoSpaceDE w:val="0"/>
        <w:autoSpaceDN w:val="0"/>
        <w:adjustRightInd w:val="0"/>
        <w:snapToGrid w:val="0"/>
        <w:spacing w:line="470" w:lineRule="exact"/>
        <w:ind w:firstLine="480" w:firstLineChars="200"/>
        <w:rPr>
          <w:rFonts w:hint="default" w:ascii="Times New Roman" w:hAnsi="Times New Roman" w:cs="Times New Roman"/>
          <w:snapToGrid w:val="0"/>
          <w:color w:val="auto"/>
          <w:kern w:val="0"/>
          <w:sz w:val="24"/>
          <w:szCs w:val="20"/>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snapToGrid w:val="0"/>
          <w:color w:val="auto"/>
          <w:kern w:val="0"/>
          <w:sz w:val="24"/>
          <w:szCs w:val="20"/>
          <w:highlight w:val="none"/>
        </w:rPr>
        <w:t>本项目主要噪声源及治理措施见下表。</w:t>
      </w:r>
    </w:p>
    <w:p w14:paraId="0A3FA40C">
      <w:pPr>
        <w:pStyle w:val="29"/>
        <w:widowControl w:val="0"/>
        <w:tabs>
          <w:tab w:val="left" w:pos="6840"/>
        </w:tabs>
        <w:spacing w:before="0" w:beforeAutospacing="0" w:after="0" w:afterAutospacing="0" w:line="480" w:lineRule="exact"/>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color w:val="auto"/>
          <w:sz w:val="24"/>
          <w:szCs w:val="24"/>
          <w:highlight w:val="none"/>
        </w:rPr>
        <w:t>表</w:t>
      </w:r>
      <w:r>
        <w:rPr>
          <w:rFonts w:hint="default" w:ascii="Times New Roman" w:hAnsi="Times New Roman" w:eastAsia="宋体" w:cs="Times New Roman"/>
          <w:b/>
          <w:color w:val="auto"/>
          <w:sz w:val="24"/>
          <w:szCs w:val="24"/>
          <w:highlight w:val="none"/>
          <w:lang w:val="en-US" w:eastAsia="zh-CN"/>
        </w:rPr>
        <w:t>5</w:t>
      </w:r>
      <w:r>
        <w:rPr>
          <w:rFonts w:hint="default" w:ascii="Times New Roman" w:hAnsi="Times New Roman" w:eastAsia="宋体" w:cs="Times New Roman"/>
          <w:b/>
          <w:color w:val="auto"/>
          <w:sz w:val="24"/>
          <w:szCs w:val="24"/>
          <w:highlight w:val="none"/>
          <w:lang w:eastAsia="zh-CN"/>
        </w:rPr>
        <w:t>.</w:t>
      </w:r>
      <w:r>
        <w:rPr>
          <w:rFonts w:hint="default" w:ascii="Times New Roman" w:hAnsi="Times New Roman" w:eastAsia="宋体" w:cs="Times New Roman"/>
          <w:b/>
          <w:color w:val="auto"/>
          <w:sz w:val="24"/>
          <w:szCs w:val="24"/>
          <w:highlight w:val="none"/>
          <w:lang w:val="en-US" w:eastAsia="zh-CN"/>
        </w:rPr>
        <w:t>2-1</w:t>
      </w:r>
      <w:r>
        <w:rPr>
          <w:rFonts w:hint="eastAsia" w:ascii="Times New Roman" w:hAnsi="Times New Roman" w:cs="Times New Roman"/>
          <w:b/>
          <w:color w:val="auto"/>
          <w:sz w:val="24"/>
          <w:szCs w:val="24"/>
          <w:highlight w:val="none"/>
          <w:lang w:val="en-US" w:eastAsia="zh-CN"/>
        </w:rPr>
        <w:t>7</w:t>
      </w:r>
      <w:r>
        <w:rPr>
          <w:rFonts w:hint="default" w:ascii="Times New Roman" w:hAnsi="Times New Roman" w:eastAsia="宋体" w:cs="Times New Roman"/>
          <w:b/>
          <w:color w:val="auto"/>
          <w:sz w:val="24"/>
          <w:szCs w:val="24"/>
          <w:highlight w:val="none"/>
        </w:rPr>
        <w:t xml:space="preserve">    </w:t>
      </w:r>
      <w:r>
        <w:rPr>
          <w:rFonts w:hint="default" w:ascii="Times New Roman" w:hAnsi="Times New Roman" w:eastAsia="宋体" w:cs="Times New Roman"/>
          <w:b/>
          <w:color w:val="auto"/>
          <w:sz w:val="24"/>
          <w:szCs w:val="24"/>
          <w:highlight w:val="none"/>
          <w:lang w:val="en-US" w:eastAsia="zh-CN"/>
        </w:rPr>
        <w:t>运营期噪声源强表</w:t>
      </w:r>
      <w:r>
        <w:rPr>
          <w:rFonts w:hint="default" w:ascii="Times New Roman" w:hAnsi="Times New Roman" w:cs="Times New Roman"/>
          <w:b/>
          <w:color w:val="auto"/>
          <w:highlight w:val="none"/>
          <w:lang w:val="en-US" w:eastAsia="zh-CN" w:bidi="ar"/>
        </w:rPr>
        <w:t xml:space="preserve">   </w:t>
      </w:r>
      <w:r>
        <w:rPr>
          <w:rFonts w:hint="default" w:ascii="Times New Roman" w:hAnsi="Times New Roman" w:cs="Times New Roman"/>
          <w:b/>
          <w:color w:val="auto"/>
          <w:sz w:val="24"/>
          <w:szCs w:val="24"/>
          <w:highlight w:val="none"/>
          <w:lang w:val="en-US" w:eastAsia="zh-CN" w:bidi="ar"/>
        </w:rPr>
        <w:t>单位：</w:t>
      </w:r>
      <w:r>
        <w:rPr>
          <w:rFonts w:hint="default" w:ascii="Times New Roman" w:hAnsi="Times New Roman" w:eastAsia="宋体" w:cs="Times New Roman"/>
          <w:b/>
          <w:bCs/>
          <w:color w:val="auto"/>
          <w:sz w:val="24"/>
          <w:szCs w:val="24"/>
          <w:highlight w:val="none"/>
          <w:lang w:val="en-US" w:eastAsia="zh-CN"/>
        </w:rPr>
        <w:t>dB（A）</w:t>
      </w:r>
    </w:p>
    <w:tbl>
      <w:tblPr>
        <w:tblStyle w:val="33"/>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50"/>
        <w:gridCol w:w="675"/>
        <w:gridCol w:w="1395"/>
        <w:gridCol w:w="607"/>
        <w:gridCol w:w="794"/>
        <w:gridCol w:w="797"/>
        <w:gridCol w:w="533"/>
        <w:gridCol w:w="888"/>
        <w:gridCol w:w="2076"/>
        <w:gridCol w:w="1052"/>
        <w:gridCol w:w="973"/>
        <w:gridCol w:w="1166"/>
        <w:gridCol w:w="703"/>
        <w:gridCol w:w="1004"/>
        <w:gridCol w:w="950"/>
      </w:tblGrid>
      <w:tr w14:paraId="04BF5A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194" w:type="pct"/>
            <w:vMerge w:val="restart"/>
            <w:tcBorders>
              <w:tl2br w:val="nil"/>
              <w:tr2bl w:val="nil"/>
            </w:tcBorders>
            <w:noWrap w:val="0"/>
            <w:vAlign w:val="center"/>
          </w:tcPr>
          <w:p w14:paraId="53E6B8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序号</w:t>
            </w:r>
          </w:p>
        </w:tc>
        <w:tc>
          <w:tcPr>
            <w:tcW w:w="238" w:type="pct"/>
            <w:vMerge w:val="restart"/>
            <w:tcBorders>
              <w:tl2br w:val="nil"/>
              <w:tr2bl w:val="nil"/>
            </w:tcBorders>
            <w:noWrap w:val="0"/>
            <w:vAlign w:val="center"/>
          </w:tcPr>
          <w:p w14:paraId="53B7CD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建筑物名称</w:t>
            </w:r>
          </w:p>
        </w:tc>
        <w:tc>
          <w:tcPr>
            <w:tcW w:w="492" w:type="pct"/>
            <w:vMerge w:val="restart"/>
            <w:tcBorders>
              <w:tl2br w:val="nil"/>
              <w:tr2bl w:val="nil"/>
            </w:tcBorders>
            <w:noWrap w:val="0"/>
            <w:vAlign w:val="center"/>
          </w:tcPr>
          <w:p w14:paraId="09B22A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设备名称</w:t>
            </w:r>
          </w:p>
        </w:tc>
        <w:tc>
          <w:tcPr>
            <w:tcW w:w="775" w:type="pct"/>
            <w:gridSpan w:val="3"/>
            <w:tcBorders>
              <w:tl2br w:val="nil"/>
              <w:tr2bl w:val="nil"/>
            </w:tcBorders>
            <w:noWrap w:val="0"/>
            <w:vAlign w:val="center"/>
          </w:tcPr>
          <w:p w14:paraId="541A34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空间相对位置（m）</w:t>
            </w:r>
          </w:p>
        </w:tc>
        <w:tc>
          <w:tcPr>
            <w:tcW w:w="188" w:type="pct"/>
            <w:vMerge w:val="restart"/>
            <w:tcBorders>
              <w:tl2br w:val="nil"/>
              <w:tr2bl w:val="nil"/>
            </w:tcBorders>
            <w:noWrap w:val="0"/>
            <w:vAlign w:val="center"/>
          </w:tcPr>
          <w:p w14:paraId="2FF43B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台数</w:t>
            </w:r>
          </w:p>
        </w:tc>
        <w:tc>
          <w:tcPr>
            <w:tcW w:w="313" w:type="pct"/>
            <w:vMerge w:val="restart"/>
            <w:tcBorders>
              <w:tl2br w:val="nil"/>
              <w:tr2bl w:val="nil"/>
            </w:tcBorders>
            <w:noWrap w:val="0"/>
            <w:vAlign w:val="center"/>
          </w:tcPr>
          <w:p w14:paraId="5C9800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声压级</w:t>
            </w:r>
          </w:p>
          <w:p w14:paraId="36F24B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dB（A）</w:t>
            </w:r>
          </w:p>
        </w:tc>
        <w:tc>
          <w:tcPr>
            <w:tcW w:w="732" w:type="pct"/>
            <w:vMerge w:val="restart"/>
            <w:tcBorders>
              <w:tl2br w:val="nil"/>
              <w:tr2bl w:val="nil"/>
            </w:tcBorders>
            <w:noWrap w:val="0"/>
            <w:vAlign w:val="center"/>
          </w:tcPr>
          <w:p w14:paraId="66C9FB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防治措施</w:t>
            </w:r>
          </w:p>
        </w:tc>
        <w:tc>
          <w:tcPr>
            <w:tcW w:w="371" w:type="pct"/>
            <w:vMerge w:val="restart"/>
            <w:tcBorders>
              <w:tl2br w:val="nil"/>
              <w:tr2bl w:val="nil"/>
            </w:tcBorders>
            <w:noWrap w:val="0"/>
            <w:vAlign w:val="center"/>
          </w:tcPr>
          <w:p w14:paraId="01252A98">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snapToGrid w:val="0"/>
                <w:color w:val="auto"/>
                <w:kern w:val="0"/>
                <w:sz w:val="21"/>
                <w:szCs w:val="21"/>
                <w:highlight w:val="none"/>
              </w:rPr>
              <w:t>边界声级/</w:t>
            </w:r>
            <w:r>
              <w:rPr>
                <w:rFonts w:hint="default" w:ascii="Times New Roman" w:hAnsi="Times New Roman" w:eastAsia="宋体" w:cs="Times New Roman"/>
                <w:b/>
                <w:bCs/>
                <w:snapToGrid w:val="0"/>
                <w:color w:val="auto"/>
                <w:kern w:val="0"/>
                <w:sz w:val="21"/>
                <w:szCs w:val="21"/>
                <w:highlight w:val="none"/>
                <w:lang w:val="zh-CN"/>
              </w:rPr>
              <w:t>dB（A）</w:t>
            </w:r>
          </w:p>
        </w:tc>
        <w:tc>
          <w:tcPr>
            <w:tcW w:w="343" w:type="pct"/>
            <w:vMerge w:val="restart"/>
            <w:tcBorders>
              <w:tl2br w:val="nil"/>
              <w:tr2bl w:val="nil"/>
            </w:tcBorders>
            <w:noWrap w:val="0"/>
            <w:vAlign w:val="center"/>
          </w:tcPr>
          <w:p w14:paraId="654945FA">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snapToGrid w:val="0"/>
                <w:color w:val="auto"/>
                <w:kern w:val="0"/>
                <w:sz w:val="21"/>
                <w:szCs w:val="21"/>
                <w:highlight w:val="none"/>
              </w:rPr>
              <w:t>距边界距离/m</w:t>
            </w:r>
          </w:p>
        </w:tc>
        <w:tc>
          <w:tcPr>
            <w:tcW w:w="411" w:type="pct"/>
            <w:vMerge w:val="restart"/>
            <w:tcBorders>
              <w:tl2br w:val="nil"/>
              <w:tr2bl w:val="nil"/>
            </w:tcBorders>
            <w:noWrap w:val="0"/>
            <w:vAlign w:val="center"/>
          </w:tcPr>
          <w:p w14:paraId="1DE6EE11">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kern w:val="0"/>
                <w:sz w:val="21"/>
                <w:szCs w:val="21"/>
                <w:highlight w:val="none"/>
              </w:rPr>
              <w:t>建筑物</w:t>
            </w:r>
          </w:p>
          <w:p w14:paraId="3AF9C7F8">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kern w:val="0"/>
                <w:sz w:val="21"/>
                <w:szCs w:val="21"/>
                <w:highlight w:val="none"/>
              </w:rPr>
              <w:t>插入损</w:t>
            </w:r>
          </w:p>
          <w:p w14:paraId="1A0CDCED">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snapToGrid w:val="0"/>
                <w:color w:val="auto"/>
                <w:kern w:val="0"/>
                <w:sz w:val="21"/>
                <w:szCs w:val="21"/>
                <w:highlight w:val="none"/>
              </w:rPr>
              <w:t>失/</w:t>
            </w:r>
            <w:r>
              <w:rPr>
                <w:rFonts w:hint="default" w:ascii="Times New Roman" w:hAnsi="Times New Roman" w:eastAsia="宋体" w:cs="Times New Roman"/>
                <w:b/>
                <w:bCs/>
                <w:snapToGrid w:val="0"/>
                <w:color w:val="auto"/>
                <w:kern w:val="0"/>
                <w:sz w:val="21"/>
                <w:szCs w:val="21"/>
                <w:highlight w:val="none"/>
                <w:lang w:val="zh-CN"/>
              </w:rPr>
              <w:t>dB（A）</w:t>
            </w:r>
          </w:p>
        </w:tc>
        <w:tc>
          <w:tcPr>
            <w:tcW w:w="248" w:type="pct"/>
            <w:vMerge w:val="restart"/>
            <w:tcBorders>
              <w:tl2br w:val="nil"/>
              <w:tr2bl w:val="nil"/>
            </w:tcBorders>
            <w:noWrap w:val="0"/>
            <w:vAlign w:val="center"/>
          </w:tcPr>
          <w:p w14:paraId="5A5DB3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排放规律</w:t>
            </w:r>
          </w:p>
        </w:tc>
        <w:tc>
          <w:tcPr>
            <w:tcW w:w="689" w:type="pct"/>
            <w:gridSpan w:val="2"/>
            <w:tcBorders>
              <w:tl2br w:val="nil"/>
              <w:tr2bl w:val="nil"/>
            </w:tcBorders>
            <w:noWrap w:val="0"/>
            <w:vAlign w:val="center"/>
          </w:tcPr>
          <w:p w14:paraId="6E0EA2C0">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snapToGrid w:val="0"/>
                <w:color w:val="auto"/>
                <w:kern w:val="0"/>
                <w:sz w:val="21"/>
                <w:szCs w:val="21"/>
                <w:highlight w:val="none"/>
              </w:rPr>
              <w:t>建筑物外噪声</w:t>
            </w:r>
          </w:p>
        </w:tc>
      </w:tr>
      <w:tr w14:paraId="65159C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5" w:hRule="atLeast"/>
          <w:jc w:val="center"/>
        </w:trPr>
        <w:tc>
          <w:tcPr>
            <w:tcW w:w="194" w:type="pct"/>
            <w:vMerge w:val="continue"/>
            <w:tcBorders>
              <w:tl2br w:val="nil"/>
              <w:tr2bl w:val="nil"/>
            </w:tcBorders>
            <w:noWrap w:val="0"/>
            <w:vAlign w:val="center"/>
          </w:tcPr>
          <w:p w14:paraId="71FB01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highlight w:val="none"/>
              </w:rPr>
            </w:pPr>
          </w:p>
        </w:tc>
        <w:tc>
          <w:tcPr>
            <w:tcW w:w="238" w:type="pct"/>
            <w:vMerge w:val="continue"/>
            <w:tcBorders>
              <w:tl2br w:val="nil"/>
              <w:tr2bl w:val="nil"/>
            </w:tcBorders>
            <w:noWrap w:val="0"/>
            <w:vAlign w:val="center"/>
          </w:tcPr>
          <w:p w14:paraId="2A94D3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highlight w:val="none"/>
              </w:rPr>
            </w:pPr>
          </w:p>
        </w:tc>
        <w:tc>
          <w:tcPr>
            <w:tcW w:w="492" w:type="pct"/>
            <w:vMerge w:val="continue"/>
            <w:tcBorders>
              <w:tl2br w:val="nil"/>
              <w:tr2bl w:val="nil"/>
            </w:tcBorders>
            <w:noWrap w:val="0"/>
            <w:vAlign w:val="center"/>
          </w:tcPr>
          <w:p w14:paraId="789DFA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highlight w:val="none"/>
              </w:rPr>
            </w:pPr>
          </w:p>
        </w:tc>
        <w:tc>
          <w:tcPr>
            <w:tcW w:w="214" w:type="pct"/>
            <w:tcBorders>
              <w:tl2br w:val="nil"/>
              <w:tr2bl w:val="nil"/>
            </w:tcBorders>
            <w:noWrap w:val="0"/>
            <w:vAlign w:val="center"/>
          </w:tcPr>
          <w:p w14:paraId="61D934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X</w:t>
            </w:r>
          </w:p>
        </w:tc>
        <w:tc>
          <w:tcPr>
            <w:tcW w:w="280" w:type="pct"/>
            <w:tcBorders>
              <w:tl2br w:val="nil"/>
              <w:tr2bl w:val="nil"/>
            </w:tcBorders>
            <w:noWrap w:val="0"/>
            <w:vAlign w:val="center"/>
          </w:tcPr>
          <w:p w14:paraId="62E4D2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Y</w:t>
            </w:r>
          </w:p>
        </w:tc>
        <w:tc>
          <w:tcPr>
            <w:tcW w:w="281" w:type="pct"/>
            <w:tcBorders>
              <w:tl2br w:val="nil"/>
              <w:tr2bl w:val="nil"/>
            </w:tcBorders>
            <w:noWrap w:val="0"/>
            <w:vAlign w:val="center"/>
          </w:tcPr>
          <w:p w14:paraId="71FC4D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Z</w:t>
            </w:r>
          </w:p>
        </w:tc>
        <w:tc>
          <w:tcPr>
            <w:tcW w:w="188" w:type="pct"/>
            <w:vMerge w:val="continue"/>
            <w:tcBorders>
              <w:tl2br w:val="nil"/>
              <w:tr2bl w:val="nil"/>
            </w:tcBorders>
            <w:noWrap w:val="0"/>
            <w:vAlign w:val="center"/>
          </w:tcPr>
          <w:p w14:paraId="63D19A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13" w:type="pct"/>
            <w:vMerge w:val="continue"/>
            <w:tcBorders>
              <w:tl2br w:val="nil"/>
              <w:tr2bl w:val="nil"/>
            </w:tcBorders>
            <w:noWrap w:val="0"/>
            <w:vAlign w:val="center"/>
          </w:tcPr>
          <w:p w14:paraId="73F3EF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732" w:type="pct"/>
            <w:vMerge w:val="continue"/>
            <w:tcBorders>
              <w:tl2br w:val="nil"/>
              <w:tr2bl w:val="nil"/>
            </w:tcBorders>
            <w:noWrap w:val="0"/>
            <w:vAlign w:val="center"/>
          </w:tcPr>
          <w:p w14:paraId="280E10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71" w:type="pct"/>
            <w:vMerge w:val="continue"/>
            <w:tcBorders>
              <w:tl2br w:val="nil"/>
              <w:tr2bl w:val="nil"/>
            </w:tcBorders>
            <w:noWrap w:val="0"/>
            <w:vAlign w:val="center"/>
          </w:tcPr>
          <w:p w14:paraId="7815CD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43" w:type="pct"/>
            <w:vMerge w:val="continue"/>
            <w:tcBorders>
              <w:tl2br w:val="nil"/>
              <w:tr2bl w:val="nil"/>
            </w:tcBorders>
            <w:noWrap w:val="0"/>
            <w:vAlign w:val="center"/>
          </w:tcPr>
          <w:p w14:paraId="193895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411" w:type="pct"/>
            <w:vMerge w:val="continue"/>
            <w:tcBorders>
              <w:tl2br w:val="nil"/>
              <w:tr2bl w:val="nil"/>
            </w:tcBorders>
            <w:noWrap w:val="0"/>
            <w:vAlign w:val="center"/>
          </w:tcPr>
          <w:p w14:paraId="51FCDB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48" w:type="pct"/>
            <w:vMerge w:val="continue"/>
            <w:tcBorders>
              <w:tl2br w:val="nil"/>
              <w:tr2bl w:val="nil"/>
            </w:tcBorders>
            <w:noWrap w:val="0"/>
            <w:vAlign w:val="center"/>
          </w:tcPr>
          <w:p w14:paraId="52C3D0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54" w:type="pct"/>
            <w:tcBorders>
              <w:tl2br w:val="nil"/>
              <w:tr2bl w:val="nil"/>
            </w:tcBorders>
            <w:noWrap w:val="0"/>
            <w:vAlign w:val="center"/>
          </w:tcPr>
          <w:p w14:paraId="74203A4B">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snapToGrid w:val="0"/>
                <w:color w:val="auto"/>
                <w:kern w:val="0"/>
                <w:sz w:val="21"/>
                <w:szCs w:val="21"/>
                <w:highlight w:val="none"/>
              </w:rPr>
              <w:t>声压级/</w:t>
            </w:r>
            <w:r>
              <w:rPr>
                <w:rFonts w:hint="default" w:ascii="Times New Roman" w:hAnsi="Times New Roman" w:eastAsia="宋体" w:cs="Times New Roman"/>
                <w:b/>
                <w:bCs/>
                <w:snapToGrid w:val="0"/>
                <w:color w:val="auto"/>
                <w:kern w:val="0"/>
                <w:sz w:val="21"/>
                <w:szCs w:val="21"/>
                <w:highlight w:val="none"/>
                <w:lang w:val="zh-CN"/>
              </w:rPr>
              <w:t>dB（A）</w:t>
            </w:r>
          </w:p>
        </w:tc>
        <w:tc>
          <w:tcPr>
            <w:tcW w:w="335" w:type="pct"/>
            <w:tcBorders>
              <w:tl2br w:val="nil"/>
              <w:tr2bl w:val="nil"/>
            </w:tcBorders>
            <w:noWrap w:val="0"/>
            <w:vAlign w:val="center"/>
          </w:tcPr>
          <w:p w14:paraId="150829CF">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snapToGrid w:val="0"/>
                <w:color w:val="auto"/>
                <w:kern w:val="0"/>
                <w:sz w:val="21"/>
                <w:szCs w:val="21"/>
                <w:highlight w:val="none"/>
              </w:rPr>
              <w:t>建筑物外距离</w:t>
            </w:r>
          </w:p>
        </w:tc>
      </w:tr>
      <w:tr w14:paraId="16F2F1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94" w:type="pct"/>
            <w:tcBorders>
              <w:tl2br w:val="nil"/>
              <w:tr2bl w:val="nil"/>
            </w:tcBorders>
            <w:noWrap w:val="0"/>
            <w:vAlign w:val="center"/>
          </w:tcPr>
          <w:p w14:paraId="1B6DBE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38" w:type="pct"/>
            <w:vMerge w:val="restart"/>
            <w:tcBorders>
              <w:tl2br w:val="nil"/>
              <w:tr2bl w:val="nil"/>
            </w:tcBorders>
            <w:noWrap w:val="0"/>
            <w:vAlign w:val="center"/>
          </w:tcPr>
          <w:p w14:paraId="4959AF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选矿厂</w:t>
            </w:r>
          </w:p>
        </w:tc>
        <w:tc>
          <w:tcPr>
            <w:tcW w:w="492" w:type="pct"/>
            <w:tcBorders>
              <w:tl2br w:val="nil"/>
              <w:tr2bl w:val="nil"/>
            </w:tcBorders>
            <w:noWrap w:val="0"/>
            <w:vAlign w:val="center"/>
          </w:tcPr>
          <w:p w14:paraId="052294B1">
            <w:pPr>
              <w:pStyle w:val="32"/>
              <w:spacing w:after="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eastAsia="zh-CN"/>
              </w:rPr>
              <w:t>球磨</w:t>
            </w:r>
            <w:r>
              <w:rPr>
                <w:rFonts w:hint="default" w:ascii="Times New Roman" w:hAnsi="Times New Roman" w:cs="Times New Roman"/>
                <w:color w:val="auto"/>
                <w:szCs w:val="21"/>
                <w:highlight w:val="none"/>
              </w:rPr>
              <w:t>机</w:t>
            </w:r>
          </w:p>
        </w:tc>
        <w:tc>
          <w:tcPr>
            <w:tcW w:w="214" w:type="pct"/>
            <w:tcBorders>
              <w:tl2br w:val="nil"/>
              <w:tr2bl w:val="nil"/>
            </w:tcBorders>
            <w:noWrap w:val="0"/>
            <w:vAlign w:val="center"/>
          </w:tcPr>
          <w:p w14:paraId="7F7F48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-168</w:t>
            </w:r>
          </w:p>
        </w:tc>
        <w:tc>
          <w:tcPr>
            <w:tcW w:w="280" w:type="pct"/>
            <w:tcBorders>
              <w:tl2br w:val="nil"/>
              <w:tr2bl w:val="nil"/>
            </w:tcBorders>
            <w:noWrap w:val="0"/>
            <w:vAlign w:val="center"/>
          </w:tcPr>
          <w:p w14:paraId="5417B7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-101</w:t>
            </w:r>
          </w:p>
        </w:tc>
        <w:tc>
          <w:tcPr>
            <w:tcW w:w="281" w:type="pct"/>
            <w:tcBorders>
              <w:tl2br w:val="nil"/>
              <w:tr2bl w:val="nil"/>
            </w:tcBorders>
            <w:noWrap w:val="0"/>
            <w:vAlign w:val="center"/>
          </w:tcPr>
          <w:p w14:paraId="7FBB40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188" w:type="pct"/>
            <w:tcBorders>
              <w:tl2br w:val="nil"/>
              <w:tr2bl w:val="nil"/>
            </w:tcBorders>
            <w:noWrap w:val="0"/>
            <w:vAlign w:val="center"/>
          </w:tcPr>
          <w:p w14:paraId="551266F2">
            <w:pPr>
              <w:pStyle w:val="32"/>
              <w:spacing w:after="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2</w:t>
            </w:r>
          </w:p>
        </w:tc>
        <w:tc>
          <w:tcPr>
            <w:tcW w:w="313" w:type="pct"/>
            <w:tcBorders>
              <w:tl2br w:val="nil"/>
              <w:tr2bl w:val="nil"/>
            </w:tcBorders>
            <w:noWrap w:val="0"/>
            <w:vAlign w:val="center"/>
          </w:tcPr>
          <w:p w14:paraId="572BBE37">
            <w:pPr>
              <w:pStyle w:val="32"/>
              <w:spacing w:after="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95</w:t>
            </w:r>
          </w:p>
        </w:tc>
        <w:tc>
          <w:tcPr>
            <w:tcW w:w="732" w:type="pct"/>
            <w:tcBorders>
              <w:tl2br w:val="nil"/>
              <w:tr2bl w:val="nil"/>
            </w:tcBorders>
            <w:noWrap w:val="0"/>
            <w:vAlign w:val="center"/>
          </w:tcPr>
          <w:p w14:paraId="7C551F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基础减振、隔声罩</w:t>
            </w:r>
          </w:p>
        </w:tc>
        <w:tc>
          <w:tcPr>
            <w:tcW w:w="371" w:type="pct"/>
            <w:tcBorders>
              <w:tl2br w:val="nil"/>
              <w:tr2bl w:val="nil"/>
            </w:tcBorders>
            <w:noWrap w:val="0"/>
            <w:vAlign w:val="center"/>
          </w:tcPr>
          <w:p w14:paraId="31E7C2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86</w:t>
            </w:r>
          </w:p>
        </w:tc>
        <w:tc>
          <w:tcPr>
            <w:tcW w:w="343" w:type="pct"/>
            <w:tcBorders>
              <w:tl2br w:val="nil"/>
              <w:tr2bl w:val="nil"/>
            </w:tcBorders>
            <w:noWrap w:val="0"/>
            <w:vAlign w:val="center"/>
          </w:tcPr>
          <w:p w14:paraId="2B4E06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411" w:type="pct"/>
            <w:tcBorders>
              <w:tl2br w:val="nil"/>
              <w:tr2bl w:val="nil"/>
            </w:tcBorders>
            <w:noWrap w:val="0"/>
            <w:vAlign w:val="center"/>
          </w:tcPr>
          <w:p w14:paraId="1CCF08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15-</w:t>
            </w:r>
            <w:r>
              <w:rPr>
                <w:rFonts w:hint="default" w:ascii="Times New Roman" w:hAnsi="Times New Roman" w:eastAsia="宋体" w:cs="Times New Roman"/>
                <w:b w:val="0"/>
                <w:bCs w:val="0"/>
                <w:snapToGrid w:val="0"/>
                <w:color w:val="auto"/>
                <w:kern w:val="0"/>
                <w:sz w:val="21"/>
                <w:szCs w:val="21"/>
                <w:highlight w:val="none"/>
              </w:rPr>
              <w:t>20</w:t>
            </w:r>
          </w:p>
        </w:tc>
        <w:tc>
          <w:tcPr>
            <w:tcW w:w="248" w:type="pct"/>
            <w:tcBorders>
              <w:tl2br w:val="nil"/>
              <w:tr2bl w:val="nil"/>
            </w:tcBorders>
            <w:noWrap w:val="0"/>
            <w:vAlign w:val="center"/>
          </w:tcPr>
          <w:p w14:paraId="5D949C05">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连续</w:t>
            </w:r>
          </w:p>
        </w:tc>
        <w:tc>
          <w:tcPr>
            <w:tcW w:w="354" w:type="pct"/>
            <w:tcBorders>
              <w:tl2br w:val="nil"/>
              <w:tr2bl w:val="nil"/>
            </w:tcBorders>
            <w:noWrap w:val="0"/>
            <w:vAlign w:val="center"/>
          </w:tcPr>
          <w:p w14:paraId="7FA8CADE">
            <w:pPr>
              <w:pStyle w:val="140"/>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75</w:t>
            </w:r>
          </w:p>
        </w:tc>
        <w:tc>
          <w:tcPr>
            <w:tcW w:w="335" w:type="pct"/>
            <w:tcBorders>
              <w:tl2br w:val="nil"/>
              <w:tr2bl w:val="nil"/>
            </w:tcBorders>
            <w:noWrap w:val="0"/>
            <w:vAlign w:val="center"/>
          </w:tcPr>
          <w:p w14:paraId="7E3003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1m</w:t>
            </w:r>
          </w:p>
        </w:tc>
      </w:tr>
      <w:tr w14:paraId="4F76EE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94" w:type="pct"/>
            <w:tcBorders>
              <w:tl2br w:val="nil"/>
              <w:tr2bl w:val="nil"/>
            </w:tcBorders>
            <w:noWrap w:val="0"/>
            <w:vAlign w:val="center"/>
          </w:tcPr>
          <w:p w14:paraId="145EE8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238" w:type="pct"/>
            <w:vMerge w:val="continue"/>
            <w:tcBorders>
              <w:tl2br w:val="nil"/>
              <w:tr2bl w:val="nil"/>
            </w:tcBorders>
            <w:noWrap w:val="0"/>
            <w:vAlign w:val="center"/>
          </w:tcPr>
          <w:p w14:paraId="1B2D29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492" w:type="pct"/>
            <w:tcBorders>
              <w:tl2br w:val="nil"/>
              <w:tr2bl w:val="nil"/>
            </w:tcBorders>
            <w:noWrap w:val="0"/>
            <w:vAlign w:val="center"/>
          </w:tcPr>
          <w:p w14:paraId="46DFB518">
            <w:pPr>
              <w:pStyle w:val="32"/>
              <w:spacing w:after="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振动筛</w:t>
            </w:r>
          </w:p>
        </w:tc>
        <w:tc>
          <w:tcPr>
            <w:tcW w:w="214" w:type="pct"/>
            <w:tcBorders>
              <w:tl2br w:val="nil"/>
              <w:tr2bl w:val="nil"/>
            </w:tcBorders>
            <w:noWrap w:val="0"/>
            <w:vAlign w:val="center"/>
          </w:tcPr>
          <w:p w14:paraId="18EEE5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-191</w:t>
            </w:r>
          </w:p>
        </w:tc>
        <w:tc>
          <w:tcPr>
            <w:tcW w:w="280" w:type="pct"/>
            <w:tcBorders>
              <w:tl2br w:val="nil"/>
              <w:tr2bl w:val="nil"/>
            </w:tcBorders>
            <w:noWrap w:val="0"/>
            <w:vAlign w:val="center"/>
          </w:tcPr>
          <w:p w14:paraId="09DAEA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-86</w:t>
            </w:r>
          </w:p>
        </w:tc>
        <w:tc>
          <w:tcPr>
            <w:tcW w:w="281" w:type="pct"/>
            <w:tcBorders>
              <w:tl2br w:val="nil"/>
              <w:tr2bl w:val="nil"/>
            </w:tcBorders>
            <w:noWrap w:val="0"/>
            <w:vAlign w:val="center"/>
          </w:tcPr>
          <w:p w14:paraId="5F184B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188" w:type="pct"/>
            <w:tcBorders>
              <w:tl2br w:val="nil"/>
              <w:tr2bl w:val="nil"/>
            </w:tcBorders>
            <w:noWrap w:val="0"/>
            <w:vAlign w:val="center"/>
          </w:tcPr>
          <w:p w14:paraId="2B2D9349">
            <w:pPr>
              <w:pStyle w:val="32"/>
              <w:spacing w:after="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w:t>
            </w:r>
          </w:p>
        </w:tc>
        <w:tc>
          <w:tcPr>
            <w:tcW w:w="313" w:type="pct"/>
            <w:tcBorders>
              <w:tl2br w:val="nil"/>
              <w:tr2bl w:val="nil"/>
            </w:tcBorders>
            <w:noWrap w:val="0"/>
            <w:vAlign w:val="center"/>
          </w:tcPr>
          <w:p w14:paraId="44E31E73">
            <w:pPr>
              <w:pStyle w:val="32"/>
              <w:spacing w:after="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90</w:t>
            </w:r>
          </w:p>
        </w:tc>
        <w:tc>
          <w:tcPr>
            <w:tcW w:w="732" w:type="pct"/>
            <w:tcBorders>
              <w:tl2br w:val="nil"/>
              <w:tr2bl w:val="nil"/>
            </w:tcBorders>
            <w:noWrap w:val="0"/>
            <w:vAlign w:val="center"/>
          </w:tcPr>
          <w:p w14:paraId="1FD42F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基础减振、隔声罩</w:t>
            </w:r>
          </w:p>
        </w:tc>
        <w:tc>
          <w:tcPr>
            <w:tcW w:w="371" w:type="pct"/>
            <w:tcBorders>
              <w:tl2br w:val="nil"/>
              <w:tr2bl w:val="nil"/>
            </w:tcBorders>
            <w:noWrap w:val="0"/>
            <w:vAlign w:val="center"/>
          </w:tcPr>
          <w:p w14:paraId="0A5E89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w:t>
            </w:r>
            <w:r>
              <w:rPr>
                <w:rFonts w:hint="eastAsia" w:ascii="Times New Roman" w:hAnsi="Times New Roman" w:eastAsia="宋体" w:cs="Times New Roman"/>
                <w:color w:val="auto"/>
                <w:kern w:val="2"/>
                <w:sz w:val="21"/>
                <w:szCs w:val="21"/>
                <w:highlight w:val="none"/>
                <w:lang w:val="en-US" w:eastAsia="zh-CN" w:bidi="ar-SA"/>
              </w:rPr>
              <w:t>4</w:t>
            </w:r>
          </w:p>
        </w:tc>
        <w:tc>
          <w:tcPr>
            <w:tcW w:w="343" w:type="pct"/>
            <w:tcBorders>
              <w:tl2br w:val="nil"/>
              <w:tr2bl w:val="nil"/>
            </w:tcBorders>
            <w:noWrap w:val="0"/>
            <w:vAlign w:val="center"/>
          </w:tcPr>
          <w:p w14:paraId="4435E9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w:t>
            </w:r>
          </w:p>
        </w:tc>
        <w:tc>
          <w:tcPr>
            <w:tcW w:w="411" w:type="pct"/>
            <w:tcBorders>
              <w:tl2br w:val="nil"/>
              <w:tr2bl w:val="nil"/>
            </w:tcBorders>
            <w:noWrap w:val="0"/>
            <w:vAlign w:val="center"/>
          </w:tcPr>
          <w:p w14:paraId="7489B0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15-</w:t>
            </w:r>
            <w:r>
              <w:rPr>
                <w:rFonts w:hint="default" w:ascii="Times New Roman" w:hAnsi="Times New Roman" w:eastAsia="宋体" w:cs="Times New Roman"/>
                <w:b w:val="0"/>
                <w:bCs w:val="0"/>
                <w:snapToGrid w:val="0"/>
                <w:color w:val="auto"/>
                <w:kern w:val="0"/>
                <w:sz w:val="21"/>
                <w:szCs w:val="21"/>
                <w:highlight w:val="none"/>
              </w:rPr>
              <w:t>20</w:t>
            </w:r>
          </w:p>
        </w:tc>
        <w:tc>
          <w:tcPr>
            <w:tcW w:w="248" w:type="pct"/>
            <w:tcBorders>
              <w:tl2br w:val="nil"/>
              <w:tr2bl w:val="nil"/>
            </w:tcBorders>
            <w:noWrap w:val="0"/>
            <w:vAlign w:val="center"/>
          </w:tcPr>
          <w:p w14:paraId="3C5D36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连续</w:t>
            </w:r>
          </w:p>
        </w:tc>
        <w:tc>
          <w:tcPr>
            <w:tcW w:w="354" w:type="pct"/>
            <w:tcBorders>
              <w:tl2br w:val="nil"/>
              <w:tr2bl w:val="nil"/>
            </w:tcBorders>
            <w:noWrap w:val="0"/>
            <w:vAlign w:val="center"/>
          </w:tcPr>
          <w:p w14:paraId="6F44C08F">
            <w:pPr>
              <w:pStyle w:val="140"/>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w:t>
            </w:r>
            <w:r>
              <w:rPr>
                <w:rFonts w:hint="eastAsia" w:ascii="Times New Roman" w:hAnsi="Times New Roman" w:eastAsia="宋体" w:cs="Times New Roman"/>
                <w:color w:val="auto"/>
                <w:kern w:val="2"/>
                <w:sz w:val="21"/>
                <w:szCs w:val="21"/>
                <w:highlight w:val="none"/>
                <w:lang w:val="en-US" w:eastAsia="zh-CN" w:bidi="ar-SA"/>
              </w:rPr>
              <w:t>3</w:t>
            </w:r>
          </w:p>
        </w:tc>
        <w:tc>
          <w:tcPr>
            <w:tcW w:w="335" w:type="pct"/>
            <w:tcBorders>
              <w:tl2br w:val="nil"/>
              <w:tr2bl w:val="nil"/>
            </w:tcBorders>
            <w:noWrap w:val="0"/>
            <w:vAlign w:val="center"/>
          </w:tcPr>
          <w:p w14:paraId="7CEFCC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1m</w:t>
            </w:r>
          </w:p>
        </w:tc>
      </w:tr>
      <w:tr w14:paraId="63CF73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94" w:type="pct"/>
            <w:tcBorders>
              <w:tl2br w:val="nil"/>
              <w:tr2bl w:val="nil"/>
            </w:tcBorders>
            <w:noWrap w:val="0"/>
            <w:vAlign w:val="center"/>
          </w:tcPr>
          <w:p w14:paraId="1B0F54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238" w:type="pct"/>
            <w:vMerge w:val="continue"/>
            <w:tcBorders>
              <w:tl2br w:val="nil"/>
              <w:tr2bl w:val="nil"/>
            </w:tcBorders>
            <w:noWrap w:val="0"/>
            <w:vAlign w:val="center"/>
          </w:tcPr>
          <w:p w14:paraId="22E931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92" w:type="pct"/>
            <w:tcBorders>
              <w:tl2br w:val="nil"/>
              <w:tr2bl w:val="nil"/>
            </w:tcBorders>
            <w:noWrap w:val="0"/>
            <w:vAlign w:val="center"/>
          </w:tcPr>
          <w:p w14:paraId="07769F8B">
            <w:pPr>
              <w:pStyle w:val="32"/>
              <w:spacing w:after="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eastAsia="zh-CN"/>
              </w:rPr>
              <w:t>破碎</w:t>
            </w:r>
            <w:r>
              <w:rPr>
                <w:rFonts w:hint="default" w:ascii="Times New Roman" w:hAnsi="Times New Roman" w:cs="Times New Roman"/>
                <w:color w:val="auto"/>
                <w:szCs w:val="21"/>
                <w:highlight w:val="none"/>
              </w:rPr>
              <w:t>机</w:t>
            </w:r>
          </w:p>
        </w:tc>
        <w:tc>
          <w:tcPr>
            <w:tcW w:w="214" w:type="pct"/>
            <w:tcBorders>
              <w:tl2br w:val="nil"/>
              <w:tr2bl w:val="nil"/>
            </w:tcBorders>
            <w:noWrap w:val="0"/>
            <w:vAlign w:val="center"/>
          </w:tcPr>
          <w:p w14:paraId="705965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-244</w:t>
            </w:r>
          </w:p>
        </w:tc>
        <w:tc>
          <w:tcPr>
            <w:tcW w:w="280" w:type="pct"/>
            <w:tcBorders>
              <w:tl2br w:val="nil"/>
              <w:tr2bl w:val="nil"/>
            </w:tcBorders>
            <w:noWrap w:val="0"/>
            <w:vAlign w:val="center"/>
          </w:tcPr>
          <w:p w14:paraId="36F1B6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-103</w:t>
            </w:r>
          </w:p>
        </w:tc>
        <w:tc>
          <w:tcPr>
            <w:tcW w:w="281" w:type="pct"/>
            <w:tcBorders>
              <w:tl2br w:val="nil"/>
              <w:tr2bl w:val="nil"/>
            </w:tcBorders>
            <w:noWrap w:val="0"/>
            <w:vAlign w:val="center"/>
          </w:tcPr>
          <w:p w14:paraId="524D53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188" w:type="pct"/>
            <w:tcBorders>
              <w:tl2br w:val="nil"/>
              <w:tr2bl w:val="nil"/>
            </w:tcBorders>
            <w:noWrap w:val="0"/>
            <w:vAlign w:val="center"/>
          </w:tcPr>
          <w:p w14:paraId="55207C93">
            <w:pPr>
              <w:pStyle w:val="32"/>
              <w:spacing w:after="0"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Cs w:val="21"/>
                <w:highlight w:val="none"/>
                <w:lang w:val="en-US" w:eastAsia="zh-CN"/>
              </w:rPr>
              <w:t>3</w:t>
            </w:r>
          </w:p>
        </w:tc>
        <w:tc>
          <w:tcPr>
            <w:tcW w:w="313" w:type="pct"/>
            <w:tcBorders>
              <w:tl2br w:val="nil"/>
              <w:tr2bl w:val="nil"/>
            </w:tcBorders>
            <w:noWrap w:val="0"/>
            <w:vAlign w:val="center"/>
          </w:tcPr>
          <w:p w14:paraId="1EEECE42">
            <w:pPr>
              <w:pStyle w:val="32"/>
              <w:spacing w:after="0"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Cs w:val="21"/>
                <w:highlight w:val="none"/>
                <w:lang w:val="en-US" w:eastAsia="zh-CN"/>
              </w:rPr>
              <w:t>95</w:t>
            </w:r>
          </w:p>
        </w:tc>
        <w:tc>
          <w:tcPr>
            <w:tcW w:w="732" w:type="pct"/>
            <w:tcBorders>
              <w:tl2br w:val="nil"/>
              <w:tr2bl w:val="nil"/>
            </w:tcBorders>
            <w:noWrap w:val="0"/>
            <w:vAlign w:val="center"/>
          </w:tcPr>
          <w:p w14:paraId="4BE364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基础减振、隔声罩</w:t>
            </w:r>
          </w:p>
        </w:tc>
        <w:tc>
          <w:tcPr>
            <w:tcW w:w="371" w:type="pct"/>
            <w:tcBorders>
              <w:tl2br w:val="nil"/>
              <w:tr2bl w:val="nil"/>
            </w:tcBorders>
            <w:noWrap w:val="0"/>
            <w:vAlign w:val="center"/>
          </w:tcPr>
          <w:p w14:paraId="4B84F7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86</w:t>
            </w:r>
          </w:p>
        </w:tc>
        <w:tc>
          <w:tcPr>
            <w:tcW w:w="343" w:type="pct"/>
            <w:tcBorders>
              <w:tl2br w:val="nil"/>
              <w:tr2bl w:val="nil"/>
            </w:tcBorders>
            <w:noWrap w:val="0"/>
            <w:vAlign w:val="center"/>
          </w:tcPr>
          <w:p w14:paraId="65BEB2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w:t>
            </w:r>
          </w:p>
        </w:tc>
        <w:tc>
          <w:tcPr>
            <w:tcW w:w="411" w:type="pct"/>
            <w:tcBorders>
              <w:tl2br w:val="nil"/>
              <w:tr2bl w:val="nil"/>
            </w:tcBorders>
            <w:noWrap w:val="0"/>
            <w:vAlign w:val="center"/>
          </w:tcPr>
          <w:p w14:paraId="50283C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rPr>
            </w:pPr>
            <w:r>
              <w:rPr>
                <w:rFonts w:hint="default" w:ascii="Times New Roman" w:hAnsi="Times New Roman" w:eastAsia="宋体" w:cs="Times New Roman"/>
                <w:b w:val="0"/>
                <w:bCs w:val="0"/>
                <w:snapToGrid w:val="0"/>
                <w:color w:val="auto"/>
                <w:kern w:val="0"/>
                <w:sz w:val="21"/>
                <w:szCs w:val="21"/>
                <w:highlight w:val="none"/>
                <w:lang w:val="en-US" w:eastAsia="zh-CN"/>
              </w:rPr>
              <w:t>15-</w:t>
            </w:r>
            <w:r>
              <w:rPr>
                <w:rFonts w:hint="default" w:ascii="Times New Roman" w:hAnsi="Times New Roman" w:eastAsia="宋体" w:cs="Times New Roman"/>
                <w:b w:val="0"/>
                <w:bCs w:val="0"/>
                <w:snapToGrid w:val="0"/>
                <w:color w:val="auto"/>
                <w:kern w:val="0"/>
                <w:sz w:val="21"/>
                <w:szCs w:val="21"/>
                <w:highlight w:val="none"/>
              </w:rPr>
              <w:t>20</w:t>
            </w:r>
          </w:p>
        </w:tc>
        <w:tc>
          <w:tcPr>
            <w:tcW w:w="248" w:type="pct"/>
            <w:tcBorders>
              <w:tl2br w:val="nil"/>
              <w:tr2bl w:val="nil"/>
            </w:tcBorders>
            <w:noWrap w:val="0"/>
            <w:vAlign w:val="center"/>
          </w:tcPr>
          <w:p w14:paraId="1C726F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连续</w:t>
            </w:r>
          </w:p>
        </w:tc>
        <w:tc>
          <w:tcPr>
            <w:tcW w:w="354" w:type="pct"/>
            <w:tcBorders>
              <w:tl2br w:val="nil"/>
              <w:tr2bl w:val="nil"/>
            </w:tcBorders>
            <w:noWrap w:val="0"/>
            <w:vAlign w:val="center"/>
          </w:tcPr>
          <w:p w14:paraId="2452C7AE">
            <w:pPr>
              <w:pStyle w:val="140"/>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0"/>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lang w:val="en-US" w:eastAsia="zh-CN"/>
              </w:rPr>
              <w:t>7</w:t>
            </w:r>
            <w:r>
              <w:rPr>
                <w:rFonts w:hint="eastAsia" w:ascii="Times New Roman" w:hAnsi="Times New Roman" w:eastAsia="宋体" w:cs="Times New Roman"/>
                <w:b w:val="0"/>
                <w:bCs w:val="0"/>
                <w:snapToGrid w:val="0"/>
                <w:color w:val="auto"/>
                <w:kern w:val="0"/>
                <w:sz w:val="21"/>
                <w:szCs w:val="21"/>
                <w:highlight w:val="none"/>
                <w:lang w:val="en-US" w:eastAsia="zh-CN"/>
              </w:rPr>
              <w:t>4</w:t>
            </w:r>
          </w:p>
        </w:tc>
        <w:tc>
          <w:tcPr>
            <w:tcW w:w="335" w:type="pct"/>
            <w:tcBorders>
              <w:tl2br w:val="nil"/>
              <w:tr2bl w:val="nil"/>
            </w:tcBorders>
            <w:noWrap w:val="0"/>
            <w:vAlign w:val="center"/>
          </w:tcPr>
          <w:p w14:paraId="0D9C22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1m</w:t>
            </w:r>
          </w:p>
        </w:tc>
      </w:tr>
      <w:tr w14:paraId="3072B4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94" w:type="pct"/>
            <w:tcBorders>
              <w:tl2br w:val="nil"/>
              <w:tr2bl w:val="nil"/>
            </w:tcBorders>
            <w:noWrap w:val="0"/>
            <w:vAlign w:val="center"/>
          </w:tcPr>
          <w:p w14:paraId="74BFE9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238" w:type="pct"/>
            <w:vMerge w:val="continue"/>
            <w:tcBorders>
              <w:tl2br w:val="nil"/>
              <w:tr2bl w:val="nil"/>
            </w:tcBorders>
            <w:noWrap w:val="0"/>
            <w:vAlign w:val="center"/>
          </w:tcPr>
          <w:p w14:paraId="187E35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492" w:type="pct"/>
            <w:tcBorders>
              <w:tl2br w:val="nil"/>
              <w:tr2bl w:val="nil"/>
            </w:tcBorders>
            <w:noWrap w:val="0"/>
            <w:vAlign w:val="center"/>
          </w:tcPr>
          <w:p w14:paraId="053D08A8">
            <w:pPr>
              <w:pStyle w:val="32"/>
              <w:spacing w:after="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浮选机</w:t>
            </w:r>
          </w:p>
        </w:tc>
        <w:tc>
          <w:tcPr>
            <w:tcW w:w="214" w:type="pct"/>
            <w:tcBorders>
              <w:tl2br w:val="nil"/>
              <w:tr2bl w:val="nil"/>
            </w:tcBorders>
            <w:noWrap w:val="0"/>
            <w:vAlign w:val="center"/>
          </w:tcPr>
          <w:p w14:paraId="3D647F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-122</w:t>
            </w:r>
          </w:p>
        </w:tc>
        <w:tc>
          <w:tcPr>
            <w:tcW w:w="280" w:type="pct"/>
            <w:tcBorders>
              <w:tl2br w:val="nil"/>
              <w:tr2bl w:val="nil"/>
            </w:tcBorders>
            <w:noWrap w:val="0"/>
            <w:vAlign w:val="center"/>
          </w:tcPr>
          <w:p w14:paraId="594693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-122</w:t>
            </w:r>
          </w:p>
        </w:tc>
        <w:tc>
          <w:tcPr>
            <w:tcW w:w="281" w:type="pct"/>
            <w:tcBorders>
              <w:tl2br w:val="nil"/>
              <w:tr2bl w:val="nil"/>
            </w:tcBorders>
            <w:noWrap w:val="0"/>
            <w:vAlign w:val="center"/>
          </w:tcPr>
          <w:p w14:paraId="6C1808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188" w:type="pct"/>
            <w:tcBorders>
              <w:tl2br w:val="nil"/>
              <w:tr2bl w:val="nil"/>
            </w:tcBorders>
            <w:noWrap w:val="0"/>
            <w:vAlign w:val="center"/>
          </w:tcPr>
          <w:p w14:paraId="1E683714">
            <w:pPr>
              <w:pStyle w:val="32"/>
              <w:spacing w:after="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trike w:val="0"/>
                <w:dstrike w:val="0"/>
                <w:color w:val="auto"/>
                <w:kern w:val="2"/>
                <w:sz w:val="21"/>
                <w:szCs w:val="21"/>
                <w:highlight w:val="none"/>
                <w:lang w:val="en-US" w:eastAsia="zh-CN" w:bidi="ar-SA"/>
              </w:rPr>
              <w:t>11</w:t>
            </w:r>
          </w:p>
        </w:tc>
        <w:tc>
          <w:tcPr>
            <w:tcW w:w="313" w:type="pct"/>
            <w:tcBorders>
              <w:tl2br w:val="nil"/>
              <w:tr2bl w:val="nil"/>
            </w:tcBorders>
            <w:noWrap w:val="0"/>
            <w:vAlign w:val="center"/>
          </w:tcPr>
          <w:p w14:paraId="57E40765">
            <w:pPr>
              <w:pStyle w:val="32"/>
              <w:spacing w:after="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90</w:t>
            </w:r>
          </w:p>
        </w:tc>
        <w:tc>
          <w:tcPr>
            <w:tcW w:w="732" w:type="pct"/>
            <w:tcBorders>
              <w:tl2br w:val="nil"/>
              <w:tr2bl w:val="nil"/>
            </w:tcBorders>
            <w:noWrap w:val="0"/>
            <w:vAlign w:val="center"/>
          </w:tcPr>
          <w:p w14:paraId="702554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基础减振、隔声罩</w:t>
            </w:r>
          </w:p>
        </w:tc>
        <w:tc>
          <w:tcPr>
            <w:tcW w:w="371" w:type="pct"/>
            <w:tcBorders>
              <w:tl2br w:val="nil"/>
              <w:tr2bl w:val="nil"/>
            </w:tcBorders>
            <w:noWrap w:val="0"/>
            <w:vAlign w:val="center"/>
          </w:tcPr>
          <w:p w14:paraId="57CA5F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82</w:t>
            </w:r>
          </w:p>
        </w:tc>
        <w:tc>
          <w:tcPr>
            <w:tcW w:w="343" w:type="pct"/>
            <w:tcBorders>
              <w:tl2br w:val="nil"/>
              <w:tr2bl w:val="nil"/>
            </w:tcBorders>
            <w:noWrap w:val="0"/>
            <w:vAlign w:val="center"/>
          </w:tcPr>
          <w:p w14:paraId="5A4084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28</w:t>
            </w:r>
          </w:p>
        </w:tc>
        <w:tc>
          <w:tcPr>
            <w:tcW w:w="411" w:type="pct"/>
            <w:tcBorders>
              <w:tl2br w:val="nil"/>
              <w:tr2bl w:val="nil"/>
            </w:tcBorders>
            <w:noWrap w:val="0"/>
            <w:vAlign w:val="center"/>
          </w:tcPr>
          <w:p w14:paraId="551A44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rPr>
              <w:t>15-20</w:t>
            </w:r>
          </w:p>
        </w:tc>
        <w:tc>
          <w:tcPr>
            <w:tcW w:w="248" w:type="pct"/>
            <w:tcBorders>
              <w:tl2br w:val="nil"/>
              <w:tr2bl w:val="nil"/>
            </w:tcBorders>
            <w:noWrap w:val="0"/>
            <w:vAlign w:val="center"/>
          </w:tcPr>
          <w:p w14:paraId="6FC88B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连续</w:t>
            </w:r>
          </w:p>
        </w:tc>
        <w:tc>
          <w:tcPr>
            <w:tcW w:w="354" w:type="pct"/>
            <w:tcBorders>
              <w:tl2br w:val="nil"/>
              <w:tr2bl w:val="nil"/>
            </w:tcBorders>
            <w:noWrap w:val="0"/>
            <w:vAlign w:val="center"/>
          </w:tcPr>
          <w:p w14:paraId="2AD142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70</w:t>
            </w:r>
          </w:p>
        </w:tc>
        <w:tc>
          <w:tcPr>
            <w:tcW w:w="335" w:type="pct"/>
            <w:tcBorders>
              <w:tl2br w:val="nil"/>
              <w:tr2bl w:val="nil"/>
            </w:tcBorders>
            <w:noWrap w:val="0"/>
            <w:vAlign w:val="center"/>
          </w:tcPr>
          <w:p w14:paraId="47D9B1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1m</w:t>
            </w:r>
          </w:p>
        </w:tc>
      </w:tr>
      <w:tr w14:paraId="111A00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94" w:type="pct"/>
            <w:tcBorders>
              <w:tl2br w:val="nil"/>
              <w:tr2bl w:val="nil"/>
            </w:tcBorders>
            <w:noWrap w:val="0"/>
            <w:vAlign w:val="center"/>
          </w:tcPr>
          <w:p w14:paraId="14F3DF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238" w:type="pct"/>
            <w:vMerge w:val="continue"/>
            <w:tcBorders>
              <w:tl2br w:val="nil"/>
              <w:tr2bl w:val="nil"/>
            </w:tcBorders>
            <w:noWrap w:val="0"/>
            <w:vAlign w:val="center"/>
          </w:tcPr>
          <w:p w14:paraId="027C63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92" w:type="pct"/>
            <w:tcBorders>
              <w:tl2br w:val="nil"/>
              <w:tr2bl w:val="nil"/>
            </w:tcBorders>
            <w:noWrap w:val="0"/>
            <w:vAlign w:val="center"/>
          </w:tcPr>
          <w:p w14:paraId="0BE88D4C">
            <w:pPr>
              <w:pStyle w:val="32"/>
              <w:spacing w:after="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浓缩机</w:t>
            </w:r>
          </w:p>
        </w:tc>
        <w:tc>
          <w:tcPr>
            <w:tcW w:w="214" w:type="pct"/>
            <w:tcBorders>
              <w:tl2br w:val="nil"/>
              <w:tr2bl w:val="nil"/>
            </w:tcBorders>
            <w:noWrap w:val="0"/>
            <w:vAlign w:val="center"/>
          </w:tcPr>
          <w:p w14:paraId="1EF313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-58</w:t>
            </w:r>
          </w:p>
        </w:tc>
        <w:tc>
          <w:tcPr>
            <w:tcW w:w="280" w:type="pct"/>
            <w:tcBorders>
              <w:tl2br w:val="nil"/>
              <w:tr2bl w:val="nil"/>
            </w:tcBorders>
            <w:noWrap w:val="0"/>
            <w:vAlign w:val="center"/>
          </w:tcPr>
          <w:p w14:paraId="692AE3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-184</w:t>
            </w:r>
          </w:p>
        </w:tc>
        <w:tc>
          <w:tcPr>
            <w:tcW w:w="281" w:type="pct"/>
            <w:tcBorders>
              <w:tl2br w:val="nil"/>
              <w:tr2bl w:val="nil"/>
            </w:tcBorders>
            <w:noWrap w:val="0"/>
            <w:vAlign w:val="center"/>
          </w:tcPr>
          <w:p w14:paraId="55C9BB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188" w:type="pct"/>
            <w:tcBorders>
              <w:tl2br w:val="nil"/>
              <w:tr2bl w:val="nil"/>
            </w:tcBorders>
            <w:noWrap w:val="0"/>
            <w:vAlign w:val="center"/>
          </w:tcPr>
          <w:p w14:paraId="085FDDA0">
            <w:pPr>
              <w:pStyle w:val="32"/>
              <w:spacing w:after="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w:t>
            </w:r>
          </w:p>
        </w:tc>
        <w:tc>
          <w:tcPr>
            <w:tcW w:w="313" w:type="pct"/>
            <w:tcBorders>
              <w:tl2br w:val="nil"/>
              <w:tr2bl w:val="nil"/>
            </w:tcBorders>
            <w:noWrap w:val="0"/>
            <w:vAlign w:val="center"/>
          </w:tcPr>
          <w:p w14:paraId="02F2C21C">
            <w:pPr>
              <w:pStyle w:val="32"/>
              <w:spacing w:after="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85</w:t>
            </w:r>
          </w:p>
        </w:tc>
        <w:tc>
          <w:tcPr>
            <w:tcW w:w="732" w:type="pct"/>
            <w:tcBorders>
              <w:tl2br w:val="nil"/>
              <w:tr2bl w:val="nil"/>
            </w:tcBorders>
            <w:noWrap w:val="0"/>
            <w:vAlign w:val="center"/>
          </w:tcPr>
          <w:p w14:paraId="18BE8C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基础减振、隔声罩</w:t>
            </w:r>
          </w:p>
        </w:tc>
        <w:tc>
          <w:tcPr>
            <w:tcW w:w="371" w:type="pct"/>
            <w:tcBorders>
              <w:tl2br w:val="nil"/>
              <w:tr2bl w:val="nil"/>
            </w:tcBorders>
            <w:noWrap w:val="0"/>
            <w:vAlign w:val="center"/>
          </w:tcPr>
          <w:p w14:paraId="724996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80</w:t>
            </w:r>
          </w:p>
        </w:tc>
        <w:tc>
          <w:tcPr>
            <w:tcW w:w="343" w:type="pct"/>
            <w:tcBorders>
              <w:tl2br w:val="nil"/>
              <w:tr2bl w:val="nil"/>
            </w:tcBorders>
            <w:noWrap w:val="0"/>
            <w:vAlign w:val="center"/>
          </w:tcPr>
          <w:p w14:paraId="42A7DA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411" w:type="pct"/>
            <w:tcBorders>
              <w:tl2br w:val="nil"/>
              <w:tr2bl w:val="nil"/>
            </w:tcBorders>
            <w:noWrap w:val="0"/>
            <w:vAlign w:val="center"/>
          </w:tcPr>
          <w:p w14:paraId="17EA8E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rPr>
              <w:t>15-20</w:t>
            </w:r>
          </w:p>
        </w:tc>
        <w:tc>
          <w:tcPr>
            <w:tcW w:w="248" w:type="pct"/>
            <w:tcBorders>
              <w:tl2br w:val="nil"/>
              <w:tr2bl w:val="nil"/>
            </w:tcBorders>
            <w:noWrap w:val="0"/>
            <w:vAlign w:val="center"/>
          </w:tcPr>
          <w:p w14:paraId="22E204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连续</w:t>
            </w:r>
          </w:p>
        </w:tc>
        <w:tc>
          <w:tcPr>
            <w:tcW w:w="354" w:type="pct"/>
            <w:tcBorders>
              <w:tl2br w:val="nil"/>
              <w:tr2bl w:val="nil"/>
            </w:tcBorders>
            <w:noWrap w:val="0"/>
            <w:vAlign w:val="center"/>
          </w:tcPr>
          <w:p w14:paraId="6F96AE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73</w:t>
            </w:r>
          </w:p>
        </w:tc>
        <w:tc>
          <w:tcPr>
            <w:tcW w:w="335" w:type="pct"/>
            <w:tcBorders>
              <w:tl2br w:val="nil"/>
              <w:tr2bl w:val="nil"/>
            </w:tcBorders>
            <w:noWrap w:val="0"/>
            <w:vAlign w:val="center"/>
          </w:tcPr>
          <w:p w14:paraId="5F6A1E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1m</w:t>
            </w:r>
          </w:p>
        </w:tc>
      </w:tr>
      <w:tr w14:paraId="61B503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94" w:type="pct"/>
            <w:tcBorders>
              <w:tl2br w:val="nil"/>
              <w:tr2bl w:val="nil"/>
            </w:tcBorders>
            <w:noWrap w:val="0"/>
            <w:vAlign w:val="center"/>
          </w:tcPr>
          <w:p w14:paraId="25213E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238" w:type="pct"/>
            <w:vMerge w:val="continue"/>
            <w:tcBorders>
              <w:tl2br w:val="nil"/>
              <w:tr2bl w:val="nil"/>
            </w:tcBorders>
            <w:noWrap w:val="0"/>
            <w:vAlign w:val="center"/>
          </w:tcPr>
          <w:p w14:paraId="0B6B12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492" w:type="pct"/>
            <w:tcBorders>
              <w:tl2br w:val="nil"/>
              <w:tr2bl w:val="nil"/>
            </w:tcBorders>
            <w:noWrap w:val="0"/>
            <w:vAlign w:val="center"/>
          </w:tcPr>
          <w:p w14:paraId="655C3DFA">
            <w:pPr>
              <w:pStyle w:val="32"/>
              <w:spacing w:after="0" w:line="240" w:lineRule="auto"/>
              <w:ind w:left="0" w:leftChars="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Cs w:val="21"/>
                <w:highlight w:val="none"/>
                <w:lang w:val="en-US" w:eastAsia="zh-CN"/>
              </w:rPr>
              <w:t>旋流器</w:t>
            </w:r>
          </w:p>
        </w:tc>
        <w:tc>
          <w:tcPr>
            <w:tcW w:w="214" w:type="pct"/>
            <w:tcBorders>
              <w:tl2br w:val="nil"/>
              <w:tr2bl w:val="nil"/>
            </w:tcBorders>
            <w:noWrap w:val="0"/>
            <w:vAlign w:val="center"/>
          </w:tcPr>
          <w:p w14:paraId="4AF89A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-104</w:t>
            </w:r>
          </w:p>
        </w:tc>
        <w:tc>
          <w:tcPr>
            <w:tcW w:w="280" w:type="pct"/>
            <w:tcBorders>
              <w:tl2br w:val="nil"/>
              <w:tr2bl w:val="nil"/>
            </w:tcBorders>
            <w:noWrap w:val="0"/>
            <w:vAlign w:val="center"/>
          </w:tcPr>
          <w:p w14:paraId="6CD520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-146</w:t>
            </w:r>
          </w:p>
        </w:tc>
        <w:tc>
          <w:tcPr>
            <w:tcW w:w="281" w:type="pct"/>
            <w:tcBorders>
              <w:tl2br w:val="nil"/>
              <w:tr2bl w:val="nil"/>
            </w:tcBorders>
            <w:noWrap w:val="0"/>
            <w:vAlign w:val="center"/>
          </w:tcPr>
          <w:p w14:paraId="3D9C16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188" w:type="pct"/>
            <w:tcBorders>
              <w:tl2br w:val="nil"/>
              <w:tr2bl w:val="nil"/>
            </w:tcBorders>
            <w:noWrap w:val="0"/>
            <w:vAlign w:val="center"/>
          </w:tcPr>
          <w:p w14:paraId="08208A68">
            <w:pPr>
              <w:pStyle w:val="32"/>
              <w:spacing w:after="0"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Cs w:val="21"/>
                <w:highlight w:val="none"/>
                <w:lang w:val="en-US" w:eastAsia="zh-CN"/>
              </w:rPr>
              <w:t>1</w:t>
            </w:r>
          </w:p>
        </w:tc>
        <w:tc>
          <w:tcPr>
            <w:tcW w:w="313" w:type="pct"/>
            <w:tcBorders>
              <w:tl2br w:val="nil"/>
              <w:tr2bl w:val="nil"/>
            </w:tcBorders>
            <w:noWrap w:val="0"/>
            <w:vAlign w:val="center"/>
          </w:tcPr>
          <w:p w14:paraId="7A1BCDB8">
            <w:pPr>
              <w:pStyle w:val="32"/>
              <w:spacing w:after="0"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Cs w:val="21"/>
                <w:highlight w:val="none"/>
                <w:lang w:val="en-US" w:eastAsia="zh-CN"/>
              </w:rPr>
              <w:t>90</w:t>
            </w:r>
          </w:p>
        </w:tc>
        <w:tc>
          <w:tcPr>
            <w:tcW w:w="732" w:type="pct"/>
            <w:tcBorders>
              <w:tl2br w:val="nil"/>
              <w:tr2bl w:val="nil"/>
            </w:tcBorders>
            <w:noWrap w:val="0"/>
            <w:vAlign w:val="center"/>
          </w:tcPr>
          <w:p w14:paraId="623363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基础减振、</w:t>
            </w:r>
            <w:r>
              <w:rPr>
                <w:rFonts w:hint="default" w:ascii="Times New Roman" w:hAnsi="Times New Roman" w:eastAsia="宋体" w:cs="Times New Roman"/>
                <w:color w:val="auto"/>
                <w:sz w:val="21"/>
                <w:szCs w:val="21"/>
                <w:highlight w:val="none"/>
                <w:lang w:val="en-US" w:eastAsia="zh-CN"/>
              </w:rPr>
              <w:t>隔声罩</w:t>
            </w:r>
          </w:p>
        </w:tc>
        <w:tc>
          <w:tcPr>
            <w:tcW w:w="371" w:type="pct"/>
            <w:tcBorders>
              <w:tl2br w:val="nil"/>
              <w:tr2bl w:val="nil"/>
            </w:tcBorders>
            <w:noWrap w:val="0"/>
            <w:vAlign w:val="center"/>
          </w:tcPr>
          <w:p w14:paraId="3004A2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81</w:t>
            </w:r>
          </w:p>
        </w:tc>
        <w:tc>
          <w:tcPr>
            <w:tcW w:w="343" w:type="pct"/>
            <w:tcBorders>
              <w:tl2br w:val="nil"/>
              <w:tr2bl w:val="nil"/>
            </w:tcBorders>
            <w:noWrap w:val="0"/>
            <w:vAlign w:val="center"/>
          </w:tcPr>
          <w:p w14:paraId="63AACA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36</w:t>
            </w:r>
          </w:p>
        </w:tc>
        <w:tc>
          <w:tcPr>
            <w:tcW w:w="411" w:type="pct"/>
            <w:tcBorders>
              <w:tl2br w:val="nil"/>
              <w:tr2bl w:val="nil"/>
            </w:tcBorders>
            <w:noWrap w:val="0"/>
            <w:vAlign w:val="center"/>
          </w:tcPr>
          <w:p w14:paraId="532893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15-20</w:t>
            </w:r>
          </w:p>
        </w:tc>
        <w:tc>
          <w:tcPr>
            <w:tcW w:w="248" w:type="pct"/>
            <w:tcBorders>
              <w:tl2br w:val="nil"/>
              <w:tr2bl w:val="nil"/>
            </w:tcBorders>
            <w:noWrap w:val="0"/>
            <w:vAlign w:val="center"/>
          </w:tcPr>
          <w:p w14:paraId="2CB58E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连续</w:t>
            </w:r>
          </w:p>
        </w:tc>
        <w:tc>
          <w:tcPr>
            <w:tcW w:w="354" w:type="pct"/>
            <w:tcBorders>
              <w:tl2br w:val="nil"/>
              <w:tr2bl w:val="nil"/>
            </w:tcBorders>
            <w:noWrap w:val="0"/>
            <w:vAlign w:val="center"/>
          </w:tcPr>
          <w:p w14:paraId="0F34A4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w:t>
            </w:r>
          </w:p>
        </w:tc>
        <w:tc>
          <w:tcPr>
            <w:tcW w:w="335" w:type="pct"/>
            <w:tcBorders>
              <w:tl2br w:val="nil"/>
              <w:tr2bl w:val="nil"/>
            </w:tcBorders>
            <w:noWrap w:val="0"/>
            <w:vAlign w:val="center"/>
          </w:tcPr>
          <w:p w14:paraId="3903DD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1m</w:t>
            </w:r>
          </w:p>
        </w:tc>
      </w:tr>
      <w:tr w14:paraId="40427D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94" w:type="pct"/>
            <w:tcBorders>
              <w:tl2br w:val="nil"/>
              <w:tr2bl w:val="nil"/>
            </w:tcBorders>
            <w:noWrap w:val="0"/>
            <w:vAlign w:val="center"/>
          </w:tcPr>
          <w:p w14:paraId="34F57D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238" w:type="pct"/>
            <w:vMerge w:val="continue"/>
            <w:tcBorders>
              <w:tl2br w:val="nil"/>
              <w:tr2bl w:val="nil"/>
            </w:tcBorders>
            <w:noWrap w:val="0"/>
            <w:vAlign w:val="center"/>
          </w:tcPr>
          <w:p w14:paraId="0BF7AD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92" w:type="pct"/>
            <w:tcBorders>
              <w:tl2br w:val="nil"/>
              <w:tr2bl w:val="nil"/>
            </w:tcBorders>
            <w:noWrap w:val="0"/>
            <w:vAlign w:val="center"/>
          </w:tcPr>
          <w:p w14:paraId="71B365BB">
            <w:pPr>
              <w:pStyle w:val="32"/>
              <w:spacing w:after="0"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Cs w:val="21"/>
                <w:highlight w:val="none"/>
                <w:lang w:eastAsia="zh-CN"/>
              </w:rPr>
              <w:t>过滤机</w:t>
            </w:r>
          </w:p>
        </w:tc>
        <w:tc>
          <w:tcPr>
            <w:tcW w:w="214" w:type="pct"/>
            <w:tcBorders>
              <w:tl2br w:val="nil"/>
              <w:tr2bl w:val="nil"/>
            </w:tcBorders>
            <w:noWrap w:val="0"/>
            <w:vAlign w:val="center"/>
          </w:tcPr>
          <w:p w14:paraId="63334C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w:t>
            </w:r>
          </w:p>
        </w:tc>
        <w:tc>
          <w:tcPr>
            <w:tcW w:w="280" w:type="pct"/>
            <w:tcBorders>
              <w:tl2br w:val="nil"/>
              <w:tr2bl w:val="nil"/>
            </w:tcBorders>
            <w:noWrap w:val="0"/>
            <w:vAlign w:val="center"/>
          </w:tcPr>
          <w:p w14:paraId="73C064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-172</w:t>
            </w:r>
          </w:p>
        </w:tc>
        <w:tc>
          <w:tcPr>
            <w:tcW w:w="281" w:type="pct"/>
            <w:tcBorders>
              <w:tl2br w:val="nil"/>
              <w:tr2bl w:val="nil"/>
            </w:tcBorders>
            <w:noWrap w:val="0"/>
            <w:vAlign w:val="center"/>
          </w:tcPr>
          <w:p w14:paraId="7FF507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188" w:type="pct"/>
            <w:tcBorders>
              <w:tl2br w:val="nil"/>
              <w:tr2bl w:val="nil"/>
            </w:tcBorders>
            <w:noWrap w:val="0"/>
            <w:vAlign w:val="center"/>
          </w:tcPr>
          <w:p w14:paraId="09F631A5">
            <w:pPr>
              <w:pStyle w:val="32"/>
              <w:spacing w:after="0"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Cs w:val="21"/>
                <w:highlight w:val="none"/>
                <w:lang w:val="en-US" w:eastAsia="zh-CN"/>
              </w:rPr>
              <w:t>1</w:t>
            </w:r>
          </w:p>
        </w:tc>
        <w:tc>
          <w:tcPr>
            <w:tcW w:w="313" w:type="pct"/>
            <w:tcBorders>
              <w:tl2br w:val="nil"/>
              <w:tr2bl w:val="nil"/>
            </w:tcBorders>
            <w:noWrap w:val="0"/>
            <w:vAlign w:val="center"/>
          </w:tcPr>
          <w:p w14:paraId="5E3414EC">
            <w:pPr>
              <w:pStyle w:val="32"/>
              <w:spacing w:after="0"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Cs w:val="21"/>
                <w:highlight w:val="none"/>
                <w:lang w:val="en-US" w:eastAsia="zh-CN"/>
              </w:rPr>
              <w:t>92</w:t>
            </w:r>
          </w:p>
        </w:tc>
        <w:tc>
          <w:tcPr>
            <w:tcW w:w="732" w:type="pct"/>
            <w:tcBorders>
              <w:tl2br w:val="nil"/>
              <w:tr2bl w:val="nil"/>
            </w:tcBorders>
            <w:noWrap w:val="0"/>
            <w:vAlign w:val="center"/>
          </w:tcPr>
          <w:p w14:paraId="4A7AE6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基础减振、</w:t>
            </w:r>
            <w:r>
              <w:rPr>
                <w:rFonts w:hint="default" w:ascii="Times New Roman" w:hAnsi="Times New Roman" w:eastAsia="宋体" w:cs="Times New Roman"/>
                <w:color w:val="auto"/>
                <w:sz w:val="21"/>
                <w:szCs w:val="21"/>
                <w:highlight w:val="none"/>
                <w:lang w:val="en-US" w:eastAsia="zh-CN"/>
              </w:rPr>
              <w:t>隔声罩</w:t>
            </w:r>
          </w:p>
        </w:tc>
        <w:tc>
          <w:tcPr>
            <w:tcW w:w="371" w:type="pct"/>
            <w:tcBorders>
              <w:tl2br w:val="nil"/>
              <w:tr2bl w:val="nil"/>
            </w:tcBorders>
            <w:noWrap w:val="0"/>
            <w:vAlign w:val="center"/>
          </w:tcPr>
          <w:p w14:paraId="799A9F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84</w:t>
            </w:r>
          </w:p>
        </w:tc>
        <w:tc>
          <w:tcPr>
            <w:tcW w:w="343" w:type="pct"/>
            <w:tcBorders>
              <w:tl2br w:val="nil"/>
              <w:tr2bl w:val="nil"/>
            </w:tcBorders>
            <w:noWrap w:val="0"/>
            <w:vAlign w:val="center"/>
          </w:tcPr>
          <w:p w14:paraId="58F4C6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411" w:type="pct"/>
            <w:tcBorders>
              <w:tl2br w:val="nil"/>
              <w:tr2bl w:val="nil"/>
            </w:tcBorders>
            <w:noWrap w:val="0"/>
            <w:vAlign w:val="center"/>
          </w:tcPr>
          <w:p w14:paraId="0A6CEE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rPr>
              <w:t>15-20</w:t>
            </w:r>
          </w:p>
        </w:tc>
        <w:tc>
          <w:tcPr>
            <w:tcW w:w="248" w:type="pct"/>
            <w:tcBorders>
              <w:tl2br w:val="nil"/>
              <w:tr2bl w:val="nil"/>
            </w:tcBorders>
            <w:noWrap w:val="0"/>
            <w:vAlign w:val="center"/>
          </w:tcPr>
          <w:p w14:paraId="514E3E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连续</w:t>
            </w:r>
          </w:p>
        </w:tc>
        <w:tc>
          <w:tcPr>
            <w:tcW w:w="354" w:type="pct"/>
            <w:tcBorders>
              <w:tl2br w:val="nil"/>
              <w:tr2bl w:val="nil"/>
            </w:tcBorders>
            <w:noWrap w:val="0"/>
            <w:vAlign w:val="center"/>
          </w:tcPr>
          <w:p w14:paraId="095297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335" w:type="pct"/>
            <w:tcBorders>
              <w:tl2br w:val="nil"/>
              <w:tr2bl w:val="nil"/>
            </w:tcBorders>
            <w:noWrap w:val="0"/>
            <w:vAlign w:val="center"/>
          </w:tcPr>
          <w:p w14:paraId="76BCBE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1m</w:t>
            </w:r>
          </w:p>
        </w:tc>
      </w:tr>
      <w:tr w14:paraId="67B784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94" w:type="pct"/>
            <w:tcBorders>
              <w:tl2br w:val="nil"/>
              <w:tr2bl w:val="nil"/>
            </w:tcBorders>
            <w:noWrap w:val="0"/>
            <w:vAlign w:val="center"/>
          </w:tcPr>
          <w:p w14:paraId="7EFB60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238" w:type="pct"/>
            <w:tcBorders>
              <w:tl2br w:val="nil"/>
              <w:tr2bl w:val="nil"/>
            </w:tcBorders>
            <w:noWrap w:val="0"/>
            <w:vAlign w:val="center"/>
          </w:tcPr>
          <w:p w14:paraId="0A265B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锅炉房</w:t>
            </w:r>
          </w:p>
        </w:tc>
        <w:tc>
          <w:tcPr>
            <w:tcW w:w="492" w:type="pct"/>
            <w:tcBorders>
              <w:tl2br w:val="nil"/>
              <w:tr2bl w:val="nil"/>
            </w:tcBorders>
            <w:noWrap w:val="0"/>
            <w:vAlign w:val="center"/>
          </w:tcPr>
          <w:p w14:paraId="791B84B4">
            <w:pPr>
              <w:pStyle w:val="32"/>
              <w:spacing w:after="0"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Cs w:val="21"/>
                <w:highlight w:val="none"/>
                <w:lang w:val="en-US" w:eastAsia="zh-CN"/>
              </w:rPr>
              <w:t>锅炉</w:t>
            </w:r>
          </w:p>
        </w:tc>
        <w:tc>
          <w:tcPr>
            <w:tcW w:w="214" w:type="pct"/>
            <w:tcBorders>
              <w:tl2br w:val="nil"/>
              <w:tr2bl w:val="nil"/>
            </w:tcBorders>
            <w:noWrap w:val="0"/>
            <w:vAlign w:val="center"/>
          </w:tcPr>
          <w:p w14:paraId="2036A3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-76</w:t>
            </w:r>
          </w:p>
        </w:tc>
        <w:tc>
          <w:tcPr>
            <w:tcW w:w="280" w:type="pct"/>
            <w:tcBorders>
              <w:tl2br w:val="nil"/>
              <w:tr2bl w:val="nil"/>
            </w:tcBorders>
            <w:noWrap w:val="0"/>
            <w:vAlign w:val="center"/>
          </w:tcPr>
          <w:p w14:paraId="27FAC5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-207</w:t>
            </w:r>
          </w:p>
        </w:tc>
        <w:tc>
          <w:tcPr>
            <w:tcW w:w="281" w:type="pct"/>
            <w:tcBorders>
              <w:tl2br w:val="nil"/>
              <w:tr2bl w:val="nil"/>
            </w:tcBorders>
            <w:noWrap w:val="0"/>
            <w:vAlign w:val="center"/>
          </w:tcPr>
          <w:p w14:paraId="7DB67F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188" w:type="pct"/>
            <w:tcBorders>
              <w:tl2br w:val="nil"/>
              <w:tr2bl w:val="nil"/>
            </w:tcBorders>
            <w:noWrap w:val="0"/>
            <w:vAlign w:val="center"/>
          </w:tcPr>
          <w:p w14:paraId="3A1561AB">
            <w:pPr>
              <w:pStyle w:val="32"/>
              <w:spacing w:after="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2</w:t>
            </w:r>
          </w:p>
        </w:tc>
        <w:tc>
          <w:tcPr>
            <w:tcW w:w="313" w:type="pct"/>
            <w:tcBorders>
              <w:tl2br w:val="nil"/>
              <w:tr2bl w:val="nil"/>
            </w:tcBorders>
            <w:noWrap w:val="0"/>
            <w:vAlign w:val="center"/>
          </w:tcPr>
          <w:p w14:paraId="6808881C">
            <w:pPr>
              <w:pStyle w:val="32"/>
              <w:spacing w:after="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85</w:t>
            </w:r>
          </w:p>
        </w:tc>
        <w:tc>
          <w:tcPr>
            <w:tcW w:w="732" w:type="pct"/>
            <w:tcBorders>
              <w:tl2br w:val="nil"/>
              <w:tr2bl w:val="nil"/>
            </w:tcBorders>
            <w:noWrap w:val="0"/>
            <w:vAlign w:val="center"/>
          </w:tcPr>
          <w:p w14:paraId="00E08B86">
            <w:pPr>
              <w:pStyle w:val="32"/>
              <w:spacing w:after="0" w:line="240" w:lineRule="auto"/>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基础减振、隔声、厂房封闭</w:t>
            </w:r>
          </w:p>
        </w:tc>
        <w:tc>
          <w:tcPr>
            <w:tcW w:w="371" w:type="pct"/>
            <w:tcBorders>
              <w:tl2br w:val="nil"/>
              <w:tr2bl w:val="nil"/>
            </w:tcBorders>
            <w:noWrap w:val="0"/>
            <w:vAlign w:val="center"/>
          </w:tcPr>
          <w:p w14:paraId="11EFF0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80</w:t>
            </w:r>
          </w:p>
        </w:tc>
        <w:tc>
          <w:tcPr>
            <w:tcW w:w="343" w:type="pct"/>
            <w:tcBorders>
              <w:tl2br w:val="nil"/>
              <w:tr2bl w:val="nil"/>
            </w:tcBorders>
            <w:noWrap w:val="0"/>
            <w:vAlign w:val="center"/>
          </w:tcPr>
          <w:p w14:paraId="2F0C2F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411" w:type="pct"/>
            <w:tcBorders>
              <w:tl2br w:val="nil"/>
              <w:tr2bl w:val="nil"/>
            </w:tcBorders>
            <w:noWrap w:val="0"/>
            <w:vAlign w:val="center"/>
          </w:tcPr>
          <w:p w14:paraId="5099F3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snapToGrid w:val="0"/>
                <w:color w:val="auto"/>
                <w:kern w:val="0"/>
                <w:sz w:val="21"/>
                <w:szCs w:val="21"/>
                <w:highlight w:val="none"/>
              </w:rPr>
              <w:t>15-20</w:t>
            </w:r>
          </w:p>
        </w:tc>
        <w:tc>
          <w:tcPr>
            <w:tcW w:w="248" w:type="pct"/>
            <w:tcBorders>
              <w:tl2br w:val="nil"/>
              <w:tr2bl w:val="nil"/>
            </w:tcBorders>
            <w:noWrap w:val="0"/>
            <w:vAlign w:val="center"/>
          </w:tcPr>
          <w:p w14:paraId="798728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连续</w:t>
            </w:r>
          </w:p>
        </w:tc>
        <w:tc>
          <w:tcPr>
            <w:tcW w:w="354" w:type="pct"/>
            <w:tcBorders>
              <w:tl2br w:val="nil"/>
              <w:tr2bl w:val="nil"/>
            </w:tcBorders>
            <w:noWrap w:val="0"/>
            <w:vAlign w:val="center"/>
          </w:tcPr>
          <w:p w14:paraId="1AC8CC4B">
            <w:pPr>
              <w:pStyle w:val="140"/>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75</w:t>
            </w:r>
          </w:p>
        </w:tc>
        <w:tc>
          <w:tcPr>
            <w:tcW w:w="335" w:type="pct"/>
            <w:tcBorders>
              <w:tl2br w:val="nil"/>
              <w:tr2bl w:val="nil"/>
            </w:tcBorders>
            <w:noWrap w:val="0"/>
            <w:vAlign w:val="center"/>
          </w:tcPr>
          <w:p w14:paraId="5EF50E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1m</w:t>
            </w:r>
          </w:p>
        </w:tc>
      </w:tr>
    </w:tbl>
    <w:p w14:paraId="54E2F88F">
      <w:pPr>
        <w:tabs>
          <w:tab w:val="left" w:pos="8959"/>
        </w:tabs>
        <w:autoSpaceDE w:val="0"/>
        <w:autoSpaceDN w:val="0"/>
        <w:adjustRightInd w:val="0"/>
        <w:snapToGrid w:val="0"/>
        <w:spacing w:line="470" w:lineRule="exact"/>
        <w:ind w:left="0" w:leftChars="0" w:firstLine="0" w:firstLineChars="0"/>
        <w:rPr>
          <w:rFonts w:hint="default" w:ascii="Times New Roman" w:hAnsi="Times New Roman" w:cs="Times New Roman"/>
          <w:snapToGrid w:val="0"/>
          <w:color w:val="auto"/>
          <w:kern w:val="0"/>
          <w:sz w:val="24"/>
          <w:szCs w:val="20"/>
          <w:highlight w:val="none"/>
        </w:rPr>
      </w:pPr>
      <w:r>
        <w:rPr>
          <w:rFonts w:hint="default" w:ascii="Times New Roman" w:hAnsi="Times New Roman" w:eastAsia="宋体" w:cs="Times New Roman"/>
          <w:snapToGrid w:val="0"/>
          <w:color w:val="auto"/>
          <w:sz w:val="21"/>
          <w:szCs w:val="21"/>
          <w:highlight w:val="none"/>
        </w:rPr>
        <w:t>备注：噪声级较小或噪声级相同的机械设备，表中未列出。</w:t>
      </w:r>
    </w:p>
    <w:p w14:paraId="60283AE5">
      <w:pPr>
        <w:tabs>
          <w:tab w:val="left" w:pos="8959"/>
        </w:tabs>
        <w:autoSpaceDE w:val="0"/>
        <w:autoSpaceDN w:val="0"/>
        <w:adjustRightInd w:val="0"/>
        <w:snapToGrid w:val="0"/>
        <w:spacing w:line="470" w:lineRule="exact"/>
        <w:ind w:firstLine="480" w:firstLineChars="200"/>
        <w:rPr>
          <w:rFonts w:hint="default" w:ascii="Times New Roman" w:hAnsi="Times New Roman" w:cs="Times New Roman"/>
          <w:snapToGrid w:val="0"/>
          <w:color w:val="auto"/>
          <w:kern w:val="0"/>
          <w:sz w:val="24"/>
          <w:szCs w:val="20"/>
          <w:highlight w:val="none"/>
        </w:rPr>
      </w:pPr>
    </w:p>
    <w:p w14:paraId="3CEDD829">
      <w:pPr>
        <w:tabs>
          <w:tab w:val="left" w:pos="8959"/>
        </w:tabs>
        <w:autoSpaceDE w:val="0"/>
        <w:autoSpaceDN w:val="0"/>
        <w:adjustRightInd w:val="0"/>
        <w:snapToGrid w:val="0"/>
        <w:spacing w:line="470" w:lineRule="exact"/>
        <w:ind w:firstLine="480" w:firstLineChars="200"/>
        <w:rPr>
          <w:rFonts w:hint="default" w:ascii="Times New Roman" w:hAnsi="Times New Roman" w:cs="Times New Roman"/>
          <w:snapToGrid w:val="0"/>
          <w:color w:val="auto"/>
          <w:kern w:val="0"/>
          <w:sz w:val="24"/>
          <w:szCs w:val="20"/>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E87D053">
      <w:pPr>
        <w:pStyle w:val="5"/>
        <w:ind w:firstLine="482" w:firstLineChars="20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5.2.4.</w:t>
      </w:r>
      <w:r>
        <w:rPr>
          <w:rFonts w:hint="default" w:ascii="Times New Roman" w:hAnsi="Times New Roman" w:cs="Times New Roman"/>
          <w:color w:val="auto"/>
          <w:highlight w:val="none"/>
          <w:lang w:val="en-US" w:eastAsia="zh-CN"/>
        </w:rPr>
        <w:t>2噪声影响预测</w:t>
      </w:r>
    </w:p>
    <w:p w14:paraId="4B819319">
      <w:pPr>
        <w:overflowPunct w:val="0"/>
        <w:topLinePunct/>
        <w:adjustRightInd w:val="0"/>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zh-CN"/>
        </w:rPr>
        <w:t>预测模式</w:t>
      </w:r>
    </w:p>
    <w:p w14:paraId="0315E923">
      <w:pPr>
        <w:overflowPunct w:val="0"/>
        <w:topLinePunct/>
        <w:adjustRightInd w:val="0"/>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采用工业噪声预测模式和声压级叠加模式，预测噪声源对厂界噪声的贡献值。</w:t>
      </w:r>
    </w:p>
    <w:p w14:paraId="6F19AF9F">
      <w:pPr>
        <w:overflowPunct w:val="0"/>
        <w:topLinePunct/>
        <w:adjustRightInd w:val="0"/>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zh-CN"/>
        </w:rPr>
        <w:t>）点声源</w:t>
      </w:r>
    </w:p>
    <w:p w14:paraId="4BFAD475">
      <w:pPr>
        <w:pStyle w:val="32"/>
        <w:ind w:left="0" w:leftChars="0" w:firstLine="0" w:firstLineChars="0"/>
        <w:jc w:val="center"/>
        <w:rPr>
          <w:rFonts w:hint="default" w:ascii="Times New Roman" w:hAnsi="Times New Roman" w:cs="Times New Roman"/>
          <w:color w:val="auto"/>
          <w:kern w:val="0"/>
          <w:sz w:val="24"/>
          <w:highlight w:val="none"/>
          <w:lang w:val="zh-CN"/>
        </w:rPr>
      </w:pPr>
      <w:r>
        <w:rPr>
          <w:rFonts w:hint="default" w:ascii="Times New Roman" w:hAnsi="Times New Roman" w:cs="Times New Roman"/>
          <w:color w:val="auto"/>
          <w:kern w:val="0"/>
          <w:position w:val="-12"/>
          <w:sz w:val="24"/>
          <w:highlight w:val="none"/>
          <w:lang w:val="zh-CN"/>
        </w:rPr>
        <w:object>
          <v:shape id="_x0000_i1027" o:spt="75" type="#_x0000_t75" style="height:18.9pt;width:227pt;" o:ole="t" filled="f" o:preferrelative="t" stroked="f" coordsize="21600,21600">
            <v:path/>
            <v:fill on="f" focussize="0,0"/>
            <v:stroke on="f"/>
            <v:imagedata r:id="rId44" o:title=""/>
            <o:lock v:ext="edit" aspectratio="t"/>
            <w10:wrap type="none"/>
            <w10:anchorlock/>
          </v:shape>
          <o:OLEObject Type="Embed" ProgID="Equation.3" ShapeID="_x0000_i1027" DrawAspect="Content" ObjectID="_1468075729" r:id="rId43">
            <o:LockedField>false</o:LockedField>
          </o:OLEObject>
        </w:object>
      </w:r>
    </w:p>
    <w:p w14:paraId="724B2C6D">
      <w:pPr>
        <w:overflowPunct w:val="0"/>
        <w:topLinePunct/>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zh-CN"/>
        </w:rPr>
        <w:t>式中：</w:t>
      </w:r>
      <w:r>
        <w:rPr>
          <w:rFonts w:hint="default" w:ascii="Times New Roman" w:hAnsi="Times New Roman" w:cs="Times New Roman"/>
          <w:i/>
          <w:iCs/>
          <w:color w:val="auto"/>
          <w:highlight w:val="none"/>
        </w:rPr>
        <w:t>LA</w:t>
      </w:r>
      <w:r>
        <w:rPr>
          <w:rFonts w:hint="default" w:ascii="Times New Roman" w:hAnsi="Times New Roman" w:cs="Times New Roman"/>
          <w:i/>
          <w:iCs/>
          <w:color w:val="auto"/>
          <w:highlight w:val="none"/>
          <w:lang w:eastAsia="zh-CN"/>
        </w:rPr>
        <w:t>（</w:t>
      </w:r>
      <w:r>
        <w:rPr>
          <w:rFonts w:hint="default" w:ascii="Times New Roman" w:hAnsi="Times New Roman" w:cs="Times New Roman"/>
          <w:i/>
          <w:iCs/>
          <w:color w:val="auto"/>
          <w:highlight w:val="none"/>
        </w:rPr>
        <w:t>r</w:t>
      </w:r>
      <w:r>
        <w:rPr>
          <w:rFonts w:hint="default" w:ascii="Times New Roman" w:hAnsi="Times New Roman" w:cs="Times New Roman"/>
          <w:i/>
          <w:iCs/>
          <w:color w:val="auto"/>
          <w:highlight w:val="none"/>
          <w:lang w:eastAsia="zh-CN"/>
        </w:rPr>
        <w:t>）</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zh-CN"/>
        </w:rPr>
        <w:t>距声源</w:t>
      </w:r>
      <w:r>
        <w:rPr>
          <w:rFonts w:hint="default" w:ascii="Times New Roman" w:hAnsi="Times New Roman" w:cs="Times New Roman"/>
          <w:color w:val="auto"/>
          <w:highlight w:val="none"/>
        </w:rPr>
        <w:t>1m处的A声级；</w:t>
      </w:r>
    </w:p>
    <w:p w14:paraId="266A0F39">
      <w:pPr>
        <w:overflowPunct w:val="0"/>
        <w:topLinePunct/>
        <w:adjustRightInd w:val="0"/>
        <w:ind w:firstLine="1200" w:firstLineChars="500"/>
        <w:rPr>
          <w:rFonts w:hint="default" w:ascii="Times New Roman" w:hAnsi="Times New Roman" w:cs="Times New Roman"/>
          <w:color w:val="auto"/>
          <w:highlight w:val="none"/>
        </w:rPr>
      </w:pPr>
      <w:r>
        <w:rPr>
          <w:rFonts w:hint="default" w:ascii="Times New Roman" w:hAnsi="Times New Roman" w:cs="Times New Roman"/>
          <w:i/>
          <w:iCs/>
          <w:color w:val="auto"/>
          <w:highlight w:val="none"/>
        </w:rPr>
        <w:t>LAref</w:t>
      </w:r>
      <w:r>
        <w:rPr>
          <w:rFonts w:hint="default" w:ascii="Times New Roman" w:hAnsi="Times New Roman" w:cs="Times New Roman"/>
          <w:i/>
          <w:iCs/>
          <w:color w:val="auto"/>
          <w:highlight w:val="none"/>
          <w:lang w:eastAsia="zh-CN"/>
        </w:rPr>
        <w:t>（</w:t>
      </w:r>
      <w:r>
        <w:rPr>
          <w:rFonts w:hint="default" w:ascii="Times New Roman" w:hAnsi="Times New Roman" w:cs="Times New Roman"/>
          <w:i/>
          <w:iCs/>
          <w:color w:val="auto"/>
          <w:highlight w:val="none"/>
        </w:rPr>
        <w:t>r</w:t>
      </w:r>
      <w:r>
        <w:rPr>
          <w:rFonts w:hint="default" w:ascii="Times New Roman" w:hAnsi="Times New Roman" w:cs="Times New Roman"/>
          <w:i/>
          <w:iCs/>
          <w:color w:val="auto"/>
          <w:highlight w:val="none"/>
          <w:vertAlign w:val="subscript"/>
        </w:rPr>
        <w:t>o</w:t>
      </w:r>
      <w:r>
        <w:rPr>
          <w:rFonts w:hint="default" w:ascii="Times New Roman" w:hAnsi="Times New Roman" w:cs="Times New Roman"/>
          <w:i/>
          <w:iCs/>
          <w:color w:val="auto"/>
          <w:highlight w:val="none"/>
          <w:lang w:eastAsia="zh-CN"/>
        </w:rPr>
        <w:t>）</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zh-CN"/>
        </w:rPr>
        <w:t>参考位置</w:t>
      </w:r>
      <w:r>
        <w:rPr>
          <w:rFonts w:hint="default" w:ascii="Times New Roman" w:hAnsi="Times New Roman" w:cs="Times New Roman"/>
          <w:color w:val="auto"/>
          <w:highlight w:val="none"/>
        </w:rPr>
        <w:t>r</w:t>
      </w:r>
      <w:r>
        <w:rPr>
          <w:rFonts w:hint="default" w:ascii="Times New Roman" w:hAnsi="Times New Roman" w:cs="Times New Roman"/>
          <w:color w:val="auto"/>
          <w:highlight w:val="none"/>
          <w:vertAlign w:val="subscript"/>
        </w:rPr>
        <w:t>0</w:t>
      </w:r>
      <w:r>
        <w:rPr>
          <w:rFonts w:hint="default" w:ascii="Times New Roman" w:hAnsi="Times New Roman" w:cs="Times New Roman"/>
          <w:color w:val="auto"/>
          <w:highlight w:val="none"/>
          <w:lang w:val="zh-CN"/>
        </w:rPr>
        <w:t>处的A声级</w:t>
      </w:r>
      <w:r>
        <w:rPr>
          <w:rFonts w:hint="default" w:ascii="Times New Roman" w:hAnsi="Times New Roman" w:cs="Times New Roman"/>
          <w:color w:val="auto"/>
          <w:highlight w:val="none"/>
        </w:rPr>
        <w:t>；</w:t>
      </w:r>
    </w:p>
    <w:p w14:paraId="4EC37BC0">
      <w:pPr>
        <w:overflowPunct w:val="0"/>
        <w:topLinePunct/>
        <w:adjustRightInd w:val="0"/>
        <w:ind w:firstLine="1200" w:firstLineChars="500"/>
        <w:rPr>
          <w:rFonts w:hint="default" w:ascii="Times New Roman" w:hAnsi="Times New Roman" w:cs="Times New Roman"/>
          <w:color w:val="auto"/>
          <w:highlight w:val="none"/>
        </w:rPr>
      </w:pPr>
      <w:r>
        <w:rPr>
          <w:rFonts w:hint="default" w:ascii="Times New Roman" w:hAnsi="Times New Roman" w:cs="Times New Roman"/>
          <w:i/>
          <w:iCs/>
          <w:color w:val="auto"/>
          <w:highlight w:val="none"/>
        </w:rPr>
        <w:t>Adiv</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zh-CN"/>
        </w:rPr>
        <w:t>声波几何发散的</w:t>
      </w:r>
      <w:r>
        <w:rPr>
          <w:rFonts w:hint="default" w:ascii="Times New Roman" w:hAnsi="Times New Roman" w:cs="Times New Roman"/>
          <w:color w:val="auto"/>
          <w:highlight w:val="none"/>
        </w:rPr>
        <w:t>A声级衰减量；</w:t>
      </w:r>
    </w:p>
    <w:p w14:paraId="78A85985">
      <w:pPr>
        <w:overflowPunct w:val="0"/>
        <w:topLinePunct/>
        <w:adjustRightInd w:val="0"/>
        <w:ind w:firstLine="1200" w:firstLineChars="500"/>
        <w:rPr>
          <w:rFonts w:hint="default" w:ascii="Times New Roman" w:hAnsi="Times New Roman" w:cs="Times New Roman"/>
          <w:color w:val="auto"/>
          <w:highlight w:val="none"/>
        </w:rPr>
      </w:pPr>
      <w:r>
        <w:rPr>
          <w:rFonts w:hint="default" w:ascii="Times New Roman" w:hAnsi="Times New Roman" w:cs="Times New Roman"/>
          <w:i/>
          <w:iCs/>
          <w:color w:val="auto"/>
          <w:highlight w:val="none"/>
        </w:rPr>
        <w:t>Adiv=20Lg</w:t>
      </w:r>
      <w:r>
        <w:rPr>
          <w:rFonts w:hint="default" w:ascii="Times New Roman" w:hAnsi="Times New Roman" w:cs="Times New Roman"/>
          <w:i/>
          <w:iCs/>
          <w:color w:val="auto"/>
          <w:highlight w:val="none"/>
          <w:lang w:eastAsia="zh-CN"/>
        </w:rPr>
        <w:t>（</w:t>
      </w:r>
      <w:r>
        <w:rPr>
          <w:rFonts w:hint="default" w:ascii="Times New Roman" w:hAnsi="Times New Roman" w:cs="Times New Roman"/>
          <w:i/>
          <w:iCs/>
          <w:color w:val="auto"/>
          <w:highlight w:val="none"/>
        </w:rPr>
        <w:t>r/r</w:t>
      </w:r>
      <w:r>
        <w:rPr>
          <w:rFonts w:hint="default" w:ascii="Times New Roman" w:hAnsi="Times New Roman" w:cs="Times New Roman"/>
          <w:i/>
          <w:iCs/>
          <w:color w:val="auto"/>
          <w:highlight w:val="none"/>
          <w:vertAlign w:val="subscript"/>
        </w:rPr>
        <w:t>0</w:t>
      </w:r>
      <w:r>
        <w:rPr>
          <w:rFonts w:hint="default" w:ascii="Times New Roman" w:hAnsi="Times New Roman" w:cs="Times New Roman"/>
          <w:i/>
          <w:iCs/>
          <w:color w:val="auto"/>
          <w:highlight w:val="none"/>
          <w:lang w:eastAsia="zh-CN"/>
        </w:rPr>
        <w:t>）</w:t>
      </w:r>
      <w:r>
        <w:rPr>
          <w:rFonts w:hint="default" w:ascii="Times New Roman" w:hAnsi="Times New Roman" w:cs="Times New Roman"/>
          <w:color w:val="auto"/>
          <w:highlight w:val="none"/>
        </w:rPr>
        <w:t>或</w:t>
      </w:r>
      <w:r>
        <w:rPr>
          <w:rFonts w:hint="default" w:ascii="Times New Roman" w:hAnsi="Times New Roman" w:cs="Times New Roman"/>
          <w:i/>
          <w:iCs/>
          <w:color w:val="auto"/>
          <w:highlight w:val="none"/>
        </w:rPr>
        <w:t>Adiv=10Lg</w:t>
      </w:r>
      <w:r>
        <w:rPr>
          <w:rFonts w:hint="default" w:ascii="Times New Roman" w:hAnsi="Times New Roman" w:cs="Times New Roman"/>
          <w:i/>
          <w:iCs/>
          <w:color w:val="auto"/>
          <w:highlight w:val="none"/>
          <w:lang w:eastAsia="zh-CN"/>
        </w:rPr>
        <w:t>（</w:t>
      </w:r>
      <w:r>
        <w:rPr>
          <w:rFonts w:hint="default" w:ascii="Times New Roman" w:hAnsi="Times New Roman" w:cs="Times New Roman"/>
          <w:i/>
          <w:iCs/>
          <w:color w:val="auto"/>
          <w:highlight w:val="none"/>
        </w:rPr>
        <w:t>r/r</w:t>
      </w:r>
      <w:r>
        <w:rPr>
          <w:rFonts w:hint="default" w:ascii="Times New Roman" w:hAnsi="Times New Roman" w:cs="Times New Roman"/>
          <w:i/>
          <w:iCs/>
          <w:color w:val="auto"/>
          <w:highlight w:val="none"/>
          <w:vertAlign w:val="subscript"/>
        </w:rPr>
        <w:t>0</w:t>
      </w:r>
      <w:r>
        <w:rPr>
          <w:rFonts w:hint="default" w:ascii="Times New Roman" w:hAnsi="Times New Roman" w:cs="Times New Roman"/>
          <w:i/>
          <w:iCs/>
          <w:color w:val="auto"/>
          <w:highlight w:val="none"/>
          <w:lang w:eastAsia="zh-CN"/>
        </w:rPr>
        <w:t>）</w:t>
      </w:r>
      <w:r>
        <w:rPr>
          <w:rFonts w:hint="default" w:ascii="Times New Roman" w:hAnsi="Times New Roman" w:cs="Times New Roman"/>
          <w:color w:val="auto"/>
          <w:highlight w:val="none"/>
        </w:rPr>
        <w:t>（当</w:t>
      </w:r>
      <w:r>
        <w:rPr>
          <w:rFonts w:hint="default" w:ascii="Times New Roman" w:hAnsi="Times New Roman" w:cs="Times New Roman"/>
          <w:i/>
          <w:iCs/>
          <w:color w:val="auto"/>
          <w:highlight w:val="none"/>
        </w:rPr>
        <w:t>r≤π</w:t>
      </w:r>
      <w:r>
        <w:rPr>
          <w:rFonts w:hint="default" w:ascii="Times New Roman" w:hAnsi="Times New Roman" w:cs="Times New Roman"/>
          <w:color w:val="auto"/>
          <w:highlight w:val="none"/>
        </w:rPr>
        <w:t>时，</w:t>
      </w:r>
      <w:r>
        <w:rPr>
          <w:rFonts w:hint="default" w:ascii="Times New Roman" w:hAnsi="Times New Roman" w:cs="Times New Roman"/>
          <w:i/>
          <w:iCs/>
          <w:color w:val="auto"/>
          <w:highlight w:val="none"/>
        </w:rPr>
        <w:t>L</w:t>
      </w:r>
      <w:r>
        <w:rPr>
          <w:rFonts w:hint="default" w:ascii="Times New Roman" w:hAnsi="Times New Roman" w:cs="Times New Roman"/>
          <w:color w:val="auto"/>
          <w:highlight w:val="none"/>
        </w:rPr>
        <w:t>为声源长度）</w:t>
      </w:r>
    </w:p>
    <w:p w14:paraId="4123D5D8">
      <w:pPr>
        <w:overflowPunct w:val="0"/>
        <w:topLinePunct/>
        <w:adjustRightInd w:val="0"/>
        <w:ind w:firstLine="1200" w:firstLineChars="500"/>
        <w:rPr>
          <w:rFonts w:hint="default" w:ascii="Times New Roman" w:hAnsi="Times New Roman" w:cs="Times New Roman"/>
          <w:color w:val="auto"/>
          <w:highlight w:val="none"/>
        </w:rPr>
      </w:pPr>
      <w:r>
        <w:rPr>
          <w:rFonts w:hint="default" w:ascii="Times New Roman" w:hAnsi="Times New Roman" w:cs="Times New Roman"/>
          <w:i/>
          <w:iCs/>
          <w:color w:val="auto"/>
          <w:highlight w:val="none"/>
        </w:rPr>
        <w:t>Abar</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zh-CN"/>
        </w:rPr>
        <w:t>声屏障引起的</w:t>
      </w:r>
      <w:r>
        <w:rPr>
          <w:rFonts w:hint="default" w:ascii="Times New Roman" w:hAnsi="Times New Roman" w:cs="Times New Roman"/>
          <w:color w:val="auto"/>
          <w:highlight w:val="none"/>
        </w:rPr>
        <w:t>A声级衰减量，本评价只考虑噪声从室内向室外传播的衰减：</w:t>
      </w:r>
    </w:p>
    <w:p w14:paraId="3D6C097F">
      <w:pPr>
        <w:pStyle w:val="32"/>
        <w:ind w:left="0" w:leftChars="0" w:firstLine="0" w:firstLineChars="0"/>
        <w:jc w:val="center"/>
        <w:rPr>
          <w:rFonts w:hint="default" w:ascii="Times New Roman" w:hAnsi="Times New Roman" w:cs="Times New Roman"/>
          <w:color w:val="auto"/>
          <w:sz w:val="24"/>
          <w:highlight w:val="none"/>
        </w:rPr>
      </w:pPr>
      <w:r>
        <w:rPr>
          <w:rFonts w:hint="default" w:ascii="Times New Roman" w:hAnsi="Times New Roman" w:cs="Times New Roman"/>
          <w:color w:val="auto"/>
          <w:position w:val="-6"/>
          <w:sz w:val="24"/>
          <w:highlight w:val="none"/>
        </w:rPr>
        <w:object>
          <v:shape id="_x0000_i1028" o:spt="75" type="#_x0000_t75" style="height:13.7pt;width:72pt;" o:ole="t" filled="f" o:preferrelative="t" stroked="f" coordsize="21600,21600">
            <v:path/>
            <v:fill on="f" focussize="0,0"/>
            <v:stroke on="f" joinstyle="miter"/>
            <v:imagedata r:id="rId46" o:title=""/>
            <o:lock v:ext="edit" aspectratio="t"/>
            <w10:wrap type="none"/>
            <w10:anchorlock/>
          </v:shape>
          <o:OLEObject Type="Embed" ProgID="Equation.3" ShapeID="_x0000_i1028" DrawAspect="Content" ObjectID="_1468075730" r:id="rId45">
            <o:LockedField>false</o:LockedField>
          </o:OLEObject>
        </w:object>
      </w:r>
    </w:p>
    <w:p w14:paraId="3F112B7C">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式中：</w:t>
      </w:r>
      <w:r>
        <w:rPr>
          <w:rFonts w:hint="default" w:ascii="Times New Roman" w:hAnsi="Times New Roman" w:cs="Times New Roman"/>
          <w:i/>
          <w:iCs/>
          <w:color w:val="auto"/>
          <w:kern w:val="0"/>
          <w:highlight w:val="none"/>
        </w:rPr>
        <w:t>TL</w:t>
      </w:r>
      <w:r>
        <w:rPr>
          <w:rFonts w:hint="default" w:ascii="Times New Roman" w:hAnsi="Times New Roman" w:cs="Times New Roman"/>
          <w:color w:val="auto"/>
          <w:kern w:val="0"/>
          <w:highlight w:val="none"/>
        </w:rPr>
        <w:t>为隔墙（或窗户）的传输损失。</w:t>
      </w:r>
    </w:p>
    <w:p w14:paraId="34343FA8">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为简化计算工作，预测计算中只考虑厂区内各声源至受声点（预测点）的距离衰减和车间厂房的屏蔽作用。各声源由于厂内外</w:t>
      </w:r>
      <w:r>
        <w:rPr>
          <w:rFonts w:hint="eastAsia" w:cs="Times New Roman"/>
          <w:color w:val="auto"/>
          <w:kern w:val="0"/>
          <w:highlight w:val="none"/>
          <w:lang w:eastAsia="zh-CN"/>
        </w:rPr>
        <w:t>其他建筑物</w:t>
      </w:r>
      <w:r>
        <w:rPr>
          <w:rFonts w:hint="default" w:ascii="Times New Roman" w:hAnsi="Times New Roman" w:cs="Times New Roman"/>
          <w:color w:val="auto"/>
          <w:kern w:val="0"/>
          <w:highlight w:val="none"/>
        </w:rPr>
        <w:t>的屏蔽衰减、空气吸收引起的衰减以及由于云、雾、温度梯度、风及地面</w:t>
      </w:r>
      <w:r>
        <w:rPr>
          <w:rFonts w:hint="eastAsia" w:cs="Times New Roman"/>
          <w:color w:val="auto"/>
          <w:kern w:val="0"/>
          <w:highlight w:val="none"/>
          <w:lang w:eastAsia="zh-CN"/>
        </w:rPr>
        <w:t>其他</w:t>
      </w:r>
      <w:r>
        <w:rPr>
          <w:rFonts w:hint="default" w:ascii="Times New Roman" w:hAnsi="Times New Roman" w:cs="Times New Roman"/>
          <w:color w:val="auto"/>
          <w:kern w:val="0"/>
          <w:highlight w:val="none"/>
        </w:rPr>
        <w:t>效应等引起的衰减，因衰减量不大，本次计算忽略不计。</w:t>
      </w:r>
    </w:p>
    <w:p w14:paraId="4712A288">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（2）多个设备同时作业的总等效连续声级：</w:t>
      </w:r>
    </w:p>
    <w:p w14:paraId="34891487">
      <w:pPr>
        <w:spacing w:line="360" w:lineRule="auto"/>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position w:val="-28"/>
          <w:highlight w:val="none"/>
        </w:rPr>
        <w:object>
          <v:shape id="_x0000_i1029" o:spt="75" type="#_x0000_t75" style="height:36pt;width:164.55pt;" o:ole="t" filled="f" o:preferrelative="t" stroked="f" coordsize="21600,21600">
            <v:path/>
            <v:fill on="f" focussize="0,0"/>
            <v:stroke on="f" joinstyle="miter"/>
            <v:imagedata r:id="rId48" o:title=""/>
            <o:lock v:ext="edit" aspectratio="t"/>
            <w10:wrap type="none"/>
            <w10:anchorlock/>
          </v:shape>
          <o:OLEObject Type="Embed" ProgID="Equation.3" ShapeID="_x0000_i1029" DrawAspect="Content" ObjectID="_1468075731" r:id="rId47">
            <o:LockedField>false</o:LockedField>
          </o:OLEObject>
        </w:object>
      </w:r>
    </w:p>
    <w:p w14:paraId="66123979">
      <w:pPr>
        <w:overflowPunct w:val="0"/>
        <w:topLinePunct/>
        <w:spacing w:line="480" w:lineRule="atLeas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lang w:val="zh-CN"/>
        </w:rPr>
        <w:t>式中：</w:t>
      </w:r>
      <w:r>
        <w:rPr>
          <w:rFonts w:hint="default" w:ascii="Times New Roman" w:hAnsi="Times New Roman" w:cs="Times New Roman"/>
          <w:i/>
          <w:iCs/>
          <w:color w:val="auto"/>
          <w:kern w:val="0"/>
          <w:highlight w:val="none"/>
        </w:rPr>
        <w:t>Ler</w:t>
      </w:r>
      <w:r>
        <w:rPr>
          <w:rFonts w:hint="default" w:ascii="Times New Roman" w:hAnsi="Times New Roman" w:cs="Times New Roman"/>
          <w:i/>
          <w:iCs/>
          <w:color w:val="auto"/>
          <w:kern w:val="0"/>
          <w:highlight w:val="none"/>
          <w:lang w:eastAsia="zh-CN"/>
        </w:rPr>
        <w:t>（</w:t>
      </w:r>
      <w:r>
        <w:rPr>
          <w:rFonts w:hint="default" w:ascii="Times New Roman" w:hAnsi="Times New Roman" w:cs="Times New Roman"/>
          <w:i/>
          <w:iCs/>
          <w:color w:val="auto"/>
          <w:kern w:val="0"/>
          <w:highlight w:val="none"/>
        </w:rPr>
        <w:t>T</w:t>
      </w:r>
      <w:r>
        <w:rPr>
          <w:rFonts w:hint="default" w:ascii="Times New Roman" w:hAnsi="Times New Roman" w:cs="Times New Roman"/>
          <w:i/>
          <w:iCs/>
          <w:color w:val="auto"/>
          <w:kern w:val="0"/>
          <w:highlight w:val="none"/>
          <w:lang w:eastAsia="zh-CN"/>
        </w:rPr>
        <w:t>）</w:t>
      </w:r>
      <w:r>
        <w:rPr>
          <w:rFonts w:hint="default" w:ascii="Times New Roman" w:hAnsi="Times New Roman" w:cs="Times New Roman"/>
          <w:color w:val="auto"/>
          <w:kern w:val="0"/>
          <w:highlight w:val="none"/>
        </w:rPr>
        <w:t>——</w:t>
      </w:r>
      <w:r>
        <w:rPr>
          <w:rFonts w:hint="default" w:ascii="Times New Roman" w:hAnsi="Times New Roman" w:cs="Times New Roman"/>
          <w:color w:val="auto"/>
          <w:kern w:val="0"/>
          <w:highlight w:val="none"/>
          <w:lang w:val="zh-CN"/>
        </w:rPr>
        <w:t>总等效连续声级；</w:t>
      </w:r>
    </w:p>
    <w:p w14:paraId="5C06DF93">
      <w:pPr>
        <w:overflowPunct w:val="0"/>
        <w:topLinePunct/>
        <w:spacing w:line="480" w:lineRule="atLeast"/>
        <w:ind w:firstLine="1200" w:firstLineChars="50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t</w:t>
      </w:r>
      <w:r>
        <w:rPr>
          <w:rFonts w:hint="default" w:ascii="Times New Roman" w:hAnsi="Times New Roman" w:cs="Times New Roman"/>
          <w:color w:val="auto"/>
          <w:kern w:val="0"/>
          <w:highlight w:val="none"/>
          <w:vertAlign w:val="subscript"/>
        </w:rPr>
        <w:t>i</w:t>
      </w:r>
      <w:r>
        <w:rPr>
          <w:rFonts w:hint="default" w:ascii="Times New Roman" w:hAnsi="Times New Roman" w:cs="Times New Roman"/>
          <w:color w:val="auto"/>
          <w:kern w:val="0"/>
          <w:highlight w:val="none"/>
        </w:rPr>
        <w:t>——</w:t>
      </w:r>
      <w:r>
        <w:rPr>
          <w:rFonts w:hint="default" w:ascii="Times New Roman" w:hAnsi="Times New Roman" w:cs="Times New Roman"/>
          <w:color w:val="auto"/>
          <w:kern w:val="0"/>
          <w:highlight w:val="none"/>
          <w:lang w:val="zh-CN"/>
        </w:rPr>
        <w:t>第i个设备在预测点的噪声作用时间（在T时间内）；</w:t>
      </w:r>
    </w:p>
    <w:p w14:paraId="379642A9">
      <w:pPr>
        <w:overflowPunct w:val="0"/>
        <w:topLinePunct/>
        <w:spacing w:line="480" w:lineRule="atLeast"/>
        <w:ind w:firstLine="1200" w:firstLineChars="50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L</w:t>
      </w:r>
      <w:r>
        <w:rPr>
          <w:rFonts w:hint="default" w:ascii="Times New Roman" w:hAnsi="Times New Roman" w:cs="Times New Roman"/>
          <w:color w:val="auto"/>
          <w:kern w:val="0"/>
          <w:highlight w:val="none"/>
          <w:vertAlign w:val="subscript"/>
        </w:rPr>
        <w:t>Pi</w:t>
      </w:r>
      <w:r>
        <w:rPr>
          <w:rFonts w:hint="default" w:ascii="Times New Roman" w:hAnsi="Times New Roman" w:cs="Times New Roman"/>
          <w:color w:val="auto"/>
          <w:kern w:val="0"/>
          <w:highlight w:val="none"/>
        </w:rPr>
        <w:t>——第i个设备在预测点产生的A声级；</w:t>
      </w:r>
    </w:p>
    <w:p w14:paraId="68EF1AB0">
      <w:pPr>
        <w:overflowPunct w:val="0"/>
        <w:topLinePunct/>
        <w:adjustRightInd w:val="0"/>
        <w:ind w:firstLine="1200" w:firstLineChars="500"/>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T——计算等效声级的时间。</w:t>
      </w:r>
    </w:p>
    <w:p w14:paraId="4653DA18">
      <w:pPr>
        <w:overflowPunct w:val="0"/>
        <w:topLinePunct/>
        <w:spacing w:line="480" w:lineRule="atLeas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（3）计算预测点的噪声增加值，可将各声源对预测点的声压级进行叠加，按下式计算：</w:t>
      </w:r>
    </w:p>
    <w:p w14:paraId="57975CF4">
      <w:pPr>
        <w:spacing w:line="360" w:lineRule="auto"/>
        <w:ind w:firstLine="0" w:firstLineChars="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position w:val="-28"/>
          <w:highlight w:val="none"/>
        </w:rPr>
        <w:object>
          <v:shape id="_x0000_i1030" o:spt="75" type="#_x0000_t75" style="height:44.55pt;width:137.15pt;" o:ole="t" filled="f" o:preferrelative="t" stroked="f" coordsize="21600,21600">
            <v:path/>
            <v:fill on="f" focussize="0,0"/>
            <v:stroke on="f" joinstyle="miter"/>
            <v:imagedata r:id="rId50" o:title=""/>
            <o:lock v:ext="edit" aspectratio="t"/>
            <w10:wrap type="none"/>
            <w10:anchorlock/>
          </v:shape>
          <o:OLEObject Type="Embed" ProgID="Equation.3" ShapeID="_x0000_i1030" DrawAspect="Content" ObjectID="_1468075732" r:id="rId49">
            <o:LockedField>false</o:LockedField>
          </o:OLEObject>
        </w:object>
      </w:r>
    </w:p>
    <w:p w14:paraId="0BC59BF8">
      <w:pPr>
        <w:overflowPunct w:val="0"/>
        <w:topLinePunct/>
        <w:ind w:firstLine="480"/>
        <w:rPr>
          <w:rFonts w:hint="default" w:ascii="Times New Roman" w:hAnsi="Times New Roman" w:cs="Times New Roman"/>
          <w:color w:val="auto"/>
          <w:kern w:val="0"/>
          <w:highlight w:val="none"/>
          <w:lang w:val="zh-CN"/>
        </w:rPr>
      </w:pPr>
      <w:r>
        <w:rPr>
          <w:rFonts w:hint="default" w:ascii="Times New Roman" w:hAnsi="Times New Roman" w:cs="Times New Roman"/>
          <w:color w:val="auto"/>
          <w:kern w:val="0"/>
          <w:highlight w:val="none"/>
          <w:lang w:val="zh-CN"/>
        </w:rPr>
        <w:t>式中：L</w:t>
      </w:r>
      <w:r>
        <w:rPr>
          <w:rFonts w:hint="default" w:ascii="Times New Roman" w:hAnsi="Times New Roman" w:cs="Times New Roman"/>
          <w:color w:val="auto"/>
          <w:kern w:val="0"/>
          <w:highlight w:val="none"/>
          <w:vertAlign w:val="subscript"/>
          <w:lang w:val="zh-CN"/>
        </w:rPr>
        <w:t>P总</w:t>
      </w:r>
      <w:r>
        <w:rPr>
          <w:rFonts w:hint="default" w:ascii="Times New Roman" w:hAnsi="Times New Roman" w:cs="Times New Roman"/>
          <w:color w:val="auto"/>
          <w:kern w:val="0"/>
          <w:highlight w:val="none"/>
          <w:lang w:val="zh-CN"/>
        </w:rPr>
        <w:t>——预测点处新增的总声压级，dB；</w:t>
      </w:r>
    </w:p>
    <w:p w14:paraId="19ADBEBF">
      <w:pPr>
        <w:overflowPunct w:val="0"/>
        <w:topLinePunct/>
        <w:ind w:firstLine="1200" w:firstLineChars="50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lang w:val="zh-CN"/>
        </w:rPr>
        <w:t>L</w:t>
      </w:r>
      <w:r>
        <w:rPr>
          <w:rFonts w:hint="default" w:ascii="Times New Roman" w:hAnsi="Times New Roman" w:cs="Times New Roman"/>
          <w:color w:val="auto"/>
          <w:kern w:val="0"/>
          <w:highlight w:val="none"/>
          <w:vertAlign w:val="subscript"/>
          <w:lang w:val="zh-CN"/>
        </w:rPr>
        <w:t>Pi</w:t>
      </w:r>
      <w:r>
        <w:rPr>
          <w:rFonts w:hint="default" w:ascii="Times New Roman" w:hAnsi="Times New Roman" w:cs="Times New Roman"/>
          <w:color w:val="auto"/>
          <w:kern w:val="0"/>
          <w:highlight w:val="none"/>
          <w:lang w:val="zh-CN"/>
        </w:rPr>
        <w:t>——第i个声源至预测点处的声压级，dB；</w:t>
      </w:r>
    </w:p>
    <w:p w14:paraId="4029B8F2">
      <w:pPr>
        <w:overflowPunct w:val="0"/>
        <w:topLinePunct/>
        <w:adjustRightInd w:val="0"/>
        <w:ind w:firstLine="1200" w:firstLineChars="500"/>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val="zh-CN"/>
        </w:rPr>
        <w:t>m——声源个数。</w:t>
      </w:r>
    </w:p>
    <w:p w14:paraId="3828C1EC">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lang w:val="en-US" w:eastAsia="zh-CN"/>
        </w:rPr>
        <w:t>2</w:t>
      </w:r>
      <w:r>
        <w:rPr>
          <w:rFonts w:hint="default" w:ascii="Times New Roman" w:hAnsi="Times New Roman" w:cs="Times New Roman"/>
          <w:color w:val="auto"/>
          <w:kern w:val="0"/>
          <w:highlight w:val="none"/>
        </w:rPr>
        <w:t>、</w:t>
      </w:r>
      <w:r>
        <w:rPr>
          <w:rFonts w:hint="default" w:ascii="Times New Roman" w:hAnsi="Times New Roman" w:cs="Times New Roman"/>
          <w:color w:val="auto"/>
          <w:kern w:val="0"/>
          <w:highlight w:val="none"/>
          <w:lang w:val="zh-CN"/>
        </w:rPr>
        <w:t>主要噪声源及预测点位</w:t>
      </w:r>
    </w:p>
    <w:p w14:paraId="70819066">
      <w:pPr>
        <w:overflowPunct w:val="0"/>
        <w:topLinePunct/>
        <w:ind w:firstLine="480"/>
        <w:rPr>
          <w:rFonts w:hint="default" w:ascii="Times New Roman" w:hAnsi="Times New Roman" w:cs="Times New Roman"/>
          <w:color w:val="auto"/>
          <w:kern w:val="0"/>
          <w:highlight w:val="none"/>
          <w:lang w:val="zh-CN"/>
        </w:rPr>
      </w:pPr>
      <w:r>
        <w:rPr>
          <w:rFonts w:hint="default" w:ascii="Times New Roman" w:hAnsi="Times New Roman" w:cs="Times New Roman"/>
          <w:color w:val="auto"/>
          <w:kern w:val="0"/>
          <w:highlight w:val="none"/>
          <w:lang w:val="zh-CN"/>
        </w:rPr>
        <w:t>本项目选矿厂运营期噪声源主要为</w:t>
      </w:r>
      <w:r>
        <w:rPr>
          <w:rFonts w:hint="eastAsia" w:cs="Times New Roman"/>
          <w:color w:val="auto"/>
          <w:kern w:val="0"/>
          <w:highlight w:val="none"/>
          <w:lang w:val="en-US" w:eastAsia="zh-CN"/>
        </w:rPr>
        <w:t>破碎机、球磨机、浮选机、锅炉</w:t>
      </w:r>
      <w:r>
        <w:rPr>
          <w:rFonts w:hint="default" w:ascii="Times New Roman" w:hAnsi="Times New Roman" w:cs="Times New Roman"/>
          <w:color w:val="auto"/>
          <w:kern w:val="0"/>
          <w:highlight w:val="none"/>
          <w:lang w:val="zh-CN"/>
        </w:rPr>
        <w:t>等。本项目选矿厂200m范围内无噪声敏感点，本次声环境影响预测内容为选矿厂厂界环境噪声达标分析，在选矿厂厂界处设</w:t>
      </w:r>
      <w:r>
        <w:rPr>
          <w:rFonts w:hint="default" w:ascii="Times New Roman" w:hAnsi="Times New Roman" w:cs="Times New Roman"/>
          <w:color w:val="auto"/>
          <w:kern w:val="0"/>
          <w:highlight w:val="none"/>
        </w:rPr>
        <w:t>4</w:t>
      </w:r>
      <w:r>
        <w:rPr>
          <w:rFonts w:hint="default" w:ascii="Times New Roman" w:hAnsi="Times New Roman" w:cs="Times New Roman"/>
          <w:color w:val="auto"/>
          <w:kern w:val="0"/>
          <w:highlight w:val="none"/>
          <w:lang w:val="zh-CN"/>
        </w:rPr>
        <w:t>个场界噪声预测点。</w:t>
      </w:r>
    </w:p>
    <w:p w14:paraId="10CD2E8C">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lang w:val="en-US" w:eastAsia="zh-CN"/>
        </w:rPr>
        <w:t>3</w:t>
      </w:r>
      <w:r>
        <w:rPr>
          <w:rFonts w:hint="default" w:ascii="Times New Roman" w:hAnsi="Times New Roman" w:cs="Times New Roman"/>
          <w:color w:val="auto"/>
          <w:kern w:val="0"/>
          <w:highlight w:val="none"/>
        </w:rPr>
        <w:t>、</w:t>
      </w:r>
      <w:r>
        <w:rPr>
          <w:rFonts w:hint="default" w:ascii="Times New Roman" w:hAnsi="Times New Roman" w:cs="Times New Roman"/>
          <w:color w:val="auto"/>
          <w:kern w:val="0"/>
          <w:highlight w:val="none"/>
          <w:lang w:val="zh-CN"/>
        </w:rPr>
        <w:t>预测结果</w:t>
      </w:r>
    </w:p>
    <w:p w14:paraId="51D9D358">
      <w:pPr>
        <w:overflowPunct w:val="0"/>
        <w:topLinePunct/>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val="zh-CN"/>
        </w:rPr>
        <w:t>根据上述预测模式和参数，计算场界四周的噪声</w:t>
      </w:r>
      <w:r>
        <w:rPr>
          <w:rFonts w:hint="default" w:ascii="Times New Roman" w:hAnsi="Times New Roman" w:cs="Times New Roman"/>
          <w:color w:val="auto"/>
          <w:kern w:val="0"/>
          <w:highlight w:val="none"/>
        </w:rPr>
        <w:t>叠加值</w:t>
      </w:r>
      <w:r>
        <w:rPr>
          <w:rFonts w:hint="default" w:ascii="Times New Roman" w:hAnsi="Times New Roman" w:cs="Times New Roman"/>
          <w:color w:val="auto"/>
          <w:kern w:val="0"/>
          <w:highlight w:val="none"/>
          <w:lang w:val="zh-CN"/>
        </w:rPr>
        <w:t>，噪声预测结果见表</w:t>
      </w:r>
      <w:r>
        <w:rPr>
          <w:rFonts w:hint="default" w:ascii="Times New Roman" w:hAnsi="Times New Roman" w:cs="Times New Roman"/>
          <w:color w:val="auto"/>
          <w:kern w:val="0"/>
          <w:highlight w:val="none"/>
        </w:rPr>
        <w:t>5.2-</w:t>
      </w:r>
      <w:r>
        <w:rPr>
          <w:rFonts w:hint="default" w:ascii="Times New Roman" w:hAnsi="Times New Roman" w:cs="Times New Roman"/>
          <w:color w:val="auto"/>
          <w:kern w:val="0"/>
          <w:highlight w:val="none"/>
          <w:lang w:val="en-US" w:eastAsia="zh-CN"/>
        </w:rPr>
        <w:t>18</w:t>
      </w:r>
      <w:r>
        <w:rPr>
          <w:rFonts w:hint="default" w:ascii="Times New Roman" w:hAnsi="Times New Roman" w:cs="Times New Roman"/>
          <w:color w:val="auto"/>
          <w:kern w:val="0"/>
          <w:highlight w:val="none"/>
          <w:lang w:val="zh-CN"/>
        </w:rPr>
        <w:t>。</w:t>
      </w:r>
    </w:p>
    <w:p w14:paraId="1E0C47A0">
      <w:pPr>
        <w:pStyle w:val="49"/>
        <w:widowControl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zh-CN"/>
        </w:rPr>
        <w:t>表</w:t>
      </w:r>
      <w:r>
        <w:rPr>
          <w:rFonts w:hint="default" w:ascii="Times New Roman" w:hAnsi="Times New Roman" w:cs="Times New Roman"/>
          <w:color w:val="auto"/>
          <w:highlight w:val="none"/>
        </w:rPr>
        <w:t>5.2-1</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zh-CN"/>
        </w:rPr>
        <w:t xml:space="preserve"> 项目噪声预测结果</w:t>
      </w:r>
      <w:r>
        <w:rPr>
          <w:rFonts w:hint="default" w:ascii="Times New Roman" w:hAnsi="Times New Roman" w:cs="Times New Roman"/>
          <w:color w:val="auto"/>
          <w:highlight w:val="none"/>
        </w:rPr>
        <w:t xml:space="preserve">   单位：dB</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eastAsia="zh-CN"/>
        </w:rPr>
        <w:t>）</w:t>
      </w:r>
    </w:p>
    <w:tbl>
      <w:tblPr>
        <w:tblStyle w:val="3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29"/>
        <w:gridCol w:w="1597"/>
        <w:gridCol w:w="1621"/>
        <w:gridCol w:w="1928"/>
        <w:gridCol w:w="1118"/>
        <w:gridCol w:w="1626"/>
      </w:tblGrid>
      <w:tr w14:paraId="5977D7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0" w:hRule="atLeast"/>
          <w:tblHeader/>
          <w:jc w:val="center"/>
        </w:trPr>
        <w:tc>
          <w:tcPr>
            <w:tcW w:w="2257" w:type="pct"/>
            <w:gridSpan w:val="3"/>
            <w:tcBorders>
              <w:tl2br w:val="nil"/>
              <w:tr2bl w:val="nil"/>
            </w:tcBorders>
            <w:vAlign w:val="center"/>
          </w:tcPr>
          <w:p w14:paraId="1CCBAC29">
            <w:pPr>
              <w:pStyle w:val="32"/>
              <w:spacing w:after="0" w:line="360" w:lineRule="exact"/>
              <w:ind w:left="0" w:leftChars="0" w:firstLine="0" w:firstLineChars="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预测点位</w:t>
            </w:r>
          </w:p>
        </w:tc>
        <w:tc>
          <w:tcPr>
            <w:tcW w:w="1131" w:type="pct"/>
            <w:tcBorders>
              <w:tl2br w:val="nil"/>
              <w:tr2bl w:val="nil"/>
            </w:tcBorders>
            <w:vAlign w:val="center"/>
          </w:tcPr>
          <w:p w14:paraId="7A113E6C">
            <w:pPr>
              <w:pStyle w:val="32"/>
              <w:spacing w:after="0" w:line="360" w:lineRule="exact"/>
              <w:ind w:left="0" w:leftChars="0" w:firstLine="0" w:firstLineChars="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贡献值</w:t>
            </w:r>
          </w:p>
        </w:tc>
        <w:tc>
          <w:tcPr>
            <w:tcW w:w="656" w:type="pct"/>
            <w:tcBorders>
              <w:tl2br w:val="nil"/>
              <w:tr2bl w:val="nil"/>
            </w:tcBorders>
            <w:vAlign w:val="center"/>
          </w:tcPr>
          <w:p w14:paraId="1A5A8115">
            <w:pPr>
              <w:pStyle w:val="32"/>
              <w:spacing w:after="0" w:line="360" w:lineRule="exact"/>
              <w:ind w:left="0" w:leftChars="0" w:firstLine="0" w:firstLineChars="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标准值</w:t>
            </w:r>
          </w:p>
        </w:tc>
        <w:tc>
          <w:tcPr>
            <w:tcW w:w="954" w:type="pct"/>
            <w:tcBorders>
              <w:tl2br w:val="nil"/>
              <w:tr2bl w:val="nil"/>
            </w:tcBorders>
            <w:vAlign w:val="center"/>
          </w:tcPr>
          <w:p w14:paraId="248B2DFC">
            <w:pPr>
              <w:pStyle w:val="32"/>
              <w:spacing w:after="0" w:line="360" w:lineRule="exact"/>
              <w:ind w:left="0" w:leftChars="0" w:firstLine="0" w:firstLineChars="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达标情况</w:t>
            </w:r>
          </w:p>
        </w:tc>
      </w:tr>
      <w:tr w14:paraId="41DD2C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369" w:type="pct"/>
            <w:vMerge w:val="restart"/>
            <w:tcBorders>
              <w:tl2br w:val="nil"/>
              <w:tr2bl w:val="nil"/>
            </w:tcBorders>
            <w:vAlign w:val="center"/>
          </w:tcPr>
          <w:p w14:paraId="6D0D0700">
            <w:pPr>
              <w:pStyle w:val="32"/>
              <w:spacing w:after="0" w:line="360" w:lineRule="exact"/>
              <w:ind w:left="0" w:lef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val="zh-CN"/>
              </w:rPr>
              <w:t>选矿厂</w:t>
            </w:r>
          </w:p>
        </w:tc>
        <w:tc>
          <w:tcPr>
            <w:tcW w:w="937" w:type="pct"/>
            <w:vMerge w:val="restart"/>
            <w:tcBorders>
              <w:tl2br w:val="nil"/>
              <w:tr2bl w:val="nil"/>
            </w:tcBorders>
            <w:vAlign w:val="center"/>
          </w:tcPr>
          <w:p w14:paraId="537586DC">
            <w:pPr>
              <w:pStyle w:val="32"/>
              <w:spacing w:after="0" w:line="360" w:lineRule="exact"/>
              <w:ind w:left="0" w:lef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东厂界</w:t>
            </w:r>
          </w:p>
        </w:tc>
        <w:tc>
          <w:tcPr>
            <w:tcW w:w="951" w:type="pct"/>
            <w:tcBorders>
              <w:tl2br w:val="nil"/>
              <w:tr2bl w:val="nil"/>
            </w:tcBorders>
            <w:vAlign w:val="center"/>
          </w:tcPr>
          <w:p w14:paraId="15EAFACF">
            <w:pPr>
              <w:pStyle w:val="32"/>
              <w:spacing w:after="0" w:line="360" w:lineRule="exact"/>
              <w:ind w:left="0" w:lef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昼间</w:t>
            </w:r>
          </w:p>
        </w:tc>
        <w:tc>
          <w:tcPr>
            <w:tcW w:w="1131" w:type="pct"/>
            <w:tcBorders>
              <w:tl2br w:val="nil"/>
              <w:tr2bl w:val="nil"/>
            </w:tcBorders>
            <w:vAlign w:val="center"/>
          </w:tcPr>
          <w:p w14:paraId="21C7B1BE">
            <w:pPr>
              <w:pStyle w:val="32"/>
              <w:spacing w:after="0" w:line="360" w:lineRule="exact"/>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35.2</w:t>
            </w:r>
          </w:p>
        </w:tc>
        <w:tc>
          <w:tcPr>
            <w:tcW w:w="656" w:type="pct"/>
            <w:tcBorders>
              <w:tl2br w:val="nil"/>
              <w:tr2bl w:val="nil"/>
            </w:tcBorders>
            <w:vAlign w:val="center"/>
          </w:tcPr>
          <w:p w14:paraId="35202AE8">
            <w:pPr>
              <w:pStyle w:val="32"/>
              <w:spacing w:after="0" w:line="360" w:lineRule="exact"/>
              <w:ind w:left="0" w:lef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szCs w:val="21"/>
                <w:highlight w:val="none"/>
                <w:lang w:val="en-US" w:eastAsia="zh-CN"/>
              </w:rPr>
              <w:t>60</w:t>
            </w:r>
          </w:p>
        </w:tc>
        <w:tc>
          <w:tcPr>
            <w:tcW w:w="954" w:type="pct"/>
            <w:tcBorders>
              <w:tl2br w:val="nil"/>
              <w:tr2bl w:val="nil"/>
            </w:tcBorders>
            <w:vAlign w:val="center"/>
          </w:tcPr>
          <w:p w14:paraId="5BE2D4A2">
            <w:pPr>
              <w:pStyle w:val="32"/>
              <w:spacing w:after="0" w:line="360" w:lineRule="exact"/>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达标</w:t>
            </w:r>
          </w:p>
        </w:tc>
      </w:tr>
      <w:tr w14:paraId="084086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369" w:type="pct"/>
            <w:vMerge w:val="continue"/>
            <w:tcBorders>
              <w:tl2br w:val="nil"/>
              <w:tr2bl w:val="nil"/>
            </w:tcBorders>
            <w:vAlign w:val="center"/>
          </w:tcPr>
          <w:p w14:paraId="576507F3">
            <w:pPr>
              <w:pStyle w:val="32"/>
              <w:spacing w:after="0" w:line="360" w:lineRule="exact"/>
              <w:ind w:left="0" w:leftChars="0" w:firstLine="0" w:firstLineChars="0"/>
              <w:jc w:val="center"/>
              <w:rPr>
                <w:rFonts w:hint="default" w:ascii="Times New Roman" w:hAnsi="Times New Roman" w:cs="Times New Roman"/>
                <w:color w:val="auto"/>
                <w:szCs w:val="21"/>
                <w:highlight w:val="none"/>
              </w:rPr>
            </w:pPr>
          </w:p>
        </w:tc>
        <w:tc>
          <w:tcPr>
            <w:tcW w:w="937" w:type="pct"/>
            <w:vMerge w:val="continue"/>
            <w:tcBorders>
              <w:tl2br w:val="nil"/>
              <w:tr2bl w:val="nil"/>
            </w:tcBorders>
            <w:vAlign w:val="center"/>
          </w:tcPr>
          <w:p w14:paraId="449F7ADB">
            <w:pPr>
              <w:pStyle w:val="32"/>
              <w:spacing w:after="0" w:line="360" w:lineRule="exact"/>
              <w:ind w:left="0" w:leftChars="0" w:firstLine="0" w:firstLineChars="0"/>
              <w:jc w:val="center"/>
              <w:rPr>
                <w:rFonts w:hint="default" w:ascii="Times New Roman" w:hAnsi="Times New Roman" w:cs="Times New Roman"/>
                <w:color w:val="auto"/>
                <w:szCs w:val="21"/>
                <w:highlight w:val="none"/>
              </w:rPr>
            </w:pPr>
          </w:p>
        </w:tc>
        <w:tc>
          <w:tcPr>
            <w:tcW w:w="951" w:type="pct"/>
            <w:tcBorders>
              <w:tl2br w:val="nil"/>
              <w:tr2bl w:val="nil"/>
            </w:tcBorders>
            <w:vAlign w:val="center"/>
          </w:tcPr>
          <w:p w14:paraId="7F4873F5">
            <w:pPr>
              <w:pStyle w:val="32"/>
              <w:spacing w:after="0" w:line="360" w:lineRule="exact"/>
              <w:ind w:left="0" w:lef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夜间</w:t>
            </w:r>
          </w:p>
        </w:tc>
        <w:tc>
          <w:tcPr>
            <w:tcW w:w="1131" w:type="pct"/>
            <w:tcBorders>
              <w:tl2br w:val="nil"/>
              <w:tr2bl w:val="nil"/>
            </w:tcBorders>
            <w:vAlign w:val="center"/>
          </w:tcPr>
          <w:p w14:paraId="49BAEAB7">
            <w:pPr>
              <w:pStyle w:val="32"/>
              <w:spacing w:after="0" w:line="360" w:lineRule="exact"/>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34.7</w:t>
            </w:r>
          </w:p>
        </w:tc>
        <w:tc>
          <w:tcPr>
            <w:tcW w:w="656" w:type="pct"/>
            <w:tcBorders>
              <w:tl2br w:val="nil"/>
              <w:tr2bl w:val="nil"/>
            </w:tcBorders>
            <w:vAlign w:val="center"/>
          </w:tcPr>
          <w:p w14:paraId="5A4F8203">
            <w:pPr>
              <w:pStyle w:val="32"/>
              <w:spacing w:after="0" w:line="360" w:lineRule="exact"/>
              <w:ind w:left="0" w:lef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szCs w:val="21"/>
                <w:highlight w:val="none"/>
                <w:lang w:val="en-US" w:eastAsia="zh-CN"/>
              </w:rPr>
              <w:t>50</w:t>
            </w:r>
          </w:p>
        </w:tc>
        <w:tc>
          <w:tcPr>
            <w:tcW w:w="954" w:type="pct"/>
            <w:tcBorders>
              <w:tl2br w:val="nil"/>
              <w:tr2bl w:val="nil"/>
            </w:tcBorders>
            <w:vAlign w:val="center"/>
          </w:tcPr>
          <w:p w14:paraId="660D003B">
            <w:pPr>
              <w:pStyle w:val="32"/>
              <w:spacing w:after="0" w:line="360" w:lineRule="exact"/>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达标</w:t>
            </w:r>
          </w:p>
        </w:tc>
      </w:tr>
      <w:tr w14:paraId="794F21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369" w:type="pct"/>
            <w:vMerge w:val="continue"/>
            <w:tcBorders>
              <w:tl2br w:val="nil"/>
              <w:tr2bl w:val="nil"/>
            </w:tcBorders>
            <w:vAlign w:val="center"/>
          </w:tcPr>
          <w:p w14:paraId="279197F2">
            <w:pPr>
              <w:pStyle w:val="32"/>
              <w:spacing w:after="0" w:line="360" w:lineRule="exact"/>
              <w:ind w:left="0" w:leftChars="0" w:firstLine="0" w:firstLineChars="0"/>
              <w:jc w:val="center"/>
              <w:rPr>
                <w:rFonts w:hint="default" w:ascii="Times New Roman" w:hAnsi="Times New Roman" w:cs="Times New Roman"/>
                <w:color w:val="auto"/>
                <w:szCs w:val="21"/>
                <w:highlight w:val="none"/>
              </w:rPr>
            </w:pPr>
          </w:p>
        </w:tc>
        <w:tc>
          <w:tcPr>
            <w:tcW w:w="937" w:type="pct"/>
            <w:vMerge w:val="restart"/>
            <w:tcBorders>
              <w:tl2br w:val="nil"/>
              <w:tr2bl w:val="nil"/>
            </w:tcBorders>
            <w:vAlign w:val="center"/>
          </w:tcPr>
          <w:p w14:paraId="5B3C5813">
            <w:pPr>
              <w:pStyle w:val="32"/>
              <w:spacing w:after="0" w:line="360" w:lineRule="exact"/>
              <w:ind w:left="0" w:lef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南厂界</w:t>
            </w:r>
          </w:p>
        </w:tc>
        <w:tc>
          <w:tcPr>
            <w:tcW w:w="951" w:type="pct"/>
            <w:tcBorders>
              <w:tl2br w:val="nil"/>
              <w:tr2bl w:val="nil"/>
            </w:tcBorders>
            <w:vAlign w:val="center"/>
          </w:tcPr>
          <w:p w14:paraId="21974482">
            <w:pPr>
              <w:pStyle w:val="32"/>
              <w:spacing w:after="0" w:line="360" w:lineRule="exact"/>
              <w:ind w:left="0" w:lef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昼间</w:t>
            </w:r>
          </w:p>
        </w:tc>
        <w:tc>
          <w:tcPr>
            <w:tcW w:w="1131" w:type="pct"/>
            <w:tcBorders>
              <w:tl2br w:val="nil"/>
              <w:tr2bl w:val="nil"/>
            </w:tcBorders>
            <w:vAlign w:val="center"/>
          </w:tcPr>
          <w:p w14:paraId="7A9F557D">
            <w:pPr>
              <w:pStyle w:val="32"/>
              <w:spacing w:after="0" w:line="360" w:lineRule="exact"/>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36.4</w:t>
            </w:r>
          </w:p>
        </w:tc>
        <w:tc>
          <w:tcPr>
            <w:tcW w:w="656" w:type="pct"/>
            <w:tcBorders>
              <w:tl2br w:val="nil"/>
              <w:tr2bl w:val="nil"/>
            </w:tcBorders>
            <w:vAlign w:val="center"/>
          </w:tcPr>
          <w:p w14:paraId="7D8BF3ED">
            <w:pPr>
              <w:pStyle w:val="32"/>
              <w:spacing w:after="0" w:line="360" w:lineRule="exact"/>
              <w:ind w:left="0" w:leftChars="0" w:firstLine="0" w:firstLineChars="0"/>
              <w:jc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szCs w:val="21"/>
                <w:highlight w:val="none"/>
                <w:lang w:val="en-US" w:eastAsia="zh-CN"/>
              </w:rPr>
              <w:t>60</w:t>
            </w:r>
          </w:p>
        </w:tc>
        <w:tc>
          <w:tcPr>
            <w:tcW w:w="954" w:type="pct"/>
            <w:tcBorders>
              <w:tl2br w:val="nil"/>
              <w:tr2bl w:val="nil"/>
            </w:tcBorders>
            <w:vAlign w:val="center"/>
          </w:tcPr>
          <w:p w14:paraId="7F28037F">
            <w:pPr>
              <w:pStyle w:val="32"/>
              <w:spacing w:after="0" w:line="360" w:lineRule="exact"/>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达标</w:t>
            </w:r>
          </w:p>
        </w:tc>
      </w:tr>
      <w:tr w14:paraId="3B3EF2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369" w:type="pct"/>
            <w:vMerge w:val="continue"/>
            <w:tcBorders>
              <w:tl2br w:val="nil"/>
              <w:tr2bl w:val="nil"/>
            </w:tcBorders>
            <w:vAlign w:val="center"/>
          </w:tcPr>
          <w:p w14:paraId="04018D6C">
            <w:pPr>
              <w:pStyle w:val="32"/>
              <w:spacing w:after="0" w:line="360" w:lineRule="exact"/>
              <w:ind w:left="0" w:leftChars="0" w:firstLine="0" w:firstLineChars="0"/>
              <w:jc w:val="center"/>
              <w:rPr>
                <w:rFonts w:hint="default" w:ascii="Times New Roman" w:hAnsi="Times New Roman" w:cs="Times New Roman"/>
                <w:color w:val="auto"/>
                <w:szCs w:val="21"/>
                <w:highlight w:val="none"/>
              </w:rPr>
            </w:pPr>
          </w:p>
        </w:tc>
        <w:tc>
          <w:tcPr>
            <w:tcW w:w="937" w:type="pct"/>
            <w:vMerge w:val="continue"/>
            <w:tcBorders>
              <w:tl2br w:val="nil"/>
              <w:tr2bl w:val="nil"/>
            </w:tcBorders>
            <w:vAlign w:val="center"/>
          </w:tcPr>
          <w:p w14:paraId="118B4B31">
            <w:pPr>
              <w:pStyle w:val="32"/>
              <w:spacing w:after="0" w:line="360" w:lineRule="exact"/>
              <w:ind w:left="0" w:leftChars="0" w:firstLine="0" w:firstLineChars="0"/>
              <w:jc w:val="center"/>
              <w:rPr>
                <w:rFonts w:hint="default" w:ascii="Times New Roman" w:hAnsi="Times New Roman" w:cs="Times New Roman"/>
                <w:color w:val="auto"/>
                <w:szCs w:val="21"/>
                <w:highlight w:val="none"/>
              </w:rPr>
            </w:pPr>
          </w:p>
        </w:tc>
        <w:tc>
          <w:tcPr>
            <w:tcW w:w="951" w:type="pct"/>
            <w:tcBorders>
              <w:tl2br w:val="nil"/>
              <w:tr2bl w:val="nil"/>
            </w:tcBorders>
            <w:vAlign w:val="center"/>
          </w:tcPr>
          <w:p w14:paraId="749C928D">
            <w:pPr>
              <w:pStyle w:val="32"/>
              <w:spacing w:after="0" w:line="360" w:lineRule="exact"/>
              <w:ind w:left="0" w:lef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夜间</w:t>
            </w:r>
          </w:p>
        </w:tc>
        <w:tc>
          <w:tcPr>
            <w:tcW w:w="1131" w:type="pct"/>
            <w:tcBorders>
              <w:tl2br w:val="nil"/>
              <w:tr2bl w:val="nil"/>
            </w:tcBorders>
            <w:vAlign w:val="center"/>
          </w:tcPr>
          <w:p w14:paraId="22FA2FFD">
            <w:pPr>
              <w:pStyle w:val="32"/>
              <w:spacing w:after="0" w:line="360" w:lineRule="exact"/>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35.2</w:t>
            </w:r>
          </w:p>
        </w:tc>
        <w:tc>
          <w:tcPr>
            <w:tcW w:w="656" w:type="pct"/>
            <w:tcBorders>
              <w:tl2br w:val="nil"/>
              <w:tr2bl w:val="nil"/>
            </w:tcBorders>
            <w:vAlign w:val="center"/>
          </w:tcPr>
          <w:p w14:paraId="044C31B6">
            <w:pPr>
              <w:pStyle w:val="32"/>
              <w:spacing w:after="0" w:line="360" w:lineRule="exact"/>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lang w:val="en-US" w:eastAsia="zh-CN"/>
              </w:rPr>
              <w:t>50</w:t>
            </w:r>
          </w:p>
        </w:tc>
        <w:tc>
          <w:tcPr>
            <w:tcW w:w="954" w:type="pct"/>
            <w:tcBorders>
              <w:tl2br w:val="nil"/>
              <w:tr2bl w:val="nil"/>
            </w:tcBorders>
            <w:vAlign w:val="center"/>
          </w:tcPr>
          <w:p w14:paraId="1431DAE0">
            <w:pPr>
              <w:pStyle w:val="32"/>
              <w:spacing w:after="0" w:line="360" w:lineRule="exact"/>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达标</w:t>
            </w:r>
          </w:p>
        </w:tc>
      </w:tr>
      <w:tr w14:paraId="3A1630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369" w:type="pct"/>
            <w:vMerge w:val="continue"/>
            <w:tcBorders>
              <w:tl2br w:val="nil"/>
              <w:tr2bl w:val="nil"/>
            </w:tcBorders>
            <w:vAlign w:val="center"/>
          </w:tcPr>
          <w:p w14:paraId="365A0A5C">
            <w:pPr>
              <w:pStyle w:val="32"/>
              <w:spacing w:after="0" w:line="360" w:lineRule="exact"/>
              <w:ind w:left="0" w:leftChars="0" w:firstLine="0" w:firstLineChars="0"/>
              <w:jc w:val="center"/>
              <w:rPr>
                <w:rFonts w:hint="default" w:ascii="Times New Roman" w:hAnsi="Times New Roman" w:cs="Times New Roman"/>
                <w:color w:val="auto"/>
                <w:szCs w:val="21"/>
                <w:highlight w:val="none"/>
              </w:rPr>
            </w:pPr>
          </w:p>
        </w:tc>
        <w:tc>
          <w:tcPr>
            <w:tcW w:w="937" w:type="pct"/>
            <w:vMerge w:val="restart"/>
            <w:tcBorders>
              <w:tl2br w:val="nil"/>
              <w:tr2bl w:val="nil"/>
            </w:tcBorders>
            <w:vAlign w:val="center"/>
          </w:tcPr>
          <w:p w14:paraId="773CC218">
            <w:pPr>
              <w:pStyle w:val="32"/>
              <w:spacing w:after="0" w:line="360" w:lineRule="exact"/>
              <w:ind w:left="0" w:lef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西厂界</w:t>
            </w:r>
          </w:p>
        </w:tc>
        <w:tc>
          <w:tcPr>
            <w:tcW w:w="951" w:type="pct"/>
            <w:tcBorders>
              <w:tl2br w:val="nil"/>
              <w:tr2bl w:val="nil"/>
            </w:tcBorders>
            <w:vAlign w:val="center"/>
          </w:tcPr>
          <w:p w14:paraId="439C60CD">
            <w:pPr>
              <w:pStyle w:val="32"/>
              <w:spacing w:after="0" w:line="360" w:lineRule="exact"/>
              <w:ind w:left="0" w:lef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昼间</w:t>
            </w:r>
          </w:p>
        </w:tc>
        <w:tc>
          <w:tcPr>
            <w:tcW w:w="1131" w:type="pct"/>
            <w:tcBorders>
              <w:tl2br w:val="nil"/>
              <w:tr2bl w:val="nil"/>
            </w:tcBorders>
            <w:vAlign w:val="center"/>
          </w:tcPr>
          <w:p w14:paraId="49955B02">
            <w:pPr>
              <w:pStyle w:val="32"/>
              <w:spacing w:after="0" w:line="360" w:lineRule="exact"/>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42.3</w:t>
            </w:r>
          </w:p>
        </w:tc>
        <w:tc>
          <w:tcPr>
            <w:tcW w:w="656" w:type="pct"/>
            <w:tcBorders>
              <w:tl2br w:val="nil"/>
              <w:tr2bl w:val="nil"/>
            </w:tcBorders>
            <w:vAlign w:val="center"/>
          </w:tcPr>
          <w:p w14:paraId="5DD55A2F">
            <w:pPr>
              <w:pStyle w:val="32"/>
              <w:spacing w:after="0" w:line="360" w:lineRule="exact"/>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lang w:val="en-US" w:eastAsia="zh-CN"/>
              </w:rPr>
              <w:t>60</w:t>
            </w:r>
          </w:p>
        </w:tc>
        <w:tc>
          <w:tcPr>
            <w:tcW w:w="954" w:type="pct"/>
            <w:tcBorders>
              <w:tl2br w:val="nil"/>
              <w:tr2bl w:val="nil"/>
            </w:tcBorders>
            <w:vAlign w:val="center"/>
          </w:tcPr>
          <w:p w14:paraId="2C0CEE35">
            <w:pPr>
              <w:pStyle w:val="32"/>
              <w:spacing w:after="0" w:line="360" w:lineRule="exact"/>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达标</w:t>
            </w:r>
          </w:p>
        </w:tc>
      </w:tr>
      <w:tr w14:paraId="0F87EC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369" w:type="pct"/>
            <w:vMerge w:val="continue"/>
            <w:tcBorders>
              <w:tl2br w:val="nil"/>
              <w:tr2bl w:val="nil"/>
            </w:tcBorders>
            <w:vAlign w:val="center"/>
          </w:tcPr>
          <w:p w14:paraId="349AE044">
            <w:pPr>
              <w:pStyle w:val="32"/>
              <w:spacing w:after="0" w:line="360" w:lineRule="exact"/>
              <w:ind w:left="0" w:leftChars="0" w:firstLine="0" w:firstLineChars="0"/>
              <w:jc w:val="center"/>
              <w:rPr>
                <w:rFonts w:hint="default" w:ascii="Times New Roman" w:hAnsi="Times New Roman" w:cs="Times New Roman"/>
                <w:color w:val="auto"/>
                <w:szCs w:val="21"/>
                <w:highlight w:val="none"/>
              </w:rPr>
            </w:pPr>
          </w:p>
        </w:tc>
        <w:tc>
          <w:tcPr>
            <w:tcW w:w="937" w:type="pct"/>
            <w:vMerge w:val="continue"/>
            <w:tcBorders>
              <w:tl2br w:val="nil"/>
              <w:tr2bl w:val="nil"/>
            </w:tcBorders>
            <w:vAlign w:val="center"/>
          </w:tcPr>
          <w:p w14:paraId="4EE85DF9">
            <w:pPr>
              <w:pStyle w:val="32"/>
              <w:spacing w:after="0" w:line="360" w:lineRule="exact"/>
              <w:ind w:left="0" w:leftChars="0" w:firstLine="0" w:firstLineChars="0"/>
              <w:jc w:val="center"/>
              <w:rPr>
                <w:rFonts w:hint="default" w:ascii="Times New Roman" w:hAnsi="Times New Roman" w:cs="Times New Roman"/>
                <w:color w:val="auto"/>
                <w:szCs w:val="21"/>
                <w:highlight w:val="none"/>
              </w:rPr>
            </w:pPr>
          </w:p>
        </w:tc>
        <w:tc>
          <w:tcPr>
            <w:tcW w:w="951" w:type="pct"/>
            <w:tcBorders>
              <w:tl2br w:val="nil"/>
              <w:tr2bl w:val="nil"/>
            </w:tcBorders>
            <w:vAlign w:val="center"/>
          </w:tcPr>
          <w:p w14:paraId="695D136F">
            <w:pPr>
              <w:pStyle w:val="32"/>
              <w:spacing w:after="0" w:line="360" w:lineRule="exact"/>
              <w:ind w:left="0" w:lef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夜间</w:t>
            </w:r>
          </w:p>
        </w:tc>
        <w:tc>
          <w:tcPr>
            <w:tcW w:w="1131" w:type="pct"/>
            <w:tcBorders>
              <w:tl2br w:val="nil"/>
              <w:tr2bl w:val="nil"/>
            </w:tcBorders>
            <w:vAlign w:val="center"/>
          </w:tcPr>
          <w:p w14:paraId="6701FADD">
            <w:pPr>
              <w:pStyle w:val="32"/>
              <w:spacing w:after="0" w:line="360" w:lineRule="exact"/>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28.4</w:t>
            </w:r>
          </w:p>
        </w:tc>
        <w:tc>
          <w:tcPr>
            <w:tcW w:w="656" w:type="pct"/>
            <w:tcBorders>
              <w:tl2br w:val="nil"/>
              <w:tr2bl w:val="nil"/>
            </w:tcBorders>
            <w:vAlign w:val="center"/>
          </w:tcPr>
          <w:p w14:paraId="4DCF6513">
            <w:pPr>
              <w:pStyle w:val="32"/>
              <w:spacing w:after="0" w:line="360" w:lineRule="exact"/>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lang w:val="en-US" w:eastAsia="zh-CN"/>
              </w:rPr>
              <w:t>50</w:t>
            </w:r>
          </w:p>
        </w:tc>
        <w:tc>
          <w:tcPr>
            <w:tcW w:w="954" w:type="pct"/>
            <w:tcBorders>
              <w:tl2br w:val="nil"/>
              <w:tr2bl w:val="nil"/>
            </w:tcBorders>
            <w:vAlign w:val="center"/>
          </w:tcPr>
          <w:p w14:paraId="0FCF3E72">
            <w:pPr>
              <w:pStyle w:val="32"/>
              <w:spacing w:after="0" w:line="360" w:lineRule="exact"/>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达标</w:t>
            </w:r>
          </w:p>
        </w:tc>
      </w:tr>
      <w:tr w14:paraId="65728D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369" w:type="pct"/>
            <w:vMerge w:val="continue"/>
            <w:tcBorders>
              <w:tl2br w:val="nil"/>
              <w:tr2bl w:val="nil"/>
            </w:tcBorders>
            <w:vAlign w:val="center"/>
          </w:tcPr>
          <w:p w14:paraId="0FF6F906">
            <w:pPr>
              <w:pStyle w:val="32"/>
              <w:spacing w:after="0" w:line="360" w:lineRule="exact"/>
              <w:ind w:left="0" w:leftChars="0" w:firstLine="0" w:firstLineChars="0"/>
              <w:jc w:val="center"/>
              <w:rPr>
                <w:rFonts w:hint="default" w:ascii="Times New Roman" w:hAnsi="Times New Roman" w:cs="Times New Roman"/>
                <w:color w:val="auto"/>
                <w:szCs w:val="21"/>
                <w:highlight w:val="none"/>
              </w:rPr>
            </w:pPr>
          </w:p>
        </w:tc>
        <w:tc>
          <w:tcPr>
            <w:tcW w:w="937" w:type="pct"/>
            <w:vMerge w:val="restart"/>
            <w:tcBorders>
              <w:tl2br w:val="nil"/>
              <w:tr2bl w:val="nil"/>
            </w:tcBorders>
            <w:vAlign w:val="center"/>
          </w:tcPr>
          <w:p w14:paraId="3752D958">
            <w:pPr>
              <w:pStyle w:val="32"/>
              <w:spacing w:after="0" w:line="360" w:lineRule="exact"/>
              <w:ind w:left="0" w:lef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北厂界</w:t>
            </w:r>
          </w:p>
        </w:tc>
        <w:tc>
          <w:tcPr>
            <w:tcW w:w="951" w:type="pct"/>
            <w:tcBorders>
              <w:tl2br w:val="nil"/>
              <w:tr2bl w:val="nil"/>
            </w:tcBorders>
            <w:vAlign w:val="center"/>
          </w:tcPr>
          <w:p w14:paraId="567B0E04">
            <w:pPr>
              <w:pStyle w:val="32"/>
              <w:spacing w:after="0" w:line="360" w:lineRule="exact"/>
              <w:ind w:left="0" w:lef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昼间</w:t>
            </w:r>
          </w:p>
        </w:tc>
        <w:tc>
          <w:tcPr>
            <w:tcW w:w="1131" w:type="pct"/>
            <w:tcBorders>
              <w:tl2br w:val="nil"/>
              <w:tr2bl w:val="nil"/>
            </w:tcBorders>
            <w:vAlign w:val="center"/>
          </w:tcPr>
          <w:p w14:paraId="70A22EC4">
            <w:pPr>
              <w:pStyle w:val="32"/>
              <w:spacing w:after="0" w:line="360" w:lineRule="exact"/>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35.2</w:t>
            </w:r>
          </w:p>
        </w:tc>
        <w:tc>
          <w:tcPr>
            <w:tcW w:w="656" w:type="pct"/>
            <w:tcBorders>
              <w:tl2br w:val="nil"/>
              <w:tr2bl w:val="nil"/>
            </w:tcBorders>
            <w:vAlign w:val="center"/>
          </w:tcPr>
          <w:p w14:paraId="69CC7A1F">
            <w:pPr>
              <w:pStyle w:val="32"/>
              <w:spacing w:after="0" w:line="360" w:lineRule="exact"/>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lang w:val="en-US" w:eastAsia="zh-CN"/>
              </w:rPr>
              <w:t>60</w:t>
            </w:r>
          </w:p>
        </w:tc>
        <w:tc>
          <w:tcPr>
            <w:tcW w:w="954" w:type="pct"/>
            <w:tcBorders>
              <w:tl2br w:val="nil"/>
              <w:tr2bl w:val="nil"/>
            </w:tcBorders>
            <w:vAlign w:val="center"/>
          </w:tcPr>
          <w:p w14:paraId="4A4A5B7D">
            <w:pPr>
              <w:pStyle w:val="32"/>
              <w:spacing w:after="0" w:line="360" w:lineRule="exact"/>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达标</w:t>
            </w:r>
          </w:p>
        </w:tc>
      </w:tr>
      <w:tr w14:paraId="0022E4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369" w:type="pct"/>
            <w:vMerge w:val="continue"/>
            <w:tcBorders>
              <w:tl2br w:val="nil"/>
              <w:tr2bl w:val="nil"/>
            </w:tcBorders>
            <w:vAlign w:val="center"/>
          </w:tcPr>
          <w:p w14:paraId="014BB02F">
            <w:pPr>
              <w:pStyle w:val="32"/>
              <w:spacing w:after="0" w:line="360" w:lineRule="exact"/>
              <w:ind w:left="0" w:leftChars="0" w:firstLine="0" w:firstLineChars="0"/>
              <w:jc w:val="center"/>
              <w:rPr>
                <w:rFonts w:hint="default" w:ascii="Times New Roman" w:hAnsi="Times New Roman" w:cs="Times New Roman"/>
                <w:color w:val="auto"/>
                <w:szCs w:val="21"/>
                <w:highlight w:val="none"/>
              </w:rPr>
            </w:pPr>
          </w:p>
        </w:tc>
        <w:tc>
          <w:tcPr>
            <w:tcW w:w="937" w:type="pct"/>
            <w:vMerge w:val="continue"/>
            <w:tcBorders>
              <w:tl2br w:val="nil"/>
              <w:tr2bl w:val="nil"/>
            </w:tcBorders>
            <w:vAlign w:val="center"/>
          </w:tcPr>
          <w:p w14:paraId="7F547A88">
            <w:pPr>
              <w:pStyle w:val="32"/>
              <w:spacing w:after="0" w:line="360" w:lineRule="exact"/>
              <w:ind w:left="0" w:leftChars="0" w:firstLine="0" w:firstLineChars="0"/>
              <w:jc w:val="center"/>
              <w:rPr>
                <w:rFonts w:hint="default" w:ascii="Times New Roman" w:hAnsi="Times New Roman" w:cs="Times New Roman"/>
                <w:color w:val="auto"/>
                <w:szCs w:val="21"/>
                <w:highlight w:val="none"/>
              </w:rPr>
            </w:pPr>
          </w:p>
        </w:tc>
        <w:tc>
          <w:tcPr>
            <w:tcW w:w="951" w:type="pct"/>
            <w:tcBorders>
              <w:tl2br w:val="nil"/>
              <w:tr2bl w:val="nil"/>
            </w:tcBorders>
            <w:vAlign w:val="center"/>
          </w:tcPr>
          <w:p w14:paraId="53AE9DE1">
            <w:pPr>
              <w:pStyle w:val="32"/>
              <w:spacing w:after="0" w:line="360" w:lineRule="exact"/>
              <w:ind w:left="0" w:leftChars="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夜间</w:t>
            </w:r>
          </w:p>
        </w:tc>
        <w:tc>
          <w:tcPr>
            <w:tcW w:w="1131" w:type="pct"/>
            <w:tcBorders>
              <w:tl2br w:val="nil"/>
              <w:tr2bl w:val="nil"/>
            </w:tcBorders>
            <w:vAlign w:val="center"/>
          </w:tcPr>
          <w:p w14:paraId="22C13BC9">
            <w:pPr>
              <w:pStyle w:val="32"/>
              <w:spacing w:after="0" w:line="360" w:lineRule="exact"/>
              <w:ind w:left="0" w:leftChars="0"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33.8</w:t>
            </w:r>
          </w:p>
        </w:tc>
        <w:tc>
          <w:tcPr>
            <w:tcW w:w="656" w:type="pct"/>
            <w:tcBorders>
              <w:tl2br w:val="nil"/>
              <w:tr2bl w:val="nil"/>
            </w:tcBorders>
            <w:vAlign w:val="center"/>
          </w:tcPr>
          <w:p w14:paraId="2C30EC8F">
            <w:pPr>
              <w:pStyle w:val="32"/>
              <w:spacing w:after="0" w:line="360" w:lineRule="exact"/>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lang w:val="en-US" w:eastAsia="zh-CN"/>
              </w:rPr>
              <w:t>50</w:t>
            </w:r>
          </w:p>
        </w:tc>
        <w:tc>
          <w:tcPr>
            <w:tcW w:w="954" w:type="pct"/>
            <w:tcBorders>
              <w:tl2br w:val="nil"/>
              <w:tr2bl w:val="nil"/>
            </w:tcBorders>
            <w:vAlign w:val="center"/>
          </w:tcPr>
          <w:p w14:paraId="7A0C00DD">
            <w:pPr>
              <w:pStyle w:val="32"/>
              <w:spacing w:after="0" w:line="360" w:lineRule="exact"/>
              <w:ind w:left="0" w:leftChars="0"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达标</w:t>
            </w:r>
          </w:p>
        </w:tc>
      </w:tr>
    </w:tbl>
    <w:p w14:paraId="259FA940">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5.2.4.</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kern w:val="0"/>
          <w:highlight w:val="none"/>
          <w:lang w:val="zh-CN"/>
        </w:rPr>
        <w:t>预测结果分析</w:t>
      </w:r>
    </w:p>
    <w:p w14:paraId="73999F23">
      <w:pPr>
        <w:overflowPunct w:val="0"/>
        <w:topLinePunct/>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kern w:val="0"/>
          <w:szCs w:val="24"/>
          <w:highlight w:val="none"/>
          <w:lang w:val="zh-CN"/>
        </w:rPr>
        <w:t>由预测结果可知，项目运营后，噪声源厂界</w:t>
      </w:r>
      <w:r>
        <w:rPr>
          <w:rFonts w:hint="default" w:ascii="Times New Roman" w:hAnsi="Times New Roman" w:cs="Times New Roman"/>
          <w:color w:val="auto"/>
          <w:kern w:val="0"/>
          <w:szCs w:val="24"/>
          <w:highlight w:val="none"/>
        </w:rPr>
        <w:t>昼间</w:t>
      </w:r>
      <w:r>
        <w:rPr>
          <w:rFonts w:hint="default" w:ascii="Times New Roman" w:hAnsi="Times New Roman" w:cs="Times New Roman"/>
          <w:color w:val="auto"/>
          <w:kern w:val="0"/>
          <w:szCs w:val="24"/>
          <w:highlight w:val="none"/>
          <w:lang w:eastAsia="zh-CN"/>
        </w:rPr>
        <w:t>和夜间</w:t>
      </w:r>
      <w:r>
        <w:rPr>
          <w:rFonts w:hint="default" w:ascii="Times New Roman" w:hAnsi="Times New Roman" w:cs="Times New Roman"/>
          <w:color w:val="auto"/>
          <w:kern w:val="0"/>
          <w:szCs w:val="24"/>
          <w:highlight w:val="none"/>
          <w:lang w:val="zh-CN"/>
        </w:rPr>
        <w:t>噪声</w:t>
      </w:r>
      <w:r>
        <w:rPr>
          <w:rFonts w:hint="default" w:ascii="Times New Roman" w:hAnsi="Times New Roman" w:cs="Times New Roman"/>
          <w:color w:val="auto"/>
          <w:kern w:val="0"/>
          <w:szCs w:val="24"/>
          <w:highlight w:val="none"/>
          <w:lang w:eastAsia="zh-CN"/>
        </w:rPr>
        <w:t>贡献</w:t>
      </w:r>
      <w:r>
        <w:rPr>
          <w:rFonts w:hint="default" w:ascii="Times New Roman" w:hAnsi="Times New Roman" w:cs="Times New Roman"/>
          <w:color w:val="auto"/>
          <w:kern w:val="0"/>
          <w:szCs w:val="24"/>
          <w:highlight w:val="none"/>
          <w:lang w:val="zh-CN"/>
        </w:rPr>
        <w:t>值为</w:t>
      </w:r>
      <w:r>
        <w:rPr>
          <w:rFonts w:hint="eastAsia" w:cs="Times New Roman"/>
          <w:color w:val="auto"/>
          <w:kern w:val="0"/>
          <w:szCs w:val="24"/>
          <w:highlight w:val="none"/>
          <w:lang w:val="en-US" w:eastAsia="zh-CN"/>
        </w:rPr>
        <w:t>28.4d</w:t>
      </w:r>
      <w:r>
        <w:rPr>
          <w:rFonts w:hint="default" w:ascii="Times New Roman" w:hAnsi="Times New Roman" w:cs="Times New Roman"/>
          <w:color w:val="auto"/>
          <w:kern w:val="0"/>
          <w:szCs w:val="24"/>
          <w:highlight w:val="none"/>
          <w:lang w:val="zh-CN"/>
        </w:rPr>
        <w:t>B（A）～</w:t>
      </w:r>
      <w:r>
        <w:rPr>
          <w:rFonts w:hint="eastAsia" w:cs="Times New Roman"/>
          <w:color w:val="auto"/>
          <w:kern w:val="0"/>
          <w:szCs w:val="24"/>
          <w:highlight w:val="none"/>
          <w:lang w:val="en-US" w:eastAsia="zh-CN"/>
        </w:rPr>
        <w:t>42.3</w:t>
      </w:r>
      <w:r>
        <w:rPr>
          <w:rFonts w:hint="default" w:ascii="Times New Roman" w:hAnsi="Times New Roman" w:cs="Times New Roman"/>
          <w:color w:val="auto"/>
          <w:kern w:val="0"/>
          <w:szCs w:val="24"/>
          <w:highlight w:val="none"/>
          <w:lang w:val="zh-CN"/>
        </w:rPr>
        <w:t>dB（A）</w:t>
      </w:r>
      <w:r>
        <w:rPr>
          <w:rFonts w:hint="default" w:ascii="Times New Roman" w:hAnsi="Times New Roman" w:cs="Times New Roman"/>
          <w:color w:val="auto"/>
          <w:kern w:val="0"/>
          <w:szCs w:val="24"/>
          <w:highlight w:val="none"/>
        </w:rPr>
        <w:t>，</w:t>
      </w:r>
      <w:r>
        <w:rPr>
          <w:rFonts w:hint="default" w:ascii="Times New Roman" w:hAnsi="Times New Roman" w:cs="Times New Roman"/>
          <w:color w:val="auto"/>
          <w:kern w:val="0"/>
          <w:szCs w:val="24"/>
          <w:highlight w:val="none"/>
          <w:lang w:val="zh-CN"/>
        </w:rPr>
        <w:t>可满足《工业企业厂界环境噪声排放标准》（GB12348-2008）中</w:t>
      </w:r>
      <w:r>
        <w:rPr>
          <w:rFonts w:hint="default" w:ascii="Times New Roman" w:hAnsi="Times New Roman" w:cs="Times New Roman"/>
          <w:color w:val="auto"/>
          <w:kern w:val="0"/>
          <w:szCs w:val="24"/>
          <w:highlight w:val="none"/>
          <w:lang w:val="en-US" w:eastAsia="zh-CN"/>
        </w:rPr>
        <w:t>2</w:t>
      </w:r>
      <w:r>
        <w:rPr>
          <w:rFonts w:hint="default" w:ascii="Times New Roman" w:hAnsi="Times New Roman" w:cs="Times New Roman"/>
          <w:color w:val="auto"/>
          <w:kern w:val="0"/>
          <w:szCs w:val="24"/>
          <w:highlight w:val="none"/>
          <w:lang w:val="zh-CN"/>
        </w:rPr>
        <w:t>类排放标准要求，环评建议建设单位尽可能将产生噪声的设备置于厂区中心，远离厂界，且选用低噪声设备。选矿厂附近200m范围内无居民区等声环境敏感点，经采取隔声、减震等措施后，运营期选矿厂噪声对周围声环境影响较小</w:t>
      </w:r>
      <w:r>
        <w:rPr>
          <w:rFonts w:hint="default" w:ascii="Times New Roman" w:hAnsi="Times New Roman" w:cs="Times New Roman"/>
          <w:color w:val="auto"/>
          <w:kern w:val="0"/>
          <w:highlight w:val="none"/>
          <w:lang w:val="zh-CN"/>
        </w:rPr>
        <w:t>。</w:t>
      </w:r>
    </w:p>
    <w:p w14:paraId="7015AD76">
      <w:pPr>
        <w:pStyle w:val="5"/>
        <w:ind w:firstLine="482"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5.2.4.4声环境影响评价自查表</w:t>
      </w:r>
    </w:p>
    <w:p w14:paraId="1F95B23D">
      <w:pPr>
        <w:overflowPunct w:val="0"/>
        <w:topLinePunct/>
        <w:adjustRightInd w:val="0"/>
        <w:ind w:firstLine="480"/>
        <w:rPr>
          <w:rFonts w:hint="default" w:ascii="Times New Roman" w:hAnsi="Times New Roman" w:cs="Times New Roman"/>
          <w:color w:val="auto"/>
          <w:highlight w:val="none"/>
        </w:rPr>
      </w:pPr>
      <w:r>
        <w:rPr>
          <w:rFonts w:hint="default" w:ascii="Times New Roman" w:hAnsi="Times New Roman" w:eastAsia="宋体" w:cs="Times New Roman"/>
          <w:color w:val="auto"/>
          <w:sz w:val="24"/>
          <w:highlight w:val="none"/>
          <w:lang w:val="en-US" w:eastAsia="zh-CN"/>
        </w:rPr>
        <w:t>本项目声环境影响评价自查表见表5.2-</w:t>
      </w:r>
      <w:r>
        <w:rPr>
          <w:rFonts w:hint="default" w:ascii="Times New Roman" w:hAnsi="Times New Roman" w:cs="Times New Roman"/>
          <w:color w:val="auto"/>
          <w:sz w:val="24"/>
          <w:highlight w:val="none"/>
          <w:lang w:val="en-US" w:eastAsia="zh-CN"/>
        </w:rPr>
        <w:t>19</w:t>
      </w:r>
      <w:r>
        <w:rPr>
          <w:rFonts w:hint="default" w:ascii="Times New Roman" w:hAnsi="Times New Roman" w:eastAsia="宋体" w:cs="Times New Roman"/>
          <w:color w:val="auto"/>
          <w:sz w:val="24"/>
          <w:highlight w:val="none"/>
          <w:lang w:val="en-US" w:eastAsia="zh-CN"/>
        </w:rPr>
        <w:t>。</w:t>
      </w:r>
    </w:p>
    <w:p w14:paraId="6B787EE3">
      <w:pP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br w:type="page"/>
      </w:r>
    </w:p>
    <w:p w14:paraId="4FC2EB3B">
      <w:pPr>
        <w:keepNext w:val="0"/>
        <w:keepLines w:val="0"/>
        <w:pageBreakBefore w:val="0"/>
        <w:widowControl w:val="0"/>
        <w:kinsoku/>
        <w:wordWrap/>
        <w:overflowPunct/>
        <w:topLinePunct w:val="0"/>
        <w:autoSpaceDE/>
        <w:autoSpaceDN/>
        <w:bidi w:val="0"/>
        <w:adjustRightInd/>
        <w:snapToGrid/>
        <w:spacing w:before="0" w:after="0" w:line="360" w:lineRule="exact"/>
        <w:ind w:firstLine="0"/>
        <w:jc w:val="center"/>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表5.2-</w:t>
      </w:r>
      <w:r>
        <w:rPr>
          <w:rFonts w:hint="default" w:ascii="Times New Roman" w:hAnsi="Times New Roman" w:cs="Times New Roman"/>
          <w:b/>
          <w:color w:val="auto"/>
          <w:sz w:val="24"/>
          <w:szCs w:val="24"/>
          <w:highlight w:val="none"/>
          <w:lang w:val="en-US" w:eastAsia="zh-CN"/>
        </w:rPr>
        <w:t>19</w:t>
      </w:r>
      <w:r>
        <w:rPr>
          <w:rFonts w:hint="default" w:ascii="Times New Roman" w:hAnsi="Times New Roman" w:eastAsia="宋体" w:cs="Times New Roman"/>
          <w:b/>
          <w:color w:val="auto"/>
          <w:sz w:val="24"/>
          <w:szCs w:val="24"/>
          <w:highlight w:val="none"/>
        </w:rPr>
        <w:t xml:space="preserve">    </w:t>
      </w:r>
      <w:r>
        <w:rPr>
          <w:rFonts w:hint="default" w:ascii="Times New Roman" w:hAnsi="Times New Roman" w:eastAsia="宋体" w:cs="Times New Roman"/>
          <w:b/>
          <w:color w:val="auto"/>
          <w:sz w:val="24"/>
          <w:szCs w:val="24"/>
          <w:highlight w:val="none"/>
          <w:lang w:eastAsia="zh-CN"/>
        </w:rPr>
        <w:t>声</w:t>
      </w:r>
      <w:r>
        <w:rPr>
          <w:rFonts w:hint="default" w:ascii="Times New Roman" w:hAnsi="Times New Roman" w:eastAsia="宋体" w:cs="Times New Roman"/>
          <w:b/>
          <w:color w:val="auto"/>
          <w:sz w:val="24"/>
          <w:szCs w:val="24"/>
          <w:highlight w:val="none"/>
        </w:rPr>
        <w:t>环境影响评价自查表</w:t>
      </w:r>
    </w:p>
    <w:tbl>
      <w:tblPr>
        <w:tblStyle w:val="33"/>
        <w:tblW w:w="508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101"/>
        <w:gridCol w:w="1296"/>
        <w:gridCol w:w="2046"/>
        <w:gridCol w:w="171"/>
        <w:gridCol w:w="699"/>
        <w:gridCol w:w="1551"/>
        <w:gridCol w:w="1619"/>
      </w:tblGrid>
      <w:tr w14:paraId="73917A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6" w:hRule="atLeast"/>
          <w:tblHeader/>
        </w:trPr>
        <w:tc>
          <w:tcPr>
            <w:tcW w:w="1413" w:type="pct"/>
            <w:gridSpan w:val="2"/>
            <w:tcBorders>
              <w:tl2br w:val="nil"/>
              <w:tr2bl w:val="nil"/>
            </w:tcBorders>
            <w:vAlign w:val="center"/>
          </w:tcPr>
          <w:p w14:paraId="5AFC54BB">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b/>
                <w:bCs/>
                <w:color w:val="auto"/>
                <w:sz w:val="21"/>
                <w:szCs w:val="21"/>
                <w:highlight w:val="none"/>
              </w:rPr>
            </w:pPr>
            <w:r>
              <w:rPr>
                <w:rFonts w:hint="default"/>
                <w:b/>
                <w:bCs/>
                <w:color w:val="auto"/>
                <w:sz w:val="21"/>
                <w:szCs w:val="21"/>
                <w:highlight w:val="none"/>
              </w:rPr>
              <w:t>工作内容</w:t>
            </w:r>
          </w:p>
        </w:tc>
        <w:tc>
          <w:tcPr>
            <w:tcW w:w="3586" w:type="pct"/>
            <w:gridSpan w:val="5"/>
            <w:tcBorders>
              <w:tl2br w:val="nil"/>
              <w:tr2bl w:val="nil"/>
            </w:tcBorders>
            <w:vAlign w:val="center"/>
          </w:tcPr>
          <w:p w14:paraId="1C20E871">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b/>
                <w:bCs/>
                <w:color w:val="auto"/>
                <w:sz w:val="21"/>
                <w:szCs w:val="21"/>
                <w:highlight w:val="none"/>
              </w:rPr>
            </w:pPr>
            <w:r>
              <w:rPr>
                <w:rFonts w:hint="default"/>
                <w:b/>
                <w:bCs/>
                <w:color w:val="auto"/>
                <w:sz w:val="21"/>
                <w:szCs w:val="21"/>
                <w:highlight w:val="none"/>
              </w:rPr>
              <w:t>自查项目</w:t>
            </w:r>
          </w:p>
        </w:tc>
      </w:tr>
      <w:tr w14:paraId="00C4F8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649" w:type="pct"/>
            <w:vMerge w:val="restart"/>
            <w:tcBorders>
              <w:tl2br w:val="nil"/>
              <w:tr2bl w:val="nil"/>
            </w:tcBorders>
            <w:vAlign w:val="center"/>
          </w:tcPr>
          <w:p w14:paraId="5BA30902">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评价等级与范围</w:t>
            </w:r>
          </w:p>
        </w:tc>
        <w:tc>
          <w:tcPr>
            <w:tcW w:w="764" w:type="pct"/>
            <w:tcBorders>
              <w:tl2br w:val="nil"/>
              <w:tr2bl w:val="nil"/>
            </w:tcBorders>
            <w:vAlign w:val="center"/>
          </w:tcPr>
          <w:p w14:paraId="54BFBCF8">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评价等级</w:t>
            </w:r>
          </w:p>
        </w:tc>
        <w:tc>
          <w:tcPr>
            <w:tcW w:w="3586" w:type="pct"/>
            <w:gridSpan w:val="5"/>
            <w:tcBorders>
              <w:tl2br w:val="nil"/>
              <w:tr2bl w:val="nil"/>
            </w:tcBorders>
            <w:vAlign w:val="center"/>
          </w:tcPr>
          <w:p w14:paraId="17922E05">
            <w:pPr>
              <w:pStyle w:val="47"/>
              <w:keepNext w:val="0"/>
              <w:keepLines w:val="0"/>
              <w:pageBreakBefore w:val="0"/>
              <w:widowControl w:val="0"/>
              <w:suppressLineNumbers w:val="0"/>
              <w:tabs>
                <w:tab w:val="left" w:pos="2103"/>
                <w:tab w:val="left" w:pos="3635"/>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一级□</w:t>
            </w:r>
            <w:r>
              <w:rPr>
                <w:rFonts w:hint="default"/>
                <w:color w:val="auto"/>
                <w:sz w:val="21"/>
                <w:szCs w:val="21"/>
                <w:highlight w:val="none"/>
              </w:rPr>
              <w:tab/>
            </w:r>
            <w:r>
              <w:rPr>
                <w:rFonts w:hint="default"/>
                <w:color w:val="auto"/>
                <w:sz w:val="21"/>
                <w:szCs w:val="21"/>
                <w:highlight w:val="none"/>
              </w:rPr>
              <w:t>二</w:t>
            </w:r>
            <w:r>
              <w:rPr>
                <w:rFonts w:hint="default"/>
                <w:color w:val="auto"/>
                <w:spacing w:val="-3"/>
                <w:sz w:val="21"/>
                <w:szCs w:val="21"/>
                <w:highlight w:val="none"/>
              </w:rPr>
              <w:t>级</w:t>
            </w:r>
            <w:r>
              <w:rPr>
                <w:rFonts w:hint="eastAsia"/>
                <w:color w:val="auto"/>
                <w:sz w:val="21"/>
                <w:szCs w:val="21"/>
                <w:highlight w:val="none"/>
                <w:lang w:eastAsia="zh-CN"/>
              </w:rPr>
              <w:t>☑</w:t>
            </w:r>
            <w:r>
              <w:rPr>
                <w:rFonts w:hint="default"/>
                <w:color w:val="auto"/>
                <w:sz w:val="21"/>
                <w:szCs w:val="21"/>
                <w:highlight w:val="none"/>
              </w:rPr>
              <w:tab/>
            </w:r>
            <w:r>
              <w:rPr>
                <w:rFonts w:hint="default"/>
                <w:color w:val="auto"/>
                <w:sz w:val="21"/>
                <w:szCs w:val="21"/>
                <w:highlight w:val="none"/>
              </w:rPr>
              <w:t>三级□</w:t>
            </w:r>
          </w:p>
        </w:tc>
      </w:tr>
      <w:tr w14:paraId="1B7C43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649" w:type="pct"/>
            <w:vMerge w:val="continue"/>
            <w:tcBorders>
              <w:tl2br w:val="nil"/>
              <w:tr2bl w:val="nil"/>
            </w:tcBorders>
            <w:vAlign w:val="center"/>
          </w:tcPr>
          <w:p w14:paraId="30C5CF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p>
        </w:tc>
        <w:tc>
          <w:tcPr>
            <w:tcW w:w="764" w:type="pct"/>
            <w:tcBorders>
              <w:tl2br w:val="nil"/>
              <w:tr2bl w:val="nil"/>
            </w:tcBorders>
            <w:vAlign w:val="center"/>
          </w:tcPr>
          <w:p w14:paraId="293729FF">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评价范围</w:t>
            </w:r>
          </w:p>
        </w:tc>
        <w:tc>
          <w:tcPr>
            <w:tcW w:w="3586" w:type="pct"/>
            <w:gridSpan w:val="5"/>
            <w:tcBorders>
              <w:tl2br w:val="nil"/>
              <w:tr2bl w:val="nil"/>
            </w:tcBorders>
            <w:vAlign w:val="center"/>
          </w:tcPr>
          <w:p w14:paraId="7676AE64">
            <w:pPr>
              <w:pStyle w:val="47"/>
              <w:keepNext w:val="0"/>
              <w:keepLines w:val="0"/>
              <w:pageBreakBefore w:val="0"/>
              <w:widowControl w:val="0"/>
              <w:suppressLineNumbers w:val="0"/>
              <w:tabs>
                <w:tab w:val="left" w:pos="2384"/>
                <w:tab w:val="left" w:pos="5315"/>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ascii="Times New Roman" w:hAnsi="Times New Roman" w:eastAsia="Times New Roman"/>
                <w:color w:val="auto"/>
                <w:sz w:val="21"/>
                <w:szCs w:val="21"/>
                <w:highlight w:val="none"/>
              </w:rPr>
              <w:t>200</w:t>
            </w:r>
            <w:r>
              <w:rPr>
                <w:rFonts w:hint="default" w:ascii="Times New Roman" w:hAnsi="Times New Roman" w:eastAsia="Times New Roman"/>
                <w:color w:val="auto"/>
                <w:spacing w:val="-2"/>
                <w:sz w:val="21"/>
                <w:szCs w:val="21"/>
                <w:highlight w:val="none"/>
              </w:rPr>
              <w:t xml:space="preserve"> </w:t>
            </w:r>
            <w:r>
              <w:rPr>
                <w:rFonts w:hint="default" w:ascii="Times New Roman" w:hAnsi="Times New Roman" w:eastAsia="Times New Roman"/>
                <w:color w:val="auto"/>
                <w:sz w:val="21"/>
                <w:szCs w:val="21"/>
                <w:highlight w:val="none"/>
              </w:rPr>
              <w:t>m</w:t>
            </w:r>
            <w:r>
              <w:rPr>
                <w:rFonts w:hint="eastAsia"/>
                <w:color w:val="auto"/>
                <w:sz w:val="21"/>
                <w:szCs w:val="21"/>
                <w:highlight w:val="none"/>
                <w:lang w:eastAsia="zh-CN"/>
              </w:rPr>
              <w:t>☑</w:t>
            </w:r>
            <w:r>
              <w:rPr>
                <w:rFonts w:hint="eastAsia"/>
                <w:color w:val="auto"/>
                <w:sz w:val="21"/>
                <w:szCs w:val="21"/>
                <w:highlight w:val="none"/>
                <w:lang w:val="en-US" w:eastAsia="zh-CN"/>
              </w:rPr>
              <w:t xml:space="preserve"> </w:t>
            </w:r>
            <w:r>
              <w:rPr>
                <w:rFonts w:hint="default"/>
                <w:color w:val="auto"/>
                <w:spacing w:val="-3"/>
                <w:sz w:val="21"/>
                <w:szCs w:val="21"/>
                <w:highlight w:val="none"/>
              </w:rPr>
              <w:t>大</w:t>
            </w:r>
            <w:r>
              <w:rPr>
                <w:rFonts w:hint="default"/>
                <w:color w:val="auto"/>
                <w:sz w:val="21"/>
                <w:szCs w:val="21"/>
                <w:highlight w:val="none"/>
              </w:rPr>
              <w:t>于</w:t>
            </w:r>
            <w:r>
              <w:rPr>
                <w:rFonts w:hint="default"/>
                <w:color w:val="auto"/>
                <w:spacing w:val="-46"/>
                <w:sz w:val="21"/>
                <w:szCs w:val="21"/>
                <w:highlight w:val="none"/>
              </w:rPr>
              <w:t xml:space="preserve"> </w:t>
            </w:r>
            <w:r>
              <w:rPr>
                <w:rFonts w:hint="default" w:ascii="Times New Roman" w:hAnsi="Times New Roman" w:eastAsia="Times New Roman"/>
                <w:color w:val="auto"/>
                <w:sz w:val="21"/>
                <w:szCs w:val="21"/>
                <w:highlight w:val="none"/>
              </w:rPr>
              <w:t>200 m</w:t>
            </w:r>
            <w:r>
              <w:rPr>
                <w:rFonts w:hint="default"/>
                <w:color w:val="auto"/>
                <w:sz w:val="21"/>
                <w:szCs w:val="21"/>
                <w:highlight w:val="none"/>
              </w:rPr>
              <w:t>□</w:t>
            </w:r>
            <w:r>
              <w:rPr>
                <w:rFonts w:hint="eastAsia"/>
                <w:color w:val="auto"/>
                <w:sz w:val="21"/>
                <w:szCs w:val="21"/>
                <w:highlight w:val="none"/>
                <w:lang w:val="en-US" w:eastAsia="zh-CN"/>
              </w:rPr>
              <w:t xml:space="preserve"> </w:t>
            </w:r>
            <w:r>
              <w:rPr>
                <w:rFonts w:hint="default"/>
                <w:color w:val="auto"/>
                <w:sz w:val="21"/>
                <w:szCs w:val="21"/>
                <w:highlight w:val="none"/>
              </w:rPr>
              <w:t>小于</w:t>
            </w:r>
            <w:r>
              <w:rPr>
                <w:rFonts w:hint="default"/>
                <w:color w:val="auto"/>
                <w:spacing w:val="-48"/>
                <w:sz w:val="21"/>
                <w:szCs w:val="21"/>
                <w:highlight w:val="none"/>
              </w:rPr>
              <w:t xml:space="preserve"> </w:t>
            </w:r>
            <w:r>
              <w:rPr>
                <w:rFonts w:hint="default" w:ascii="Times New Roman" w:hAnsi="Times New Roman" w:eastAsia="Times New Roman"/>
                <w:color w:val="auto"/>
                <w:sz w:val="21"/>
                <w:szCs w:val="21"/>
                <w:highlight w:val="none"/>
              </w:rPr>
              <w:t>200 m</w:t>
            </w:r>
            <w:r>
              <w:rPr>
                <w:rFonts w:hint="default"/>
                <w:color w:val="auto"/>
                <w:sz w:val="21"/>
                <w:szCs w:val="21"/>
                <w:highlight w:val="none"/>
              </w:rPr>
              <w:t>□</w:t>
            </w:r>
          </w:p>
        </w:tc>
      </w:tr>
      <w:tr w14:paraId="0CB461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649" w:type="pct"/>
            <w:tcBorders>
              <w:tl2br w:val="nil"/>
              <w:tr2bl w:val="nil"/>
            </w:tcBorders>
            <w:vAlign w:val="center"/>
          </w:tcPr>
          <w:p w14:paraId="2C0548B2">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评价因子</w:t>
            </w:r>
          </w:p>
        </w:tc>
        <w:tc>
          <w:tcPr>
            <w:tcW w:w="764" w:type="pct"/>
            <w:tcBorders>
              <w:tl2br w:val="nil"/>
              <w:tr2bl w:val="nil"/>
            </w:tcBorders>
            <w:vAlign w:val="center"/>
          </w:tcPr>
          <w:p w14:paraId="12D25468">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评价因子</w:t>
            </w:r>
          </w:p>
        </w:tc>
        <w:tc>
          <w:tcPr>
            <w:tcW w:w="1206" w:type="pct"/>
            <w:tcBorders>
              <w:tl2br w:val="nil"/>
              <w:tr2bl w:val="nil"/>
            </w:tcBorders>
            <w:vAlign w:val="center"/>
          </w:tcPr>
          <w:p w14:paraId="050623EA">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eastAsia="宋体"/>
                <w:color w:val="auto"/>
                <w:sz w:val="21"/>
                <w:szCs w:val="21"/>
                <w:highlight w:val="none"/>
                <w:lang w:eastAsia="zh-CN"/>
              </w:rPr>
            </w:pPr>
            <w:r>
              <w:rPr>
                <w:rFonts w:hint="default"/>
                <w:color w:val="auto"/>
                <w:sz w:val="21"/>
                <w:szCs w:val="21"/>
                <w:highlight w:val="none"/>
              </w:rPr>
              <w:t>等效连续</w:t>
            </w:r>
            <w:r>
              <w:rPr>
                <w:rFonts w:hint="default" w:ascii="Times New Roman" w:hAnsi="Times New Roman" w:eastAsia="Times New Roman"/>
                <w:color w:val="auto"/>
                <w:sz w:val="21"/>
                <w:szCs w:val="21"/>
                <w:highlight w:val="none"/>
              </w:rPr>
              <w:t>A</w:t>
            </w:r>
            <w:r>
              <w:rPr>
                <w:rFonts w:hint="default"/>
                <w:color w:val="auto"/>
                <w:sz w:val="21"/>
                <w:szCs w:val="21"/>
                <w:highlight w:val="none"/>
              </w:rPr>
              <w:t>声级</w:t>
            </w:r>
            <w:r>
              <w:rPr>
                <w:rFonts w:hint="eastAsia"/>
                <w:color w:val="auto"/>
                <w:sz w:val="21"/>
                <w:szCs w:val="21"/>
                <w:highlight w:val="none"/>
                <w:lang w:eastAsia="zh-CN"/>
              </w:rPr>
              <w:t>☑</w:t>
            </w:r>
          </w:p>
        </w:tc>
        <w:tc>
          <w:tcPr>
            <w:tcW w:w="1427" w:type="pct"/>
            <w:gridSpan w:val="3"/>
            <w:tcBorders>
              <w:tl2br w:val="nil"/>
              <w:tr2bl w:val="nil"/>
            </w:tcBorders>
            <w:vAlign w:val="center"/>
          </w:tcPr>
          <w:p w14:paraId="4617C160">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最大</w:t>
            </w:r>
            <w:r>
              <w:rPr>
                <w:rFonts w:hint="default" w:ascii="Times New Roman" w:hAnsi="Times New Roman" w:eastAsia="Times New Roman"/>
                <w:color w:val="auto"/>
                <w:sz w:val="21"/>
                <w:szCs w:val="21"/>
                <w:highlight w:val="none"/>
              </w:rPr>
              <w:t>A</w:t>
            </w:r>
            <w:r>
              <w:rPr>
                <w:rFonts w:hint="default"/>
                <w:color w:val="auto"/>
                <w:sz w:val="21"/>
                <w:szCs w:val="21"/>
                <w:highlight w:val="none"/>
              </w:rPr>
              <w:t>声级□</w:t>
            </w:r>
          </w:p>
        </w:tc>
        <w:tc>
          <w:tcPr>
            <w:tcW w:w="952" w:type="pct"/>
            <w:tcBorders>
              <w:tl2br w:val="nil"/>
              <w:tr2bl w:val="nil"/>
            </w:tcBorders>
            <w:vAlign w:val="center"/>
          </w:tcPr>
          <w:p w14:paraId="59E40ADB">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计权等效连续感觉噪声级□</w:t>
            </w:r>
          </w:p>
        </w:tc>
      </w:tr>
      <w:tr w14:paraId="275DC6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70" w:hRule="atLeast"/>
        </w:trPr>
        <w:tc>
          <w:tcPr>
            <w:tcW w:w="649" w:type="pct"/>
            <w:tcBorders>
              <w:tl2br w:val="nil"/>
              <w:tr2bl w:val="nil"/>
            </w:tcBorders>
            <w:vAlign w:val="center"/>
          </w:tcPr>
          <w:p w14:paraId="11EF4AA6">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评价标准</w:t>
            </w:r>
          </w:p>
        </w:tc>
        <w:tc>
          <w:tcPr>
            <w:tcW w:w="764" w:type="pct"/>
            <w:tcBorders>
              <w:tl2br w:val="nil"/>
              <w:tr2bl w:val="nil"/>
            </w:tcBorders>
            <w:vAlign w:val="center"/>
          </w:tcPr>
          <w:p w14:paraId="6BD67311">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评价标准</w:t>
            </w:r>
          </w:p>
        </w:tc>
        <w:tc>
          <w:tcPr>
            <w:tcW w:w="1206" w:type="pct"/>
            <w:tcBorders>
              <w:tl2br w:val="nil"/>
              <w:tr2bl w:val="nil"/>
            </w:tcBorders>
            <w:vAlign w:val="center"/>
          </w:tcPr>
          <w:p w14:paraId="7C3A7D31">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eastAsia="宋体"/>
                <w:color w:val="auto"/>
                <w:sz w:val="21"/>
                <w:szCs w:val="21"/>
                <w:highlight w:val="none"/>
                <w:lang w:eastAsia="zh-CN"/>
              </w:rPr>
            </w:pPr>
            <w:r>
              <w:rPr>
                <w:rFonts w:hint="default"/>
                <w:color w:val="auto"/>
                <w:sz w:val="21"/>
                <w:szCs w:val="21"/>
                <w:highlight w:val="none"/>
              </w:rPr>
              <w:t>国家标准</w:t>
            </w:r>
            <w:r>
              <w:rPr>
                <w:rFonts w:hint="eastAsia"/>
                <w:color w:val="auto"/>
                <w:sz w:val="21"/>
                <w:szCs w:val="21"/>
                <w:highlight w:val="none"/>
                <w:lang w:eastAsia="zh-CN"/>
              </w:rPr>
              <w:t>☑</w:t>
            </w:r>
          </w:p>
        </w:tc>
        <w:tc>
          <w:tcPr>
            <w:tcW w:w="1427" w:type="pct"/>
            <w:gridSpan w:val="3"/>
            <w:tcBorders>
              <w:tl2br w:val="nil"/>
              <w:tr2bl w:val="nil"/>
            </w:tcBorders>
            <w:vAlign w:val="center"/>
          </w:tcPr>
          <w:p w14:paraId="6292C443">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color w:val="auto"/>
                <w:sz w:val="21"/>
                <w:szCs w:val="21"/>
                <w:highlight w:val="none"/>
              </w:rPr>
            </w:pPr>
            <w:r>
              <w:rPr>
                <w:rFonts w:hint="default"/>
                <w:color w:val="auto"/>
                <w:sz w:val="21"/>
                <w:szCs w:val="21"/>
                <w:highlight w:val="none"/>
              </w:rPr>
              <w:t>地方标准□</w:t>
            </w:r>
          </w:p>
        </w:tc>
        <w:tc>
          <w:tcPr>
            <w:tcW w:w="952" w:type="pct"/>
            <w:tcBorders>
              <w:tl2br w:val="nil"/>
              <w:tr2bl w:val="nil"/>
            </w:tcBorders>
            <w:vAlign w:val="center"/>
          </w:tcPr>
          <w:p w14:paraId="5D2B3E8A">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国外标准□</w:t>
            </w:r>
          </w:p>
        </w:tc>
      </w:tr>
      <w:tr w14:paraId="7BA63D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7" w:hRule="atLeast"/>
        </w:trPr>
        <w:tc>
          <w:tcPr>
            <w:tcW w:w="649" w:type="pct"/>
            <w:vMerge w:val="restart"/>
            <w:tcBorders>
              <w:tl2br w:val="nil"/>
              <w:tr2bl w:val="nil"/>
            </w:tcBorders>
            <w:vAlign w:val="center"/>
          </w:tcPr>
          <w:p w14:paraId="01D8EC43">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现状评价</w:t>
            </w:r>
          </w:p>
        </w:tc>
        <w:tc>
          <w:tcPr>
            <w:tcW w:w="764" w:type="pct"/>
            <w:tcBorders>
              <w:tl2br w:val="nil"/>
              <w:tr2bl w:val="nil"/>
            </w:tcBorders>
            <w:vAlign w:val="center"/>
          </w:tcPr>
          <w:p w14:paraId="33A01BDE">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环境功能区</w:t>
            </w:r>
          </w:p>
        </w:tc>
        <w:tc>
          <w:tcPr>
            <w:tcW w:w="1206" w:type="pct"/>
            <w:tcBorders>
              <w:tl2br w:val="nil"/>
              <w:tr2bl w:val="nil"/>
            </w:tcBorders>
            <w:vAlign w:val="center"/>
          </w:tcPr>
          <w:p w14:paraId="0661FF1C">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ascii="Times New Roman" w:hAnsi="Times New Roman" w:eastAsia="Times New Roman"/>
                <w:color w:val="auto"/>
                <w:sz w:val="21"/>
                <w:szCs w:val="21"/>
                <w:highlight w:val="none"/>
              </w:rPr>
              <w:t xml:space="preserve">0 </w:t>
            </w:r>
            <w:r>
              <w:rPr>
                <w:rFonts w:hint="default"/>
                <w:color w:val="auto"/>
                <w:sz w:val="21"/>
                <w:szCs w:val="21"/>
                <w:highlight w:val="none"/>
              </w:rPr>
              <w:t>类区□</w:t>
            </w:r>
          </w:p>
        </w:tc>
        <w:tc>
          <w:tcPr>
            <w:tcW w:w="1427" w:type="pct"/>
            <w:gridSpan w:val="3"/>
            <w:tcBorders>
              <w:tl2br w:val="nil"/>
              <w:tr2bl w:val="nil"/>
            </w:tcBorders>
            <w:vAlign w:val="center"/>
          </w:tcPr>
          <w:p w14:paraId="40C25071">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eastAsia="宋体"/>
                <w:color w:val="auto"/>
                <w:sz w:val="21"/>
                <w:szCs w:val="21"/>
                <w:highlight w:val="none"/>
                <w:lang w:eastAsia="zh-CN"/>
              </w:rPr>
            </w:pPr>
            <w:r>
              <w:rPr>
                <w:rFonts w:hint="default" w:ascii="Times New Roman" w:hAnsi="Times New Roman" w:eastAsia="Times New Roman"/>
                <w:color w:val="auto"/>
                <w:sz w:val="21"/>
                <w:szCs w:val="21"/>
                <w:highlight w:val="none"/>
              </w:rPr>
              <w:t xml:space="preserve">1 </w:t>
            </w:r>
            <w:r>
              <w:rPr>
                <w:rFonts w:hint="default"/>
                <w:color w:val="auto"/>
                <w:sz w:val="21"/>
                <w:szCs w:val="21"/>
                <w:highlight w:val="none"/>
              </w:rPr>
              <w:t>类区□</w:t>
            </w:r>
            <w:r>
              <w:rPr>
                <w:rFonts w:hint="default" w:ascii="Times New Roman" w:hAnsi="Times New Roman" w:eastAsia="Times New Roman"/>
                <w:color w:val="auto"/>
                <w:sz w:val="21"/>
                <w:szCs w:val="21"/>
                <w:highlight w:val="none"/>
              </w:rPr>
              <w:t xml:space="preserve">2 </w:t>
            </w:r>
            <w:r>
              <w:rPr>
                <w:rFonts w:hint="default"/>
                <w:color w:val="auto"/>
                <w:sz w:val="21"/>
                <w:szCs w:val="21"/>
                <w:highlight w:val="none"/>
              </w:rPr>
              <w:t>类区</w:t>
            </w:r>
            <w:r>
              <w:rPr>
                <w:rFonts w:hint="eastAsia"/>
                <w:color w:val="auto"/>
                <w:sz w:val="21"/>
                <w:szCs w:val="21"/>
                <w:highlight w:val="none"/>
                <w:lang w:eastAsia="zh-CN"/>
              </w:rPr>
              <w:t>☑</w:t>
            </w:r>
            <w:r>
              <w:rPr>
                <w:rFonts w:hint="default" w:ascii="Times New Roman" w:hAnsi="Times New Roman" w:eastAsia="Times New Roman"/>
                <w:color w:val="auto"/>
                <w:sz w:val="21"/>
                <w:szCs w:val="21"/>
                <w:highlight w:val="none"/>
              </w:rPr>
              <w:t xml:space="preserve">3 </w:t>
            </w:r>
            <w:r>
              <w:rPr>
                <w:rFonts w:hint="default"/>
                <w:color w:val="auto"/>
                <w:sz w:val="21"/>
                <w:szCs w:val="21"/>
                <w:highlight w:val="none"/>
              </w:rPr>
              <w:t>类区□</w:t>
            </w:r>
            <w:r>
              <w:rPr>
                <w:rFonts w:hint="default" w:ascii="Times New Roman" w:hAnsi="Times New Roman" w:eastAsia="Times New Roman"/>
                <w:color w:val="auto"/>
                <w:sz w:val="21"/>
                <w:szCs w:val="21"/>
                <w:highlight w:val="none"/>
              </w:rPr>
              <w:t xml:space="preserve">4a </w:t>
            </w:r>
            <w:r>
              <w:rPr>
                <w:rFonts w:hint="default"/>
                <w:color w:val="auto"/>
                <w:sz w:val="21"/>
                <w:szCs w:val="21"/>
                <w:highlight w:val="none"/>
              </w:rPr>
              <w:t>类区□</w:t>
            </w:r>
          </w:p>
        </w:tc>
        <w:tc>
          <w:tcPr>
            <w:tcW w:w="952" w:type="pct"/>
            <w:tcBorders>
              <w:tl2br w:val="nil"/>
              <w:tr2bl w:val="nil"/>
            </w:tcBorders>
            <w:vAlign w:val="center"/>
          </w:tcPr>
          <w:p w14:paraId="3B2248E1">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eastAsia="宋体"/>
                <w:color w:val="auto"/>
                <w:sz w:val="21"/>
                <w:szCs w:val="21"/>
                <w:highlight w:val="none"/>
                <w:lang w:eastAsia="zh-CN"/>
              </w:rPr>
            </w:pPr>
            <w:r>
              <w:rPr>
                <w:rFonts w:hint="default" w:ascii="Times New Roman" w:hAnsi="Times New Roman" w:eastAsia="Times New Roman"/>
                <w:color w:val="auto"/>
                <w:sz w:val="21"/>
                <w:szCs w:val="21"/>
                <w:highlight w:val="none"/>
              </w:rPr>
              <w:t xml:space="preserve">4b </w:t>
            </w:r>
            <w:r>
              <w:rPr>
                <w:rFonts w:hint="default"/>
                <w:color w:val="auto"/>
                <w:sz w:val="21"/>
                <w:szCs w:val="21"/>
                <w:highlight w:val="none"/>
              </w:rPr>
              <w:t>类区□</w:t>
            </w:r>
          </w:p>
        </w:tc>
      </w:tr>
      <w:tr w14:paraId="563769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4" w:hRule="atLeast"/>
        </w:trPr>
        <w:tc>
          <w:tcPr>
            <w:tcW w:w="649" w:type="pct"/>
            <w:vMerge w:val="continue"/>
            <w:tcBorders>
              <w:tl2br w:val="nil"/>
              <w:tr2bl w:val="nil"/>
            </w:tcBorders>
            <w:vAlign w:val="center"/>
          </w:tcPr>
          <w:p w14:paraId="48E949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p>
        </w:tc>
        <w:tc>
          <w:tcPr>
            <w:tcW w:w="764" w:type="pct"/>
            <w:tcBorders>
              <w:tl2br w:val="nil"/>
              <w:tr2bl w:val="nil"/>
            </w:tcBorders>
            <w:vAlign w:val="center"/>
          </w:tcPr>
          <w:p w14:paraId="0007066E">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评价年度</w:t>
            </w:r>
          </w:p>
        </w:tc>
        <w:tc>
          <w:tcPr>
            <w:tcW w:w="1206" w:type="pct"/>
            <w:tcBorders>
              <w:tl2br w:val="nil"/>
              <w:tr2bl w:val="nil"/>
            </w:tcBorders>
            <w:vAlign w:val="center"/>
          </w:tcPr>
          <w:p w14:paraId="5ADC85D8">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eastAsia="宋体"/>
                <w:color w:val="auto"/>
                <w:sz w:val="21"/>
                <w:szCs w:val="21"/>
                <w:highlight w:val="none"/>
                <w:lang w:eastAsia="zh-CN"/>
              </w:rPr>
            </w:pPr>
            <w:r>
              <w:rPr>
                <w:rFonts w:hint="default"/>
                <w:color w:val="auto"/>
                <w:sz w:val="21"/>
                <w:szCs w:val="21"/>
                <w:highlight w:val="none"/>
              </w:rPr>
              <w:t>初期□</w:t>
            </w:r>
          </w:p>
        </w:tc>
        <w:tc>
          <w:tcPr>
            <w:tcW w:w="513" w:type="pct"/>
            <w:gridSpan w:val="2"/>
            <w:tcBorders>
              <w:tl2br w:val="nil"/>
              <w:tr2bl w:val="nil"/>
            </w:tcBorders>
            <w:vAlign w:val="center"/>
          </w:tcPr>
          <w:p w14:paraId="6B8BACEB">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近期□</w:t>
            </w:r>
          </w:p>
        </w:tc>
        <w:tc>
          <w:tcPr>
            <w:tcW w:w="913" w:type="pct"/>
            <w:tcBorders>
              <w:tl2br w:val="nil"/>
              <w:tr2bl w:val="nil"/>
            </w:tcBorders>
            <w:vAlign w:val="center"/>
          </w:tcPr>
          <w:p w14:paraId="0768CDC7">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中期□</w:t>
            </w:r>
          </w:p>
        </w:tc>
        <w:tc>
          <w:tcPr>
            <w:tcW w:w="952" w:type="pct"/>
            <w:tcBorders>
              <w:tl2br w:val="nil"/>
              <w:tr2bl w:val="nil"/>
            </w:tcBorders>
            <w:vAlign w:val="center"/>
          </w:tcPr>
          <w:p w14:paraId="383185FE">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远期□</w:t>
            </w:r>
          </w:p>
        </w:tc>
      </w:tr>
      <w:tr w14:paraId="380D57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2" w:hRule="atLeast"/>
        </w:trPr>
        <w:tc>
          <w:tcPr>
            <w:tcW w:w="649" w:type="pct"/>
            <w:vMerge w:val="continue"/>
            <w:tcBorders>
              <w:tl2br w:val="nil"/>
              <w:tr2bl w:val="nil"/>
            </w:tcBorders>
            <w:vAlign w:val="center"/>
          </w:tcPr>
          <w:p w14:paraId="3138AD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p>
        </w:tc>
        <w:tc>
          <w:tcPr>
            <w:tcW w:w="764" w:type="pct"/>
            <w:tcBorders>
              <w:tl2br w:val="nil"/>
              <w:tr2bl w:val="nil"/>
            </w:tcBorders>
            <w:vAlign w:val="center"/>
          </w:tcPr>
          <w:p w14:paraId="23983CAF">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现状调查方法</w:t>
            </w:r>
          </w:p>
        </w:tc>
        <w:tc>
          <w:tcPr>
            <w:tcW w:w="1206" w:type="pct"/>
            <w:tcBorders>
              <w:tl2br w:val="nil"/>
              <w:tr2bl w:val="nil"/>
            </w:tcBorders>
            <w:vAlign w:val="center"/>
          </w:tcPr>
          <w:p w14:paraId="70259337">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eastAsia="宋体"/>
                <w:color w:val="auto"/>
                <w:sz w:val="21"/>
                <w:szCs w:val="21"/>
                <w:highlight w:val="none"/>
                <w:lang w:eastAsia="zh-CN"/>
              </w:rPr>
            </w:pPr>
            <w:r>
              <w:rPr>
                <w:rFonts w:hint="default"/>
                <w:color w:val="auto"/>
                <w:sz w:val="21"/>
                <w:szCs w:val="21"/>
                <w:highlight w:val="none"/>
              </w:rPr>
              <w:t>现场实测法</w:t>
            </w:r>
            <w:r>
              <w:rPr>
                <w:rFonts w:hint="eastAsia"/>
                <w:color w:val="auto"/>
                <w:sz w:val="21"/>
                <w:szCs w:val="21"/>
                <w:highlight w:val="none"/>
                <w:lang w:eastAsia="zh-CN"/>
              </w:rPr>
              <w:t>☑</w:t>
            </w:r>
          </w:p>
        </w:tc>
        <w:tc>
          <w:tcPr>
            <w:tcW w:w="1427" w:type="pct"/>
            <w:gridSpan w:val="3"/>
            <w:tcBorders>
              <w:tl2br w:val="nil"/>
              <w:tr2bl w:val="nil"/>
            </w:tcBorders>
            <w:vAlign w:val="center"/>
          </w:tcPr>
          <w:p w14:paraId="5F1465D3">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现场实测加模型计算法□</w:t>
            </w:r>
          </w:p>
        </w:tc>
        <w:tc>
          <w:tcPr>
            <w:tcW w:w="952" w:type="pct"/>
            <w:tcBorders>
              <w:tl2br w:val="nil"/>
              <w:tr2bl w:val="nil"/>
            </w:tcBorders>
            <w:vAlign w:val="center"/>
          </w:tcPr>
          <w:p w14:paraId="6BF83E27">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收集资料□</w:t>
            </w:r>
          </w:p>
        </w:tc>
      </w:tr>
      <w:tr w14:paraId="777369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4" w:hRule="atLeast"/>
        </w:trPr>
        <w:tc>
          <w:tcPr>
            <w:tcW w:w="649" w:type="pct"/>
            <w:vMerge w:val="continue"/>
            <w:tcBorders>
              <w:tl2br w:val="nil"/>
              <w:tr2bl w:val="nil"/>
            </w:tcBorders>
            <w:vAlign w:val="center"/>
          </w:tcPr>
          <w:p w14:paraId="6B2247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p>
        </w:tc>
        <w:tc>
          <w:tcPr>
            <w:tcW w:w="764" w:type="pct"/>
            <w:tcBorders>
              <w:tl2br w:val="nil"/>
              <w:tr2bl w:val="nil"/>
            </w:tcBorders>
            <w:vAlign w:val="center"/>
          </w:tcPr>
          <w:p w14:paraId="325E578E">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现状评价</w:t>
            </w:r>
          </w:p>
        </w:tc>
        <w:tc>
          <w:tcPr>
            <w:tcW w:w="1206" w:type="pct"/>
            <w:tcBorders>
              <w:tl2br w:val="nil"/>
              <w:tr2bl w:val="nil"/>
            </w:tcBorders>
            <w:vAlign w:val="center"/>
          </w:tcPr>
          <w:p w14:paraId="2B33262D">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达标百分比</w:t>
            </w:r>
          </w:p>
        </w:tc>
        <w:tc>
          <w:tcPr>
            <w:tcW w:w="2380" w:type="pct"/>
            <w:gridSpan w:val="4"/>
            <w:tcBorders>
              <w:tl2br w:val="nil"/>
              <w:tr2bl w:val="nil"/>
            </w:tcBorders>
            <w:vAlign w:val="center"/>
          </w:tcPr>
          <w:p w14:paraId="27344C94">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eastAsia="宋体"/>
                <w:color w:val="auto"/>
                <w:sz w:val="21"/>
                <w:szCs w:val="21"/>
                <w:highlight w:val="none"/>
                <w:lang w:val="en-US" w:eastAsia="zh-CN"/>
              </w:rPr>
            </w:pPr>
            <w:r>
              <w:rPr>
                <w:rFonts w:hint="eastAsia" w:ascii="Times New Roman"/>
                <w:color w:val="auto"/>
                <w:sz w:val="21"/>
                <w:szCs w:val="21"/>
                <w:highlight w:val="none"/>
                <w:lang w:val="en-US" w:eastAsia="zh-CN"/>
              </w:rPr>
              <w:t>100%</w:t>
            </w:r>
          </w:p>
        </w:tc>
      </w:tr>
      <w:tr w14:paraId="0CE5B2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41" w:hRule="atLeast"/>
        </w:trPr>
        <w:tc>
          <w:tcPr>
            <w:tcW w:w="649" w:type="pct"/>
            <w:tcBorders>
              <w:tl2br w:val="nil"/>
              <w:tr2bl w:val="nil"/>
            </w:tcBorders>
            <w:vAlign w:val="center"/>
          </w:tcPr>
          <w:p w14:paraId="6D615388">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噪声源调查</w:t>
            </w:r>
          </w:p>
        </w:tc>
        <w:tc>
          <w:tcPr>
            <w:tcW w:w="764" w:type="pct"/>
            <w:tcBorders>
              <w:tl2br w:val="nil"/>
              <w:tr2bl w:val="nil"/>
            </w:tcBorders>
            <w:vAlign w:val="center"/>
          </w:tcPr>
          <w:p w14:paraId="574B6506">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噪声源调查方法</w:t>
            </w:r>
          </w:p>
        </w:tc>
        <w:tc>
          <w:tcPr>
            <w:tcW w:w="1206" w:type="pct"/>
            <w:tcBorders>
              <w:tl2br w:val="nil"/>
              <w:tr2bl w:val="nil"/>
            </w:tcBorders>
            <w:vAlign w:val="center"/>
          </w:tcPr>
          <w:p w14:paraId="7E584AFE">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现场实测□</w:t>
            </w:r>
          </w:p>
        </w:tc>
        <w:tc>
          <w:tcPr>
            <w:tcW w:w="1427" w:type="pct"/>
            <w:gridSpan w:val="3"/>
            <w:tcBorders>
              <w:tl2br w:val="nil"/>
              <w:tr2bl w:val="nil"/>
            </w:tcBorders>
            <w:vAlign w:val="center"/>
          </w:tcPr>
          <w:p w14:paraId="596D8B73">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eastAsia="宋体"/>
                <w:color w:val="auto"/>
                <w:sz w:val="21"/>
                <w:szCs w:val="21"/>
                <w:highlight w:val="none"/>
                <w:lang w:eastAsia="zh-CN"/>
              </w:rPr>
            </w:pPr>
            <w:r>
              <w:rPr>
                <w:rFonts w:hint="default"/>
                <w:color w:val="auto"/>
                <w:sz w:val="21"/>
                <w:szCs w:val="21"/>
                <w:highlight w:val="none"/>
              </w:rPr>
              <w:t>已有资料□</w:t>
            </w:r>
          </w:p>
        </w:tc>
        <w:tc>
          <w:tcPr>
            <w:tcW w:w="952" w:type="pct"/>
            <w:tcBorders>
              <w:tl2br w:val="nil"/>
              <w:tr2bl w:val="nil"/>
            </w:tcBorders>
            <w:vAlign w:val="center"/>
          </w:tcPr>
          <w:p w14:paraId="09D38F01">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eastAsia="宋体"/>
                <w:color w:val="auto"/>
                <w:sz w:val="21"/>
                <w:szCs w:val="21"/>
                <w:highlight w:val="none"/>
                <w:lang w:eastAsia="zh-CN"/>
              </w:rPr>
            </w:pPr>
            <w:r>
              <w:rPr>
                <w:rFonts w:hint="default"/>
                <w:color w:val="auto"/>
                <w:sz w:val="21"/>
                <w:szCs w:val="21"/>
                <w:highlight w:val="none"/>
              </w:rPr>
              <w:t>研究成果</w:t>
            </w:r>
            <w:r>
              <w:rPr>
                <w:rFonts w:hint="eastAsia"/>
                <w:color w:val="auto"/>
                <w:sz w:val="21"/>
                <w:szCs w:val="21"/>
                <w:highlight w:val="none"/>
                <w:lang w:eastAsia="zh-CN"/>
              </w:rPr>
              <w:t>☑</w:t>
            </w:r>
          </w:p>
        </w:tc>
      </w:tr>
      <w:tr w14:paraId="18D340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6" w:hRule="atLeast"/>
        </w:trPr>
        <w:tc>
          <w:tcPr>
            <w:tcW w:w="649" w:type="pct"/>
            <w:vMerge w:val="restart"/>
            <w:tcBorders>
              <w:tl2br w:val="nil"/>
              <w:tr2bl w:val="nil"/>
            </w:tcBorders>
            <w:vAlign w:val="center"/>
          </w:tcPr>
          <w:p w14:paraId="7E458629">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声环境影响预测与评价</w:t>
            </w:r>
          </w:p>
        </w:tc>
        <w:tc>
          <w:tcPr>
            <w:tcW w:w="764" w:type="pct"/>
            <w:tcBorders>
              <w:tl2br w:val="nil"/>
              <w:tr2bl w:val="nil"/>
            </w:tcBorders>
            <w:vAlign w:val="center"/>
          </w:tcPr>
          <w:p w14:paraId="3B53F07D">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预测模型</w:t>
            </w:r>
          </w:p>
        </w:tc>
        <w:tc>
          <w:tcPr>
            <w:tcW w:w="1206" w:type="pct"/>
            <w:tcBorders>
              <w:tl2br w:val="nil"/>
              <w:tr2bl w:val="nil"/>
            </w:tcBorders>
            <w:vAlign w:val="center"/>
          </w:tcPr>
          <w:p w14:paraId="78EDB8D8">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eastAsia="宋体"/>
                <w:color w:val="auto"/>
                <w:sz w:val="21"/>
                <w:szCs w:val="21"/>
                <w:highlight w:val="none"/>
                <w:lang w:eastAsia="zh-CN"/>
              </w:rPr>
            </w:pPr>
            <w:r>
              <w:rPr>
                <w:rFonts w:hint="default"/>
                <w:color w:val="auto"/>
                <w:sz w:val="21"/>
                <w:szCs w:val="21"/>
                <w:highlight w:val="none"/>
              </w:rPr>
              <w:t>导则推荐模型</w:t>
            </w:r>
            <w:r>
              <w:rPr>
                <w:rFonts w:hint="eastAsia"/>
                <w:color w:val="auto"/>
                <w:sz w:val="21"/>
                <w:szCs w:val="21"/>
                <w:highlight w:val="none"/>
                <w:lang w:eastAsia="zh-CN"/>
              </w:rPr>
              <w:t>☑</w:t>
            </w:r>
          </w:p>
        </w:tc>
        <w:tc>
          <w:tcPr>
            <w:tcW w:w="1427" w:type="pct"/>
            <w:gridSpan w:val="3"/>
            <w:tcBorders>
              <w:tl2br w:val="nil"/>
              <w:tr2bl w:val="nil"/>
            </w:tcBorders>
            <w:vAlign w:val="center"/>
          </w:tcPr>
          <w:p w14:paraId="3F49020B">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color w:val="auto"/>
                <w:sz w:val="21"/>
                <w:szCs w:val="21"/>
                <w:highlight w:val="none"/>
              </w:rPr>
            </w:pPr>
          </w:p>
        </w:tc>
        <w:tc>
          <w:tcPr>
            <w:tcW w:w="952" w:type="pct"/>
            <w:tcBorders>
              <w:tl2br w:val="nil"/>
              <w:tr2bl w:val="nil"/>
            </w:tcBorders>
            <w:vAlign w:val="center"/>
          </w:tcPr>
          <w:p w14:paraId="595009CA">
            <w:pPr>
              <w:pStyle w:val="47"/>
              <w:keepNext w:val="0"/>
              <w:keepLines w:val="0"/>
              <w:pageBreakBefore w:val="0"/>
              <w:widowControl w:val="0"/>
              <w:suppressLineNumbers w:val="0"/>
              <w:tabs>
                <w:tab w:val="left" w:pos="1633"/>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olor w:val="auto"/>
                <w:sz w:val="21"/>
                <w:szCs w:val="21"/>
                <w:highlight w:val="none"/>
                <w:lang w:eastAsia="zh-CN"/>
              </w:rPr>
            </w:pPr>
            <w:r>
              <w:rPr>
                <w:rFonts w:hint="default"/>
                <w:color w:val="auto"/>
                <w:sz w:val="21"/>
                <w:szCs w:val="21"/>
                <w:highlight w:val="none"/>
              </w:rPr>
              <w:t>其他</w:t>
            </w:r>
            <w:r>
              <w:rPr>
                <w:rFonts w:hint="eastAsia"/>
                <w:color w:val="auto"/>
                <w:sz w:val="21"/>
                <w:szCs w:val="21"/>
                <w:highlight w:val="none"/>
                <w:lang w:eastAsia="zh-CN"/>
              </w:rPr>
              <w:t>☑</w:t>
            </w:r>
          </w:p>
        </w:tc>
      </w:tr>
      <w:tr w14:paraId="659C6F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4" w:hRule="atLeast"/>
        </w:trPr>
        <w:tc>
          <w:tcPr>
            <w:tcW w:w="649" w:type="pct"/>
            <w:vMerge w:val="continue"/>
            <w:tcBorders>
              <w:tl2br w:val="nil"/>
              <w:tr2bl w:val="nil"/>
            </w:tcBorders>
            <w:vAlign w:val="center"/>
          </w:tcPr>
          <w:p w14:paraId="05A28B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p>
        </w:tc>
        <w:tc>
          <w:tcPr>
            <w:tcW w:w="764" w:type="pct"/>
            <w:tcBorders>
              <w:tl2br w:val="nil"/>
              <w:tr2bl w:val="nil"/>
            </w:tcBorders>
            <w:vAlign w:val="center"/>
          </w:tcPr>
          <w:p w14:paraId="2E6C1A3E">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预测范围</w:t>
            </w:r>
          </w:p>
        </w:tc>
        <w:tc>
          <w:tcPr>
            <w:tcW w:w="1206" w:type="pct"/>
            <w:tcBorders>
              <w:tl2br w:val="nil"/>
              <w:tr2bl w:val="nil"/>
            </w:tcBorders>
            <w:vAlign w:val="center"/>
          </w:tcPr>
          <w:p w14:paraId="4AB0F54D">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eastAsia="宋体"/>
                <w:color w:val="auto"/>
                <w:sz w:val="21"/>
                <w:szCs w:val="21"/>
                <w:highlight w:val="none"/>
                <w:lang w:eastAsia="zh-CN"/>
              </w:rPr>
            </w:pPr>
            <w:r>
              <w:rPr>
                <w:rFonts w:hint="default" w:ascii="Times New Roman" w:hAnsi="Times New Roman"/>
                <w:color w:val="auto"/>
                <w:sz w:val="21"/>
                <w:szCs w:val="21"/>
                <w:highlight w:val="none"/>
              </w:rPr>
              <w:t>200 m</w:t>
            </w:r>
            <w:r>
              <w:rPr>
                <w:rFonts w:hint="eastAsia"/>
                <w:color w:val="auto"/>
                <w:sz w:val="21"/>
                <w:szCs w:val="21"/>
                <w:highlight w:val="none"/>
                <w:lang w:eastAsia="zh-CN"/>
              </w:rPr>
              <w:t>☑</w:t>
            </w:r>
          </w:p>
        </w:tc>
        <w:tc>
          <w:tcPr>
            <w:tcW w:w="1427" w:type="pct"/>
            <w:gridSpan w:val="3"/>
            <w:tcBorders>
              <w:tl2br w:val="nil"/>
              <w:tr2bl w:val="nil"/>
            </w:tcBorders>
            <w:vAlign w:val="center"/>
          </w:tcPr>
          <w:p w14:paraId="3F1B06FF">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 xml:space="preserve">大于 </w:t>
            </w:r>
            <w:r>
              <w:rPr>
                <w:rFonts w:hint="default" w:ascii="Times New Roman" w:hAnsi="Times New Roman" w:eastAsia="Times New Roman"/>
                <w:color w:val="auto"/>
                <w:sz w:val="21"/>
                <w:szCs w:val="21"/>
                <w:highlight w:val="none"/>
              </w:rPr>
              <w:t>200 m</w:t>
            </w:r>
            <w:r>
              <w:rPr>
                <w:rFonts w:hint="default"/>
                <w:color w:val="auto"/>
                <w:sz w:val="21"/>
                <w:szCs w:val="21"/>
                <w:highlight w:val="none"/>
              </w:rPr>
              <w:t>□</w:t>
            </w:r>
          </w:p>
        </w:tc>
        <w:tc>
          <w:tcPr>
            <w:tcW w:w="952" w:type="pct"/>
            <w:tcBorders>
              <w:tl2br w:val="nil"/>
              <w:tr2bl w:val="nil"/>
            </w:tcBorders>
            <w:vAlign w:val="center"/>
          </w:tcPr>
          <w:p w14:paraId="1F82FEED">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 xml:space="preserve">小于 </w:t>
            </w:r>
            <w:r>
              <w:rPr>
                <w:rFonts w:hint="default" w:ascii="Times New Roman" w:hAnsi="Times New Roman" w:eastAsia="Times New Roman"/>
                <w:color w:val="auto"/>
                <w:sz w:val="21"/>
                <w:szCs w:val="21"/>
                <w:highlight w:val="none"/>
              </w:rPr>
              <w:t>200 m</w:t>
            </w:r>
            <w:r>
              <w:rPr>
                <w:rFonts w:hint="default"/>
                <w:color w:val="auto"/>
                <w:sz w:val="21"/>
                <w:szCs w:val="21"/>
                <w:highlight w:val="none"/>
              </w:rPr>
              <w:t>□</w:t>
            </w:r>
          </w:p>
        </w:tc>
      </w:tr>
      <w:tr w14:paraId="214110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4" w:hRule="atLeast"/>
        </w:trPr>
        <w:tc>
          <w:tcPr>
            <w:tcW w:w="649" w:type="pct"/>
            <w:vMerge w:val="continue"/>
            <w:tcBorders>
              <w:tl2br w:val="nil"/>
              <w:tr2bl w:val="nil"/>
            </w:tcBorders>
            <w:vAlign w:val="center"/>
          </w:tcPr>
          <w:p w14:paraId="3189E6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p>
        </w:tc>
        <w:tc>
          <w:tcPr>
            <w:tcW w:w="764" w:type="pct"/>
            <w:tcBorders>
              <w:tl2br w:val="nil"/>
              <w:tr2bl w:val="nil"/>
            </w:tcBorders>
            <w:vAlign w:val="center"/>
          </w:tcPr>
          <w:p w14:paraId="7AB9D344">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预测因子</w:t>
            </w:r>
          </w:p>
        </w:tc>
        <w:tc>
          <w:tcPr>
            <w:tcW w:w="1206" w:type="pct"/>
            <w:tcBorders>
              <w:tl2br w:val="nil"/>
              <w:tr2bl w:val="nil"/>
            </w:tcBorders>
            <w:vAlign w:val="center"/>
          </w:tcPr>
          <w:p w14:paraId="4A662876">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eastAsia="宋体"/>
                <w:color w:val="auto"/>
                <w:sz w:val="21"/>
                <w:szCs w:val="21"/>
                <w:highlight w:val="none"/>
                <w:lang w:eastAsia="zh-CN"/>
              </w:rPr>
            </w:pPr>
            <w:r>
              <w:rPr>
                <w:rFonts w:hint="default"/>
                <w:color w:val="auto"/>
                <w:sz w:val="21"/>
                <w:szCs w:val="21"/>
                <w:highlight w:val="none"/>
              </w:rPr>
              <w:t xml:space="preserve">等效连续 </w:t>
            </w:r>
            <w:r>
              <w:rPr>
                <w:rFonts w:hint="default" w:ascii="Times New Roman" w:hAnsi="Times New Roman" w:eastAsia="Times New Roman"/>
                <w:color w:val="auto"/>
                <w:sz w:val="21"/>
                <w:szCs w:val="21"/>
                <w:highlight w:val="none"/>
              </w:rPr>
              <w:t xml:space="preserve">A </w:t>
            </w:r>
            <w:r>
              <w:rPr>
                <w:rFonts w:hint="default"/>
                <w:color w:val="auto"/>
                <w:sz w:val="21"/>
                <w:szCs w:val="21"/>
                <w:highlight w:val="none"/>
              </w:rPr>
              <w:t>声级</w:t>
            </w:r>
            <w:r>
              <w:rPr>
                <w:rFonts w:hint="eastAsia"/>
                <w:color w:val="auto"/>
                <w:sz w:val="21"/>
                <w:szCs w:val="21"/>
                <w:highlight w:val="none"/>
                <w:lang w:eastAsia="zh-CN"/>
              </w:rPr>
              <w:t>☑</w:t>
            </w:r>
          </w:p>
        </w:tc>
        <w:tc>
          <w:tcPr>
            <w:tcW w:w="1427" w:type="pct"/>
            <w:gridSpan w:val="3"/>
            <w:tcBorders>
              <w:tl2br w:val="nil"/>
              <w:tr2bl w:val="nil"/>
            </w:tcBorders>
            <w:vAlign w:val="center"/>
          </w:tcPr>
          <w:p w14:paraId="22E3B8F1">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 xml:space="preserve">最大 </w:t>
            </w:r>
            <w:r>
              <w:rPr>
                <w:rFonts w:hint="default" w:ascii="Times New Roman" w:hAnsi="Times New Roman" w:eastAsia="Times New Roman"/>
                <w:color w:val="auto"/>
                <w:sz w:val="21"/>
                <w:szCs w:val="21"/>
                <w:highlight w:val="none"/>
              </w:rPr>
              <w:t xml:space="preserve">A </w:t>
            </w:r>
            <w:r>
              <w:rPr>
                <w:rFonts w:hint="default"/>
                <w:color w:val="auto"/>
                <w:sz w:val="21"/>
                <w:szCs w:val="21"/>
                <w:highlight w:val="none"/>
              </w:rPr>
              <w:t>声级□</w:t>
            </w:r>
          </w:p>
        </w:tc>
        <w:tc>
          <w:tcPr>
            <w:tcW w:w="952" w:type="pct"/>
            <w:tcBorders>
              <w:tl2br w:val="nil"/>
              <w:tr2bl w:val="nil"/>
            </w:tcBorders>
            <w:vAlign w:val="center"/>
          </w:tcPr>
          <w:p w14:paraId="265F31F3">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计权等效连续感觉噪声级□</w:t>
            </w:r>
          </w:p>
        </w:tc>
      </w:tr>
      <w:tr w14:paraId="42E2A3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0" w:hRule="atLeast"/>
        </w:trPr>
        <w:tc>
          <w:tcPr>
            <w:tcW w:w="649" w:type="pct"/>
            <w:vMerge w:val="continue"/>
            <w:tcBorders>
              <w:tl2br w:val="nil"/>
              <w:tr2bl w:val="nil"/>
            </w:tcBorders>
            <w:vAlign w:val="center"/>
          </w:tcPr>
          <w:p w14:paraId="3F1E56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p>
        </w:tc>
        <w:tc>
          <w:tcPr>
            <w:tcW w:w="764" w:type="pct"/>
            <w:tcBorders>
              <w:tl2br w:val="nil"/>
              <w:tr2bl w:val="nil"/>
            </w:tcBorders>
            <w:vAlign w:val="center"/>
          </w:tcPr>
          <w:p w14:paraId="79DDE616">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厂界噪声贡献值</w:t>
            </w:r>
          </w:p>
        </w:tc>
        <w:tc>
          <w:tcPr>
            <w:tcW w:w="2633" w:type="pct"/>
            <w:gridSpan w:val="4"/>
            <w:tcBorders>
              <w:tl2br w:val="nil"/>
              <w:tr2bl w:val="nil"/>
            </w:tcBorders>
            <w:vAlign w:val="center"/>
          </w:tcPr>
          <w:p w14:paraId="5EE1168D">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eastAsia="宋体"/>
                <w:color w:val="auto"/>
                <w:sz w:val="21"/>
                <w:szCs w:val="21"/>
                <w:highlight w:val="none"/>
                <w:lang w:eastAsia="zh-CN"/>
              </w:rPr>
            </w:pPr>
            <w:r>
              <w:rPr>
                <w:rFonts w:hint="default"/>
                <w:color w:val="auto"/>
                <w:sz w:val="21"/>
                <w:szCs w:val="21"/>
                <w:highlight w:val="none"/>
              </w:rPr>
              <w:t>达标</w:t>
            </w:r>
            <w:r>
              <w:rPr>
                <w:rFonts w:hint="eastAsia"/>
                <w:color w:val="auto"/>
                <w:sz w:val="21"/>
                <w:szCs w:val="21"/>
                <w:highlight w:val="none"/>
                <w:lang w:eastAsia="zh-CN"/>
              </w:rPr>
              <w:t>☑</w:t>
            </w:r>
          </w:p>
        </w:tc>
        <w:tc>
          <w:tcPr>
            <w:tcW w:w="952" w:type="pct"/>
            <w:tcBorders>
              <w:tl2br w:val="nil"/>
              <w:tr2bl w:val="nil"/>
            </w:tcBorders>
            <w:vAlign w:val="center"/>
          </w:tcPr>
          <w:p w14:paraId="2CDDA038">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eastAsia="宋体"/>
                <w:color w:val="auto"/>
                <w:sz w:val="21"/>
                <w:szCs w:val="21"/>
                <w:highlight w:val="none"/>
                <w:lang w:eastAsia="zh-CN"/>
              </w:rPr>
            </w:pPr>
            <w:r>
              <w:rPr>
                <w:rFonts w:hint="default"/>
                <w:color w:val="auto"/>
                <w:sz w:val="21"/>
                <w:szCs w:val="21"/>
                <w:highlight w:val="none"/>
              </w:rPr>
              <w:t>不达标□</w:t>
            </w:r>
          </w:p>
        </w:tc>
      </w:tr>
      <w:tr w14:paraId="11F135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27" w:hRule="atLeast"/>
        </w:trPr>
        <w:tc>
          <w:tcPr>
            <w:tcW w:w="649" w:type="pct"/>
            <w:vMerge w:val="continue"/>
            <w:tcBorders>
              <w:tl2br w:val="nil"/>
              <w:tr2bl w:val="nil"/>
            </w:tcBorders>
            <w:vAlign w:val="center"/>
          </w:tcPr>
          <w:p w14:paraId="4FF4E8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p>
        </w:tc>
        <w:tc>
          <w:tcPr>
            <w:tcW w:w="764" w:type="pct"/>
            <w:tcBorders>
              <w:tl2br w:val="nil"/>
              <w:tr2bl w:val="nil"/>
            </w:tcBorders>
            <w:vAlign w:val="center"/>
          </w:tcPr>
          <w:p w14:paraId="59642C68">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声环境保护目标处噪声值</w:t>
            </w:r>
          </w:p>
        </w:tc>
        <w:tc>
          <w:tcPr>
            <w:tcW w:w="2633" w:type="pct"/>
            <w:gridSpan w:val="4"/>
            <w:tcBorders>
              <w:tl2br w:val="nil"/>
              <w:tr2bl w:val="nil"/>
            </w:tcBorders>
            <w:vAlign w:val="center"/>
          </w:tcPr>
          <w:p w14:paraId="5B2E513B">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color w:val="auto"/>
                <w:sz w:val="21"/>
                <w:szCs w:val="21"/>
                <w:highlight w:val="none"/>
              </w:rPr>
            </w:pPr>
            <w:r>
              <w:rPr>
                <w:rFonts w:hint="default"/>
                <w:color w:val="auto"/>
                <w:sz w:val="21"/>
                <w:szCs w:val="21"/>
                <w:highlight w:val="none"/>
              </w:rPr>
              <w:t>达标□</w:t>
            </w:r>
          </w:p>
        </w:tc>
        <w:tc>
          <w:tcPr>
            <w:tcW w:w="952" w:type="pct"/>
            <w:tcBorders>
              <w:tl2br w:val="nil"/>
              <w:tr2bl w:val="nil"/>
            </w:tcBorders>
            <w:vAlign w:val="center"/>
          </w:tcPr>
          <w:p w14:paraId="567BFF63">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color w:val="auto"/>
                <w:sz w:val="21"/>
                <w:szCs w:val="21"/>
                <w:highlight w:val="none"/>
              </w:rPr>
            </w:pPr>
            <w:r>
              <w:rPr>
                <w:rFonts w:hint="default"/>
                <w:color w:val="auto"/>
                <w:sz w:val="21"/>
                <w:szCs w:val="21"/>
                <w:highlight w:val="none"/>
              </w:rPr>
              <w:t>不达标□</w:t>
            </w:r>
          </w:p>
        </w:tc>
      </w:tr>
      <w:tr w14:paraId="322280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7" w:hRule="atLeast"/>
        </w:trPr>
        <w:tc>
          <w:tcPr>
            <w:tcW w:w="649" w:type="pct"/>
            <w:vMerge w:val="restart"/>
            <w:tcBorders>
              <w:tl2br w:val="nil"/>
              <w:tr2bl w:val="nil"/>
            </w:tcBorders>
            <w:vAlign w:val="center"/>
          </w:tcPr>
          <w:p w14:paraId="6A33E8F9">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环境监测计划</w:t>
            </w:r>
          </w:p>
        </w:tc>
        <w:tc>
          <w:tcPr>
            <w:tcW w:w="764" w:type="pct"/>
            <w:tcBorders>
              <w:tl2br w:val="nil"/>
              <w:tr2bl w:val="nil"/>
            </w:tcBorders>
            <w:vAlign w:val="center"/>
          </w:tcPr>
          <w:p w14:paraId="3B404649">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排放监测</w:t>
            </w:r>
          </w:p>
        </w:tc>
        <w:tc>
          <w:tcPr>
            <w:tcW w:w="1307" w:type="pct"/>
            <w:gridSpan w:val="2"/>
            <w:tcBorders>
              <w:tl2br w:val="nil"/>
              <w:tr2bl w:val="nil"/>
            </w:tcBorders>
            <w:vAlign w:val="center"/>
          </w:tcPr>
          <w:p w14:paraId="134DE545">
            <w:pPr>
              <w:pStyle w:val="47"/>
              <w:keepNext w:val="0"/>
              <w:keepLines w:val="0"/>
              <w:pageBreakBefore w:val="0"/>
              <w:widowControl w:val="0"/>
              <w:suppressLineNumbers w:val="0"/>
              <w:tabs>
                <w:tab w:val="left" w:pos="1621"/>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厂界监测</w:t>
            </w:r>
            <w:r>
              <w:rPr>
                <w:rFonts w:hint="eastAsia"/>
                <w:color w:val="auto"/>
                <w:sz w:val="21"/>
                <w:szCs w:val="21"/>
                <w:highlight w:val="none"/>
                <w:lang w:eastAsia="zh-CN"/>
              </w:rPr>
              <w:t>☑</w:t>
            </w:r>
            <w:r>
              <w:rPr>
                <w:rFonts w:hint="default"/>
                <w:color w:val="auto"/>
                <w:sz w:val="21"/>
                <w:szCs w:val="21"/>
                <w:highlight w:val="none"/>
              </w:rPr>
              <w:t>固定位置监</w:t>
            </w:r>
            <w:r>
              <w:rPr>
                <w:rFonts w:hint="default"/>
                <w:color w:val="auto"/>
                <w:spacing w:val="-3"/>
                <w:sz w:val="21"/>
                <w:szCs w:val="21"/>
                <w:highlight w:val="none"/>
              </w:rPr>
              <w:t>测</w:t>
            </w:r>
            <w:r>
              <w:rPr>
                <w:rFonts w:hint="default"/>
                <w:color w:val="auto"/>
                <w:sz w:val="21"/>
                <w:szCs w:val="21"/>
                <w:highlight w:val="none"/>
              </w:rPr>
              <w:t>□</w:t>
            </w:r>
          </w:p>
        </w:tc>
        <w:tc>
          <w:tcPr>
            <w:tcW w:w="1326" w:type="pct"/>
            <w:gridSpan w:val="2"/>
            <w:tcBorders>
              <w:tl2br w:val="nil"/>
              <w:tr2bl w:val="nil"/>
            </w:tcBorders>
            <w:vAlign w:val="center"/>
          </w:tcPr>
          <w:p w14:paraId="54A94F75">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eastAsia="宋体"/>
                <w:color w:val="auto"/>
                <w:sz w:val="21"/>
                <w:szCs w:val="21"/>
                <w:highlight w:val="none"/>
                <w:lang w:eastAsia="zh-CN"/>
              </w:rPr>
            </w:pPr>
            <w:r>
              <w:rPr>
                <w:rFonts w:hint="default"/>
                <w:color w:val="auto"/>
                <w:sz w:val="21"/>
                <w:szCs w:val="21"/>
                <w:highlight w:val="none"/>
              </w:rPr>
              <w:t>自动监测□ 手动监测</w:t>
            </w:r>
            <w:r>
              <w:rPr>
                <w:rFonts w:hint="eastAsia"/>
                <w:color w:val="auto"/>
                <w:sz w:val="21"/>
                <w:szCs w:val="21"/>
                <w:highlight w:val="none"/>
                <w:lang w:eastAsia="zh-CN"/>
              </w:rPr>
              <w:t>☑</w:t>
            </w:r>
          </w:p>
        </w:tc>
        <w:tc>
          <w:tcPr>
            <w:tcW w:w="952" w:type="pct"/>
            <w:tcBorders>
              <w:tl2br w:val="nil"/>
              <w:tr2bl w:val="nil"/>
            </w:tcBorders>
            <w:vAlign w:val="center"/>
          </w:tcPr>
          <w:p w14:paraId="6DE88815">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无监测□</w:t>
            </w:r>
          </w:p>
        </w:tc>
      </w:tr>
      <w:tr w14:paraId="03611B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28" w:hRule="atLeast"/>
        </w:trPr>
        <w:tc>
          <w:tcPr>
            <w:tcW w:w="649" w:type="pct"/>
            <w:vMerge w:val="continue"/>
            <w:tcBorders>
              <w:tl2br w:val="nil"/>
              <w:tr2bl w:val="nil"/>
            </w:tcBorders>
            <w:vAlign w:val="center"/>
          </w:tcPr>
          <w:p w14:paraId="32D16C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p>
        </w:tc>
        <w:tc>
          <w:tcPr>
            <w:tcW w:w="764" w:type="pct"/>
            <w:tcBorders>
              <w:tl2br w:val="nil"/>
              <w:tr2bl w:val="nil"/>
            </w:tcBorders>
            <w:vAlign w:val="center"/>
          </w:tcPr>
          <w:p w14:paraId="66BE427B">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声环境保护目标处噪声监测</w:t>
            </w:r>
          </w:p>
        </w:tc>
        <w:tc>
          <w:tcPr>
            <w:tcW w:w="1307" w:type="pct"/>
            <w:gridSpan w:val="2"/>
            <w:tcBorders>
              <w:tl2br w:val="nil"/>
              <w:tr2bl w:val="nil"/>
            </w:tcBorders>
            <w:vAlign w:val="center"/>
          </w:tcPr>
          <w:p w14:paraId="0D35D804">
            <w:pPr>
              <w:pStyle w:val="47"/>
              <w:keepNext w:val="0"/>
              <w:keepLines w:val="0"/>
              <w:pageBreakBefore w:val="0"/>
              <w:widowControl w:val="0"/>
              <w:suppressLineNumbers w:val="0"/>
              <w:tabs>
                <w:tab w:val="left" w:pos="2252"/>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监测因子</w:t>
            </w:r>
            <w:r>
              <w:rPr>
                <w:rFonts w:hint="default"/>
                <w:color w:val="auto"/>
                <w:spacing w:val="-92"/>
                <w:sz w:val="21"/>
                <w:szCs w:val="21"/>
                <w:highlight w:val="none"/>
              </w:rPr>
              <w:t>：</w:t>
            </w:r>
            <w:r>
              <w:rPr>
                <w:rFonts w:hint="default"/>
                <w:color w:val="auto"/>
                <w:sz w:val="21"/>
                <w:szCs w:val="21"/>
                <w:highlight w:val="none"/>
              </w:rPr>
              <w:t xml:space="preserve">（等效连续 </w:t>
            </w:r>
            <w:r>
              <w:rPr>
                <w:rFonts w:hint="default" w:ascii="Times New Roman" w:hAnsi="Times New Roman" w:eastAsia="Times New Roman"/>
                <w:color w:val="auto"/>
                <w:sz w:val="21"/>
                <w:szCs w:val="21"/>
                <w:highlight w:val="none"/>
              </w:rPr>
              <w:t xml:space="preserve">A </w:t>
            </w:r>
            <w:r>
              <w:rPr>
                <w:rFonts w:hint="default"/>
                <w:color w:val="auto"/>
                <w:sz w:val="21"/>
                <w:szCs w:val="21"/>
                <w:highlight w:val="none"/>
              </w:rPr>
              <w:t>声级）</w:t>
            </w:r>
          </w:p>
        </w:tc>
        <w:tc>
          <w:tcPr>
            <w:tcW w:w="1326" w:type="pct"/>
            <w:gridSpan w:val="2"/>
            <w:tcBorders>
              <w:tl2br w:val="nil"/>
              <w:tr2bl w:val="nil"/>
            </w:tcBorders>
            <w:vAlign w:val="center"/>
          </w:tcPr>
          <w:p w14:paraId="484FE99B">
            <w:pPr>
              <w:pStyle w:val="47"/>
              <w:keepNext w:val="0"/>
              <w:keepLines w:val="0"/>
              <w:pageBreakBefore w:val="0"/>
              <w:widowControl w:val="0"/>
              <w:suppressLineNumbers w:val="0"/>
              <w:tabs>
                <w:tab w:val="left" w:pos="1735"/>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监测点位数</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w:t>
            </w:r>
          </w:p>
        </w:tc>
        <w:tc>
          <w:tcPr>
            <w:tcW w:w="952" w:type="pct"/>
            <w:tcBorders>
              <w:tl2br w:val="nil"/>
              <w:tr2bl w:val="nil"/>
            </w:tcBorders>
            <w:vAlign w:val="center"/>
          </w:tcPr>
          <w:p w14:paraId="759B6FDD">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无监测□</w:t>
            </w:r>
          </w:p>
        </w:tc>
      </w:tr>
      <w:tr w14:paraId="684DA8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4" w:hRule="atLeast"/>
        </w:trPr>
        <w:tc>
          <w:tcPr>
            <w:tcW w:w="649" w:type="pct"/>
            <w:tcBorders>
              <w:tl2br w:val="nil"/>
              <w:tr2bl w:val="nil"/>
            </w:tcBorders>
            <w:vAlign w:val="center"/>
          </w:tcPr>
          <w:p w14:paraId="25858E7C">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评价结论</w:t>
            </w:r>
          </w:p>
        </w:tc>
        <w:tc>
          <w:tcPr>
            <w:tcW w:w="764" w:type="pct"/>
            <w:tcBorders>
              <w:tl2br w:val="nil"/>
              <w:tr2bl w:val="nil"/>
            </w:tcBorders>
            <w:vAlign w:val="center"/>
          </w:tcPr>
          <w:p w14:paraId="19CF76DA">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环境影响</w:t>
            </w:r>
          </w:p>
        </w:tc>
        <w:tc>
          <w:tcPr>
            <w:tcW w:w="3586" w:type="pct"/>
            <w:gridSpan w:val="5"/>
            <w:tcBorders>
              <w:tl2br w:val="nil"/>
              <w:tr2bl w:val="nil"/>
            </w:tcBorders>
            <w:vAlign w:val="center"/>
          </w:tcPr>
          <w:p w14:paraId="16E880D5">
            <w:pPr>
              <w:pStyle w:val="47"/>
              <w:keepNext w:val="0"/>
              <w:keepLines w:val="0"/>
              <w:pageBreakBefore w:val="0"/>
              <w:widowControl w:val="0"/>
              <w:suppressLineNumbers w:val="0"/>
              <w:tabs>
                <w:tab w:val="left" w:pos="1202"/>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可行</w:t>
            </w:r>
            <w:r>
              <w:rPr>
                <w:rFonts w:hint="eastAsia"/>
                <w:color w:val="auto"/>
                <w:sz w:val="21"/>
                <w:szCs w:val="21"/>
                <w:highlight w:val="none"/>
                <w:lang w:eastAsia="zh-CN"/>
              </w:rPr>
              <w:t>☑</w:t>
            </w:r>
            <w:r>
              <w:rPr>
                <w:rFonts w:hint="default"/>
                <w:color w:val="auto"/>
                <w:sz w:val="21"/>
                <w:szCs w:val="21"/>
                <w:highlight w:val="none"/>
              </w:rPr>
              <w:tab/>
            </w:r>
            <w:r>
              <w:rPr>
                <w:rFonts w:hint="default"/>
                <w:color w:val="auto"/>
                <w:sz w:val="21"/>
                <w:szCs w:val="21"/>
                <w:highlight w:val="none"/>
              </w:rPr>
              <w:t>不可行□</w:t>
            </w:r>
          </w:p>
        </w:tc>
      </w:tr>
      <w:tr w14:paraId="7ABF03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96" w:hRule="atLeast"/>
        </w:trPr>
        <w:tc>
          <w:tcPr>
            <w:tcW w:w="5000" w:type="pct"/>
            <w:gridSpan w:val="7"/>
            <w:tcBorders>
              <w:tl2br w:val="nil"/>
              <w:tr2bl w:val="nil"/>
            </w:tcBorders>
            <w:vAlign w:val="center"/>
          </w:tcPr>
          <w:p w14:paraId="1F60C892">
            <w:pPr>
              <w:pStyle w:val="47"/>
              <w:keepNext w:val="0"/>
              <w:keepLines w:val="0"/>
              <w:pageBreakBefore w:val="0"/>
              <w:widowControl w:val="0"/>
              <w:suppressLineNumbers w:val="0"/>
              <w:tabs>
                <w:tab w:val="left" w:pos="3079"/>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注</w:t>
            </w:r>
            <w:r>
              <w:rPr>
                <w:rFonts w:hint="default"/>
                <w:color w:val="auto"/>
                <w:spacing w:val="-92"/>
                <w:sz w:val="21"/>
                <w:szCs w:val="21"/>
                <w:highlight w:val="none"/>
              </w:rPr>
              <w:t>：</w:t>
            </w:r>
            <w:r>
              <w:rPr>
                <w:rFonts w:hint="eastAsia"/>
                <w:color w:val="auto"/>
                <w:sz w:val="21"/>
                <w:szCs w:val="21"/>
                <w:highlight w:val="none"/>
                <w:lang w:eastAsia="zh-CN"/>
              </w:rPr>
              <w:t>“</w:t>
            </w:r>
            <w:r>
              <w:rPr>
                <w:rFonts w:hint="default"/>
                <w:color w:val="auto"/>
                <w:sz w:val="21"/>
                <w:szCs w:val="21"/>
                <w:highlight w:val="none"/>
              </w:rPr>
              <w:t>□</w:t>
            </w:r>
            <w:r>
              <w:rPr>
                <w:rFonts w:hint="eastAsia"/>
                <w:color w:val="auto"/>
                <w:sz w:val="21"/>
                <w:szCs w:val="21"/>
                <w:highlight w:val="none"/>
                <w:lang w:eastAsia="zh-CN"/>
              </w:rPr>
              <w:t>”</w:t>
            </w:r>
            <w:r>
              <w:rPr>
                <w:rFonts w:hint="default"/>
                <w:color w:val="auto"/>
                <w:spacing w:val="1"/>
                <w:sz w:val="21"/>
                <w:szCs w:val="21"/>
                <w:highlight w:val="none"/>
              </w:rPr>
              <w:t xml:space="preserve"> </w:t>
            </w:r>
            <w:r>
              <w:rPr>
                <w:rFonts w:hint="default"/>
                <w:color w:val="auto"/>
                <w:sz w:val="21"/>
                <w:szCs w:val="21"/>
                <w:highlight w:val="none"/>
              </w:rPr>
              <w:t>为勾选项</w:t>
            </w:r>
            <w:r>
              <w:rPr>
                <w:rFonts w:hint="default"/>
                <w:color w:val="auto"/>
                <w:spacing w:val="1"/>
                <w:sz w:val="21"/>
                <w:szCs w:val="21"/>
                <w:highlight w:val="none"/>
              </w:rPr>
              <w:t xml:space="preserve"> </w:t>
            </w:r>
            <w:r>
              <w:rPr>
                <w:rFonts w:hint="default"/>
                <w:color w:val="auto"/>
                <w:sz w:val="21"/>
                <w:szCs w:val="21"/>
                <w:highlight w:val="none"/>
              </w:rPr>
              <w:t>，可√</w:t>
            </w:r>
            <w:r>
              <w:rPr>
                <w:rFonts w:hint="default"/>
                <w:color w:val="auto"/>
                <w:spacing w:val="1"/>
                <w:sz w:val="21"/>
                <w:szCs w:val="21"/>
                <w:highlight w:val="none"/>
              </w:rPr>
              <w:t xml:space="preserve"> </w:t>
            </w:r>
            <w:r>
              <w:rPr>
                <w:rFonts w:hint="default"/>
                <w:color w:val="auto"/>
                <w:spacing w:val="-92"/>
                <w:sz w:val="21"/>
                <w:szCs w:val="21"/>
                <w:highlight w:val="none"/>
              </w:rPr>
              <w:t>；</w:t>
            </w:r>
            <w:r>
              <w:rPr>
                <w:rFonts w:hint="eastAsia"/>
                <w:color w:val="auto"/>
                <w:spacing w:val="-92"/>
                <w:sz w:val="21"/>
                <w:szCs w:val="21"/>
                <w:highlight w:val="none"/>
                <w:lang w:eastAsia="zh-CN"/>
              </w:rPr>
              <w:t>“</w:t>
            </w:r>
            <w:r>
              <w:rPr>
                <w:rFonts w:hint="default"/>
                <w:color w:val="auto"/>
                <w:sz w:val="21"/>
                <w:szCs w:val="21"/>
                <w:highlight w:val="none"/>
              </w:rPr>
              <w:t>（</w:t>
            </w:r>
            <w:r>
              <w:rPr>
                <w:rFonts w:hint="default"/>
                <w:color w:val="auto"/>
                <w:sz w:val="21"/>
                <w:szCs w:val="21"/>
                <w:highlight w:val="none"/>
              </w:rPr>
              <w:tab/>
            </w:r>
            <w:r>
              <w:rPr>
                <w:rFonts w:hint="default"/>
                <w:color w:val="auto"/>
                <w:spacing w:val="-92"/>
                <w:sz w:val="21"/>
                <w:szCs w:val="21"/>
                <w:highlight w:val="none"/>
              </w:rPr>
              <w:t>）</w:t>
            </w:r>
            <w:r>
              <w:rPr>
                <w:rFonts w:hint="eastAsia"/>
                <w:color w:val="auto"/>
                <w:sz w:val="21"/>
                <w:szCs w:val="21"/>
                <w:highlight w:val="none"/>
                <w:lang w:eastAsia="zh-CN"/>
              </w:rPr>
              <w:t>”</w:t>
            </w:r>
            <w:r>
              <w:rPr>
                <w:rFonts w:hint="default"/>
                <w:color w:val="auto"/>
                <w:spacing w:val="1"/>
                <w:sz w:val="21"/>
                <w:szCs w:val="21"/>
                <w:highlight w:val="none"/>
              </w:rPr>
              <w:t xml:space="preserve"> </w:t>
            </w:r>
            <w:r>
              <w:rPr>
                <w:rFonts w:hint="default"/>
                <w:color w:val="auto"/>
                <w:sz w:val="21"/>
                <w:szCs w:val="21"/>
                <w:highlight w:val="none"/>
              </w:rPr>
              <w:t>为内容填写项。</w:t>
            </w:r>
          </w:p>
        </w:tc>
      </w:tr>
    </w:tbl>
    <w:p w14:paraId="77C25002">
      <w:pPr>
        <w:pStyle w:val="4"/>
        <w:rPr>
          <w:rFonts w:hint="default" w:ascii="Times New Roman" w:hAnsi="Times New Roman" w:cs="Times New Roman"/>
          <w:color w:val="auto"/>
          <w:highlight w:val="none"/>
        </w:rPr>
      </w:pPr>
      <w:bookmarkStart w:id="724" w:name="_Toc10714"/>
      <w:bookmarkStart w:id="725" w:name="_Toc7806"/>
      <w:bookmarkStart w:id="726" w:name="_Toc25091"/>
      <w:r>
        <w:rPr>
          <w:rFonts w:hint="default" w:ascii="Times New Roman" w:hAnsi="Times New Roman" w:cs="Times New Roman"/>
          <w:color w:val="auto"/>
          <w:highlight w:val="none"/>
        </w:rPr>
        <w:t>5.2.5运营期固体废物环境影响分析</w:t>
      </w:r>
      <w:bookmarkEnd w:id="724"/>
      <w:bookmarkEnd w:id="725"/>
      <w:bookmarkEnd w:id="726"/>
    </w:p>
    <w:p w14:paraId="76659532">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本项目运营期固体废物主要来源于选矿工序产生的生活垃圾</w:t>
      </w:r>
      <w:r>
        <w:rPr>
          <w:rFonts w:hint="eastAsia" w:cs="Times New Roman"/>
          <w:color w:val="auto"/>
          <w:kern w:val="0"/>
          <w:highlight w:val="none"/>
          <w:lang w:eastAsia="zh-CN"/>
        </w:rPr>
        <w:t>、</w:t>
      </w:r>
      <w:r>
        <w:rPr>
          <w:rFonts w:hint="default" w:ascii="Times New Roman" w:hAnsi="Times New Roman" w:cs="Times New Roman"/>
          <w:color w:val="auto"/>
          <w:kern w:val="0"/>
          <w:highlight w:val="none"/>
        </w:rPr>
        <w:t>尾矿砂</w:t>
      </w:r>
      <w:r>
        <w:rPr>
          <w:rFonts w:hint="eastAsia" w:cs="Times New Roman"/>
          <w:color w:val="auto"/>
          <w:kern w:val="0"/>
          <w:highlight w:val="none"/>
          <w:lang w:eastAsia="zh-CN"/>
        </w:rPr>
        <w:t>、</w:t>
      </w:r>
      <w:r>
        <w:rPr>
          <w:rFonts w:hint="default" w:ascii="Times New Roman" w:hAnsi="Times New Roman" w:cs="Times New Roman"/>
          <w:color w:val="auto"/>
          <w:kern w:val="0"/>
          <w:highlight w:val="none"/>
        </w:rPr>
        <w:t>废机油</w:t>
      </w:r>
      <w:r>
        <w:rPr>
          <w:rFonts w:hint="eastAsia" w:cs="Times New Roman"/>
          <w:color w:val="auto"/>
          <w:kern w:val="0"/>
          <w:highlight w:val="none"/>
          <w:lang w:eastAsia="zh-CN"/>
        </w:rPr>
        <w:t>、</w:t>
      </w:r>
      <w:r>
        <w:rPr>
          <w:rFonts w:hint="default" w:ascii="Times New Roman" w:hAnsi="Times New Roman" w:cs="Times New Roman"/>
          <w:color w:val="auto"/>
          <w:kern w:val="0"/>
          <w:highlight w:val="none"/>
        </w:rPr>
        <w:t>废油桶</w:t>
      </w:r>
      <w:r>
        <w:rPr>
          <w:rFonts w:hint="eastAsia" w:cs="Times New Roman"/>
          <w:color w:val="auto"/>
          <w:kern w:val="0"/>
          <w:highlight w:val="none"/>
          <w:lang w:eastAsia="zh-CN"/>
        </w:rPr>
        <w:t>、</w:t>
      </w:r>
      <w:r>
        <w:rPr>
          <w:rFonts w:hint="default" w:ascii="Times New Roman" w:hAnsi="Times New Roman" w:cs="Times New Roman"/>
          <w:color w:val="auto"/>
          <w:kern w:val="0"/>
          <w:highlight w:val="none"/>
        </w:rPr>
        <w:t>原辅料废包装物</w:t>
      </w:r>
      <w:r>
        <w:rPr>
          <w:rFonts w:hint="eastAsia" w:cs="Times New Roman"/>
          <w:color w:val="auto"/>
          <w:kern w:val="0"/>
          <w:highlight w:val="none"/>
          <w:lang w:eastAsia="zh-CN"/>
        </w:rPr>
        <w:t>、</w:t>
      </w:r>
      <w:r>
        <w:rPr>
          <w:rFonts w:hint="default" w:ascii="Times New Roman" w:hAnsi="Times New Roman" w:cs="Times New Roman"/>
          <w:color w:val="auto"/>
          <w:kern w:val="0"/>
          <w:highlight w:val="none"/>
        </w:rPr>
        <w:t>除尘灰</w:t>
      </w:r>
      <w:r>
        <w:rPr>
          <w:rFonts w:hint="eastAsia" w:cs="Times New Roman"/>
          <w:color w:val="auto"/>
          <w:kern w:val="0"/>
          <w:highlight w:val="none"/>
          <w:lang w:eastAsia="zh-CN"/>
        </w:rPr>
        <w:t>、</w:t>
      </w:r>
      <w:r>
        <w:rPr>
          <w:rFonts w:hint="default" w:ascii="Times New Roman" w:hAnsi="Times New Roman" w:cs="Times New Roman"/>
          <w:color w:val="auto"/>
          <w:kern w:val="0"/>
          <w:highlight w:val="none"/>
        </w:rPr>
        <w:t>废离子交换树脂</w:t>
      </w:r>
      <w:r>
        <w:rPr>
          <w:rFonts w:hint="eastAsia" w:cs="Times New Roman"/>
          <w:color w:val="auto"/>
          <w:kern w:val="0"/>
          <w:highlight w:val="none"/>
          <w:lang w:eastAsia="zh-CN"/>
        </w:rPr>
        <w:t>、</w:t>
      </w:r>
      <w:r>
        <w:rPr>
          <w:rFonts w:hint="default" w:ascii="Times New Roman" w:hAnsi="Times New Roman" w:cs="Times New Roman"/>
          <w:color w:val="auto"/>
          <w:kern w:val="0"/>
          <w:highlight w:val="none"/>
        </w:rPr>
        <w:t>沉淀池底泥</w:t>
      </w:r>
      <w:r>
        <w:rPr>
          <w:rFonts w:hint="eastAsia" w:cs="Times New Roman"/>
          <w:color w:val="auto"/>
          <w:kern w:val="0"/>
          <w:highlight w:val="none"/>
          <w:lang w:eastAsia="zh-CN"/>
        </w:rPr>
        <w:t>、</w:t>
      </w:r>
      <w:r>
        <w:rPr>
          <w:rFonts w:hint="default" w:ascii="Times New Roman" w:hAnsi="Times New Roman" w:cs="Times New Roman"/>
          <w:color w:val="auto"/>
          <w:kern w:val="0"/>
          <w:highlight w:val="none"/>
        </w:rPr>
        <w:t>废布袋等。</w:t>
      </w:r>
    </w:p>
    <w:p w14:paraId="7D4F1436">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（1）尾矿砂</w:t>
      </w:r>
    </w:p>
    <w:p w14:paraId="475D2381">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本项目尾矿主要为选别过程中产生的尾矿砂。</w:t>
      </w:r>
    </w:p>
    <w:p w14:paraId="4B0DA7D5">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为了解尾矿砂的性质，建设单位于202</w:t>
      </w:r>
      <w:r>
        <w:rPr>
          <w:rFonts w:hint="eastAsia" w:cs="Times New Roman"/>
          <w:color w:val="auto"/>
          <w:kern w:val="0"/>
          <w:highlight w:val="none"/>
          <w:lang w:val="en-US" w:eastAsia="zh-CN"/>
        </w:rPr>
        <w:t>6</w:t>
      </w:r>
      <w:r>
        <w:rPr>
          <w:rFonts w:hint="default" w:ascii="Times New Roman" w:hAnsi="Times New Roman" w:cs="Times New Roman"/>
          <w:color w:val="auto"/>
          <w:kern w:val="0"/>
          <w:highlight w:val="none"/>
        </w:rPr>
        <w:t>年</w:t>
      </w:r>
      <w:r>
        <w:rPr>
          <w:rFonts w:hint="default" w:ascii="Times New Roman" w:hAnsi="Times New Roman" w:cs="Times New Roman"/>
          <w:color w:val="auto"/>
          <w:kern w:val="0"/>
          <w:highlight w:val="none"/>
          <w:lang w:val="en-US" w:eastAsia="zh-CN"/>
        </w:rPr>
        <w:t>2</w:t>
      </w:r>
      <w:r>
        <w:rPr>
          <w:rFonts w:hint="default" w:ascii="Times New Roman" w:hAnsi="Times New Roman" w:cs="Times New Roman"/>
          <w:color w:val="auto"/>
          <w:kern w:val="0"/>
          <w:highlight w:val="none"/>
        </w:rPr>
        <w:t>月委托</w:t>
      </w:r>
      <w:r>
        <w:rPr>
          <w:rFonts w:hint="eastAsia" w:cs="Times New Roman"/>
          <w:color w:val="auto"/>
          <w:kern w:val="0"/>
          <w:highlight w:val="none"/>
          <w:lang w:eastAsia="zh-CN"/>
        </w:rPr>
        <w:t>新疆齐新环境服务有限公司</w:t>
      </w:r>
      <w:r>
        <w:rPr>
          <w:rFonts w:hint="default" w:ascii="Times New Roman" w:hAnsi="Times New Roman" w:cs="Times New Roman"/>
          <w:color w:val="auto"/>
          <w:kern w:val="0"/>
          <w:highlight w:val="none"/>
        </w:rPr>
        <w:t>按本项目最终确定的选矿工艺</w:t>
      </w:r>
      <w:r>
        <w:rPr>
          <w:rFonts w:hint="eastAsia" w:cs="Times New Roman"/>
          <w:color w:val="auto"/>
          <w:kern w:val="0"/>
          <w:highlight w:val="none"/>
          <w:lang w:val="en-US" w:eastAsia="zh-CN"/>
        </w:rPr>
        <w:t>尾砂</w:t>
      </w:r>
      <w:r>
        <w:rPr>
          <w:rFonts w:hint="default" w:ascii="Times New Roman" w:hAnsi="Times New Roman" w:cs="Times New Roman"/>
          <w:color w:val="auto"/>
          <w:kern w:val="0"/>
          <w:highlight w:val="none"/>
        </w:rPr>
        <w:t>进行</w:t>
      </w:r>
      <w:r>
        <w:rPr>
          <w:rFonts w:hint="default" w:ascii="Times New Roman" w:hAnsi="Times New Roman" w:cs="Times New Roman"/>
          <w:color w:val="auto"/>
          <w:kern w:val="0"/>
          <w:highlight w:val="none"/>
          <w:lang w:eastAsia="zh-CN"/>
        </w:rPr>
        <w:t>了</w:t>
      </w:r>
      <w:r>
        <w:rPr>
          <w:rFonts w:hint="default" w:ascii="Times New Roman" w:hAnsi="Times New Roman" w:cs="Times New Roman"/>
          <w:color w:val="auto"/>
          <w:kern w:val="0"/>
          <w:highlight w:val="none"/>
        </w:rPr>
        <w:t>浸出毒性鉴别分析（浸出毒性检测报告见附件）。根据该分析结果，对照《危险废物鉴别标准 浸出毒性鉴别》</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GB5085.3-2007）及《固体废物 浸出毒性浸出方法 水平振荡法》</w:t>
      </w:r>
      <w:r>
        <w:rPr>
          <w:rFonts w:hint="eastAsia" w:cs="Times New Roman"/>
          <w:color w:val="auto"/>
          <w:kern w:val="0"/>
          <w:highlight w:val="none"/>
          <w:lang w:eastAsia="zh-CN"/>
        </w:rPr>
        <w:t>（</w:t>
      </w:r>
      <w:r>
        <w:rPr>
          <w:rFonts w:hint="default" w:ascii="Times New Roman" w:hAnsi="Times New Roman" w:cs="Times New Roman"/>
          <w:color w:val="auto"/>
          <w:kern w:val="0"/>
          <w:highlight w:val="none"/>
          <w:lang w:eastAsia="zh-CN"/>
        </w:rPr>
        <w:t>HJ557-2010</w:t>
      </w:r>
      <w:r>
        <w:rPr>
          <w:rFonts w:hint="default" w:ascii="Times New Roman" w:hAnsi="Times New Roman" w:cs="Times New Roman"/>
          <w:color w:val="auto"/>
          <w:kern w:val="0"/>
          <w:highlight w:val="none"/>
        </w:rPr>
        <w:t>）中的鉴别标准进行分析判断尾矿砂的性质，对照《污水综合排放标准》（GB8978-1996）中最高允许排放浓度来确定固体废物类别，具体分析详见表5.2-20。</w:t>
      </w:r>
    </w:p>
    <w:p w14:paraId="65AD52B9">
      <w:pPr>
        <w:pStyle w:val="49"/>
        <w:widowControl w:val="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表5.2-20    尾矿砂浸出试验结果</w:t>
      </w:r>
    </w:p>
    <w:tbl>
      <w:tblPr>
        <w:tblStyle w:val="33"/>
        <w:tblW w:w="85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61"/>
        <w:gridCol w:w="1000"/>
        <w:gridCol w:w="888"/>
        <w:gridCol w:w="1112"/>
        <w:gridCol w:w="2928"/>
        <w:gridCol w:w="2133"/>
      </w:tblGrid>
      <w:tr w14:paraId="228BDF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61" w:type="dxa"/>
            <w:vAlign w:val="center"/>
          </w:tcPr>
          <w:p w14:paraId="67F71DB6">
            <w:pPr>
              <w:tabs>
                <w:tab w:val="left" w:pos="576"/>
              </w:tabs>
              <w:spacing w:line="360" w:lineRule="exact"/>
              <w:ind w:left="-72" w:leftChars="-30" w:right="-72" w:rightChars="-30" w:firstLine="0" w:firstLineChars="0"/>
              <w:jc w:val="center"/>
              <w:rPr>
                <w:rFonts w:hint="default" w:ascii="Times New Roman" w:hAnsi="Times New Roman" w:cs="Times New Roman"/>
                <w:b/>
                <w:snapToGrid w:val="0"/>
                <w:color w:val="auto"/>
                <w:kern w:val="0"/>
                <w:sz w:val="21"/>
                <w:highlight w:val="none"/>
                <w:lang w:bidi="ar"/>
              </w:rPr>
            </w:pPr>
            <w:r>
              <w:rPr>
                <w:rFonts w:hint="default" w:ascii="Times New Roman" w:hAnsi="Times New Roman" w:cs="Times New Roman"/>
                <w:b/>
                <w:snapToGrid w:val="0"/>
                <w:color w:val="auto"/>
                <w:kern w:val="0"/>
                <w:sz w:val="21"/>
                <w:highlight w:val="none"/>
                <w:lang w:bidi="ar"/>
              </w:rPr>
              <w:t>序</w:t>
            </w:r>
          </w:p>
          <w:p w14:paraId="593E02D5">
            <w:pPr>
              <w:tabs>
                <w:tab w:val="left" w:pos="576"/>
              </w:tabs>
              <w:spacing w:line="360" w:lineRule="exact"/>
              <w:ind w:left="-72" w:leftChars="-30" w:right="-72" w:rightChars="-30" w:firstLine="0" w:firstLineChars="0"/>
              <w:jc w:val="center"/>
              <w:rPr>
                <w:rFonts w:hint="default" w:ascii="Times New Roman" w:hAnsi="Times New Roman" w:cs="Times New Roman"/>
                <w:b/>
                <w:snapToGrid w:val="0"/>
                <w:color w:val="auto"/>
                <w:kern w:val="0"/>
                <w:sz w:val="21"/>
                <w:highlight w:val="none"/>
              </w:rPr>
            </w:pPr>
            <w:r>
              <w:rPr>
                <w:rFonts w:hint="default" w:ascii="Times New Roman" w:hAnsi="Times New Roman" w:cs="Times New Roman"/>
                <w:b/>
                <w:snapToGrid w:val="0"/>
                <w:color w:val="auto"/>
                <w:kern w:val="0"/>
                <w:sz w:val="21"/>
                <w:highlight w:val="none"/>
                <w:lang w:bidi="ar"/>
              </w:rPr>
              <w:t>号</w:t>
            </w:r>
          </w:p>
        </w:tc>
        <w:tc>
          <w:tcPr>
            <w:tcW w:w="1000" w:type="dxa"/>
            <w:vAlign w:val="center"/>
          </w:tcPr>
          <w:p w14:paraId="4174B49F">
            <w:pPr>
              <w:tabs>
                <w:tab w:val="left" w:pos="576"/>
              </w:tabs>
              <w:spacing w:line="360" w:lineRule="exact"/>
              <w:ind w:left="-72" w:leftChars="-30" w:right="-72" w:rightChars="-30" w:firstLine="0" w:firstLineChars="0"/>
              <w:jc w:val="center"/>
              <w:rPr>
                <w:rFonts w:hint="default" w:ascii="Times New Roman" w:hAnsi="Times New Roman" w:cs="Times New Roman"/>
                <w:b/>
                <w:snapToGrid w:val="0"/>
                <w:color w:val="auto"/>
                <w:kern w:val="0"/>
                <w:sz w:val="21"/>
                <w:highlight w:val="none"/>
              </w:rPr>
            </w:pPr>
            <w:r>
              <w:rPr>
                <w:rFonts w:hint="default" w:ascii="Times New Roman" w:hAnsi="Times New Roman" w:cs="Times New Roman"/>
                <w:b/>
                <w:snapToGrid w:val="0"/>
                <w:color w:val="auto"/>
                <w:kern w:val="0"/>
                <w:sz w:val="21"/>
                <w:highlight w:val="none"/>
                <w:lang w:bidi="ar"/>
              </w:rPr>
              <w:t>监测项目</w:t>
            </w:r>
          </w:p>
        </w:tc>
        <w:tc>
          <w:tcPr>
            <w:tcW w:w="888" w:type="dxa"/>
            <w:vAlign w:val="center"/>
          </w:tcPr>
          <w:p w14:paraId="2F80438A">
            <w:pPr>
              <w:tabs>
                <w:tab w:val="left" w:pos="576"/>
              </w:tabs>
              <w:spacing w:line="360" w:lineRule="exact"/>
              <w:ind w:left="-72" w:leftChars="-30" w:right="-72" w:rightChars="-30" w:firstLine="0" w:firstLineChars="0"/>
              <w:jc w:val="center"/>
              <w:rPr>
                <w:rFonts w:hint="default" w:ascii="Times New Roman" w:hAnsi="Times New Roman" w:cs="Times New Roman"/>
                <w:b/>
                <w:snapToGrid w:val="0"/>
                <w:color w:val="auto"/>
                <w:kern w:val="0"/>
                <w:sz w:val="21"/>
                <w:highlight w:val="none"/>
                <w:lang w:bidi="ar"/>
              </w:rPr>
            </w:pPr>
            <w:r>
              <w:rPr>
                <w:rFonts w:hint="default" w:ascii="Times New Roman" w:hAnsi="Times New Roman" w:cs="Times New Roman"/>
                <w:b/>
                <w:snapToGrid w:val="0"/>
                <w:color w:val="auto"/>
                <w:kern w:val="0"/>
                <w:sz w:val="21"/>
                <w:highlight w:val="none"/>
                <w:lang w:bidi="ar"/>
              </w:rPr>
              <w:t>单位</w:t>
            </w:r>
          </w:p>
        </w:tc>
        <w:tc>
          <w:tcPr>
            <w:tcW w:w="1112" w:type="dxa"/>
            <w:vAlign w:val="center"/>
          </w:tcPr>
          <w:p w14:paraId="1B405D68">
            <w:pPr>
              <w:tabs>
                <w:tab w:val="left" w:pos="576"/>
              </w:tabs>
              <w:spacing w:line="360" w:lineRule="exact"/>
              <w:ind w:left="-72" w:leftChars="-30" w:right="-72" w:rightChars="-30" w:firstLine="0" w:firstLineChars="0"/>
              <w:jc w:val="center"/>
              <w:rPr>
                <w:rFonts w:hint="default" w:ascii="Times New Roman" w:hAnsi="Times New Roman" w:cs="Times New Roman"/>
                <w:b/>
                <w:snapToGrid w:val="0"/>
                <w:color w:val="auto"/>
                <w:kern w:val="0"/>
                <w:sz w:val="21"/>
                <w:highlight w:val="none"/>
              </w:rPr>
            </w:pPr>
            <w:r>
              <w:rPr>
                <w:rFonts w:hint="default" w:ascii="Times New Roman" w:hAnsi="Times New Roman" w:cs="Times New Roman"/>
                <w:b/>
                <w:snapToGrid w:val="0"/>
                <w:color w:val="auto"/>
                <w:kern w:val="0"/>
                <w:sz w:val="21"/>
                <w:highlight w:val="none"/>
                <w:lang w:bidi="ar"/>
              </w:rPr>
              <w:t>监测值</w:t>
            </w:r>
          </w:p>
        </w:tc>
        <w:tc>
          <w:tcPr>
            <w:tcW w:w="2928" w:type="dxa"/>
            <w:vAlign w:val="center"/>
          </w:tcPr>
          <w:p w14:paraId="12CF77DF">
            <w:pPr>
              <w:tabs>
                <w:tab w:val="left" w:pos="576"/>
              </w:tabs>
              <w:spacing w:line="360" w:lineRule="exact"/>
              <w:ind w:left="-72" w:leftChars="-30" w:right="-72" w:rightChars="-30" w:firstLine="0" w:firstLineChars="0"/>
              <w:jc w:val="center"/>
              <w:rPr>
                <w:rFonts w:hint="default" w:ascii="Times New Roman" w:hAnsi="Times New Roman" w:cs="Times New Roman"/>
                <w:b/>
                <w:snapToGrid w:val="0"/>
                <w:color w:val="auto"/>
                <w:kern w:val="0"/>
                <w:sz w:val="21"/>
                <w:highlight w:val="none"/>
              </w:rPr>
            </w:pPr>
            <w:r>
              <w:rPr>
                <w:rFonts w:hint="default" w:ascii="Times New Roman" w:hAnsi="Times New Roman" w:cs="Times New Roman"/>
                <w:b/>
                <w:snapToGrid w:val="0"/>
                <w:color w:val="auto"/>
                <w:kern w:val="0"/>
                <w:sz w:val="21"/>
                <w:highlight w:val="none"/>
                <w:lang w:bidi="ar"/>
              </w:rPr>
              <w:t>《危险废物鉴别标准-浸出毒性鉴别》（GB5085.3-2007）</w:t>
            </w:r>
          </w:p>
        </w:tc>
        <w:tc>
          <w:tcPr>
            <w:tcW w:w="2133" w:type="dxa"/>
            <w:vAlign w:val="center"/>
          </w:tcPr>
          <w:p w14:paraId="0DDF334B">
            <w:pPr>
              <w:tabs>
                <w:tab w:val="left" w:pos="576"/>
              </w:tabs>
              <w:spacing w:line="360" w:lineRule="exact"/>
              <w:ind w:left="-72" w:leftChars="-30" w:right="-72" w:rightChars="-30" w:firstLine="0" w:firstLineChars="0"/>
              <w:jc w:val="center"/>
              <w:rPr>
                <w:rFonts w:hint="default" w:ascii="Times New Roman" w:hAnsi="Times New Roman" w:cs="Times New Roman"/>
                <w:b/>
                <w:snapToGrid w:val="0"/>
                <w:color w:val="auto"/>
                <w:kern w:val="0"/>
                <w:sz w:val="21"/>
                <w:highlight w:val="none"/>
              </w:rPr>
            </w:pPr>
            <w:r>
              <w:rPr>
                <w:rFonts w:hint="default" w:ascii="Times New Roman" w:hAnsi="Times New Roman" w:cs="Times New Roman"/>
                <w:b/>
                <w:snapToGrid w:val="0"/>
                <w:color w:val="auto"/>
                <w:kern w:val="0"/>
                <w:sz w:val="21"/>
                <w:highlight w:val="none"/>
                <w:lang w:bidi="ar"/>
              </w:rPr>
              <w:t>《污水综合排放标准》（GB8978-1996）</w:t>
            </w:r>
          </w:p>
        </w:tc>
      </w:tr>
      <w:tr w14:paraId="6D8401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1" w:type="dxa"/>
            <w:vAlign w:val="center"/>
          </w:tcPr>
          <w:p w14:paraId="26C5B3CB">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rPr>
            </w:pPr>
            <w:r>
              <w:rPr>
                <w:rFonts w:hint="default" w:ascii="Times New Roman" w:hAnsi="Times New Roman" w:cs="Times New Roman"/>
                <w:snapToGrid w:val="0"/>
                <w:color w:val="auto"/>
                <w:kern w:val="0"/>
                <w:sz w:val="21"/>
                <w:highlight w:val="none"/>
                <w:lang w:bidi="ar"/>
              </w:rPr>
              <w:t>1</w:t>
            </w:r>
          </w:p>
        </w:tc>
        <w:tc>
          <w:tcPr>
            <w:tcW w:w="1000" w:type="dxa"/>
            <w:vAlign w:val="center"/>
          </w:tcPr>
          <w:p w14:paraId="6DF3AC7E">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rPr>
            </w:pPr>
            <w:r>
              <w:rPr>
                <w:rFonts w:hint="default" w:ascii="Times New Roman" w:hAnsi="Times New Roman" w:cs="Times New Roman"/>
                <w:snapToGrid w:val="0"/>
                <w:color w:val="auto"/>
                <w:kern w:val="0"/>
                <w:sz w:val="21"/>
                <w:highlight w:val="none"/>
                <w:lang w:bidi="ar"/>
              </w:rPr>
              <w:t>pH</w:t>
            </w:r>
          </w:p>
        </w:tc>
        <w:tc>
          <w:tcPr>
            <w:tcW w:w="888" w:type="dxa"/>
            <w:vAlign w:val="center"/>
          </w:tcPr>
          <w:p w14:paraId="0EA32E9F">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bidi="ar"/>
              </w:rPr>
              <w:t>无量纲</w:t>
            </w:r>
          </w:p>
        </w:tc>
        <w:tc>
          <w:tcPr>
            <w:tcW w:w="1112" w:type="dxa"/>
            <w:vAlign w:val="center"/>
          </w:tcPr>
          <w:p w14:paraId="09F2AE38">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highlight w:val="none"/>
                <w:lang w:val="en-US" w:eastAsia="zh-CN"/>
              </w:rPr>
            </w:pPr>
            <w:r>
              <w:rPr>
                <w:rFonts w:hint="eastAsia" w:cs="Times New Roman"/>
                <w:snapToGrid w:val="0"/>
                <w:color w:val="auto"/>
                <w:kern w:val="0"/>
                <w:sz w:val="21"/>
                <w:highlight w:val="none"/>
                <w:lang w:val="en-US" w:eastAsia="zh-CN"/>
              </w:rPr>
              <w:t>8.47</w:t>
            </w:r>
          </w:p>
        </w:tc>
        <w:tc>
          <w:tcPr>
            <w:tcW w:w="2928" w:type="dxa"/>
            <w:vAlign w:val="center"/>
          </w:tcPr>
          <w:p w14:paraId="530415A0">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rPr>
            </w:pPr>
            <w:r>
              <w:rPr>
                <w:rFonts w:hint="default" w:ascii="Times New Roman" w:hAnsi="Times New Roman" w:cs="Times New Roman"/>
                <w:snapToGrid w:val="0"/>
                <w:color w:val="auto"/>
                <w:kern w:val="0"/>
                <w:sz w:val="21"/>
                <w:highlight w:val="none"/>
                <w:lang w:bidi="ar"/>
              </w:rPr>
              <w:t>≥12.5、≤2.0</w:t>
            </w:r>
          </w:p>
        </w:tc>
        <w:tc>
          <w:tcPr>
            <w:tcW w:w="2133" w:type="dxa"/>
            <w:vAlign w:val="center"/>
          </w:tcPr>
          <w:p w14:paraId="265372B3">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rPr>
            </w:pPr>
            <w:r>
              <w:rPr>
                <w:rFonts w:hint="default" w:ascii="Times New Roman" w:hAnsi="Times New Roman" w:cs="Times New Roman"/>
                <w:snapToGrid w:val="0"/>
                <w:color w:val="auto"/>
                <w:kern w:val="0"/>
                <w:sz w:val="21"/>
                <w:highlight w:val="none"/>
                <w:lang w:bidi="ar"/>
              </w:rPr>
              <w:t>6~9</w:t>
            </w:r>
          </w:p>
        </w:tc>
      </w:tr>
      <w:tr w14:paraId="6D1AA8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61" w:type="dxa"/>
            <w:vAlign w:val="center"/>
          </w:tcPr>
          <w:p w14:paraId="626D1B2B">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bidi="ar"/>
              </w:rPr>
              <w:t>2</w:t>
            </w:r>
          </w:p>
        </w:tc>
        <w:tc>
          <w:tcPr>
            <w:tcW w:w="1000" w:type="dxa"/>
            <w:vAlign w:val="center"/>
          </w:tcPr>
          <w:p w14:paraId="41155748">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eastAsia="zh-CN" w:bidi="ar"/>
              </w:rPr>
              <w:t>氟</w:t>
            </w:r>
            <w:r>
              <w:rPr>
                <w:rFonts w:hint="default" w:ascii="Times New Roman" w:hAnsi="Times New Roman" w:cs="Times New Roman"/>
                <w:snapToGrid w:val="0"/>
                <w:color w:val="auto"/>
                <w:kern w:val="0"/>
                <w:sz w:val="21"/>
                <w:highlight w:val="none"/>
                <w:lang w:bidi="ar"/>
              </w:rPr>
              <w:t>化物</w:t>
            </w:r>
          </w:p>
        </w:tc>
        <w:tc>
          <w:tcPr>
            <w:tcW w:w="888" w:type="dxa"/>
            <w:vAlign w:val="center"/>
          </w:tcPr>
          <w:p w14:paraId="5AB04651">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bidi="ar"/>
              </w:rPr>
              <w:t>mg/L</w:t>
            </w:r>
          </w:p>
        </w:tc>
        <w:tc>
          <w:tcPr>
            <w:tcW w:w="1112" w:type="dxa"/>
            <w:vAlign w:val="center"/>
          </w:tcPr>
          <w:p w14:paraId="42E24E34">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highlight w:val="none"/>
                <w:lang w:val="en-US" w:eastAsia="zh-CN" w:bidi="ar"/>
              </w:rPr>
            </w:pPr>
            <w:r>
              <w:rPr>
                <w:rFonts w:hint="eastAsia" w:cs="Times New Roman"/>
                <w:snapToGrid w:val="0"/>
                <w:color w:val="auto"/>
                <w:kern w:val="0"/>
                <w:sz w:val="21"/>
                <w:highlight w:val="none"/>
                <w:lang w:val="en-US" w:eastAsia="zh-CN" w:bidi="ar"/>
              </w:rPr>
              <w:t>5.24</w:t>
            </w:r>
          </w:p>
        </w:tc>
        <w:tc>
          <w:tcPr>
            <w:tcW w:w="2928" w:type="dxa"/>
            <w:vAlign w:val="center"/>
          </w:tcPr>
          <w:p w14:paraId="0770BC15">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highlight w:val="none"/>
                <w:lang w:val="en-US" w:eastAsia="zh-CN" w:bidi="ar"/>
              </w:rPr>
            </w:pPr>
            <w:r>
              <w:rPr>
                <w:rFonts w:hint="default" w:ascii="Times New Roman" w:hAnsi="Times New Roman" w:cs="Times New Roman"/>
                <w:snapToGrid w:val="0"/>
                <w:color w:val="auto"/>
                <w:kern w:val="0"/>
                <w:sz w:val="21"/>
                <w:highlight w:val="none"/>
                <w:lang w:val="en-US" w:eastAsia="zh-CN" w:bidi="ar"/>
              </w:rPr>
              <w:t>100</w:t>
            </w:r>
          </w:p>
        </w:tc>
        <w:tc>
          <w:tcPr>
            <w:tcW w:w="2133" w:type="dxa"/>
            <w:vAlign w:val="center"/>
          </w:tcPr>
          <w:p w14:paraId="186C21B8">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highlight w:val="none"/>
                <w:lang w:val="en-US" w:eastAsia="zh-CN" w:bidi="ar"/>
              </w:rPr>
            </w:pPr>
            <w:r>
              <w:rPr>
                <w:rFonts w:hint="default" w:ascii="Times New Roman" w:hAnsi="Times New Roman" w:cs="Times New Roman"/>
                <w:snapToGrid w:val="0"/>
                <w:color w:val="auto"/>
                <w:kern w:val="0"/>
                <w:sz w:val="21"/>
                <w:highlight w:val="none"/>
                <w:lang w:val="en-US" w:eastAsia="zh-CN" w:bidi="ar"/>
              </w:rPr>
              <w:t>10</w:t>
            </w:r>
          </w:p>
        </w:tc>
      </w:tr>
      <w:tr w14:paraId="520E70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1" w:type="dxa"/>
            <w:vAlign w:val="center"/>
          </w:tcPr>
          <w:p w14:paraId="650E020E">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bidi="ar"/>
              </w:rPr>
              <w:t>3</w:t>
            </w:r>
          </w:p>
        </w:tc>
        <w:tc>
          <w:tcPr>
            <w:tcW w:w="1000" w:type="dxa"/>
            <w:vAlign w:val="center"/>
          </w:tcPr>
          <w:p w14:paraId="0AC76947">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bidi="ar"/>
              </w:rPr>
              <w:t>六价铬</w:t>
            </w:r>
          </w:p>
        </w:tc>
        <w:tc>
          <w:tcPr>
            <w:tcW w:w="888" w:type="dxa"/>
            <w:vAlign w:val="center"/>
          </w:tcPr>
          <w:p w14:paraId="398617AD">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bidi="ar"/>
              </w:rPr>
              <w:t>mg/L</w:t>
            </w:r>
          </w:p>
        </w:tc>
        <w:tc>
          <w:tcPr>
            <w:tcW w:w="1112" w:type="dxa"/>
            <w:vAlign w:val="center"/>
          </w:tcPr>
          <w:p w14:paraId="70CB4C21">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highlight w:val="none"/>
                <w:lang w:val="en-US" w:eastAsia="zh-CN" w:bidi="ar"/>
              </w:rPr>
            </w:pPr>
            <w:r>
              <w:rPr>
                <w:rFonts w:hint="eastAsia" w:cs="Times New Roman"/>
                <w:color w:val="auto"/>
                <w:sz w:val="21"/>
                <w:szCs w:val="21"/>
                <w:highlight w:val="none"/>
                <w:lang w:val="en-US" w:eastAsia="zh-CN"/>
              </w:rPr>
              <w:t>&lt;0.004</w:t>
            </w:r>
          </w:p>
        </w:tc>
        <w:tc>
          <w:tcPr>
            <w:tcW w:w="2928" w:type="dxa"/>
            <w:vAlign w:val="center"/>
          </w:tcPr>
          <w:p w14:paraId="44E2A8D5">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bidi="ar"/>
              </w:rPr>
              <w:t>5</w:t>
            </w:r>
          </w:p>
        </w:tc>
        <w:tc>
          <w:tcPr>
            <w:tcW w:w="2133" w:type="dxa"/>
            <w:vAlign w:val="center"/>
          </w:tcPr>
          <w:p w14:paraId="5312EF25">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bidi="ar"/>
              </w:rPr>
              <w:t>0.5</w:t>
            </w:r>
          </w:p>
        </w:tc>
      </w:tr>
      <w:tr w14:paraId="71E5B3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1" w:type="dxa"/>
            <w:vAlign w:val="center"/>
          </w:tcPr>
          <w:p w14:paraId="065CB0E9">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bidi="ar"/>
              </w:rPr>
              <w:t>4</w:t>
            </w:r>
          </w:p>
        </w:tc>
        <w:tc>
          <w:tcPr>
            <w:tcW w:w="1000" w:type="dxa"/>
            <w:vAlign w:val="center"/>
          </w:tcPr>
          <w:p w14:paraId="1E9BA67A">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szCs w:val="21"/>
                <w:highlight w:val="none"/>
                <w:lang w:bidi="ar"/>
              </w:rPr>
              <w:t>汞</w:t>
            </w:r>
          </w:p>
        </w:tc>
        <w:tc>
          <w:tcPr>
            <w:tcW w:w="888" w:type="dxa"/>
            <w:vAlign w:val="center"/>
          </w:tcPr>
          <w:p w14:paraId="3990C1ED">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szCs w:val="21"/>
                <w:highlight w:val="none"/>
                <w:lang w:bidi="ar"/>
              </w:rPr>
              <w:t>mg/L</w:t>
            </w:r>
          </w:p>
        </w:tc>
        <w:tc>
          <w:tcPr>
            <w:tcW w:w="1112" w:type="dxa"/>
            <w:vAlign w:val="center"/>
          </w:tcPr>
          <w:p w14:paraId="2FB3B62A">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highlight w:val="none"/>
                <w:lang w:val="en-US" w:eastAsia="zh-CN" w:bidi="ar"/>
              </w:rPr>
            </w:pPr>
            <w:r>
              <w:rPr>
                <w:rFonts w:hint="default" w:ascii="Times New Roman" w:hAnsi="Times New Roman" w:eastAsia="Segoe UI" w:cs="Times New Roman"/>
                <w:i w:val="0"/>
                <w:iCs w:val="0"/>
                <w:caps w:val="0"/>
                <w:color w:val="auto"/>
                <w:spacing w:val="0"/>
                <w:sz w:val="21"/>
                <w:szCs w:val="21"/>
                <w:highlight w:val="none"/>
                <w:shd w:val="clear" w:fill="FFFFFF"/>
              </w:rPr>
              <w:t>0.0001</w:t>
            </w:r>
          </w:p>
        </w:tc>
        <w:tc>
          <w:tcPr>
            <w:tcW w:w="2928" w:type="dxa"/>
            <w:vAlign w:val="center"/>
          </w:tcPr>
          <w:p w14:paraId="61D62158">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sz w:val="21"/>
                <w:szCs w:val="21"/>
                <w:highlight w:val="none"/>
                <w:lang w:bidi="ar"/>
              </w:rPr>
              <w:t>0.1</w:t>
            </w:r>
          </w:p>
        </w:tc>
        <w:tc>
          <w:tcPr>
            <w:tcW w:w="2133" w:type="dxa"/>
            <w:vAlign w:val="center"/>
          </w:tcPr>
          <w:p w14:paraId="075B32C9">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bidi="ar"/>
              </w:rPr>
              <w:t>0.05</w:t>
            </w:r>
          </w:p>
        </w:tc>
      </w:tr>
      <w:tr w14:paraId="5142BC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1" w:type="dxa"/>
            <w:vAlign w:val="center"/>
          </w:tcPr>
          <w:p w14:paraId="0D809A2A">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bidi="ar"/>
              </w:rPr>
              <w:t>5</w:t>
            </w:r>
          </w:p>
        </w:tc>
        <w:tc>
          <w:tcPr>
            <w:tcW w:w="1000" w:type="dxa"/>
            <w:vAlign w:val="center"/>
          </w:tcPr>
          <w:p w14:paraId="39744113">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bidi="ar"/>
              </w:rPr>
              <w:t>镉</w:t>
            </w:r>
          </w:p>
        </w:tc>
        <w:tc>
          <w:tcPr>
            <w:tcW w:w="888" w:type="dxa"/>
            <w:vAlign w:val="center"/>
          </w:tcPr>
          <w:p w14:paraId="1BE866DA">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bidi="ar"/>
              </w:rPr>
              <w:t>mg/L</w:t>
            </w:r>
          </w:p>
        </w:tc>
        <w:tc>
          <w:tcPr>
            <w:tcW w:w="1112" w:type="dxa"/>
            <w:vAlign w:val="center"/>
          </w:tcPr>
          <w:p w14:paraId="530D7919">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highlight w:val="none"/>
                <w:lang w:val="en-US" w:eastAsia="zh-CN" w:bidi="ar"/>
              </w:rPr>
            </w:pPr>
            <w:r>
              <w:rPr>
                <w:rFonts w:hint="eastAsia" w:cs="Times New Roman"/>
                <w:color w:val="auto"/>
                <w:sz w:val="21"/>
                <w:szCs w:val="21"/>
                <w:highlight w:val="none"/>
                <w:lang w:val="en-US" w:eastAsia="zh-CN"/>
              </w:rPr>
              <w:t>&lt;0.01</w:t>
            </w:r>
          </w:p>
        </w:tc>
        <w:tc>
          <w:tcPr>
            <w:tcW w:w="2928" w:type="dxa"/>
            <w:vAlign w:val="center"/>
          </w:tcPr>
          <w:p w14:paraId="6B54D024">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bidi="ar"/>
              </w:rPr>
              <w:t>1</w:t>
            </w:r>
          </w:p>
        </w:tc>
        <w:tc>
          <w:tcPr>
            <w:tcW w:w="2133" w:type="dxa"/>
            <w:vAlign w:val="center"/>
          </w:tcPr>
          <w:p w14:paraId="5EBA32F8">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bidi="ar"/>
              </w:rPr>
              <w:t>0.1</w:t>
            </w:r>
          </w:p>
        </w:tc>
      </w:tr>
      <w:tr w14:paraId="641288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1" w:type="dxa"/>
            <w:vAlign w:val="center"/>
          </w:tcPr>
          <w:p w14:paraId="035E166C">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bidi="ar"/>
              </w:rPr>
              <w:t>6</w:t>
            </w:r>
          </w:p>
        </w:tc>
        <w:tc>
          <w:tcPr>
            <w:tcW w:w="1000" w:type="dxa"/>
            <w:vAlign w:val="center"/>
          </w:tcPr>
          <w:p w14:paraId="1C6F6621">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bidi="ar"/>
              </w:rPr>
              <w:t>铬</w:t>
            </w:r>
          </w:p>
        </w:tc>
        <w:tc>
          <w:tcPr>
            <w:tcW w:w="888" w:type="dxa"/>
            <w:vAlign w:val="center"/>
          </w:tcPr>
          <w:p w14:paraId="39420159">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bidi="ar"/>
              </w:rPr>
              <w:t>mg/L</w:t>
            </w:r>
          </w:p>
        </w:tc>
        <w:tc>
          <w:tcPr>
            <w:tcW w:w="1112" w:type="dxa"/>
            <w:vAlign w:val="center"/>
          </w:tcPr>
          <w:p w14:paraId="349C7419">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highlight w:val="none"/>
                <w:lang w:val="en-US" w:eastAsia="zh-CN" w:bidi="ar"/>
              </w:rPr>
            </w:pPr>
            <w:r>
              <w:rPr>
                <w:rFonts w:hint="eastAsia" w:cs="Times New Roman"/>
                <w:color w:val="auto"/>
                <w:sz w:val="21"/>
                <w:szCs w:val="21"/>
                <w:highlight w:val="none"/>
                <w:lang w:val="en-US" w:eastAsia="zh-CN"/>
              </w:rPr>
              <w:t>&lt;0.02</w:t>
            </w:r>
          </w:p>
        </w:tc>
        <w:tc>
          <w:tcPr>
            <w:tcW w:w="2928" w:type="dxa"/>
            <w:vAlign w:val="center"/>
          </w:tcPr>
          <w:p w14:paraId="39D48C5B">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bidi="ar"/>
              </w:rPr>
              <w:t>15</w:t>
            </w:r>
          </w:p>
        </w:tc>
        <w:tc>
          <w:tcPr>
            <w:tcW w:w="2133" w:type="dxa"/>
            <w:vAlign w:val="center"/>
          </w:tcPr>
          <w:p w14:paraId="43EE65E8">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bidi="ar"/>
              </w:rPr>
              <w:t>1.5</w:t>
            </w:r>
          </w:p>
        </w:tc>
      </w:tr>
      <w:tr w14:paraId="02F20B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1" w:type="dxa"/>
            <w:vAlign w:val="center"/>
          </w:tcPr>
          <w:p w14:paraId="3682965E">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bidi="ar"/>
              </w:rPr>
              <w:t>7</w:t>
            </w:r>
          </w:p>
        </w:tc>
        <w:tc>
          <w:tcPr>
            <w:tcW w:w="1000" w:type="dxa"/>
            <w:vAlign w:val="center"/>
          </w:tcPr>
          <w:p w14:paraId="0B0678D9">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bidi="ar"/>
              </w:rPr>
              <w:t>镍</w:t>
            </w:r>
          </w:p>
        </w:tc>
        <w:tc>
          <w:tcPr>
            <w:tcW w:w="888" w:type="dxa"/>
            <w:vAlign w:val="center"/>
          </w:tcPr>
          <w:p w14:paraId="1137D18A">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bidi="ar"/>
              </w:rPr>
              <w:t>mg/L</w:t>
            </w:r>
          </w:p>
        </w:tc>
        <w:tc>
          <w:tcPr>
            <w:tcW w:w="1112" w:type="dxa"/>
            <w:vAlign w:val="center"/>
          </w:tcPr>
          <w:p w14:paraId="7FC59B14">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highlight w:val="none"/>
                <w:lang w:val="en-US" w:eastAsia="zh-CN" w:bidi="ar"/>
              </w:rPr>
            </w:pPr>
            <w:r>
              <w:rPr>
                <w:rFonts w:hint="eastAsia" w:cs="Times New Roman"/>
                <w:color w:val="auto"/>
                <w:sz w:val="21"/>
                <w:szCs w:val="21"/>
                <w:highlight w:val="none"/>
                <w:lang w:val="en-US" w:eastAsia="zh-CN"/>
              </w:rPr>
              <w:t>&lt;0.02</w:t>
            </w:r>
          </w:p>
        </w:tc>
        <w:tc>
          <w:tcPr>
            <w:tcW w:w="2928" w:type="dxa"/>
            <w:vAlign w:val="center"/>
          </w:tcPr>
          <w:p w14:paraId="4DFADB77">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bidi="ar"/>
              </w:rPr>
              <w:t>5</w:t>
            </w:r>
          </w:p>
        </w:tc>
        <w:tc>
          <w:tcPr>
            <w:tcW w:w="2133" w:type="dxa"/>
            <w:vAlign w:val="center"/>
          </w:tcPr>
          <w:p w14:paraId="7DD916F7">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highlight w:val="none"/>
                <w:lang w:val="en-US" w:eastAsia="zh-CN" w:bidi="ar"/>
              </w:rPr>
            </w:pPr>
            <w:r>
              <w:rPr>
                <w:rFonts w:hint="default" w:ascii="Times New Roman" w:hAnsi="Times New Roman" w:cs="Times New Roman"/>
                <w:snapToGrid w:val="0"/>
                <w:color w:val="auto"/>
                <w:kern w:val="0"/>
                <w:sz w:val="21"/>
                <w:highlight w:val="none"/>
                <w:lang w:bidi="ar"/>
              </w:rPr>
              <w:t>1</w:t>
            </w:r>
            <w:r>
              <w:rPr>
                <w:rFonts w:hint="default" w:ascii="Times New Roman" w:hAnsi="Times New Roman" w:cs="Times New Roman"/>
                <w:snapToGrid w:val="0"/>
                <w:color w:val="auto"/>
                <w:kern w:val="0"/>
                <w:sz w:val="21"/>
                <w:highlight w:val="none"/>
                <w:lang w:val="en-US" w:eastAsia="zh-CN" w:bidi="ar"/>
              </w:rPr>
              <w:t>.0</w:t>
            </w:r>
          </w:p>
        </w:tc>
      </w:tr>
      <w:tr w14:paraId="684093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1" w:type="dxa"/>
            <w:vAlign w:val="center"/>
          </w:tcPr>
          <w:p w14:paraId="054B1C24">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bidi="ar"/>
              </w:rPr>
              <w:t>8</w:t>
            </w:r>
          </w:p>
        </w:tc>
        <w:tc>
          <w:tcPr>
            <w:tcW w:w="1000" w:type="dxa"/>
            <w:vAlign w:val="center"/>
          </w:tcPr>
          <w:p w14:paraId="6E5846CA">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szCs w:val="21"/>
                <w:highlight w:val="none"/>
                <w:lang w:bidi="ar"/>
              </w:rPr>
              <w:t>硒</w:t>
            </w:r>
          </w:p>
        </w:tc>
        <w:tc>
          <w:tcPr>
            <w:tcW w:w="888" w:type="dxa"/>
            <w:vAlign w:val="center"/>
          </w:tcPr>
          <w:p w14:paraId="21F44063">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szCs w:val="21"/>
                <w:highlight w:val="none"/>
                <w:lang w:bidi="ar"/>
              </w:rPr>
              <w:t>mg/L</w:t>
            </w:r>
          </w:p>
        </w:tc>
        <w:tc>
          <w:tcPr>
            <w:tcW w:w="1112" w:type="dxa"/>
            <w:vAlign w:val="center"/>
          </w:tcPr>
          <w:p w14:paraId="021FDFA7">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highlight w:val="none"/>
                <w:lang w:val="en-US" w:eastAsia="zh-CN" w:bidi="ar"/>
              </w:rPr>
            </w:pPr>
            <w:r>
              <w:rPr>
                <w:rFonts w:hint="default" w:ascii="Times New Roman" w:hAnsi="Times New Roman" w:cs="Times New Roman"/>
                <w:snapToGrid w:val="0"/>
                <w:color w:val="auto"/>
                <w:kern w:val="0"/>
                <w:sz w:val="21"/>
                <w:szCs w:val="21"/>
                <w:highlight w:val="none"/>
                <w:lang w:val="en-US" w:eastAsia="zh-CN"/>
              </w:rPr>
              <w:t>0.00057</w:t>
            </w:r>
          </w:p>
        </w:tc>
        <w:tc>
          <w:tcPr>
            <w:tcW w:w="2928" w:type="dxa"/>
            <w:vAlign w:val="center"/>
          </w:tcPr>
          <w:p w14:paraId="7436CD58">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bidi="ar"/>
              </w:rPr>
              <w:t>1</w:t>
            </w:r>
          </w:p>
        </w:tc>
        <w:tc>
          <w:tcPr>
            <w:tcW w:w="2133" w:type="dxa"/>
            <w:vAlign w:val="center"/>
          </w:tcPr>
          <w:p w14:paraId="05A5466A">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val="en-US" w:eastAsia="zh-CN"/>
              </w:rPr>
              <w:t>0.1</w:t>
            </w:r>
          </w:p>
        </w:tc>
      </w:tr>
      <w:tr w14:paraId="3ECAF8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1" w:type="dxa"/>
            <w:vAlign w:val="center"/>
          </w:tcPr>
          <w:p w14:paraId="1E5642A7">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bidi="ar"/>
              </w:rPr>
              <w:t>9</w:t>
            </w:r>
          </w:p>
        </w:tc>
        <w:tc>
          <w:tcPr>
            <w:tcW w:w="1000" w:type="dxa"/>
            <w:vAlign w:val="center"/>
          </w:tcPr>
          <w:p w14:paraId="26D41C0A">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bidi="ar"/>
              </w:rPr>
              <w:t>铅</w:t>
            </w:r>
          </w:p>
        </w:tc>
        <w:tc>
          <w:tcPr>
            <w:tcW w:w="888" w:type="dxa"/>
            <w:vAlign w:val="center"/>
          </w:tcPr>
          <w:p w14:paraId="6E04D3C5">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bidi="ar"/>
              </w:rPr>
              <w:t>mg/L</w:t>
            </w:r>
          </w:p>
        </w:tc>
        <w:tc>
          <w:tcPr>
            <w:tcW w:w="1112" w:type="dxa"/>
            <w:vAlign w:val="center"/>
          </w:tcPr>
          <w:p w14:paraId="2362D1D0">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highlight w:val="none"/>
                <w:lang w:val="en-US" w:eastAsia="zh-CN" w:bidi="ar"/>
              </w:rPr>
            </w:pPr>
            <w:r>
              <w:rPr>
                <w:rFonts w:hint="eastAsia" w:cs="Times New Roman"/>
                <w:color w:val="auto"/>
                <w:sz w:val="21"/>
                <w:szCs w:val="21"/>
                <w:highlight w:val="none"/>
                <w:lang w:val="en-US" w:eastAsia="zh-CN"/>
              </w:rPr>
              <w:t>&lt;0.03</w:t>
            </w:r>
          </w:p>
        </w:tc>
        <w:tc>
          <w:tcPr>
            <w:tcW w:w="2928" w:type="dxa"/>
            <w:vAlign w:val="center"/>
          </w:tcPr>
          <w:p w14:paraId="0E16DCFC">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bidi="ar"/>
              </w:rPr>
              <w:t>5</w:t>
            </w:r>
          </w:p>
        </w:tc>
        <w:tc>
          <w:tcPr>
            <w:tcW w:w="2133" w:type="dxa"/>
            <w:vAlign w:val="center"/>
          </w:tcPr>
          <w:p w14:paraId="78A971E5">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highlight w:val="none"/>
                <w:lang w:val="en-US" w:eastAsia="zh-CN" w:bidi="ar"/>
              </w:rPr>
            </w:pPr>
            <w:r>
              <w:rPr>
                <w:rFonts w:hint="default" w:ascii="Times New Roman" w:hAnsi="Times New Roman" w:cs="Times New Roman"/>
                <w:snapToGrid w:val="0"/>
                <w:color w:val="auto"/>
                <w:kern w:val="0"/>
                <w:sz w:val="21"/>
                <w:highlight w:val="none"/>
                <w:lang w:bidi="ar"/>
              </w:rPr>
              <w:t>1</w:t>
            </w:r>
            <w:r>
              <w:rPr>
                <w:rFonts w:hint="default" w:ascii="Times New Roman" w:hAnsi="Times New Roman" w:cs="Times New Roman"/>
                <w:snapToGrid w:val="0"/>
                <w:color w:val="auto"/>
                <w:kern w:val="0"/>
                <w:sz w:val="21"/>
                <w:highlight w:val="none"/>
                <w:lang w:val="en-US" w:eastAsia="zh-CN" w:bidi="ar"/>
              </w:rPr>
              <w:t>.0</w:t>
            </w:r>
          </w:p>
        </w:tc>
      </w:tr>
      <w:tr w14:paraId="2935FC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1" w:type="dxa"/>
            <w:vAlign w:val="center"/>
          </w:tcPr>
          <w:p w14:paraId="6CA4E2B4">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bidi="ar"/>
              </w:rPr>
              <w:t>10</w:t>
            </w:r>
          </w:p>
        </w:tc>
        <w:tc>
          <w:tcPr>
            <w:tcW w:w="1000" w:type="dxa"/>
            <w:vAlign w:val="center"/>
          </w:tcPr>
          <w:p w14:paraId="5E8BC572">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bidi="ar"/>
              </w:rPr>
              <w:t>砷</w:t>
            </w:r>
          </w:p>
        </w:tc>
        <w:tc>
          <w:tcPr>
            <w:tcW w:w="888" w:type="dxa"/>
            <w:vAlign w:val="center"/>
          </w:tcPr>
          <w:p w14:paraId="2F808893">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val="en-US" w:eastAsia="zh-CN" w:bidi="ar"/>
              </w:rPr>
              <w:t>m</w:t>
            </w:r>
            <w:r>
              <w:rPr>
                <w:rFonts w:hint="default" w:ascii="Times New Roman" w:hAnsi="Times New Roman" w:cs="Times New Roman"/>
                <w:snapToGrid w:val="0"/>
                <w:color w:val="auto"/>
                <w:kern w:val="0"/>
                <w:sz w:val="21"/>
                <w:highlight w:val="none"/>
                <w:lang w:bidi="ar"/>
              </w:rPr>
              <w:t>g/L</w:t>
            </w:r>
          </w:p>
        </w:tc>
        <w:tc>
          <w:tcPr>
            <w:tcW w:w="1112" w:type="dxa"/>
            <w:vAlign w:val="center"/>
          </w:tcPr>
          <w:p w14:paraId="175139AE">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highlight w:val="none"/>
                <w:lang w:val="en-US" w:eastAsia="zh-CN" w:bidi="ar"/>
              </w:rPr>
            </w:pPr>
            <w:r>
              <w:rPr>
                <w:rFonts w:hint="eastAsia" w:cs="Times New Roman"/>
                <w:color w:val="auto"/>
                <w:sz w:val="21"/>
                <w:szCs w:val="21"/>
                <w:highlight w:val="none"/>
                <w:lang w:val="en-US" w:eastAsia="zh-CN"/>
              </w:rPr>
              <w:t>&lt;0.10</w:t>
            </w:r>
          </w:p>
        </w:tc>
        <w:tc>
          <w:tcPr>
            <w:tcW w:w="2928" w:type="dxa"/>
            <w:vAlign w:val="center"/>
          </w:tcPr>
          <w:p w14:paraId="55BEF376">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highlight w:val="none"/>
                <w:lang w:eastAsia="zh-CN" w:bidi="ar"/>
              </w:rPr>
            </w:pPr>
            <w:r>
              <w:rPr>
                <w:rFonts w:hint="default" w:ascii="Times New Roman" w:hAnsi="Times New Roman" w:cs="Times New Roman"/>
                <w:snapToGrid w:val="0"/>
                <w:color w:val="auto"/>
                <w:kern w:val="0"/>
                <w:sz w:val="21"/>
                <w:highlight w:val="none"/>
                <w:lang w:val="en-US" w:eastAsia="zh-CN" w:bidi="ar"/>
              </w:rPr>
              <w:t>5</w:t>
            </w:r>
          </w:p>
        </w:tc>
        <w:tc>
          <w:tcPr>
            <w:tcW w:w="2133" w:type="dxa"/>
            <w:vAlign w:val="center"/>
          </w:tcPr>
          <w:p w14:paraId="48521902">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highlight w:val="none"/>
                <w:lang w:val="en-US" w:eastAsia="zh-CN" w:bidi="ar"/>
              </w:rPr>
            </w:pPr>
            <w:r>
              <w:rPr>
                <w:rFonts w:hint="default" w:ascii="Times New Roman" w:hAnsi="Times New Roman" w:cs="Times New Roman"/>
                <w:snapToGrid w:val="0"/>
                <w:color w:val="auto"/>
                <w:kern w:val="0"/>
                <w:sz w:val="21"/>
                <w:highlight w:val="none"/>
                <w:lang w:val="en-US" w:eastAsia="zh-CN" w:bidi="ar"/>
              </w:rPr>
              <w:t>0.5</w:t>
            </w:r>
          </w:p>
        </w:tc>
      </w:tr>
      <w:tr w14:paraId="69E287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1" w:type="dxa"/>
            <w:vAlign w:val="center"/>
          </w:tcPr>
          <w:p w14:paraId="551B3D4D">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bidi="ar"/>
              </w:rPr>
              <w:t>11</w:t>
            </w:r>
          </w:p>
        </w:tc>
        <w:tc>
          <w:tcPr>
            <w:tcW w:w="1000" w:type="dxa"/>
            <w:vAlign w:val="center"/>
          </w:tcPr>
          <w:p w14:paraId="284C5EFA">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bidi="ar"/>
              </w:rPr>
              <w:t>铜</w:t>
            </w:r>
          </w:p>
        </w:tc>
        <w:tc>
          <w:tcPr>
            <w:tcW w:w="888" w:type="dxa"/>
            <w:vAlign w:val="center"/>
          </w:tcPr>
          <w:p w14:paraId="668B63A1">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bidi="ar"/>
              </w:rPr>
              <w:t>mg/L</w:t>
            </w:r>
          </w:p>
        </w:tc>
        <w:tc>
          <w:tcPr>
            <w:tcW w:w="1112" w:type="dxa"/>
            <w:vAlign w:val="center"/>
          </w:tcPr>
          <w:p w14:paraId="6CD2F05D">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highlight w:val="none"/>
                <w:lang w:val="en-US" w:eastAsia="zh-CN" w:bidi="ar"/>
              </w:rPr>
            </w:pPr>
            <w:r>
              <w:rPr>
                <w:rFonts w:hint="eastAsia" w:cs="Times New Roman"/>
                <w:color w:val="auto"/>
                <w:sz w:val="21"/>
                <w:szCs w:val="21"/>
                <w:highlight w:val="none"/>
                <w:lang w:val="en-US" w:eastAsia="zh-CN"/>
              </w:rPr>
              <w:t>&lt;0.01</w:t>
            </w:r>
          </w:p>
        </w:tc>
        <w:tc>
          <w:tcPr>
            <w:tcW w:w="2928" w:type="dxa"/>
            <w:vAlign w:val="center"/>
          </w:tcPr>
          <w:p w14:paraId="271EEF33">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bidi="ar"/>
              </w:rPr>
              <w:t>100</w:t>
            </w:r>
          </w:p>
        </w:tc>
        <w:tc>
          <w:tcPr>
            <w:tcW w:w="2133" w:type="dxa"/>
            <w:vAlign w:val="center"/>
          </w:tcPr>
          <w:p w14:paraId="4658301B">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bidi="ar"/>
              </w:rPr>
              <w:t>0.5</w:t>
            </w:r>
          </w:p>
        </w:tc>
      </w:tr>
      <w:tr w14:paraId="7C66A0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1" w:type="dxa"/>
            <w:vAlign w:val="center"/>
          </w:tcPr>
          <w:p w14:paraId="5A8EF7F5">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bidi="ar"/>
              </w:rPr>
              <w:t>12</w:t>
            </w:r>
          </w:p>
        </w:tc>
        <w:tc>
          <w:tcPr>
            <w:tcW w:w="1000" w:type="dxa"/>
            <w:vAlign w:val="center"/>
          </w:tcPr>
          <w:p w14:paraId="4ECF7C7E">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bidi="ar"/>
              </w:rPr>
              <w:t>锌</w:t>
            </w:r>
          </w:p>
        </w:tc>
        <w:tc>
          <w:tcPr>
            <w:tcW w:w="888" w:type="dxa"/>
            <w:vAlign w:val="center"/>
          </w:tcPr>
          <w:p w14:paraId="3C377021">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val="en-US" w:eastAsia="zh-CN" w:bidi="ar"/>
              </w:rPr>
              <w:t>m</w:t>
            </w:r>
            <w:r>
              <w:rPr>
                <w:rFonts w:hint="default" w:ascii="Times New Roman" w:hAnsi="Times New Roman" w:cs="Times New Roman"/>
                <w:snapToGrid w:val="0"/>
                <w:color w:val="auto"/>
                <w:kern w:val="0"/>
                <w:sz w:val="21"/>
                <w:highlight w:val="none"/>
                <w:lang w:bidi="ar"/>
              </w:rPr>
              <w:t>g/L</w:t>
            </w:r>
          </w:p>
        </w:tc>
        <w:tc>
          <w:tcPr>
            <w:tcW w:w="1112" w:type="dxa"/>
            <w:vAlign w:val="center"/>
          </w:tcPr>
          <w:p w14:paraId="761371D1">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highlight w:val="none"/>
                <w:lang w:val="en-US" w:eastAsia="zh-CN" w:bidi="ar"/>
              </w:rPr>
            </w:pPr>
            <w:r>
              <w:rPr>
                <w:rFonts w:hint="eastAsia" w:cs="Times New Roman"/>
                <w:color w:val="auto"/>
                <w:sz w:val="21"/>
                <w:szCs w:val="21"/>
                <w:highlight w:val="none"/>
                <w:lang w:val="en-US" w:eastAsia="zh-CN"/>
              </w:rPr>
              <w:t>&lt;0.01</w:t>
            </w:r>
          </w:p>
        </w:tc>
        <w:tc>
          <w:tcPr>
            <w:tcW w:w="2928" w:type="dxa"/>
            <w:vAlign w:val="center"/>
          </w:tcPr>
          <w:p w14:paraId="2DDD7515">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bidi="ar"/>
              </w:rPr>
              <w:t>100</w:t>
            </w:r>
          </w:p>
        </w:tc>
        <w:tc>
          <w:tcPr>
            <w:tcW w:w="2133" w:type="dxa"/>
            <w:vAlign w:val="center"/>
          </w:tcPr>
          <w:p w14:paraId="741212DE">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highlight w:val="none"/>
                <w:lang w:val="en-US" w:eastAsia="zh-CN" w:bidi="ar"/>
              </w:rPr>
            </w:pPr>
            <w:r>
              <w:rPr>
                <w:rFonts w:hint="default" w:ascii="Times New Roman" w:hAnsi="Times New Roman" w:cs="Times New Roman"/>
                <w:snapToGrid w:val="0"/>
                <w:color w:val="auto"/>
                <w:kern w:val="0"/>
                <w:sz w:val="21"/>
                <w:highlight w:val="none"/>
                <w:lang w:bidi="ar"/>
              </w:rPr>
              <w:t>2</w:t>
            </w:r>
            <w:r>
              <w:rPr>
                <w:rFonts w:hint="default" w:ascii="Times New Roman" w:hAnsi="Times New Roman" w:cs="Times New Roman"/>
                <w:snapToGrid w:val="0"/>
                <w:color w:val="auto"/>
                <w:kern w:val="0"/>
                <w:sz w:val="21"/>
                <w:highlight w:val="none"/>
                <w:lang w:val="en-US" w:eastAsia="zh-CN" w:bidi="ar"/>
              </w:rPr>
              <w:t>.0</w:t>
            </w:r>
          </w:p>
        </w:tc>
      </w:tr>
      <w:tr w14:paraId="6BE2AD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1" w:type="dxa"/>
            <w:vAlign w:val="center"/>
          </w:tcPr>
          <w:p w14:paraId="1B91FF51">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bidi="ar"/>
              </w:rPr>
              <w:t>13</w:t>
            </w:r>
          </w:p>
        </w:tc>
        <w:tc>
          <w:tcPr>
            <w:tcW w:w="1000" w:type="dxa"/>
            <w:vAlign w:val="center"/>
          </w:tcPr>
          <w:p w14:paraId="3CC748FE">
            <w:pPr>
              <w:tabs>
                <w:tab w:val="left" w:pos="576"/>
              </w:tabs>
              <w:spacing w:line="360" w:lineRule="exact"/>
              <w:ind w:firstLine="0" w:firstLineChars="0"/>
              <w:jc w:val="center"/>
              <w:rPr>
                <w:rFonts w:hint="default" w:ascii="Times New Roman" w:hAnsi="Times New Roman" w:cs="Times New Roman"/>
                <w:snapToGrid w:val="0"/>
                <w:color w:val="auto"/>
                <w:kern w:val="0"/>
                <w:sz w:val="21"/>
                <w:szCs w:val="21"/>
                <w:highlight w:val="none"/>
                <w:lang w:bidi="ar"/>
              </w:rPr>
            </w:pPr>
            <w:r>
              <w:rPr>
                <w:rFonts w:hint="default" w:ascii="Times New Roman" w:hAnsi="Times New Roman" w:cs="Times New Roman"/>
                <w:snapToGrid w:val="0"/>
                <w:color w:val="auto"/>
                <w:kern w:val="0"/>
                <w:sz w:val="21"/>
                <w:szCs w:val="21"/>
                <w:highlight w:val="none"/>
                <w:lang w:bidi="ar"/>
              </w:rPr>
              <w:t>银</w:t>
            </w:r>
          </w:p>
        </w:tc>
        <w:tc>
          <w:tcPr>
            <w:tcW w:w="888" w:type="dxa"/>
            <w:vAlign w:val="center"/>
          </w:tcPr>
          <w:p w14:paraId="41F3D597">
            <w:pPr>
              <w:tabs>
                <w:tab w:val="left" w:pos="576"/>
              </w:tabs>
              <w:spacing w:line="360" w:lineRule="exact"/>
              <w:ind w:firstLine="0" w:firstLineChars="0"/>
              <w:jc w:val="center"/>
              <w:rPr>
                <w:rFonts w:hint="default" w:ascii="Times New Roman" w:hAnsi="Times New Roman" w:cs="Times New Roman"/>
                <w:snapToGrid w:val="0"/>
                <w:color w:val="auto"/>
                <w:kern w:val="0"/>
                <w:sz w:val="21"/>
                <w:szCs w:val="21"/>
                <w:highlight w:val="none"/>
                <w:lang w:bidi="ar"/>
              </w:rPr>
            </w:pPr>
            <w:r>
              <w:rPr>
                <w:rFonts w:hint="default" w:ascii="Times New Roman" w:hAnsi="Times New Roman" w:cs="Times New Roman"/>
                <w:snapToGrid w:val="0"/>
                <w:color w:val="auto"/>
                <w:kern w:val="0"/>
                <w:sz w:val="21"/>
                <w:szCs w:val="21"/>
                <w:highlight w:val="none"/>
                <w:lang w:bidi="ar"/>
              </w:rPr>
              <w:t>mg/L</w:t>
            </w:r>
          </w:p>
        </w:tc>
        <w:tc>
          <w:tcPr>
            <w:tcW w:w="1112" w:type="dxa"/>
            <w:vAlign w:val="center"/>
          </w:tcPr>
          <w:p w14:paraId="3087337D">
            <w:pPr>
              <w:tabs>
                <w:tab w:val="left" w:pos="576"/>
              </w:tabs>
              <w:spacing w:line="360" w:lineRule="exact"/>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&lt;0.01</w:t>
            </w:r>
          </w:p>
        </w:tc>
        <w:tc>
          <w:tcPr>
            <w:tcW w:w="2928" w:type="dxa"/>
            <w:vAlign w:val="center"/>
          </w:tcPr>
          <w:p w14:paraId="3A85082F">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bidi="ar"/>
              </w:rPr>
              <w:t>5</w:t>
            </w:r>
          </w:p>
        </w:tc>
        <w:tc>
          <w:tcPr>
            <w:tcW w:w="2133" w:type="dxa"/>
            <w:vAlign w:val="center"/>
          </w:tcPr>
          <w:p w14:paraId="4CD7BBF5">
            <w:pPr>
              <w:tabs>
                <w:tab w:val="left" w:pos="576"/>
              </w:tabs>
              <w:spacing w:line="360" w:lineRule="exact"/>
              <w:ind w:firstLine="0" w:firstLineChars="0"/>
              <w:jc w:val="center"/>
              <w:rPr>
                <w:rFonts w:hint="default" w:ascii="Times New Roman" w:hAnsi="Times New Roman" w:cs="Times New Roman"/>
                <w:snapToGrid w:val="0"/>
                <w:color w:val="auto"/>
                <w:kern w:val="0"/>
                <w:sz w:val="21"/>
                <w:highlight w:val="none"/>
                <w:lang w:bidi="ar"/>
              </w:rPr>
            </w:pPr>
            <w:r>
              <w:rPr>
                <w:rFonts w:hint="default" w:ascii="Times New Roman" w:hAnsi="Times New Roman" w:cs="Times New Roman"/>
                <w:snapToGrid w:val="0"/>
                <w:color w:val="auto"/>
                <w:kern w:val="0"/>
                <w:sz w:val="21"/>
                <w:highlight w:val="none"/>
                <w:lang w:bidi="ar"/>
              </w:rPr>
              <w:t>0.5</w:t>
            </w:r>
          </w:p>
        </w:tc>
      </w:tr>
    </w:tbl>
    <w:p w14:paraId="6EBE30CC">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通过对本项目选矿试验尾矿砂样品分析结果可知，该尾矿砂样品不属于有浸出毒性特征的危险废物，属于《一般工业固体废物贮存和填埋污染控制标准》（GB18599-2020）中规定的</w:t>
      </w:r>
      <w:r>
        <w:rPr>
          <w:rFonts w:hint="default" w:ascii="Times New Roman" w:hAnsi="Times New Roman" w:cs="Times New Roman"/>
          <w:color w:val="auto"/>
          <w:kern w:val="0"/>
          <w:highlight w:val="none"/>
          <w:lang w:eastAsia="zh-CN"/>
        </w:rPr>
        <w:t>I</w:t>
      </w:r>
      <w:r>
        <w:rPr>
          <w:rFonts w:hint="default" w:ascii="Times New Roman" w:hAnsi="Times New Roman" w:cs="Times New Roman"/>
          <w:color w:val="auto"/>
          <w:kern w:val="0"/>
          <w:highlight w:val="none"/>
        </w:rPr>
        <w:t>类一般工业固体废物。</w:t>
      </w:r>
    </w:p>
    <w:p w14:paraId="55C43669">
      <w:pPr>
        <w:pStyle w:val="43"/>
        <w:overflowPunct w:val="0"/>
        <w:topLinePunct/>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本项目尾矿砂产生量为</w:t>
      </w:r>
      <w:r>
        <w:rPr>
          <w:rFonts w:hint="eastAsia" w:cs="Times New Roman"/>
          <w:color w:val="auto"/>
          <w:kern w:val="0"/>
          <w:highlight w:val="none"/>
          <w:lang w:val="en-US" w:eastAsia="zh-CN"/>
        </w:rPr>
        <w:t>46.62</w:t>
      </w:r>
      <w:r>
        <w:rPr>
          <w:rFonts w:hint="default" w:ascii="Times New Roman" w:hAnsi="Times New Roman" w:cs="Times New Roman"/>
          <w:color w:val="auto"/>
          <w:kern w:val="0"/>
          <w:highlight w:val="none"/>
        </w:rPr>
        <w:t>万t/a。本项目尾矿库属于</w:t>
      </w:r>
      <w:r>
        <w:rPr>
          <w:rFonts w:hint="eastAsia" w:cs="Times New Roman"/>
          <w:color w:val="auto"/>
          <w:kern w:val="0"/>
          <w:highlight w:val="none"/>
          <w:lang w:val="en-US" w:eastAsia="zh-CN"/>
        </w:rPr>
        <w:t>四</w:t>
      </w:r>
      <w:r>
        <w:rPr>
          <w:rFonts w:hint="default" w:ascii="Times New Roman" w:hAnsi="Times New Roman" w:cs="Times New Roman"/>
          <w:color w:val="auto"/>
          <w:kern w:val="0"/>
          <w:highlight w:val="none"/>
        </w:rPr>
        <w:t>等库，</w:t>
      </w:r>
      <w:r>
        <w:rPr>
          <w:rFonts w:hint="default" w:ascii="Times New Roman" w:hAnsi="Times New Roman" w:cs="Times New Roman"/>
          <w:color w:val="auto"/>
          <w:highlight w:val="none"/>
        </w:rPr>
        <w:t>总库容</w:t>
      </w:r>
      <w:r>
        <w:rPr>
          <w:rFonts w:hint="eastAsia" w:cs="Times New Roman"/>
          <w:color w:val="auto"/>
          <w:highlight w:val="none"/>
          <w:lang w:val="en-US" w:eastAsia="zh-CN"/>
        </w:rPr>
        <w:t>102</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r>
        <w:rPr>
          <w:rFonts w:hint="default" w:ascii="Times New Roman" w:hAnsi="Times New Roman" w:cs="Times New Roman"/>
          <w:color w:val="auto"/>
          <w:szCs w:val="21"/>
          <w:highlight w:val="none"/>
          <w:lang w:bidi="ar"/>
        </w:rPr>
        <w:t>采用湿式排放，均匀分散排矿。尾矿库设计单位应按照第</w:t>
      </w:r>
      <w:r>
        <w:rPr>
          <w:rFonts w:hint="default" w:ascii="Times New Roman" w:hAnsi="Times New Roman" w:cs="Times New Roman"/>
          <w:color w:val="auto"/>
          <w:kern w:val="0"/>
          <w:highlight w:val="none"/>
          <w:lang w:eastAsia="zh-CN"/>
        </w:rPr>
        <w:t>I</w:t>
      </w:r>
      <w:r>
        <w:rPr>
          <w:rFonts w:hint="default" w:ascii="Times New Roman" w:hAnsi="Times New Roman" w:cs="Times New Roman"/>
          <w:color w:val="auto"/>
          <w:kern w:val="0"/>
          <w:highlight w:val="none"/>
        </w:rPr>
        <w:t>类</w:t>
      </w:r>
      <w:r>
        <w:rPr>
          <w:rFonts w:hint="default" w:ascii="Times New Roman" w:hAnsi="Times New Roman" w:cs="Times New Roman"/>
          <w:color w:val="auto"/>
          <w:kern w:val="0"/>
          <w:highlight w:val="none"/>
          <w:lang w:bidi="ar"/>
        </w:rPr>
        <w:t>一般工业固体废物处置场设计，对尾矿砂贮存、处置按照第</w:t>
      </w:r>
      <w:r>
        <w:rPr>
          <w:rFonts w:hint="default" w:ascii="Times New Roman" w:hAnsi="Times New Roman" w:cs="Times New Roman"/>
          <w:color w:val="auto"/>
          <w:kern w:val="0"/>
          <w:highlight w:val="none"/>
          <w:lang w:eastAsia="zh-CN"/>
        </w:rPr>
        <w:t>I</w:t>
      </w:r>
      <w:r>
        <w:rPr>
          <w:rFonts w:hint="default" w:ascii="Times New Roman" w:hAnsi="Times New Roman" w:cs="Times New Roman"/>
          <w:color w:val="auto"/>
          <w:kern w:val="0"/>
          <w:highlight w:val="none"/>
          <w:lang w:bidi="ar"/>
        </w:rPr>
        <w:t>类一般工业固体废物的要求进行。</w:t>
      </w:r>
    </w:p>
    <w:p w14:paraId="178A000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本项目尾矿处置措施符合《一般工业固体废物贮存和填埋污染控制标准》（GB18599-2020）的要求。</w:t>
      </w:r>
    </w:p>
    <w:p w14:paraId="5CD0D67D">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（2）生活垃圾</w:t>
      </w:r>
    </w:p>
    <w:p w14:paraId="002F1D04">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本项目劳动定员</w:t>
      </w:r>
      <w:r>
        <w:rPr>
          <w:rFonts w:hint="default" w:ascii="Times New Roman" w:hAnsi="Times New Roman" w:cs="Times New Roman"/>
          <w:color w:val="auto"/>
          <w:highlight w:val="none"/>
          <w:lang w:val="en-US" w:eastAsia="zh-CN"/>
        </w:rPr>
        <w:t>72</w:t>
      </w:r>
      <w:r>
        <w:rPr>
          <w:rFonts w:hint="default" w:ascii="Times New Roman" w:hAnsi="Times New Roman" w:cs="Times New Roman"/>
          <w:color w:val="auto"/>
          <w:highlight w:val="none"/>
        </w:rPr>
        <w:t>人，</w:t>
      </w:r>
      <w:r>
        <w:rPr>
          <w:rFonts w:hint="default" w:ascii="Times New Roman" w:hAnsi="Times New Roman" w:cs="Times New Roman"/>
          <w:color w:val="auto"/>
          <w:kern w:val="0"/>
          <w:highlight w:val="none"/>
        </w:rPr>
        <w:t>生活垃圾的产生量按1.0kg/d·人计，则生活垃圾产生量为</w:t>
      </w:r>
      <w:r>
        <w:rPr>
          <w:rFonts w:hint="default" w:ascii="Times New Roman" w:hAnsi="Times New Roman" w:cs="Times New Roman"/>
          <w:color w:val="auto"/>
          <w:kern w:val="0"/>
          <w:highlight w:val="none"/>
          <w:lang w:val="en-US" w:eastAsia="zh-CN"/>
        </w:rPr>
        <w:t>72</w:t>
      </w:r>
      <w:r>
        <w:rPr>
          <w:rFonts w:hint="default" w:ascii="Times New Roman" w:hAnsi="Times New Roman" w:cs="Times New Roman"/>
          <w:color w:val="auto"/>
          <w:kern w:val="0"/>
          <w:highlight w:val="none"/>
        </w:rPr>
        <w:t>kg/d（</w:t>
      </w:r>
      <w:r>
        <w:rPr>
          <w:rFonts w:hint="default" w:ascii="Times New Roman" w:hAnsi="Times New Roman" w:cs="Times New Roman"/>
          <w:color w:val="auto"/>
          <w:kern w:val="0"/>
          <w:highlight w:val="none"/>
          <w:lang w:val="en-US" w:eastAsia="zh-CN"/>
        </w:rPr>
        <w:t>21.6</w:t>
      </w:r>
      <w:r>
        <w:rPr>
          <w:rFonts w:hint="default" w:ascii="Times New Roman" w:hAnsi="Times New Roman" w:cs="Times New Roman"/>
          <w:color w:val="auto"/>
          <w:kern w:val="0"/>
          <w:highlight w:val="none"/>
        </w:rPr>
        <w:t>t/a）。</w:t>
      </w:r>
    </w:p>
    <w:p w14:paraId="2AD31CF7">
      <w:pPr>
        <w:overflowPunct w:val="0"/>
        <w:topLinePunct/>
        <w:ind w:firstLine="480"/>
        <w:rPr>
          <w:rFonts w:hint="default" w:ascii="Times New Roman" w:hAnsi="Times New Roman" w:eastAsia="宋体" w:cs="Times New Roman"/>
          <w:color w:val="auto"/>
          <w:kern w:val="0"/>
          <w:highlight w:val="none"/>
          <w:lang w:eastAsia="zh-CN"/>
        </w:rPr>
      </w:pPr>
      <w:r>
        <w:rPr>
          <w:rFonts w:hint="default" w:ascii="Times New Roman" w:hAnsi="Times New Roman" w:cs="Times New Roman"/>
          <w:color w:val="auto"/>
          <w:kern w:val="0"/>
          <w:highlight w:val="none"/>
        </w:rPr>
        <w:t>（</w:t>
      </w:r>
      <w:r>
        <w:rPr>
          <w:rFonts w:hint="default" w:ascii="Times New Roman" w:hAnsi="Times New Roman" w:cs="Times New Roman"/>
          <w:color w:val="auto"/>
          <w:kern w:val="0"/>
          <w:highlight w:val="none"/>
          <w:lang w:val="en-US" w:eastAsia="zh-CN"/>
        </w:rPr>
        <w:t>3</w:t>
      </w:r>
      <w:r>
        <w:rPr>
          <w:rFonts w:hint="default" w:ascii="Times New Roman" w:hAnsi="Times New Roman" w:cs="Times New Roman"/>
          <w:color w:val="auto"/>
          <w:kern w:val="0"/>
          <w:highlight w:val="none"/>
        </w:rPr>
        <w:t>）废机油及废油桶</w:t>
      </w:r>
    </w:p>
    <w:p w14:paraId="584E6267">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项目运营过程中会产生少量废机油及废油桶，属于危险废物（HW08 900-217-08），主要来源于工程机械和大型设备润滑、维护、检修。</w:t>
      </w:r>
      <w:r>
        <w:rPr>
          <w:rFonts w:hint="default" w:ascii="Times New Roman" w:hAnsi="Times New Roman" w:cs="Times New Roman"/>
          <w:color w:val="auto"/>
          <w:highlight w:val="none"/>
        </w:rPr>
        <w:t>废油桶产生量为</w:t>
      </w:r>
      <w:r>
        <w:rPr>
          <w:rFonts w:hint="eastAsia" w:cs="Times New Roman"/>
          <w:color w:val="auto"/>
          <w:highlight w:val="none"/>
          <w:lang w:val="en-US" w:eastAsia="zh-CN"/>
        </w:rPr>
        <w:t>15</w:t>
      </w:r>
      <w:r>
        <w:rPr>
          <w:rFonts w:hint="default" w:ascii="Times New Roman" w:hAnsi="Times New Roman" w:cs="Times New Roman"/>
          <w:color w:val="auto"/>
          <w:highlight w:val="none"/>
        </w:rPr>
        <w:t>只/年（约</w:t>
      </w:r>
      <w:r>
        <w:rPr>
          <w:rFonts w:hint="eastAsia" w:cs="Times New Roman"/>
          <w:color w:val="auto"/>
          <w:highlight w:val="none"/>
          <w:lang w:val="en-US" w:eastAsia="zh-CN"/>
        </w:rPr>
        <w:t>0.03</w:t>
      </w:r>
      <w:r>
        <w:rPr>
          <w:rFonts w:hint="default" w:ascii="Times New Roman" w:hAnsi="Times New Roman" w:cs="Times New Roman"/>
          <w:color w:val="auto"/>
          <w:highlight w:val="none"/>
        </w:rPr>
        <w:t>t/a），</w:t>
      </w:r>
      <w:r>
        <w:rPr>
          <w:rFonts w:hint="default" w:ascii="Times New Roman" w:hAnsi="Times New Roman" w:cs="Times New Roman"/>
          <w:color w:val="auto"/>
          <w:kern w:val="0"/>
          <w:highlight w:val="none"/>
        </w:rPr>
        <w:t>废机油产生量约</w:t>
      </w:r>
      <w:r>
        <w:rPr>
          <w:rFonts w:hint="eastAsia" w:cs="Times New Roman"/>
          <w:color w:val="auto"/>
          <w:kern w:val="0"/>
          <w:highlight w:val="none"/>
          <w:lang w:val="en-US" w:eastAsia="zh-CN"/>
        </w:rPr>
        <w:t>0.3</w:t>
      </w:r>
      <w:r>
        <w:rPr>
          <w:rFonts w:hint="default" w:ascii="Times New Roman" w:hAnsi="Times New Roman" w:cs="Times New Roman"/>
          <w:color w:val="auto"/>
          <w:kern w:val="0"/>
          <w:highlight w:val="none"/>
        </w:rPr>
        <w:t>t/a。</w:t>
      </w:r>
    </w:p>
    <w:p w14:paraId="07326520">
      <w:pPr>
        <w:pStyle w:val="29"/>
        <w:widowControl w:val="0"/>
        <w:overflowPunct w:val="0"/>
        <w:topLinePunct/>
        <w:spacing w:before="0" w:beforeAutospacing="0" w:after="0" w:afterAutospacing="0"/>
        <w:ind w:firstLine="480"/>
        <w:jc w:val="both"/>
        <w:rPr>
          <w:rFonts w:hint="default" w:ascii="Times New Roman" w:hAnsi="Times New Roman" w:cs="Times New Roman"/>
          <w:bCs/>
          <w:color w:val="auto"/>
          <w:highlight w:val="none"/>
        </w:rPr>
      </w:pPr>
      <w:r>
        <w:rPr>
          <w:rFonts w:hint="eastAsia" w:ascii="Times New Roman" w:hAnsi="Times New Roman" w:cs="Times New Roman"/>
          <w:color w:val="auto"/>
          <w:kern w:val="0"/>
          <w:highlight w:val="none"/>
          <w:lang w:eastAsia="zh-CN"/>
        </w:rPr>
        <w:t>危废贮存点</w:t>
      </w:r>
      <w:r>
        <w:rPr>
          <w:rFonts w:hint="default" w:ascii="Times New Roman" w:hAnsi="Times New Roman" w:cs="Times New Roman"/>
          <w:color w:val="auto"/>
          <w:highlight w:val="none"/>
        </w:rPr>
        <w:t>（规格：</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7</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21</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），危险废物暂存于</w:t>
      </w:r>
      <w:r>
        <w:rPr>
          <w:rFonts w:hint="eastAsia" w:ascii="Times New Roman" w:hAnsi="Times New Roman" w:cs="Times New Roman"/>
          <w:color w:val="auto"/>
          <w:highlight w:val="none"/>
          <w:lang w:eastAsia="zh-CN"/>
        </w:rPr>
        <w:t>危废贮存点</w:t>
      </w:r>
      <w:r>
        <w:rPr>
          <w:rFonts w:hint="default" w:ascii="Times New Roman" w:hAnsi="Times New Roman" w:cs="Times New Roman"/>
          <w:color w:val="auto"/>
          <w:highlight w:val="none"/>
        </w:rPr>
        <w:t>，委托有资质单位处置。根据《危险废物贮存污染控制标准》（GB</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18597</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2023）中有关规定，危险废物在</w:t>
      </w:r>
      <w:r>
        <w:rPr>
          <w:rFonts w:hint="eastAsia" w:ascii="Times New Roman" w:hAnsi="Times New Roman" w:cs="Times New Roman"/>
          <w:color w:val="auto"/>
          <w:highlight w:val="none"/>
          <w:lang w:eastAsia="zh-CN"/>
        </w:rPr>
        <w:t>危废贮存点</w:t>
      </w:r>
      <w:r>
        <w:rPr>
          <w:rFonts w:hint="default" w:ascii="Times New Roman" w:hAnsi="Times New Roman" w:cs="Times New Roman"/>
          <w:color w:val="auto"/>
          <w:highlight w:val="none"/>
        </w:rPr>
        <w:t>内暂存期间，使用完好无损容器盛装。储存容器上必须粘贴该标准中规定的危险废物标签；容器材质与危险废物本身相容（不相互反应）。厂内设置临时安全存放场所，基础做防渗，防渗层为至少1m粘土层（渗透系数小于等于10</w:t>
      </w:r>
      <w:r>
        <w:rPr>
          <w:rFonts w:hint="default" w:ascii="Times New Roman" w:hAnsi="Times New Roman" w:cs="Times New Roman"/>
          <w:color w:val="auto"/>
          <w:highlight w:val="none"/>
          <w:vertAlign w:val="superscript"/>
        </w:rPr>
        <w:t>-7</w:t>
      </w:r>
      <w:r>
        <w:rPr>
          <w:rFonts w:hint="default" w:ascii="Times New Roman" w:hAnsi="Times New Roman" w:cs="Times New Roman"/>
          <w:color w:val="auto"/>
          <w:highlight w:val="none"/>
        </w:rPr>
        <w:t>cm/s）</w:t>
      </w:r>
      <w:r>
        <w:rPr>
          <w:rFonts w:hint="default" w:ascii="Times New Roman" w:hAnsi="Times New Roman" w:cs="Times New Roman"/>
          <w:bCs/>
          <w:color w:val="auto"/>
          <w:highlight w:val="none"/>
        </w:rPr>
        <w:t>。根据</w:t>
      </w:r>
      <w:r>
        <w:rPr>
          <w:rFonts w:hint="eastAsia" w:ascii="Times New Roman" w:hAnsi="Times New Roman" w:cs="Times New Roman"/>
          <w:bCs/>
          <w:color w:val="auto"/>
          <w:highlight w:val="none"/>
          <w:lang w:eastAsia="zh-CN"/>
        </w:rPr>
        <w:t>“</w:t>
      </w:r>
      <w:r>
        <w:rPr>
          <w:rFonts w:hint="default" w:ascii="Times New Roman" w:hAnsi="Times New Roman" w:cs="Times New Roman"/>
          <w:bCs/>
          <w:color w:val="auto"/>
          <w:highlight w:val="none"/>
        </w:rPr>
        <w:t>《中华人民共和国固体废物污染环境防治法》第五十八条第二款：贮存危险废物必须采取符合</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s://www.baidu.com/s?wd=%E5%9B%BD%E5%AE%B6%E7%8E%AF%E5%A2%83%E4%BF%9D%E6%8A%A4%E6%A0%87%E5%87%86&amp;tn=44039180_cpr&amp;fenlei=mv6quAkxTZn0IZRqIHckPjm4nH00T1d9m1KbrjRvP1-huHcdmWw-0ZwV5Hcvrjm3rH6sPfKWUMw85HfYnjn4nH6sgvPsT6KdThsqpZwYTjCEQLGCpyw9Uz4Bmy-bIi4WUvYETgN-TLwGUv3EnW0LPjnLPjnkn1DLPWfYPH0vr0" \t "https://zhidao.baidu.com/question/_blank" </w:instrText>
      </w:r>
      <w:r>
        <w:rPr>
          <w:rFonts w:hint="default" w:ascii="Times New Roman" w:hAnsi="Times New Roman" w:cs="Times New Roman"/>
          <w:color w:val="auto"/>
          <w:highlight w:val="none"/>
        </w:rPr>
        <w:fldChar w:fldCharType="separate"/>
      </w:r>
      <w:r>
        <w:rPr>
          <w:rStyle w:val="39"/>
          <w:rFonts w:hint="default" w:ascii="Times New Roman" w:hAnsi="Times New Roman" w:cs="Times New Roman"/>
          <w:bCs/>
          <w:color w:val="auto"/>
          <w:highlight w:val="none"/>
          <w:u w:val="none"/>
        </w:rPr>
        <w:t>国家环境保护标准</w:t>
      </w:r>
      <w:r>
        <w:rPr>
          <w:rStyle w:val="39"/>
          <w:rFonts w:hint="default" w:ascii="Times New Roman" w:hAnsi="Times New Roman" w:cs="Times New Roman"/>
          <w:bCs/>
          <w:color w:val="auto"/>
          <w:highlight w:val="none"/>
          <w:u w:val="none"/>
        </w:rPr>
        <w:fldChar w:fldCharType="end"/>
      </w:r>
      <w:r>
        <w:rPr>
          <w:rFonts w:hint="default" w:ascii="Times New Roman" w:hAnsi="Times New Roman" w:cs="Times New Roman"/>
          <w:bCs/>
          <w:color w:val="auto"/>
          <w:highlight w:val="none"/>
        </w:rPr>
        <w:t>的防护措施，并不得超过一年</w:t>
      </w:r>
      <w:r>
        <w:rPr>
          <w:rFonts w:hint="eastAsia" w:ascii="Times New Roman" w:hAnsi="Times New Roman" w:cs="Times New Roman"/>
          <w:bCs/>
          <w:color w:val="auto"/>
          <w:highlight w:val="none"/>
          <w:lang w:eastAsia="zh-CN"/>
        </w:rPr>
        <w:t>”</w:t>
      </w:r>
      <w:r>
        <w:rPr>
          <w:rFonts w:hint="default" w:ascii="Times New Roman" w:hAnsi="Times New Roman" w:cs="Times New Roman"/>
          <w:bCs/>
          <w:color w:val="auto"/>
          <w:highlight w:val="none"/>
        </w:rPr>
        <w:t>；因此本项目危险废物贮存期限为一年，委托处置需转运时应及时办理危废转移联单。</w:t>
      </w:r>
    </w:p>
    <w:p w14:paraId="025E81AE">
      <w:pPr>
        <w:overflowPunct w:val="0"/>
        <w:topLinePunct/>
        <w:ind w:firstLine="480"/>
        <w:rPr>
          <w:rFonts w:hint="default" w:ascii="Times New Roman" w:hAnsi="Times New Roman" w:eastAsia="宋体" w:cs="Times New Roman"/>
          <w:color w:val="auto"/>
          <w:kern w:val="0"/>
          <w:highlight w:val="none"/>
          <w:lang w:eastAsia="zh-CN"/>
        </w:rPr>
      </w:pPr>
      <w:r>
        <w:rPr>
          <w:rFonts w:hint="default" w:ascii="Times New Roman" w:hAnsi="Times New Roman" w:cs="Times New Roman"/>
          <w:color w:val="auto"/>
          <w:kern w:val="0"/>
          <w:highlight w:val="none"/>
        </w:rPr>
        <w:t>（</w:t>
      </w:r>
      <w:r>
        <w:rPr>
          <w:rFonts w:hint="default" w:ascii="Times New Roman" w:hAnsi="Times New Roman" w:cs="Times New Roman"/>
          <w:color w:val="auto"/>
          <w:kern w:val="0"/>
          <w:highlight w:val="none"/>
          <w:lang w:val="en-US" w:eastAsia="zh-CN"/>
        </w:rPr>
        <w:t>4</w:t>
      </w:r>
      <w:r>
        <w:rPr>
          <w:rFonts w:hint="default" w:ascii="Times New Roman" w:hAnsi="Times New Roman" w:cs="Times New Roman"/>
          <w:color w:val="auto"/>
          <w:kern w:val="0"/>
          <w:highlight w:val="none"/>
        </w:rPr>
        <w:t>）</w:t>
      </w:r>
      <w:r>
        <w:rPr>
          <w:rFonts w:hint="default" w:ascii="Times New Roman" w:hAnsi="Times New Roman" w:cs="Times New Roman"/>
          <w:color w:val="auto"/>
          <w:kern w:val="0"/>
          <w:highlight w:val="none"/>
          <w:lang w:eastAsia="zh-CN"/>
        </w:rPr>
        <w:t>原辅料废</w:t>
      </w:r>
      <w:r>
        <w:rPr>
          <w:rFonts w:hint="default" w:ascii="Times New Roman" w:hAnsi="Times New Roman" w:cs="Times New Roman"/>
          <w:color w:val="auto"/>
          <w:kern w:val="0"/>
          <w:highlight w:val="none"/>
        </w:rPr>
        <w:t>包装物</w:t>
      </w:r>
    </w:p>
    <w:p w14:paraId="39E63ED8">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本项目原辅料包装形式包括桶装和袋装，</w:t>
      </w:r>
      <w:r>
        <w:rPr>
          <w:rFonts w:hint="default" w:ascii="Times New Roman" w:hAnsi="Times New Roman" w:cs="Times New Roman"/>
          <w:color w:val="auto"/>
          <w:kern w:val="0"/>
          <w:highlight w:val="none"/>
        </w:rPr>
        <w:t>根据</w:t>
      </w:r>
      <w:r>
        <w:rPr>
          <w:rFonts w:hint="eastAsia" w:cs="Times New Roman"/>
          <w:color w:val="auto"/>
          <w:kern w:val="0"/>
          <w:highlight w:val="none"/>
          <w:lang w:val="en-US" w:eastAsia="zh-CN"/>
        </w:rPr>
        <w:t>业主</w:t>
      </w:r>
      <w:r>
        <w:rPr>
          <w:rFonts w:hint="default" w:ascii="Times New Roman" w:hAnsi="Times New Roman" w:cs="Times New Roman"/>
          <w:color w:val="auto"/>
          <w:kern w:val="0"/>
          <w:highlight w:val="none"/>
        </w:rPr>
        <w:t>提供</w:t>
      </w:r>
      <w:r>
        <w:rPr>
          <w:rFonts w:hint="eastAsia" w:cs="Times New Roman"/>
          <w:color w:val="auto"/>
          <w:kern w:val="0"/>
          <w:highlight w:val="none"/>
          <w:lang w:eastAsia="zh-CN"/>
        </w:rPr>
        <w:t>的</w:t>
      </w:r>
      <w:r>
        <w:rPr>
          <w:rFonts w:hint="default" w:ascii="Times New Roman" w:hAnsi="Times New Roman" w:cs="Times New Roman"/>
          <w:color w:val="auto"/>
          <w:kern w:val="0"/>
          <w:highlight w:val="none"/>
        </w:rPr>
        <w:t>资料，本项目产生废包装共计</w:t>
      </w:r>
      <w:r>
        <w:rPr>
          <w:rFonts w:hint="eastAsia" w:cs="Times New Roman"/>
          <w:color w:val="auto"/>
          <w:kern w:val="0"/>
          <w:highlight w:val="none"/>
          <w:lang w:val="en-US" w:eastAsia="zh-CN"/>
        </w:rPr>
        <w:t>约0.6</w:t>
      </w:r>
      <w:r>
        <w:rPr>
          <w:rFonts w:hint="default" w:ascii="Times New Roman" w:hAnsi="Times New Roman" w:cs="Times New Roman"/>
          <w:color w:val="auto"/>
          <w:kern w:val="0"/>
          <w:highlight w:val="none"/>
        </w:rPr>
        <w:t>t/a</w:t>
      </w:r>
      <w:r>
        <w:rPr>
          <w:rFonts w:hint="eastAsia" w:cs="Times New Roman"/>
          <w:color w:val="auto"/>
          <w:kern w:val="0"/>
          <w:highlight w:val="none"/>
          <w:lang w:eastAsia="zh-CN"/>
        </w:rPr>
        <w:t>，</w:t>
      </w:r>
      <w:r>
        <w:rPr>
          <w:rFonts w:hint="eastAsia" w:cs="Times New Roman"/>
          <w:color w:val="auto"/>
          <w:kern w:val="0"/>
          <w:highlight w:val="none"/>
          <w:lang w:val="en-US" w:eastAsia="zh-CN"/>
        </w:rPr>
        <w:t>由</w:t>
      </w:r>
      <w:r>
        <w:rPr>
          <w:rFonts w:hint="eastAsia" w:cs="Times New Roman"/>
          <w:color w:val="auto"/>
          <w:kern w:val="0"/>
          <w:highlight w:val="none"/>
          <w:lang w:eastAsia="zh-CN"/>
        </w:rPr>
        <w:t>厂家回收处理</w:t>
      </w:r>
      <w:r>
        <w:rPr>
          <w:rFonts w:hint="default" w:ascii="Times New Roman" w:hAnsi="Times New Roman" w:cs="Times New Roman"/>
          <w:color w:val="auto"/>
          <w:kern w:val="0"/>
          <w:highlight w:val="none"/>
        </w:rPr>
        <w:t>。</w:t>
      </w:r>
    </w:p>
    <w:p w14:paraId="593A2F6B">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w:t>
      </w:r>
      <w:r>
        <w:rPr>
          <w:rFonts w:hint="default" w:ascii="Times New Roman" w:hAnsi="Times New Roman" w:cs="Times New Roman"/>
          <w:color w:val="auto"/>
          <w:kern w:val="0"/>
          <w:highlight w:val="none"/>
          <w:lang w:val="en-US" w:eastAsia="zh-CN"/>
        </w:rPr>
        <w:t>5</w:t>
      </w:r>
      <w:r>
        <w:rPr>
          <w:rFonts w:hint="default" w:ascii="Times New Roman" w:hAnsi="Times New Roman" w:cs="Times New Roman"/>
          <w:color w:val="auto"/>
          <w:kern w:val="0"/>
          <w:highlight w:val="none"/>
        </w:rPr>
        <w:t>）除尘灰</w:t>
      </w:r>
    </w:p>
    <w:p w14:paraId="0FBDD3B6">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本项目新建</w:t>
      </w:r>
      <w:r>
        <w:rPr>
          <w:rFonts w:hint="default" w:ascii="Times New Roman" w:hAnsi="Times New Roman" w:cs="Times New Roman"/>
          <w:color w:val="auto"/>
          <w:kern w:val="0"/>
          <w:highlight w:val="none"/>
          <w:lang w:eastAsia="zh-CN"/>
        </w:rPr>
        <w:t>破碎筛分工段</w:t>
      </w:r>
      <w:r>
        <w:rPr>
          <w:rFonts w:hint="default" w:ascii="Times New Roman" w:hAnsi="Times New Roman" w:cs="Times New Roman"/>
          <w:color w:val="auto"/>
          <w:kern w:val="0"/>
          <w:highlight w:val="none"/>
        </w:rPr>
        <w:t>配套除尘器收集的粉尘灰产生量为</w:t>
      </w:r>
      <w:r>
        <w:rPr>
          <w:rFonts w:hint="eastAsia" w:cs="Times New Roman"/>
          <w:color w:val="auto"/>
          <w:kern w:val="0"/>
          <w:highlight w:val="none"/>
          <w:lang w:val="en-US" w:eastAsia="zh-CN"/>
        </w:rPr>
        <w:t>54</w:t>
      </w:r>
      <w:r>
        <w:rPr>
          <w:rFonts w:hint="default" w:ascii="Times New Roman" w:hAnsi="Times New Roman" w:cs="Times New Roman"/>
          <w:color w:val="auto"/>
          <w:kern w:val="0"/>
          <w:highlight w:val="none"/>
        </w:rPr>
        <w:t>t/a</w:t>
      </w:r>
      <w:r>
        <w:rPr>
          <w:rFonts w:hint="eastAsia" w:cs="Times New Roman"/>
          <w:color w:val="auto"/>
          <w:kern w:val="0"/>
          <w:highlight w:val="none"/>
          <w:lang w:eastAsia="zh-CN"/>
        </w:rPr>
        <w:t>，</w:t>
      </w:r>
      <w:r>
        <w:rPr>
          <w:rFonts w:hint="default" w:ascii="Times New Roman" w:hAnsi="Times New Roman" w:cs="Times New Roman"/>
          <w:color w:val="auto"/>
          <w:kern w:val="0"/>
          <w:highlight w:val="none"/>
          <w:lang w:eastAsia="zh-CN"/>
        </w:rPr>
        <w:t>破碎筛分工段</w:t>
      </w:r>
      <w:r>
        <w:rPr>
          <w:rFonts w:hint="default" w:ascii="Times New Roman" w:hAnsi="Times New Roman" w:cs="Times New Roman"/>
          <w:color w:val="auto"/>
          <w:kern w:val="0"/>
          <w:highlight w:val="none"/>
        </w:rPr>
        <w:t>的粉尘灰含较高的</w:t>
      </w:r>
      <w:r>
        <w:rPr>
          <w:rFonts w:hint="default" w:ascii="Times New Roman" w:hAnsi="Times New Roman" w:cs="Times New Roman"/>
          <w:color w:val="auto"/>
          <w:kern w:val="0"/>
          <w:highlight w:val="none"/>
          <w:lang w:eastAsia="zh-CN"/>
        </w:rPr>
        <w:t>萤石</w:t>
      </w:r>
      <w:r>
        <w:rPr>
          <w:rFonts w:hint="default" w:ascii="Times New Roman" w:hAnsi="Times New Roman" w:cs="Times New Roman"/>
          <w:color w:val="auto"/>
          <w:kern w:val="0"/>
          <w:highlight w:val="none"/>
        </w:rPr>
        <w:t>矿物，</w:t>
      </w:r>
      <w:r>
        <w:rPr>
          <w:rFonts w:hint="default" w:ascii="Times New Roman" w:hAnsi="Times New Roman" w:cs="Times New Roman"/>
          <w:color w:val="auto"/>
          <w:highlight w:val="none"/>
        </w:rPr>
        <w:t>通过除尘器灰斗收集后</w:t>
      </w:r>
      <w:r>
        <w:rPr>
          <w:rFonts w:hint="default" w:ascii="Times New Roman" w:hAnsi="Times New Roman" w:cs="Times New Roman"/>
          <w:color w:val="auto"/>
          <w:kern w:val="0"/>
          <w:highlight w:val="none"/>
        </w:rPr>
        <w:t>回用于选矿生产</w:t>
      </w:r>
      <w:r>
        <w:rPr>
          <w:rFonts w:hint="default" w:ascii="Times New Roman" w:hAnsi="Times New Roman" w:cs="Times New Roman"/>
          <w:color w:val="auto"/>
          <w:highlight w:val="none"/>
        </w:rPr>
        <w:t>。</w:t>
      </w:r>
    </w:p>
    <w:p w14:paraId="25F5C243">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w:t>
      </w:r>
      <w:r>
        <w:rPr>
          <w:rFonts w:hint="default" w:ascii="Times New Roman" w:hAnsi="Times New Roman" w:cs="Times New Roman"/>
          <w:color w:val="auto"/>
          <w:kern w:val="0"/>
          <w:highlight w:val="none"/>
          <w:lang w:val="en-US" w:eastAsia="zh-CN"/>
        </w:rPr>
        <w:t>6</w:t>
      </w:r>
      <w:r>
        <w:rPr>
          <w:rFonts w:hint="default" w:ascii="Times New Roman" w:hAnsi="Times New Roman" w:cs="Times New Roman"/>
          <w:color w:val="auto"/>
          <w:kern w:val="0"/>
          <w:highlight w:val="none"/>
        </w:rPr>
        <w:t>）废离子交换树脂</w:t>
      </w:r>
    </w:p>
    <w:p w14:paraId="4F8EAD0C">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锅炉制软水后会产生废离子交换树脂，</w:t>
      </w:r>
      <w:r>
        <w:rPr>
          <w:rFonts w:hint="default" w:ascii="Times New Roman" w:hAnsi="Times New Roman" w:cs="Times New Roman"/>
          <w:color w:val="auto"/>
          <w:highlight w:val="none"/>
        </w:rPr>
        <w:t>废离子交换树脂年产生量为0.</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t/3a，根据《国家危险废物名录（202</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年版）》，软化水制备系统产生的废离子交换树脂不在该名录中，不属于危险废物，树脂更换由厂家负责，更换的旧树脂由厂家回收处理。</w:t>
      </w:r>
    </w:p>
    <w:p w14:paraId="7E609C44">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w:t>
      </w:r>
      <w:r>
        <w:rPr>
          <w:rFonts w:hint="default" w:ascii="Times New Roman" w:hAnsi="Times New Roman" w:cs="Times New Roman"/>
          <w:color w:val="auto"/>
          <w:kern w:val="0"/>
          <w:highlight w:val="none"/>
          <w:lang w:val="en-US" w:eastAsia="zh-CN"/>
        </w:rPr>
        <w:t>7</w:t>
      </w:r>
      <w:r>
        <w:rPr>
          <w:rFonts w:hint="default" w:ascii="Times New Roman" w:hAnsi="Times New Roman" w:cs="Times New Roman"/>
          <w:color w:val="auto"/>
          <w:kern w:val="0"/>
          <w:highlight w:val="none"/>
        </w:rPr>
        <w:t>）沉淀池底泥</w:t>
      </w:r>
    </w:p>
    <w:p w14:paraId="0BFBC75D">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lang w:val="en-US" w:eastAsia="zh-CN"/>
        </w:rPr>
        <w:t>沉淀池</w:t>
      </w:r>
      <w:r>
        <w:rPr>
          <w:rFonts w:hint="default" w:ascii="Times New Roman" w:hAnsi="Times New Roman" w:cs="Times New Roman"/>
          <w:color w:val="auto"/>
          <w:kern w:val="0"/>
          <w:highlight w:val="none"/>
        </w:rPr>
        <w:t>底泥产生量约</w:t>
      </w:r>
      <w:r>
        <w:rPr>
          <w:rFonts w:hint="default" w:ascii="Times New Roman" w:hAnsi="Times New Roman" w:cs="Times New Roman"/>
          <w:color w:val="auto"/>
          <w:kern w:val="0"/>
          <w:highlight w:val="none"/>
          <w:lang w:val="en-US" w:eastAsia="zh-CN"/>
        </w:rPr>
        <w:t>120</w:t>
      </w:r>
      <w:r>
        <w:rPr>
          <w:rFonts w:hint="default" w:ascii="Times New Roman" w:hAnsi="Times New Roman" w:cs="Times New Roman"/>
          <w:color w:val="auto"/>
          <w:kern w:val="0"/>
          <w:highlight w:val="none"/>
        </w:rPr>
        <w:t>t/a</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沉淀池定期清理，底泥可返回生产工序回用于选矿。</w:t>
      </w:r>
    </w:p>
    <w:p w14:paraId="77DDA40A">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w:t>
      </w:r>
      <w:r>
        <w:rPr>
          <w:rFonts w:hint="default" w:ascii="Times New Roman" w:hAnsi="Times New Roman" w:cs="Times New Roman"/>
          <w:color w:val="auto"/>
          <w:kern w:val="0"/>
          <w:highlight w:val="none"/>
          <w:lang w:val="en-US" w:eastAsia="zh-CN"/>
        </w:rPr>
        <w:t>8</w:t>
      </w:r>
      <w:r>
        <w:rPr>
          <w:rFonts w:hint="default" w:ascii="Times New Roman" w:hAnsi="Times New Roman" w:cs="Times New Roman"/>
          <w:color w:val="auto"/>
          <w:kern w:val="0"/>
          <w:highlight w:val="none"/>
        </w:rPr>
        <w:t>）废布袋</w:t>
      </w:r>
    </w:p>
    <w:p w14:paraId="3D431F92">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根据项目需要采取布袋除尘器作为环保处理措施手段，但在运行过程中难免会发生布袋破损，或遇水后糊袋的现象，因此需要更换布袋。本项目废布袋产生量约为0.5t/a，该部分固废属于一般固体废物，集中收集后定期拉运至就近的一般工业固体废物填埋场进行处置。</w:t>
      </w:r>
    </w:p>
    <w:p w14:paraId="12390D06">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综上，本项目各项固体废物均得到妥善处置，在满足以上要求的前提下，本项目各项固体废物对项目区及周边环境影响较小。</w:t>
      </w:r>
    </w:p>
    <w:p w14:paraId="4A6EA9BB">
      <w:pPr>
        <w:pStyle w:val="4"/>
        <w:rPr>
          <w:rFonts w:hint="default" w:ascii="Times New Roman" w:hAnsi="Times New Roman" w:cs="Times New Roman"/>
          <w:color w:val="auto"/>
          <w:highlight w:val="none"/>
        </w:rPr>
      </w:pPr>
      <w:bookmarkStart w:id="727" w:name="_Toc30610"/>
      <w:bookmarkStart w:id="728" w:name="_Toc23050"/>
      <w:bookmarkStart w:id="729" w:name="_Toc28226"/>
      <w:r>
        <w:rPr>
          <w:rFonts w:hint="default" w:ascii="Times New Roman" w:hAnsi="Times New Roman" w:cs="Times New Roman"/>
          <w:color w:val="auto"/>
          <w:highlight w:val="none"/>
        </w:rPr>
        <w:t>5.2.6运营期土壤环境影响分析</w:t>
      </w:r>
      <w:bookmarkEnd w:id="727"/>
      <w:bookmarkEnd w:id="728"/>
      <w:bookmarkEnd w:id="729"/>
    </w:p>
    <w:p w14:paraId="57B82B88">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5.2.6.1土壤环境的影响识别</w:t>
      </w:r>
    </w:p>
    <w:p w14:paraId="6BE95ABC">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本项目为</w:t>
      </w:r>
      <w:r>
        <w:rPr>
          <w:rFonts w:hint="default" w:ascii="Times New Roman" w:hAnsi="Times New Roman" w:cs="Times New Roman"/>
          <w:color w:val="auto"/>
          <w:highlight w:val="none"/>
          <w:lang w:val="en-US" w:eastAsia="zh-CN"/>
        </w:rPr>
        <w:t>萤石</w:t>
      </w:r>
      <w:r>
        <w:rPr>
          <w:rFonts w:hint="default" w:ascii="Times New Roman" w:hAnsi="Times New Roman" w:cs="Times New Roman"/>
          <w:color w:val="auto"/>
          <w:highlight w:val="none"/>
        </w:rPr>
        <w:t>矿</w:t>
      </w:r>
      <w:r>
        <w:rPr>
          <w:rFonts w:hint="eastAsia" w:cs="Times New Roman"/>
          <w:color w:val="auto"/>
          <w:highlight w:val="none"/>
          <w:lang w:val="en-US" w:eastAsia="zh-CN"/>
        </w:rPr>
        <w:t>选矿及尾矿库工程</w:t>
      </w:r>
      <w:r>
        <w:rPr>
          <w:rFonts w:hint="default" w:ascii="Times New Roman" w:hAnsi="Times New Roman" w:cs="Times New Roman"/>
          <w:color w:val="auto"/>
          <w:highlight w:val="none"/>
        </w:rPr>
        <w:t>，根据</w:t>
      </w:r>
      <w:r>
        <w:rPr>
          <w:rFonts w:hint="default" w:ascii="Times New Roman" w:hAnsi="Times New Roman" w:cs="Times New Roman"/>
          <w:color w:val="auto"/>
          <w:highlight w:val="none"/>
          <w:lang w:val="zh-CN"/>
        </w:rPr>
        <w:t xml:space="preserve">《环境影响评价技术导则 </w:t>
      </w:r>
      <w:r>
        <w:rPr>
          <w:rFonts w:hint="default" w:ascii="Times New Roman" w:hAnsi="Times New Roman" w:cs="Times New Roman"/>
          <w:color w:val="auto"/>
          <w:highlight w:val="none"/>
        </w:rPr>
        <w:t>土壤环境</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试行</w:t>
      </w:r>
      <w:r>
        <w:rPr>
          <w:rFonts w:hint="default" w:ascii="Times New Roman" w:hAnsi="Times New Roman" w:cs="Times New Roman"/>
          <w:color w:val="auto"/>
          <w:highlight w:val="none"/>
          <w:lang w:val="zh-CN"/>
        </w:rPr>
        <w:t>）》（HJ</w:t>
      </w:r>
      <w:r>
        <w:rPr>
          <w:rFonts w:hint="default" w:ascii="Times New Roman" w:hAnsi="Times New Roman" w:cs="Times New Roman"/>
          <w:color w:val="auto"/>
          <w:highlight w:val="none"/>
        </w:rPr>
        <w:t>964-2018</w:t>
      </w:r>
      <w:r>
        <w:rPr>
          <w:rFonts w:hint="default" w:ascii="Times New Roman" w:hAnsi="Times New Roman" w:cs="Times New Roman"/>
          <w:color w:val="auto"/>
          <w:highlight w:val="none"/>
          <w:lang w:val="zh-CN"/>
        </w:rPr>
        <w:t>）附录A，</w:t>
      </w:r>
      <w:r>
        <w:rPr>
          <w:rFonts w:hint="default" w:ascii="Times New Roman" w:hAnsi="Times New Roman" w:cs="Times New Roman"/>
          <w:color w:val="auto"/>
          <w:highlight w:val="none"/>
        </w:rPr>
        <w:t>为</w:t>
      </w:r>
      <w:r>
        <w:rPr>
          <w:rFonts w:hint="default" w:ascii="Times New Roman" w:hAnsi="Times New Roman" w:cs="Times New Roman"/>
          <w:color w:val="auto"/>
          <w:highlight w:val="none"/>
          <w:lang w:val="zh-CN" w:eastAsia="zh-CN"/>
        </w:rPr>
        <w:t>Ⅲ</w:t>
      </w:r>
      <w:r>
        <w:rPr>
          <w:rFonts w:hint="default" w:ascii="Times New Roman" w:hAnsi="Times New Roman" w:cs="Times New Roman"/>
          <w:color w:val="auto"/>
          <w:highlight w:val="none"/>
        </w:rPr>
        <w:t>类项目。本项目环境影响类型为污染影响型，土壤环境影响评价工作等级为</w:t>
      </w:r>
      <w:r>
        <w:rPr>
          <w:rFonts w:hint="eastAsia" w:cs="Times New Roman"/>
          <w:color w:val="auto"/>
          <w:highlight w:val="none"/>
          <w:lang w:val="en-US" w:eastAsia="zh-CN"/>
        </w:rPr>
        <w:t>简单评价</w:t>
      </w:r>
      <w:r>
        <w:rPr>
          <w:rFonts w:hint="default" w:ascii="Times New Roman" w:hAnsi="Times New Roman" w:cs="Times New Roman"/>
          <w:color w:val="auto"/>
          <w:highlight w:val="none"/>
        </w:rPr>
        <w:t>。因此，本次评价不进行定量数值预测，采用定性描述与类比分析相结合的方法，从源头控制、过程防控、跟踪监测等方面进行简要分析。</w:t>
      </w:r>
    </w:p>
    <w:p w14:paraId="23088EF9">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5.2.6.</w:t>
      </w:r>
      <w:r>
        <w:rPr>
          <w:rFonts w:hint="eastAsia" w:cs="Times New Roman"/>
          <w:color w:val="auto"/>
          <w:highlight w:val="none"/>
          <w:lang w:val="en-US" w:eastAsia="zh-CN"/>
        </w:rPr>
        <w:t>2</w:t>
      </w:r>
      <w:r>
        <w:rPr>
          <w:rFonts w:hint="default" w:ascii="Times New Roman" w:hAnsi="Times New Roman" w:cs="Times New Roman"/>
          <w:color w:val="auto"/>
          <w:highlight w:val="none"/>
        </w:rPr>
        <w:t>土壤环境影响途径识别</w:t>
      </w:r>
    </w:p>
    <w:p w14:paraId="34FAE4C2">
      <w:pPr>
        <w:ind w:firstLine="48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根据项目工程组成及污染物产排特征，运营期对土壤环境的潜在影响途径识别</w:t>
      </w:r>
      <w:r>
        <w:rPr>
          <w:rFonts w:hint="eastAsia" w:cs="Times New Roman"/>
          <w:color w:val="auto"/>
          <w:highlight w:val="none"/>
          <w:lang w:val="en-US" w:eastAsia="zh-CN"/>
        </w:rPr>
        <w:t>见表</w:t>
      </w:r>
      <w:r>
        <w:rPr>
          <w:rFonts w:hint="default" w:ascii="Times New Roman" w:hAnsi="Times New Roman" w:cs="Times New Roman"/>
          <w:color w:val="auto"/>
          <w:highlight w:val="none"/>
        </w:rPr>
        <w:t>5.2-21</w:t>
      </w:r>
      <w:r>
        <w:rPr>
          <w:rFonts w:hint="eastAsia" w:cs="Times New Roman"/>
          <w:color w:val="auto"/>
          <w:highlight w:val="none"/>
          <w:lang w:eastAsia="zh-CN"/>
        </w:rPr>
        <w:t>。</w:t>
      </w:r>
    </w:p>
    <w:p w14:paraId="35DF8EBA">
      <w:pPr>
        <w:adjustRightInd w:val="0"/>
        <w:snapToGrid w:val="0"/>
        <w:ind w:firstLine="0" w:firstLineChars="0"/>
        <w:jc w:val="center"/>
        <w:rPr>
          <w:rFonts w:hint="default" w:ascii="Times New Roman" w:hAnsi="Times New Roman" w:cs="Times New Roman"/>
          <w:b/>
          <w:snapToGrid w:val="0"/>
          <w:color w:val="auto"/>
          <w:kern w:val="0"/>
          <w:highlight w:val="none"/>
        </w:rPr>
      </w:pPr>
      <w:r>
        <w:rPr>
          <w:rFonts w:hint="default" w:ascii="Times New Roman" w:hAnsi="Times New Roman" w:cs="Times New Roman"/>
          <w:b/>
          <w:snapToGrid w:val="0"/>
          <w:color w:val="auto"/>
          <w:kern w:val="0"/>
          <w:highlight w:val="none"/>
        </w:rPr>
        <w:t>表5.2-23    土壤污染途径分析表</w:t>
      </w:r>
    </w:p>
    <w:tbl>
      <w:tblPr>
        <w:tblStyle w:val="34"/>
        <w:tblW w:w="851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1499"/>
        <w:gridCol w:w="4515"/>
        <w:gridCol w:w="1402"/>
      </w:tblGrid>
      <w:tr w14:paraId="6CE54C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103" w:type="dxa"/>
            <w:tcBorders>
              <w:tl2br w:val="nil"/>
              <w:tr2bl w:val="nil"/>
            </w:tcBorders>
            <w:vAlign w:val="center"/>
          </w:tcPr>
          <w:p w14:paraId="425CA708">
            <w:pPr>
              <w:pStyle w:val="47"/>
              <w:spacing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污染源</w:t>
            </w:r>
          </w:p>
        </w:tc>
        <w:tc>
          <w:tcPr>
            <w:tcW w:w="1499" w:type="dxa"/>
            <w:tcBorders>
              <w:tl2br w:val="nil"/>
              <w:tr2bl w:val="nil"/>
            </w:tcBorders>
            <w:vAlign w:val="center"/>
          </w:tcPr>
          <w:p w14:paraId="5139BE08">
            <w:pPr>
              <w:pStyle w:val="47"/>
              <w:spacing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非正常工况</w:t>
            </w:r>
          </w:p>
        </w:tc>
        <w:tc>
          <w:tcPr>
            <w:tcW w:w="4515" w:type="dxa"/>
            <w:tcBorders>
              <w:tl2br w:val="nil"/>
              <w:tr2bl w:val="nil"/>
            </w:tcBorders>
            <w:vAlign w:val="center"/>
          </w:tcPr>
          <w:p w14:paraId="51621C01">
            <w:pPr>
              <w:pStyle w:val="47"/>
              <w:spacing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潜在污染途径</w:t>
            </w:r>
          </w:p>
        </w:tc>
        <w:tc>
          <w:tcPr>
            <w:tcW w:w="1402" w:type="dxa"/>
            <w:tcBorders>
              <w:tl2br w:val="nil"/>
              <w:tr2bl w:val="nil"/>
            </w:tcBorders>
            <w:vAlign w:val="center"/>
          </w:tcPr>
          <w:p w14:paraId="40309A34">
            <w:pPr>
              <w:pStyle w:val="47"/>
              <w:spacing w:line="360" w:lineRule="exact"/>
              <w:ind w:firstLine="0" w:firstLineChars="0"/>
              <w:jc w:val="center"/>
              <w:rPr>
                <w:rFonts w:hint="default" w:ascii="Times New Roman" w:hAnsi="Times New Roman" w:cs="Times New Roman"/>
                <w:b/>
                <w:bCs/>
                <w:color w:val="auto"/>
                <w:spacing w:val="-1"/>
                <w:sz w:val="21"/>
                <w:szCs w:val="21"/>
                <w:highlight w:val="none"/>
              </w:rPr>
            </w:pPr>
            <w:r>
              <w:rPr>
                <w:rFonts w:hint="default" w:ascii="Times New Roman" w:hAnsi="Times New Roman" w:cs="Times New Roman"/>
                <w:b/>
                <w:bCs/>
                <w:color w:val="auto"/>
                <w:spacing w:val="-1"/>
                <w:sz w:val="21"/>
                <w:szCs w:val="21"/>
                <w:highlight w:val="none"/>
              </w:rPr>
              <w:t>主要污染物</w:t>
            </w:r>
          </w:p>
        </w:tc>
      </w:tr>
      <w:tr w14:paraId="3B288F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3" w:type="dxa"/>
            <w:tcBorders>
              <w:tl2br w:val="nil"/>
              <w:tr2bl w:val="nil"/>
            </w:tcBorders>
            <w:vAlign w:val="center"/>
          </w:tcPr>
          <w:p w14:paraId="7F6EEEEB">
            <w:pPr>
              <w:pStyle w:val="47"/>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选矿厂</w:t>
            </w:r>
          </w:p>
        </w:tc>
        <w:tc>
          <w:tcPr>
            <w:tcW w:w="1499" w:type="dxa"/>
            <w:tcBorders>
              <w:tl2br w:val="nil"/>
              <w:tr2bl w:val="nil"/>
            </w:tcBorders>
            <w:vAlign w:val="center"/>
          </w:tcPr>
          <w:p w14:paraId="03525500">
            <w:pPr>
              <w:pStyle w:val="47"/>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选矿废水输送管线破裂</w:t>
            </w:r>
          </w:p>
        </w:tc>
        <w:tc>
          <w:tcPr>
            <w:tcW w:w="4515" w:type="dxa"/>
            <w:tcBorders>
              <w:tl2br w:val="nil"/>
              <w:tr2bl w:val="nil"/>
            </w:tcBorders>
            <w:vAlign w:val="center"/>
          </w:tcPr>
          <w:p w14:paraId="2756FC03">
            <w:pPr>
              <w:pStyle w:val="47"/>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选矿废水输送管线破裂，造成污染物</w:t>
            </w:r>
            <w:r>
              <w:rPr>
                <w:rFonts w:hint="eastAsia" w:cs="Times New Roman"/>
                <w:color w:val="auto"/>
                <w:spacing w:val="-1"/>
                <w:sz w:val="21"/>
                <w:szCs w:val="21"/>
                <w:highlight w:val="none"/>
                <w:lang w:eastAsia="zh-CN"/>
              </w:rPr>
              <w:t>泄漏</w:t>
            </w:r>
            <w:r>
              <w:rPr>
                <w:rFonts w:hint="default" w:ascii="Times New Roman" w:hAnsi="Times New Roman" w:cs="Times New Roman"/>
                <w:color w:val="auto"/>
                <w:spacing w:val="-1"/>
                <w:sz w:val="21"/>
                <w:szCs w:val="21"/>
                <w:highlight w:val="none"/>
              </w:rPr>
              <w:t>通过入渗途径进入周边土壤环境造成污染</w:t>
            </w:r>
          </w:p>
        </w:tc>
        <w:tc>
          <w:tcPr>
            <w:tcW w:w="1402" w:type="dxa"/>
            <w:tcBorders>
              <w:tl2br w:val="nil"/>
              <w:tr2bl w:val="nil"/>
            </w:tcBorders>
            <w:vAlign w:val="center"/>
          </w:tcPr>
          <w:p w14:paraId="01477ED8">
            <w:pPr>
              <w:pStyle w:val="47"/>
              <w:spacing w:line="360" w:lineRule="exact"/>
              <w:ind w:firstLine="0" w:firstLineChars="0"/>
              <w:jc w:val="center"/>
              <w:rPr>
                <w:rFonts w:hint="default" w:ascii="Times New Roman" w:hAnsi="Times New Roman" w:eastAsia="宋体" w:cs="Times New Roman"/>
                <w:color w:val="auto"/>
                <w:spacing w:val="-1"/>
                <w:sz w:val="21"/>
                <w:szCs w:val="21"/>
                <w:highlight w:val="none"/>
                <w:lang w:val="en-US" w:eastAsia="zh-CN"/>
              </w:rPr>
            </w:pPr>
            <w:r>
              <w:rPr>
                <w:rFonts w:hint="eastAsia" w:cs="Times New Roman"/>
                <w:color w:val="auto"/>
                <w:spacing w:val="-1"/>
                <w:sz w:val="21"/>
                <w:szCs w:val="21"/>
                <w:highlight w:val="none"/>
                <w:lang w:val="en-US" w:eastAsia="zh-CN"/>
              </w:rPr>
              <w:t>汞</w:t>
            </w:r>
          </w:p>
        </w:tc>
      </w:tr>
      <w:tr w14:paraId="784111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3" w:type="dxa"/>
            <w:tcBorders>
              <w:tl2br w:val="nil"/>
              <w:tr2bl w:val="nil"/>
            </w:tcBorders>
            <w:vAlign w:val="center"/>
          </w:tcPr>
          <w:p w14:paraId="413A65E9">
            <w:pPr>
              <w:pStyle w:val="47"/>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选矿厂</w:t>
            </w:r>
          </w:p>
        </w:tc>
        <w:tc>
          <w:tcPr>
            <w:tcW w:w="1499" w:type="dxa"/>
            <w:tcBorders>
              <w:tl2br w:val="nil"/>
              <w:tr2bl w:val="nil"/>
            </w:tcBorders>
            <w:vAlign w:val="center"/>
          </w:tcPr>
          <w:p w14:paraId="410C605E">
            <w:pPr>
              <w:pStyle w:val="47"/>
              <w:spacing w:line="360" w:lineRule="exact"/>
              <w:ind w:firstLine="0" w:firstLineChars="0"/>
              <w:jc w:val="center"/>
              <w:rPr>
                <w:rFonts w:hint="default" w:ascii="Times New Roman" w:hAnsi="Times New Roman" w:eastAsia="宋体" w:cs="Times New Roman"/>
                <w:color w:val="auto"/>
                <w:spacing w:val="-1"/>
                <w:sz w:val="21"/>
                <w:szCs w:val="21"/>
                <w:highlight w:val="none"/>
                <w:lang w:val="en-US" w:eastAsia="zh-CN"/>
              </w:rPr>
            </w:pPr>
            <w:r>
              <w:rPr>
                <w:rFonts w:hint="eastAsia" w:cs="Times New Roman"/>
                <w:color w:val="auto"/>
                <w:spacing w:val="-1"/>
                <w:sz w:val="21"/>
                <w:szCs w:val="21"/>
                <w:highlight w:val="none"/>
                <w:lang w:val="en-US" w:eastAsia="zh-CN"/>
              </w:rPr>
              <w:t>选矿厂废气处置设施故障</w:t>
            </w:r>
          </w:p>
        </w:tc>
        <w:tc>
          <w:tcPr>
            <w:tcW w:w="4515" w:type="dxa"/>
            <w:tcBorders>
              <w:tl2br w:val="nil"/>
              <w:tr2bl w:val="nil"/>
            </w:tcBorders>
            <w:vAlign w:val="center"/>
          </w:tcPr>
          <w:p w14:paraId="5EFD2668">
            <w:pPr>
              <w:pStyle w:val="47"/>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通过大气沉降飘入表层土壤，造成表层土壤污染</w:t>
            </w:r>
          </w:p>
        </w:tc>
        <w:tc>
          <w:tcPr>
            <w:tcW w:w="1402" w:type="dxa"/>
            <w:tcBorders>
              <w:tl2br w:val="nil"/>
              <w:tr2bl w:val="nil"/>
            </w:tcBorders>
            <w:vAlign w:val="center"/>
          </w:tcPr>
          <w:p w14:paraId="0D1B5DFE">
            <w:pPr>
              <w:pStyle w:val="47"/>
              <w:spacing w:line="360" w:lineRule="exact"/>
              <w:ind w:firstLine="0" w:firstLineChars="0"/>
              <w:jc w:val="center"/>
              <w:rPr>
                <w:rFonts w:hint="eastAsia" w:cs="Times New Roman"/>
                <w:color w:val="auto"/>
                <w:spacing w:val="-1"/>
                <w:sz w:val="21"/>
                <w:szCs w:val="21"/>
                <w:highlight w:val="none"/>
                <w:lang w:val="en-US" w:eastAsia="zh-CN"/>
              </w:rPr>
            </w:pPr>
            <w:r>
              <w:rPr>
                <w:rFonts w:hint="default" w:ascii="Times New Roman" w:hAnsi="Times New Roman" w:cs="Times New Roman"/>
                <w:bCs/>
                <w:color w:val="auto"/>
                <w:sz w:val="21"/>
                <w:szCs w:val="21"/>
                <w:highlight w:val="none"/>
              </w:rPr>
              <w:t>氟化物</w:t>
            </w:r>
          </w:p>
        </w:tc>
      </w:tr>
      <w:tr w14:paraId="4CE65E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3" w:type="dxa"/>
            <w:tcBorders>
              <w:tl2br w:val="nil"/>
              <w:tr2bl w:val="nil"/>
            </w:tcBorders>
            <w:vAlign w:val="center"/>
          </w:tcPr>
          <w:p w14:paraId="78CD69CB">
            <w:pPr>
              <w:pStyle w:val="47"/>
              <w:spacing w:before="0" w:line="360" w:lineRule="exact"/>
              <w:ind w:firstLine="0" w:firstLineChars="0"/>
              <w:jc w:val="center"/>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cs="Times New Roman"/>
                <w:color w:val="auto"/>
                <w:spacing w:val="-1"/>
                <w:sz w:val="21"/>
                <w:szCs w:val="21"/>
                <w:highlight w:val="none"/>
                <w:lang w:val="en-US" w:eastAsia="zh-CN"/>
              </w:rPr>
              <w:t>尾矿库</w:t>
            </w:r>
          </w:p>
        </w:tc>
        <w:tc>
          <w:tcPr>
            <w:tcW w:w="1499" w:type="dxa"/>
            <w:tcBorders>
              <w:tl2br w:val="nil"/>
              <w:tr2bl w:val="nil"/>
            </w:tcBorders>
            <w:vAlign w:val="center"/>
          </w:tcPr>
          <w:p w14:paraId="4AEADD3E">
            <w:pPr>
              <w:pStyle w:val="47"/>
              <w:spacing w:before="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尾矿库溃坝</w:t>
            </w:r>
          </w:p>
        </w:tc>
        <w:tc>
          <w:tcPr>
            <w:tcW w:w="4515" w:type="dxa"/>
            <w:tcBorders>
              <w:tl2br w:val="nil"/>
              <w:tr2bl w:val="nil"/>
            </w:tcBorders>
            <w:vAlign w:val="center"/>
          </w:tcPr>
          <w:p w14:paraId="000A427F">
            <w:pPr>
              <w:pStyle w:val="47"/>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尾矿库溃坝，造成污染物经地面径流进入周围土壤环境造成污染</w:t>
            </w:r>
          </w:p>
        </w:tc>
        <w:tc>
          <w:tcPr>
            <w:tcW w:w="1402" w:type="dxa"/>
            <w:tcBorders>
              <w:tl2br w:val="nil"/>
              <w:tr2bl w:val="nil"/>
            </w:tcBorders>
            <w:vAlign w:val="center"/>
          </w:tcPr>
          <w:p w14:paraId="3CBFDE7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pacing w:val="-1"/>
                <w:sz w:val="21"/>
                <w:szCs w:val="21"/>
                <w:highlight w:val="none"/>
              </w:rPr>
            </w:pPr>
            <w:r>
              <w:rPr>
                <w:rFonts w:hint="eastAsia" w:cs="Times New Roman"/>
                <w:color w:val="auto"/>
                <w:spacing w:val="-1"/>
                <w:sz w:val="21"/>
                <w:szCs w:val="21"/>
                <w:highlight w:val="none"/>
                <w:lang w:val="en-US" w:eastAsia="zh-CN"/>
              </w:rPr>
              <w:t>汞</w:t>
            </w:r>
          </w:p>
        </w:tc>
      </w:tr>
      <w:tr w14:paraId="68E79A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3" w:type="dxa"/>
            <w:tcBorders>
              <w:tl2br w:val="nil"/>
              <w:tr2bl w:val="nil"/>
            </w:tcBorders>
            <w:vAlign w:val="center"/>
          </w:tcPr>
          <w:p w14:paraId="6034608E">
            <w:pPr>
              <w:pStyle w:val="47"/>
              <w:spacing w:before="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z w:val="21"/>
                <w:szCs w:val="21"/>
                <w:highlight w:val="none"/>
              </w:rPr>
              <w:t>尾矿库</w:t>
            </w:r>
          </w:p>
        </w:tc>
        <w:tc>
          <w:tcPr>
            <w:tcW w:w="1499" w:type="dxa"/>
            <w:tcBorders>
              <w:tl2br w:val="nil"/>
              <w:tr2bl w:val="nil"/>
            </w:tcBorders>
            <w:vAlign w:val="center"/>
          </w:tcPr>
          <w:p w14:paraId="5F1B6097">
            <w:pPr>
              <w:pStyle w:val="47"/>
              <w:spacing w:before="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防渗膜破裂</w:t>
            </w:r>
          </w:p>
        </w:tc>
        <w:tc>
          <w:tcPr>
            <w:tcW w:w="4515" w:type="dxa"/>
            <w:tcBorders>
              <w:tl2br w:val="nil"/>
              <w:tr2bl w:val="nil"/>
            </w:tcBorders>
            <w:vAlign w:val="center"/>
          </w:tcPr>
          <w:p w14:paraId="022EB9EE">
            <w:pPr>
              <w:pStyle w:val="47"/>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尾矿库防渗膜破裂，造成污染物通过裂缝下渗，进入土壤，造成污染</w:t>
            </w:r>
          </w:p>
        </w:tc>
        <w:tc>
          <w:tcPr>
            <w:tcW w:w="1402" w:type="dxa"/>
            <w:tcBorders>
              <w:tl2br w:val="nil"/>
              <w:tr2bl w:val="nil"/>
            </w:tcBorders>
            <w:vAlign w:val="center"/>
          </w:tcPr>
          <w:p w14:paraId="401E6B9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pacing w:val="-1"/>
                <w:sz w:val="21"/>
                <w:szCs w:val="21"/>
                <w:highlight w:val="none"/>
              </w:rPr>
            </w:pPr>
            <w:r>
              <w:rPr>
                <w:rFonts w:hint="eastAsia" w:cs="Times New Roman"/>
                <w:color w:val="auto"/>
                <w:spacing w:val="-1"/>
                <w:sz w:val="21"/>
                <w:szCs w:val="21"/>
                <w:highlight w:val="none"/>
                <w:lang w:val="en-US" w:eastAsia="zh-CN"/>
              </w:rPr>
              <w:t>汞</w:t>
            </w:r>
          </w:p>
        </w:tc>
      </w:tr>
      <w:tr w14:paraId="4D6ACE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03" w:type="dxa"/>
            <w:tcBorders>
              <w:tl2br w:val="nil"/>
              <w:tr2bl w:val="nil"/>
            </w:tcBorders>
            <w:vAlign w:val="center"/>
          </w:tcPr>
          <w:p w14:paraId="2A9193AE">
            <w:pPr>
              <w:pStyle w:val="47"/>
              <w:spacing w:before="0" w:line="360" w:lineRule="exact"/>
              <w:ind w:firstLine="0" w:firstLineChars="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rPr>
              <w:t>尾矿库</w:t>
            </w:r>
          </w:p>
        </w:tc>
        <w:tc>
          <w:tcPr>
            <w:tcW w:w="1499" w:type="dxa"/>
            <w:tcBorders>
              <w:tl2br w:val="nil"/>
              <w:tr2bl w:val="nil"/>
            </w:tcBorders>
            <w:vAlign w:val="center"/>
          </w:tcPr>
          <w:p w14:paraId="16BE37D2">
            <w:pPr>
              <w:pStyle w:val="47"/>
              <w:spacing w:before="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尾矿库扬尘</w:t>
            </w:r>
          </w:p>
        </w:tc>
        <w:tc>
          <w:tcPr>
            <w:tcW w:w="4515" w:type="dxa"/>
            <w:tcBorders>
              <w:tl2br w:val="nil"/>
              <w:tr2bl w:val="nil"/>
            </w:tcBorders>
            <w:vAlign w:val="center"/>
          </w:tcPr>
          <w:p w14:paraId="1B5D9CDF">
            <w:pPr>
              <w:pStyle w:val="47"/>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通过大气沉降飘入表层土壤，造成表层土壤污染</w:t>
            </w:r>
          </w:p>
        </w:tc>
        <w:tc>
          <w:tcPr>
            <w:tcW w:w="1402" w:type="dxa"/>
            <w:tcBorders>
              <w:tl2br w:val="nil"/>
              <w:tr2bl w:val="nil"/>
            </w:tcBorders>
            <w:vAlign w:val="center"/>
          </w:tcPr>
          <w:p w14:paraId="0A2ADC70">
            <w:pPr>
              <w:pStyle w:val="47"/>
              <w:spacing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bCs/>
                <w:color w:val="auto"/>
                <w:sz w:val="21"/>
                <w:szCs w:val="21"/>
                <w:highlight w:val="none"/>
              </w:rPr>
              <w:t>颗粒物</w:t>
            </w:r>
          </w:p>
        </w:tc>
      </w:tr>
    </w:tbl>
    <w:p w14:paraId="37140BD5">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5.2.6.3土壤环境影响定性分析与类比评价</w:t>
      </w:r>
    </w:p>
    <w:p w14:paraId="5FFB4CAF">
      <w:pPr>
        <w:pStyle w:val="43"/>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（1）源头控制与过程防控措施简述</w:t>
      </w:r>
    </w:p>
    <w:p w14:paraId="46C576F5">
      <w:pPr>
        <w:pStyle w:val="43"/>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本项目从源头和过程两个层面采取了针对性措施：</w:t>
      </w:r>
    </w:p>
    <w:p w14:paraId="2AA2096A">
      <w:pPr>
        <w:pStyle w:val="43"/>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废水控制：选矿废水</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闭路循环</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不外排；生活污水经化粪池处理后定期清运；锅炉废水</w:t>
      </w:r>
      <w:r>
        <w:rPr>
          <w:rFonts w:hint="eastAsia" w:cs="Times New Roman"/>
          <w:color w:val="auto"/>
          <w:szCs w:val="24"/>
          <w:highlight w:val="none"/>
          <w:lang w:val="en-US" w:eastAsia="zh-CN"/>
        </w:rPr>
        <w:t>综合</w:t>
      </w:r>
      <w:r>
        <w:rPr>
          <w:rFonts w:hint="default" w:ascii="Times New Roman" w:hAnsi="Times New Roman" w:cs="Times New Roman"/>
          <w:color w:val="auto"/>
          <w:szCs w:val="24"/>
          <w:highlight w:val="none"/>
        </w:rPr>
        <w:t>回用于生产。</w:t>
      </w:r>
    </w:p>
    <w:p w14:paraId="743678EE">
      <w:pPr>
        <w:pStyle w:val="43"/>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固废控制：尾矿砂为第Ⅰ类一般工业固体废物，全部排入按规范设计的尾矿库；危险废物（废机油等）暂存于危废贮存点，委托有资质单位处置。</w:t>
      </w:r>
    </w:p>
    <w:p w14:paraId="22D9E1B3">
      <w:pPr>
        <w:pStyle w:val="43"/>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分区防渗：重点防渗区（危废贮存点）防渗性能不低于6.0m厚、渗透系数≤1.0×10</w:t>
      </w:r>
      <w:r>
        <w:rPr>
          <w:rFonts w:hint="eastAsia" w:cs="Times New Roman"/>
          <w:color w:val="auto"/>
          <w:szCs w:val="24"/>
          <w:highlight w:val="none"/>
          <w:vertAlign w:val="superscript"/>
          <w:lang w:val="en-US" w:eastAsia="zh-CN"/>
        </w:rPr>
        <w:t>-7</w:t>
      </w:r>
      <w:r>
        <w:rPr>
          <w:rFonts w:hint="default" w:ascii="Times New Roman" w:hAnsi="Times New Roman" w:cs="Times New Roman"/>
          <w:color w:val="auto"/>
          <w:szCs w:val="24"/>
          <w:highlight w:val="none"/>
        </w:rPr>
        <w:t>cm/s的黏土层；一般防渗区（尾矿库、选矿厂房等）防渗性能不低于1.5m厚、渗透系数≤1.0×10</w:t>
      </w:r>
      <w:r>
        <w:rPr>
          <w:rFonts w:hint="eastAsia" w:cs="Times New Roman"/>
          <w:color w:val="auto"/>
          <w:szCs w:val="24"/>
          <w:highlight w:val="none"/>
          <w:vertAlign w:val="superscript"/>
          <w:lang w:val="en-US" w:eastAsia="zh-CN"/>
        </w:rPr>
        <w:t>-7</w:t>
      </w:r>
      <w:r>
        <w:rPr>
          <w:rFonts w:hint="default" w:ascii="Times New Roman" w:hAnsi="Times New Roman" w:cs="Times New Roman"/>
          <w:color w:val="auto"/>
          <w:szCs w:val="24"/>
          <w:highlight w:val="none"/>
        </w:rPr>
        <w:t>cm/s的黏土层。尾矿库全库区铺设1.0mm厚HDPE土工膜。</w:t>
      </w:r>
    </w:p>
    <w:p w14:paraId="6B61C252">
      <w:pPr>
        <w:pStyle w:val="43"/>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事故应急：选矿车间外设置240m</w:t>
      </w:r>
      <w:r>
        <w:rPr>
          <w:rFonts w:hint="eastAsia" w:cs="Times New Roman"/>
          <w:color w:val="auto"/>
          <w:szCs w:val="24"/>
          <w:highlight w:val="none"/>
          <w:vertAlign w:val="superscript"/>
          <w:lang w:val="en-US" w:eastAsia="zh-CN"/>
        </w:rPr>
        <w:t>3</w:t>
      </w:r>
      <w:r>
        <w:rPr>
          <w:rFonts w:hint="default" w:ascii="Times New Roman" w:hAnsi="Times New Roman" w:cs="Times New Roman"/>
          <w:color w:val="auto"/>
          <w:szCs w:val="24"/>
          <w:highlight w:val="none"/>
        </w:rPr>
        <w:t>事故池，尾矿库设置350m</w:t>
      </w:r>
      <w:r>
        <w:rPr>
          <w:rFonts w:hint="eastAsia" w:cs="Times New Roman"/>
          <w:color w:val="auto"/>
          <w:szCs w:val="24"/>
          <w:highlight w:val="none"/>
          <w:vertAlign w:val="superscript"/>
          <w:lang w:val="en-US" w:eastAsia="zh-CN"/>
        </w:rPr>
        <w:t>3</w:t>
      </w:r>
      <w:r>
        <w:rPr>
          <w:rFonts w:hint="default" w:ascii="Times New Roman" w:hAnsi="Times New Roman" w:cs="Times New Roman"/>
          <w:color w:val="auto"/>
          <w:szCs w:val="24"/>
          <w:highlight w:val="none"/>
        </w:rPr>
        <w:t>事故池，确保事故状态下废水或矿浆不外排。</w:t>
      </w:r>
    </w:p>
    <w:p w14:paraId="277D054C">
      <w:pPr>
        <w:pStyle w:val="43"/>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（2）不同影响途径的定性分析</w:t>
      </w:r>
    </w:p>
    <w:p w14:paraId="20BFA0AE">
      <w:pPr>
        <w:pStyle w:val="43"/>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①垂直入渗（废水管线破裂/防渗膜破裂）</w:t>
      </w:r>
    </w:p>
    <w:p w14:paraId="69F89652">
      <w:pPr>
        <w:pStyle w:val="43"/>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类比国内萤石选矿项目（如内蒙古达茂旗萤石矿区）的土壤调查结果，未采取有效防渗措施时，尾矿库及选矿废水收集区域土壤中氟化物、重金属等污染物存在明显累积，超标风险较高。而同类采取全库区HDPE膜防渗和分区防渗的规范项目（如浙江某绿色矿山萤石选厂），运行5年以上周边土壤氟化物含量仍可维持在背景值附近，未出现显著累积趋势。本项目防渗标准不低于类比规范项目，在落实防渗措施的前提下，垂直入渗对土壤的影响可控。</w:t>
      </w:r>
    </w:p>
    <w:p w14:paraId="3522B92A">
      <w:pPr>
        <w:pStyle w:val="43"/>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②大气沉降（</w:t>
      </w:r>
      <w:r>
        <w:rPr>
          <w:rFonts w:hint="eastAsia" w:cs="Times New Roman"/>
          <w:color w:val="auto"/>
          <w:szCs w:val="24"/>
          <w:highlight w:val="none"/>
          <w:lang w:val="en-US" w:eastAsia="zh-CN"/>
        </w:rPr>
        <w:t>选矿厂</w:t>
      </w:r>
      <w:r>
        <w:rPr>
          <w:rFonts w:hint="default" w:ascii="Times New Roman" w:hAnsi="Times New Roman" w:cs="Times New Roman"/>
          <w:color w:val="auto"/>
          <w:szCs w:val="24"/>
          <w:highlight w:val="none"/>
        </w:rPr>
        <w:t>废气</w:t>
      </w:r>
      <w:r>
        <w:rPr>
          <w:rFonts w:hint="eastAsia" w:cs="Times New Roman"/>
          <w:color w:val="auto"/>
          <w:szCs w:val="24"/>
          <w:highlight w:val="none"/>
          <w:lang w:val="en-US" w:eastAsia="zh-CN"/>
        </w:rPr>
        <w:t>处理设施</w:t>
      </w:r>
      <w:r>
        <w:rPr>
          <w:rFonts w:hint="default" w:ascii="Times New Roman" w:hAnsi="Times New Roman" w:cs="Times New Roman"/>
          <w:color w:val="auto"/>
          <w:szCs w:val="24"/>
          <w:highlight w:val="none"/>
        </w:rPr>
        <w:t>故障/尾矿库扬尘）</w:t>
      </w:r>
    </w:p>
    <w:p w14:paraId="7ED60954">
      <w:pPr>
        <w:pStyle w:val="43"/>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参考海南三平萤石矿废弃地土壤氟污染空间分布研究，选矿厂及尾矿库周边表层土壤氟含量随距离增加而降低，表明大气扩散沉降是污染物向周边土壤迁移的重要途径。本项目破碎筛分车间采用密闭厂房+</w:t>
      </w:r>
      <w:r>
        <w:rPr>
          <w:rFonts w:hint="eastAsia" w:cs="Times New Roman"/>
          <w:color w:val="auto"/>
          <w:szCs w:val="24"/>
          <w:highlight w:val="none"/>
          <w:lang w:val="en-US" w:eastAsia="zh-CN"/>
        </w:rPr>
        <w:t>集气罩</w:t>
      </w:r>
      <w:r>
        <w:rPr>
          <w:rFonts w:hint="default" w:ascii="Times New Roman" w:hAnsi="Times New Roman" w:cs="Times New Roman"/>
          <w:color w:val="auto"/>
          <w:szCs w:val="24"/>
          <w:highlight w:val="none"/>
        </w:rPr>
        <w:t>+</w:t>
      </w:r>
      <w:r>
        <w:rPr>
          <w:rFonts w:hint="eastAsia" w:cs="Times New Roman"/>
          <w:color w:val="auto"/>
          <w:szCs w:val="24"/>
          <w:highlight w:val="none"/>
          <w:lang w:val="en-US" w:eastAsia="zh-CN"/>
        </w:rPr>
        <w:t>脉冲</w:t>
      </w:r>
      <w:r>
        <w:rPr>
          <w:rFonts w:hint="default" w:ascii="Times New Roman" w:hAnsi="Times New Roman" w:cs="Times New Roman"/>
          <w:color w:val="auto"/>
          <w:szCs w:val="24"/>
          <w:highlight w:val="none"/>
        </w:rPr>
        <w:t>布袋除尘器（除尘效率≥99%），氟化物有组织排放浓度满足《大气污染物综合排放标准》；尾矿库采用湿式堆存和均匀分散放矿，保持滩面湿润，起尘量极小（估算排放速率仅0.000502kg/h）。在除尘设施正常运行和规范放矿管理条件下，大气沉降对周边土壤的氟化物增量贡献甚微。</w:t>
      </w:r>
    </w:p>
    <w:p w14:paraId="712BDCFE">
      <w:pPr>
        <w:pStyle w:val="43"/>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③地面漫流（尾矿库溃坝）</w:t>
      </w:r>
    </w:p>
    <w:p w14:paraId="31FC9FD7">
      <w:pPr>
        <w:pStyle w:val="43"/>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溃坝事故属低概率高风险事件。浙江大金庄矿业有限公司萤石矿尾矿库溃坝事故案例表明，溃坝会导致尾砂大量下泄，对下游土壤造成毁灭性破坏。本项目尾矿库严格按《尾矿设施设计规范》（GB50863-2013）设计，采用一次建坝分期建设，设置溢洪道排洪系统，下游建设拦挡坝，并布设在线安全监测系统（坝体位移、浸润线、库水位）。通过严格设计、规范运行和定期维护，可最大限度降低溃坝风险，将漫流影响控制在可接受范围。</w:t>
      </w:r>
    </w:p>
    <w:p w14:paraId="6AAA09FD">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5.2.6.</w:t>
      </w:r>
      <w:r>
        <w:rPr>
          <w:rFonts w:hint="eastAsia" w:cs="Times New Roman"/>
          <w:color w:val="auto"/>
          <w:highlight w:val="none"/>
          <w:lang w:val="en-US" w:eastAsia="zh-CN"/>
        </w:rPr>
        <w:t>4</w:t>
      </w:r>
      <w:r>
        <w:rPr>
          <w:rFonts w:hint="default" w:ascii="Times New Roman" w:hAnsi="Times New Roman" w:cs="Times New Roman"/>
          <w:color w:val="auto"/>
          <w:highlight w:val="none"/>
        </w:rPr>
        <w:t>土壤环境保护措施与跟踪监测计划</w:t>
      </w:r>
    </w:p>
    <w:p w14:paraId="6A7C86A7">
      <w:pPr>
        <w:pStyle w:val="43"/>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根据</w:t>
      </w:r>
      <w:r>
        <w:rPr>
          <w:rFonts w:hint="default" w:ascii="Times New Roman" w:hAnsi="Times New Roman" w:cs="Times New Roman"/>
          <w:color w:val="auto"/>
          <w:highlight w:val="none"/>
          <w:lang w:val="zh-CN"/>
        </w:rPr>
        <w:t xml:space="preserve">《环境影响评价技术导则 </w:t>
      </w:r>
      <w:r>
        <w:rPr>
          <w:rFonts w:hint="default" w:ascii="Times New Roman" w:hAnsi="Times New Roman" w:cs="Times New Roman"/>
          <w:color w:val="auto"/>
          <w:highlight w:val="none"/>
        </w:rPr>
        <w:t>土壤环境</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试行</w:t>
      </w:r>
      <w:r>
        <w:rPr>
          <w:rFonts w:hint="default" w:ascii="Times New Roman" w:hAnsi="Times New Roman" w:cs="Times New Roman"/>
          <w:color w:val="auto"/>
          <w:highlight w:val="none"/>
          <w:lang w:val="zh-CN"/>
        </w:rPr>
        <w:t>）》（HJ</w:t>
      </w:r>
      <w:r>
        <w:rPr>
          <w:rFonts w:hint="default" w:ascii="Times New Roman" w:hAnsi="Times New Roman" w:cs="Times New Roman"/>
          <w:color w:val="auto"/>
          <w:highlight w:val="none"/>
        </w:rPr>
        <w:t>964-2018</w:t>
      </w:r>
      <w:r>
        <w:rPr>
          <w:rFonts w:hint="default" w:ascii="Times New Roman" w:hAnsi="Times New Roman" w:cs="Times New Roman"/>
          <w:color w:val="auto"/>
          <w:highlight w:val="none"/>
          <w:lang w:val="zh-CN"/>
        </w:rPr>
        <w:t>）</w:t>
      </w:r>
      <w:r>
        <w:rPr>
          <w:rFonts w:hint="eastAsia" w:cs="Times New Roman"/>
          <w:color w:val="auto"/>
          <w:highlight w:val="none"/>
          <w:lang w:val="en-US" w:eastAsia="zh-CN"/>
        </w:rPr>
        <w:t>中“</w:t>
      </w:r>
      <w:r>
        <w:rPr>
          <w:rFonts w:hint="default" w:ascii="Times New Roman" w:hAnsi="Times New Roman" w:cs="Times New Roman"/>
          <w:color w:val="auto"/>
          <w:szCs w:val="24"/>
          <w:highlight w:val="none"/>
        </w:rPr>
        <w:t>简单评价</w:t>
      </w:r>
      <w:r>
        <w:rPr>
          <w:rFonts w:hint="eastAsia" w:cs="Times New Roman"/>
          <w:color w:val="auto"/>
          <w:highlight w:val="none"/>
          <w:lang w:val="en-US" w:eastAsia="zh-CN"/>
        </w:rPr>
        <w:t>”</w:t>
      </w:r>
      <w:r>
        <w:rPr>
          <w:rFonts w:hint="default" w:ascii="Times New Roman" w:hAnsi="Times New Roman" w:cs="Times New Roman"/>
          <w:color w:val="auto"/>
          <w:szCs w:val="24"/>
          <w:highlight w:val="none"/>
        </w:rPr>
        <w:t>要求，提出以下土壤环境保护与管理措施：</w:t>
      </w:r>
    </w:p>
    <w:p w14:paraId="71DA241B">
      <w:pPr>
        <w:pStyle w:val="43"/>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源头控制：加强生产管理和设备维护，杜绝废水的</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跑、冒、滴、漏</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；确保废水处理设施和回用系统的稳定运行；定期检查尾矿库防渗膜的完整性。</w:t>
      </w:r>
    </w:p>
    <w:p w14:paraId="4C09E728">
      <w:pPr>
        <w:pStyle w:val="43"/>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过程防控：严格落实分区防渗设计，特别是尾矿库全库区HDPE膜防渗和危废贮存点的重点防渗；设置足够容量的事故池，确保事故状态下污染物不漫流。</w:t>
      </w:r>
    </w:p>
    <w:p w14:paraId="79475DFD">
      <w:pPr>
        <w:pStyle w:val="43"/>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t>跟踪监测：虽评价等级为简单评价，但为掌握土壤环境变化趋势，建议制定跟踪监测计划。在选矿厂和尾矿库周边设置2～3个土壤跟踪监测点，监测因子为</w:t>
      </w:r>
      <w:r>
        <w:rPr>
          <w:rFonts w:hint="eastAsia" w:cs="Times New Roman"/>
          <w:color w:val="auto"/>
          <w:szCs w:val="24"/>
          <w:highlight w:val="none"/>
          <w:lang w:val="en-US" w:eastAsia="zh-CN"/>
        </w:rPr>
        <w:t>主要为</w:t>
      </w:r>
      <w:r>
        <w:rPr>
          <w:rFonts w:hint="default" w:ascii="Times New Roman" w:hAnsi="Times New Roman" w:cs="Times New Roman"/>
          <w:color w:val="auto"/>
          <w:szCs w:val="24"/>
          <w:highlight w:val="none"/>
        </w:rPr>
        <w:t>pH、氟化物、汞</w:t>
      </w:r>
      <w:r>
        <w:rPr>
          <w:rFonts w:hint="eastAsia" w:cs="Times New Roman"/>
          <w:color w:val="auto"/>
          <w:szCs w:val="24"/>
          <w:highlight w:val="none"/>
          <w:lang w:val="en-US" w:eastAsia="zh-CN"/>
        </w:rPr>
        <w:t>等基本45项</w:t>
      </w:r>
      <w:r>
        <w:rPr>
          <w:rFonts w:hint="default" w:ascii="Times New Roman" w:hAnsi="Times New Roman" w:cs="Times New Roman"/>
          <w:color w:val="auto"/>
          <w:szCs w:val="24"/>
          <w:highlight w:val="none"/>
        </w:rPr>
        <w:t>，监测频次为</w:t>
      </w:r>
      <w:r>
        <w:rPr>
          <w:rFonts w:hint="eastAsia" w:cs="Times New Roman"/>
          <w:color w:val="auto"/>
          <w:szCs w:val="24"/>
          <w:highlight w:val="none"/>
          <w:lang w:val="en-US" w:eastAsia="zh-CN"/>
        </w:rPr>
        <w:t>1</w:t>
      </w:r>
      <w:r>
        <w:rPr>
          <w:rFonts w:hint="default" w:ascii="Times New Roman" w:hAnsi="Times New Roman" w:cs="Times New Roman"/>
          <w:color w:val="auto"/>
          <w:szCs w:val="24"/>
          <w:highlight w:val="none"/>
        </w:rPr>
        <w:t>年一次。监测结果应建立档案并向生态环境主管部门备案。</w:t>
      </w:r>
    </w:p>
    <w:p w14:paraId="1AF41140">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5.2.6.</w:t>
      </w:r>
      <w:r>
        <w:rPr>
          <w:rFonts w:hint="eastAsia" w:cs="Times New Roman"/>
          <w:color w:val="auto"/>
          <w:highlight w:val="none"/>
          <w:lang w:val="en-US" w:eastAsia="zh-CN"/>
        </w:rPr>
        <w:t>5</w:t>
      </w:r>
      <w:r>
        <w:rPr>
          <w:rFonts w:hint="default" w:ascii="Times New Roman" w:hAnsi="Times New Roman" w:cs="Times New Roman"/>
          <w:color w:val="auto"/>
          <w:highlight w:val="none"/>
        </w:rPr>
        <w:t>土壤环境影响自查表</w:t>
      </w:r>
    </w:p>
    <w:p w14:paraId="32A54A1F">
      <w:pPr>
        <w:adjustRightInd w:val="0"/>
        <w:snapToGrid w:val="0"/>
        <w:ind w:firstLine="0" w:firstLineChars="0"/>
        <w:jc w:val="center"/>
        <w:rPr>
          <w:rFonts w:hint="default" w:ascii="Times New Roman" w:hAnsi="Times New Roman" w:cs="Times New Roman"/>
          <w:b/>
          <w:snapToGrid w:val="0"/>
          <w:color w:val="auto"/>
          <w:kern w:val="0"/>
          <w:highlight w:val="none"/>
        </w:rPr>
      </w:pPr>
      <w:r>
        <w:rPr>
          <w:rFonts w:hint="default" w:ascii="Times New Roman" w:hAnsi="Times New Roman" w:cs="Times New Roman"/>
          <w:b/>
          <w:snapToGrid w:val="0"/>
          <w:color w:val="auto"/>
          <w:kern w:val="0"/>
          <w:highlight w:val="none"/>
        </w:rPr>
        <w:t>表5.2-28    土壤环境影响评价自查表</w:t>
      </w:r>
    </w:p>
    <w:tbl>
      <w:tblPr>
        <w:tblStyle w:val="33"/>
        <w:tblW w:w="8334"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383"/>
        <w:gridCol w:w="1557"/>
        <w:gridCol w:w="1216"/>
        <w:gridCol w:w="1377"/>
        <w:gridCol w:w="1457"/>
        <w:gridCol w:w="328"/>
        <w:gridCol w:w="981"/>
        <w:gridCol w:w="1035"/>
      </w:tblGrid>
      <w:tr w14:paraId="3F95D97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blHeader/>
          <w:jc w:val="center"/>
        </w:trPr>
        <w:tc>
          <w:tcPr>
            <w:tcW w:w="1940" w:type="dxa"/>
            <w:gridSpan w:val="2"/>
            <w:vAlign w:val="center"/>
          </w:tcPr>
          <w:p w14:paraId="09AEE33E">
            <w:pPr>
              <w:autoSpaceDE w:val="0"/>
              <w:autoSpaceDN w:val="0"/>
              <w:adjustRightInd w:val="0"/>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position w:val="-1"/>
                <w:sz w:val="21"/>
                <w:szCs w:val="21"/>
                <w:highlight w:val="none"/>
              </w:rPr>
              <w:t>工作内容</w:t>
            </w:r>
          </w:p>
        </w:tc>
        <w:tc>
          <w:tcPr>
            <w:tcW w:w="5359" w:type="dxa"/>
            <w:gridSpan w:val="5"/>
            <w:vAlign w:val="center"/>
          </w:tcPr>
          <w:p w14:paraId="17401678">
            <w:pPr>
              <w:autoSpaceDE w:val="0"/>
              <w:autoSpaceDN w:val="0"/>
              <w:adjustRightInd w:val="0"/>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position w:val="-1"/>
                <w:sz w:val="21"/>
                <w:szCs w:val="21"/>
                <w:highlight w:val="none"/>
              </w:rPr>
              <w:t>完成情况</w:t>
            </w:r>
          </w:p>
        </w:tc>
        <w:tc>
          <w:tcPr>
            <w:tcW w:w="1035" w:type="dxa"/>
            <w:vAlign w:val="center"/>
          </w:tcPr>
          <w:p w14:paraId="579F5A79">
            <w:pPr>
              <w:autoSpaceDE w:val="0"/>
              <w:autoSpaceDN w:val="0"/>
              <w:adjustRightInd w:val="0"/>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position w:val="-1"/>
                <w:sz w:val="21"/>
                <w:szCs w:val="21"/>
                <w:highlight w:val="none"/>
              </w:rPr>
              <w:t>备注</w:t>
            </w:r>
          </w:p>
        </w:tc>
      </w:tr>
      <w:tr w14:paraId="55A546B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restart"/>
            <w:vAlign w:val="center"/>
          </w:tcPr>
          <w:p w14:paraId="0D3E6107">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影</w:t>
            </w:r>
          </w:p>
          <w:p w14:paraId="0173BFCE">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 xml:space="preserve">响 </w:t>
            </w:r>
          </w:p>
          <w:p w14:paraId="7B232C17">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识</w:t>
            </w:r>
          </w:p>
          <w:p w14:paraId="5FC0687D">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别</w:t>
            </w:r>
          </w:p>
        </w:tc>
        <w:tc>
          <w:tcPr>
            <w:tcW w:w="1557" w:type="dxa"/>
            <w:vAlign w:val="center"/>
          </w:tcPr>
          <w:p w14:paraId="4D37BFD0">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影响类型</w:t>
            </w:r>
          </w:p>
        </w:tc>
        <w:tc>
          <w:tcPr>
            <w:tcW w:w="5359" w:type="dxa"/>
            <w:gridSpan w:val="5"/>
            <w:vAlign w:val="center"/>
          </w:tcPr>
          <w:p w14:paraId="05286495">
            <w:pPr>
              <w:autoSpaceDE w:val="0"/>
              <w:autoSpaceDN w:val="0"/>
              <w:adjustRightInd w:val="0"/>
              <w:spacing w:line="360" w:lineRule="exact"/>
              <w:ind w:firstLine="0" w:firstLine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position w:val="-1"/>
                <w:sz w:val="21"/>
                <w:szCs w:val="21"/>
                <w:highlight w:val="none"/>
              </w:rPr>
              <w:t>污染影响型</w:t>
            </w:r>
            <w:r>
              <w:rPr>
                <w:rFonts w:hint="eastAsia" w:ascii="Times New Roman" w:hAnsi="Times New Roman" w:eastAsia="宋体" w:cs="Times New Roman"/>
                <w:snapToGrid w:val="0"/>
                <w:color w:val="auto"/>
                <w:sz w:val="21"/>
                <w:szCs w:val="21"/>
                <w:highlight w:val="none"/>
                <w:lang w:eastAsia="zh-CN"/>
              </w:rPr>
              <w:t>☑</w:t>
            </w:r>
            <w:r>
              <w:rPr>
                <w:rFonts w:hint="default" w:ascii="Times New Roman" w:hAnsi="Times New Roman" w:cs="Times New Roman"/>
                <w:color w:val="auto"/>
                <w:kern w:val="0"/>
                <w:position w:val="-1"/>
                <w:sz w:val="21"/>
                <w:szCs w:val="21"/>
                <w:highlight w:val="none"/>
              </w:rPr>
              <w:t>；生态影响型</w:t>
            </w:r>
            <w:r>
              <w:rPr>
                <w:rFonts w:hint="default" w:ascii="Times New Roman" w:hAnsi="Times New Roman" w:eastAsia="宋体" w:cs="Times New Roman"/>
                <w:snapToGrid w:val="0"/>
                <w:color w:val="auto"/>
                <w:sz w:val="21"/>
                <w:szCs w:val="21"/>
                <w:highlight w:val="none"/>
              </w:rPr>
              <w:t>□</w:t>
            </w:r>
            <w:r>
              <w:rPr>
                <w:rFonts w:hint="default" w:ascii="Times New Roman" w:hAnsi="Times New Roman" w:cs="Times New Roman"/>
                <w:color w:val="auto"/>
                <w:kern w:val="0"/>
                <w:position w:val="-1"/>
                <w:sz w:val="21"/>
                <w:szCs w:val="21"/>
                <w:highlight w:val="none"/>
              </w:rPr>
              <w:t>；两种兼有</w:t>
            </w:r>
            <w:r>
              <w:rPr>
                <w:rFonts w:hint="default" w:ascii="Times New Roman" w:hAnsi="Times New Roman" w:eastAsia="宋体" w:cs="Times New Roman"/>
                <w:snapToGrid w:val="0"/>
                <w:color w:val="auto"/>
                <w:sz w:val="21"/>
                <w:szCs w:val="21"/>
                <w:highlight w:val="none"/>
              </w:rPr>
              <w:t>□</w:t>
            </w:r>
          </w:p>
        </w:tc>
        <w:tc>
          <w:tcPr>
            <w:tcW w:w="1035" w:type="dxa"/>
            <w:vAlign w:val="center"/>
          </w:tcPr>
          <w:p w14:paraId="40CB5341">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5378EB3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78CFCE07">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557" w:type="dxa"/>
            <w:vAlign w:val="center"/>
          </w:tcPr>
          <w:p w14:paraId="6D2C8071">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土地利用类型</w:t>
            </w:r>
          </w:p>
        </w:tc>
        <w:tc>
          <w:tcPr>
            <w:tcW w:w="5359" w:type="dxa"/>
            <w:gridSpan w:val="5"/>
            <w:vAlign w:val="center"/>
          </w:tcPr>
          <w:p w14:paraId="0E0973C5">
            <w:pPr>
              <w:autoSpaceDE w:val="0"/>
              <w:autoSpaceDN w:val="0"/>
              <w:adjustRightInd w:val="0"/>
              <w:spacing w:line="360" w:lineRule="exact"/>
              <w:ind w:firstLine="0" w:firstLine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rPr>
              <w:t>建设用地</w:t>
            </w:r>
            <w:r>
              <w:rPr>
                <w:rFonts w:hint="eastAsia" w:ascii="Times New Roman" w:hAnsi="Times New Roman" w:eastAsia="宋体" w:cs="Times New Roman"/>
                <w:snapToGrid w:val="0"/>
                <w:color w:val="auto"/>
                <w:sz w:val="21"/>
                <w:szCs w:val="21"/>
                <w:highlight w:val="none"/>
                <w:lang w:eastAsia="zh-CN"/>
              </w:rPr>
              <w:t>☑</w:t>
            </w:r>
            <w:r>
              <w:rPr>
                <w:rFonts w:hint="default" w:ascii="Times New Roman" w:hAnsi="Times New Roman" w:cs="Times New Roman"/>
                <w:color w:val="auto"/>
                <w:kern w:val="0"/>
                <w:sz w:val="21"/>
                <w:szCs w:val="21"/>
                <w:highlight w:val="none"/>
              </w:rPr>
              <w:t>；农用地</w:t>
            </w:r>
            <w:r>
              <w:rPr>
                <w:rFonts w:hint="default" w:ascii="Times New Roman" w:hAnsi="Times New Roman" w:eastAsia="宋体" w:cs="Times New Roman"/>
                <w:snapToGrid w:val="0"/>
                <w:color w:val="auto"/>
                <w:sz w:val="21"/>
                <w:szCs w:val="21"/>
                <w:highlight w:val="none"/>
              </w:rPr>
              <w:t>□</w:t>
            </w:r>
            <w:r>
              <w:rPr>
                <w:rFonts w:hint="default" w:ascii="Times New Roman" w:hAnsi="Times New Roman" w:cs="Times New Roman"/>
                <w:color w:val="auto"/>
                <w:kern w:val="0"/>
                <w:sz w:val="21"/>
                <w:szCs w:val="21"/>
                <w:highlight w:val="none"/>
              </w:rPr>
              <w:t>；未利用地</w:t>
            </w:r>
            <w:r>
              <w:rPr>
                <w:rFonts w:hint="default" w:ascii="Times New Roman" w:hAnsi="Times New Roman" w:eastAsia="宋体" w:cs="Times New Roman"/>
                <w:snapToGrid w:val="0"/>
                <w:color w:val="auto"/>
                <w:sz w:val="21"/>
                <w:szCs w:val="21"/>
                <w:highlight w:val="none"/>
              </w:rPr>
              <w:t>□</w:t>
            </w:r>
          </w:p>
        </w:tc>
        <w:tc>
          <w:tcPr>
            <w:tcW w:w="1035" w:type="dxa"/>
            <w:vAlign w:val="center"/>
          </w:tcPr>
          <w:p w14:paraId="22DC21EA">
            <w:pPr>
              <w:autoSpaceDE w:val="0"/>
              <w:autoSpaceDN w:val="0"/>
              <w:adjustRightInd w:val="0"/>
              <w:spacing w:line="360" w:lineRule="exact"/>
              <w:ind w:firstLine="0" w:firstLineChars="0"/>
              <w:jc w:val="center"/>
              <w:rPr>
                <w:rFonts w:hint="default" w:ascii="Times New Roman" w:hAnsi="Times New Roman" w:cs="Times New Roman"/>
                <w:color w:val="auto"/>
                <w:spacing w:val="10"/>
                <w:kern w:val="0"/>
                <w:position w:val="-1"/>
                <w:sz w:val="21"/>
                <w:szCs w:val="21"/>
                <w:highlight w:val="none"/>
              </w:rPr>
            </w:pPr>
            <w:r>
              <w:rPr>
                <w:rFonts w:hint="default" w:ascii="Times New Roman" w:hAnsi="Times New Roman" w:cs="Times New Roman"/>
                <w:color w:val="auto"/>
                <w:spacing w:val="10"/>
                <w:kern w:val="0"/>
                <w:position w:val="-1"/>
                <w:sz w:val="21"/>
                <w:szCs w:val="21"/>
                <w:highlight w:val="none"/>
              </w:rPr>
              <w:t>土</w:t>
            </w:r>
            <w:r>
              <w:rPr>
                <w:rFonts w:hint="default" w:ascii="Times New Roman" w:hAnsi="Times New Roman" w:cs="Times New Roman"/>
                <w:color w:val="auto"/>
                <w:spacing w:val="7"/>
                <w:kern w:val="0"/>
                <w:position w:val="-1"/>
                <w:sz w:val="21"/>
                <w:szCs w:val="21"/>
                <w:highlight w:val="none"/>
              </w:rPr>
              <w:t>地</w:t>
            </w:r>
            <w:r>
              <w:rPr>
                <w:rFonts w:hint="default" w:ascii="Times New Roman" w:hAnsi="Times New Roman" w:cs="Times New Roman"/>
                <w:color w:val="auto"/>
                <w:spacing w:val="10"/>
                <w:kern w:val="0"/>
                <w:position w:val="-1"/>
                <w:sz w:val="21"/>
                <w:szCs w:val="21"/>
                <w:highlight w:val="none"/>
              </w:rPr>
              <w:t>利用</w:t>
            </w:r>
          </w:p>
          <w:p w14:paraId="3C8C74B0">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类</w:t>
            </w:r>
            <w:r>
              <w:rPr>
                <w:rFonts w:hint="default" w:ascii="Times New Roman" w:hAnsi="Times New Roman" w:cs="Times New Roman"/>
                <w:color w:val="auto"/>
                <w:kern w:val="0"/>
                <w:sz w:val="21"/>
                <w:szCs w:val="21"/>
                <w:highlight w:val="none"/>
              </w:rPr>
              <w:t>型图</w:t>
            </w:r>
          </w:p>
        </w:tc>
      </w:tr>
      <w:tr w14:paraId="7269E67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63226FE3">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557" w:type="dxa"/>
            <w:vAlign w:val="center"/>
          </w:tcPr>
          <w:p w14:paraId="7068BA8B">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占地规模</w:t>
            </w:r>
          </w:p>
        </w:tc>
        <w:tc>
          <w:tcPr>
            <w:tcW w:w="5359" w:type="dxa"/>
            <w:gridSpan w:val="5"/>
            <w:vAlign w:val="center"/>
          </w:tcPr>
          <w:p w14:paraId="57D50DC1">
            <w:pPr>
              <w:tabs>
                <w:tab w:val="left" w:pos="1360"/>
              </w:tabs>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eastAsia" w:cs="Times New Roman"/>
                <w:color w:val="auto"/>
                <w:kern w:val="0"/>
                <w:position w:val="-1"/>
                <w:sz w:val="21"/>
                <w:szCs w:val="21"/>
                <w:highlight w:val="none"/>
                <w:lang w:eastAsia="zh-CN"/>
              </w:rPr>
              <w:t>（</w:t>
            </w:r>
            <w:r>
              <w:rPr>
                <w:rFonts w:hint="eastAsia" w:cs="Times New Roman"/>
                <w:color w:val="auto"/>
                <w:kern w:val="0"/>
                <w:position w:val="-1"/>
                <w:sz w:val="21"/>
                <w:szCs w:val="21"/>
                <w:highlight w:val="none"/>
                <w:lang w:val="en-US" w:eastAsia="zh-CN"/>
              </w:rPr>
              <w:t>18.38）</w:t>
            </w:r>
            <w:r>
              <w:rPr>
                <w:rFonts w:hint="default" w:ascii="Times New Roman" w:hAnsi="Times New Roman" w:cs="Times New Roman"/>
                <w:color w:val="auto"/>
                <w:spacing w:val="1"/>
                <w:kern w:val="0"/>
                <w:position w:val="-1"/>
                <w:sz w:val="21"/>
                <w:szCs w:val="21"/>
                <w:highlight w:val="none"/>
              </w:rPr>
              <w:t>hm</w:t>
            </w:r>
            <w:r>
              <w:rPr>
                <w:rFonts w:hint="default" w:ascii="Times New Roman" w:hAnsi="Times New Roman" w:cs="Times New Roman"/>
                <w:color w:val="auto"/>
                <w:spacing w:val="1"/>
                <w:kern w:val="0"/>
                <w:position w:val="-1"/>
                <w:sz w:val="21"/>
                <w:szCs w:val="21"/>
                <w:highlight w:val="none"/>
                <w:vertAlign w:val="superscript"/>
              </w:rPr>
              <w:t>2</w:t>
            </w:r>
          </w:p>
        </w:tc>
        <w:tc>
          <w:tcPr>
            <w:tcW w:w="1035" w:type="dxa"/>
            <w:vAlign w:val="center"/>
          </w:tcPr>
          <w:p w14:paraId="4E2A6334">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20F0316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5" w:hRule="atLeast"/>
          <w:jc w:val="center"/>
        </w:trPr>
        <w:tc>
          <w:tcPr>
            <w:tcW w:w="383" w:type="dxa"/>
            <w:vMerge w:val="continue"/>
            <w:vAlign w:val="center"/>
          </w:tcPr>
          <w:p w14:paraId="1B68A31D">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557" w:type="dxa"/>
            <w:vAlign w:val="center"/>
          </w:tcPr>
          <w:p w14:paraId="043D64D0">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敏感目标信息</w:t>
            </w:r>
          </w:p>
        </w:tc>
        <w:tc>
          <w:tcPr>
            <w:tcW w:w="5359" w:type="dxa"/>
            <w:gridSpan w:val="5"/>
            <w:vAlign w:val="center"/>
          </w:tcPr>
          <w:p w14:paraId="3B9BBAA8">
            <w:pPr>
              <w:tabs>
                <w:tab w:val="left" w:pos="1620"/>
                <w:tab w:val="left" w:pos="3520"/>
                <w:tab w:val="left" w:pos="5140"/>
              </w:tabs>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敏感目标（）、方位（）、距离（）</w:t>
            </w:r>
          </w:p>
        </w:tc>
        <w:tc>
          <w:tcPr>
            <w:tcW w:w="1035" w:type="dxa"/>
            <w:vAlign w:val="center"/>
          </w:tcPr>
          <w:p w14:paraId="2510F41B">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397943C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4090744A">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557" w:type="dxa"/>
            <w:vAlign w:val="center"/>
          </w:tcPr>
          <w:p w14:paraId="6C0D16E6">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影响途径</w:t>
            </w:r>
          </w:p>
        </w:tc>
        <w:tc>
          <w:tcPr>
            <w:tcW w:w="5359" w:type="dxa"/>
            <w:gridSpan w:val="5"/>
            <w:vAlign w:val="center"/>
          </w:tcPr>
          <w:p w14:paraId="6212F645">
            <w:pPr>
              <w:tabs>
                <w:tab w:val="left" w:pos="5220"/>
              </w:tabs>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大气沉降</w:t>
            </w:r>
            <w:r>
              <w:rPr>
                <w:rFonts w:hint="eastAsia" w:ascii="Times New Roman" w:hAnsi="Times New Roman" w:eastAsia="宋体" w:cs="Times New Roman"/>
                <w:snapToGrid w:val="0"/>
                <w:color w:val="auto"/>
                <w:sz w:val="21"/>
                <w:szCs w:val="21"/>
                <w:highlight w:val="none"/>
                <w:lang w:eastAsia="zh-CN"/>
              </w:rPr>
              <w:t>☑</w:t>
            </w:r>
            <w:r>
              <w:rPr>
                <w:rFonts w:hint="default" w:ascii="Times New Roman" w:hAnsi="Times New Roman" w:cs="Times New Roman"/>
                <w:color w:val="auto"/>
                <w:kern w:val="0"/>
                <w:position w:val="-1"/>
                <w:sz w:val="21"/>
                <w:szCs w:val="21"/>
                <w:highlight w:val="none"/>
              </w:rPr>
              <w:t>；地面漫流</w:t>
            </w:r>
            <w:r>
              <w:rPr>
                <w:rFonts w:hint="eastAsia" w:ascii="Times New Roman" w:hAnsi="Times New Roman" w:eastAsia="宋体" w:cs="Times New Roman"/>
                <w:snapToGrid w:val="0"/>
                <w:color w:val="auto"/>
                <w:sz w:val="21"/>
                <w:szCs w:val="21"/>
                <w:highlight w:val="none"/>
                <w:lang w:eastAsia="zh-CN"/>
              </w:rPr>
              <w:t>☑</w:t>
            </w:r>
            <w:r>
              <w:rPr>
                <w:rFonts w:hint="default" w:ascii="Times New Roman" w:hAnsi="Times New Roman" w:cs="Times New Roman"/>
                <w:color w:val="auto"/>
                <w:kern w:val="0"/>
                <w:position w:val="-1"/>
                <w:sz w:val="21"/>
                <w:szCs w:val="21"/>
                <w:highlight w:val="none"/>
              </w:rPr>
              <w:t>；垂直入渗</w:t>
            </w:r>
            <w:r>
              <w:rPr>
                <w:rFonts w:hint="eastAsia" w:ascii="Times New Roman" w:hAnsi="Times New Roman" w:eastAsia="宋体" w:cs="Times New Roman"/>
                <w:snapToGrid w:val="0"/>
                <w:color w:val="auto"/>
                <w:sz w:val="21"/>
                <w:szCs w:val="21"/>
                <w:highlight w:val="none"/>
                <w:lang w:eastAsia="zh-CN"/>
              </w:rPr>
              <w:t>☑</w:t>
            </w:r>
            <w:r>
              <w:rPr>
                <w:rFonts w:hint="default" w:ascii="Times New Roman" w:hAnsi="Times New Roman" w:cs="Times New Roman"/>
                <w:color w:val="auto"/>
                <w:kern w:val="0"/>
                <w:position w:val="-1"/>
                <w:sz w:val="21"/>
                <w:szCs w:val="21"/>
                <w:highlight w:val="none"/>
              </w:rPr>
              <w:t>；地下水位</w:t>
            </w:r>
            <w:r>
              <w:rPr>
                <w:rFonts w:hint="default" w:ascii="Times New Roman" w:hAnsi="Times New Roman" w:eastAsia="宋体" w:cs="Times New Roman"/>
                <w:snapToGrid w:val="0"/>
                <w:color w:val="auto"/>
                <w:sz w:val="21"/>
                <w:szCs w:val="21"/>
                <w:highlight w:val="none"/>
              </w:rPr>
              <w:t>□</w:t>
            </w:r>
            <w:r>
              <w:rPr>
                <w:rFonts w:hint="default" w:ascii="Times New Roman" w:hAnsi="Times New Roman" w:cs="Times New Roman"/>
                <w:color w:val="auto"/>
                <w:kern w:val="0"/>
                <w:position w:val="-1"/>
                <w:sz w:val="21"/>
                <w:szCs w:val="21"/>
                <w:highlight w:val="none"/>
              </w:rPr>
              <w:t>；其他</w:t>
            </w:r>
          </w:p>
        </w:tc>
        <w:tc>
          <w:tcPr>
            <w:tcW w:w="1035" w:type="dxa"/>
            <w:vAlign w:val="center"/>
          </w:tcPr>
          <w:p w14:paraId="20AC87D8">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66402C5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18BCD893">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557" w:type="dxa"/>
            <w:vAlign w:val="center"/>
          </w:tcPr>
          <w:p w14:paraId="677A339E">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全部污染物</w:t>
            </w:r>
          </w:p>
        </w:tc>
        <w:tc>
          <w:tcPr>
            <w:tcW w:w="5359" w:type="dxa"/>
            <w:gridSpan w:val="5"/>
            <w:vAlign w:val="center"/>
          </w:tcPr>
          <w:p w14:paraId="500A942B">
            <w:pPr>
              <w:autoSpaceDE w:val="0"/>
              <w:autoSpaceDN w:val="0"/>
              <w:adjustRightInd w:val="0"/>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Cs/>
                <w:color w:val="auto"/>
                <w:sz w:val="21"/>
                <w:szCs w:val="21"/>
                <w:highlight w:val="none"/>
              </w:rPr>
              <w:t>pH、砷、镉、六价铬、铜、铅、汞、镍</w:t>
            </w:r>
          </w:p>
        </w:tc>
        <w:tc>
          <w:tcPr>
            <w:tcW w:w="1035" w:type="dxa"/>
            <w:vAlign w:val="center"/>
          </w:tcPr>
          <w:p w14:paraId="75D6E598">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451D94C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085283E3">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557" w:type="dxa"/>
            <w:vAlign w:val="center"/>
          </w:tcPr>
          <w:p w14:paraId="35DC7C25">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特征因子</w:t>
            </w:r>
          </w:p>
        </w:tc>
        <w:tc>
          <w:tcPr>
            <w:tcW w:w="5359" w:type="dxa"/>
            <w:gridSpan w:val="5"/>
            <w:vAlign w:val="center"/>
          </w:tcPr>
          <w:p w14:paraId="3E63AD6A">
            <w:pPr>
              <w:autoSpaceDE w:val="0"/>
              <w:autoSpaceDN w:val="0"/>
              <w:adjustRightIn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汞、氟化物</w:t>
            </w:r>
          </w:p>
        </w:tc>
        <w:tc>
          <w:tcPr>
            <w:tcW w:w="1035" w:type="dxa"/>
            <w:vAlign w:val="center"/>
          </w:tcPr>
          <w:p w14:paraId="674A6C5A">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1779A11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29A9D7B2">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557" w:type="dxa"/>
            <w:vAlign w:val="center"/>
          </w:tcPr>
          <w:p w14:paraId="5969F527">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所属土壤环境影响</w:t>
            </w:r>
            <w:r>
              <w:rPr>
                <w:rFonts w:hint="default" w:ascii="Times New Roman" w:hAnsi="Times New Roman" w:cs="Times New Roman"/>
                <w:color w:val="auto"/>
                <w:kern w:val="0"/>
                <w:sz w:val="21"/>
                <w:szCs w:val="21"/>
                <w:highlight w:val="none"/>
              </w:rPr>
              <w:t>评价项目类别</w:t>
            </w:r>
          </w:p>
        </w:tc>
        <w:tc>
          <w:tcPr>
            <w:tcW w:w="5359" w:type="dxa"/>
            <w:gridSpan w:val="5"/>
            <w:vAlign w:val="center"/>
          </w:tcPr>
          <w:p w14:paraId="45F2086C">
            <w:pPr>
              <w:autoSpaceDE w:val="0"/>
              <w:autoSpaceDN w:val="0"/>
              <w:adjustRightInd w:val="0"/>
              <w:spacing w:line="360" w:lineRule="exact"/>
              <w:ind w:firstLine="0" w:firstLine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I</w:t>
            </w:r>
            <w:r>
              <w:rPr>
                <w:rFonts w:hint="default" w:ascii="Times New Roman" w:hAnsi="Times New Roman" w:cs="Times New Roman"/>
                <w:color w:val="auto"/>
                <w:kern w:val="0"/>
                <w:sz w:val="21"/>
                <w:szCs w:val="21"/>
                <w:highlight w:val="none"/>
              </w:rPr>
              <w:t>类</w:t>
            </w:r>
            <w:r>
              <w:rPr>
                <w:rFonts w:hint="default" w:ascii="Times New Roman" w:hAnsi="Times New Roman" w:eastAsia="宋体" w:cs="Times New Roman"/>
                <w:snapToGrid w:val="0"/>
                <w:color w:val="auto"/>
                <w:sz w:val="21"/>
                <w:szCs w:val="21"/>
                <w:highlight w:val="none"/>
              </w:rPr>
              <w:t>□</w:t>
            </w:r>
            <w:r>
              <w:rPr>
                <w:rFonts w:hint="default" w:ascii="Times New Roman" w:hAnsi="Times New Roman" w:cs="Times New Roman"/>
                <w:color w:val="auto"/>
                <w:kern w:val="0"/>
                <w:sz w:val="21"/>
                <w:szCs w:val="21"/>
                <w:highlight w:val="none"/>
              </w:rPr>
              <w:t>；类</w:t>
            </w:r>
            <w:r>
              <w:rPr>
                <w:rFonts w:hint="default" w:ascii="Times New Roman" w:hAnsi="Times New Roman" w:eastAsia="宋体" w:cs="Times New Roman"/>
                <w:snapToGrid w:val="0"/>
                <w:color w:val="auto"/>
                <w:sz w:val="21"/>
                <w:szCs w:val="21"/>
                <w:highlight w:val="none"/>
              </w:rPr>
              <w:t>□</w:t>
            </w:r>
            <w:r>
              <w:rPr>
                <w:rFonts w:hint="default" w:ascii="Times New Roman" w:hAnsi="Times New Roman" w:cs="Times New Roman"/>
                <w:color w:val="auto"/>
                <w:kern w:val="0"/>
                <w:sz w:val="21"/>
                <w:szCs w:val="21"/>
                <w:highlight w:val="none"/>
              </w:rPr>
              <w:t>；</w:t>
            </w:r>
            <w:r>
              <w:rPr>
                <w:rFonts w:hint="eastAsia" w:cs="Times New Roman"/>
                <w:color w:val="auto"/>
                <w:kern w:val="0"/>
                <w:sz w:val="21"/>
                <w:szCs w:val="21"/>
                <w:highlight w:val="none"/>
                <w:lang w:eastAsia="zh-CN"/>
              </w:rPr>
              <w:t>Ⅲ类</w:t>
            </w:r>
            <w:r>
              <w:rPr>
                <w:rFonts w:hint="eastAsia" w:ascii="Times New Roman" w:hAnsi="Times New Roman" w:eastAsia="宋体" w:cs="Times New Roman"/>
                <w:snapToGrid w:val="0"/>
                <w:color w:val="auto"/>
                <w:sz w:val="21"/>
                <w:szCs w:val="21"/>
                <w:highlight w:val="none"/>
                <w:lang w:eastAsia="zh-CN"/>
              </w:rPr>
              <w:t>☑</w:t>
            </w:r>
            <w:r>
              <w:rPr>
                <w:rFonts w:hint="default" w:ascii="Times New Roman" w:hAnsi="Times New Roman" w:cs="Times New Roman"/>
                <w:color w:val="auto"/>
                <w:kern w:val="0"/>
                <w:sz w:val="21"/>
                <w:szCs w:val="21"/>
                <w:highlight w:val="none"/>
              </w:rPr>
              <w:t>；类</w:t>
            </w:r>
            <w:r>
              <w:rPr>
                <w:rFonts w:hint="default" w:ascii="Times New Roman" w:hAnsi="Times New Roman" w:eastAsia="宋体" w:cs="Times New Roman"/>
                <w:snapToGrid w:val="0"/>
                <w:color w:val="auto"/>
                <w:sz w:val="21"/>
                <w:szCs w:val="21"/>
                <w:highlight w:val="none"/>
              </w:rPr>
              <w:t>□</w:t>
            </w:r>
          </w:p>
        </w:tc>
        <w:tc>
          <w:tcPr>
            <w:tcW w:w="1035" w:type="dxa"/>
            <w:vAlign w:val="center"/>
          </w:tcPr>
          <w:p w14:paraId="0779D765">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29E1205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704B110F">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557" w:type="dxa"/>
            <w:vAlign w:val="center"/>
          </w:tcPr>
          <w:p w14:paraId="74A1EDD3">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敏感程度</w:t>
            </w:r>
          </w:p>
        </w:tc>
        <w:tc>
          <w:tcPr>
            <w:tcW w:w="5359" w:type="dxa"/>
            <w:gridSpan w:val="5"/>
            <w:vAlign w:val="center"/>
          </w:tcPr>
          <w:p w14:paraId="6CE0D7FC">
            <w:pPr>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position w:val="-1"/>
                <w:sz w:val="21"/>
                <w:szCs w:val="21"/>
                <w:highlight w:val="none"/>
              </w:rPr>
              <w:t>敏感</w:t>
            </w:r>
            <w:r>
              <w:rPr>
                <w:rFonts w:hint="default" w:ascii="Times New Roman" w:hAnsi="Times New Roman" w:eastAsia="宋体" w:cs="Times New Roman"/>
                <w:snapToGrid w:val="0"/>
                <w:color w:val="auto"/>
                <w:sz w:val="21"/>
                <w:szCs w:val="21"/>
                <w:highlight w:val="none"/>
              </w:rPr>
              <w:t>□</w:t>
            </w:r>
            <w:r>
              <w:rPr>
                <w:rFonts w:hint="default" w:ascii="Times New Roman" w:hAnsi="Times New Roman" w:cs="Times New Roman"/>
                <w:color w:val="auto"/>
                <w:kern w:val="0"/>
                <w:position w:val="-1"/>
                <w:sz w:val="21"/>
                <w:szCs w:val="21"/>
                <w:highlight w:val="none"/>
              </w:rPr>
              <w:t>；较敏感</w:t>
            </w:r>
            <w:r>
              <w:rPr>
                <w:rFonts w:hint="default" w:ascii="Times New Roman" w:hAnsi="Times New Roman" w:eastAsia="宋体" w:cs="Times New Roman"/>
                <w:snapToGrid w:val="0"/>
                <w:color w:val="auto"/>
                <w:sz w:val="21"/>
                <w:szCs w:val="21"/>
                <w:highlight w:val="none"/>
              </w:rPr>
              <w:t>□</w:t>
            </w:r>
            <w:r>
              <w:rPr>
                <w:rFonts w:hint="default" w:ascii="Times New Roman" w:hAnsi="Times New Roman" w:cs="Times New Roman"/>
                <w:color w:val="auto"/>
                <w:kern w:val="0"/>
                <w:position w:val="-1"/>
                <w:sz w:val="21"/>
                <w:szCs w:val="21"/>
                <w:highlight w:val="none"/>
              </w:rPr>
              <w:t>；不敏感</w:t>
            </w:r>
            <w:r>
              <w:rPr>
                <w:rFonts w:hint="eastAsia" w:ascii="Times New Roman" w:hAnsi="Times New Roman" w:eastAsia="宋体" w:cs="Times New Roman"/>
                <w:snapToGrid w:val="0"/>
                <w:color w:val="auto"/>
                <w:sz w:val="21"/>
                <w:szCs w:val="21"/>
                <w:highlight w:val="none"/>
                <w:lang w:eastAsia="zh-CN"/>
              </w:rPr>
              <w:t>☑</w:t>
            </w:r>
          </w:p>
        </w:tc>
        <w:tc>
          <w:tcPr>
            <w:tcW w:w="1035" w:type="dxa"/>
            <w:vAlign w:val="center"/>
          </w:tcPr>
          <w:p w14:paraId="34F9D463">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10D6E73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940" w:type="dxa"/>
            <w:gridSpan w:val="2"/>
            <w:vAlign w:val="center"/>
          </w:tcPr>
          <w:p w14:paraId="049037F7">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评价工作等级</w:t>
            </w:r>
          </w:p>
        </w:tc>
        <w:tc>
          <w:tcPr>
            <w:tcW w:w="5359" w:type="dxa"/>
            <w:gridSpan w:val="5"/>
            <w:vAlign w:val="center"/>
          </w:tcPr>
          <w:p w14:paraId="2D48B224">
            <w:pPr>
              <w:autoSpaceDE w:val="0"/>
              <w:autoSpaceDN w:val="0"/>
              <w:adjustRightInd w:val="0"/>
              <w:spacing w:line="360" w:lineRule="exact"/>
              <w:ind w:firstLine="0" w:firstLine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position w:val="-1"/>
                <w:sz w:val="21"/>
                <w:szCs w:val="21"/>
                <w:highlight w:val="none"/>
              </w:rPr>
              <w:t>一级</w:t>
            </w:r>
            <w:r>
              <w:rPr>
                <w:rFonts w:hint="default" w:ascii="Times New Roman" w:hAnsi="Times New Roman" w:eastAsia="宋体" w:cs="Times New Roman"/>
                <w:snapToGrid w:val="0"/>
                <w:color w:val="auto"/>
                <w:sz w:val="21"/>
                <w:szCs w:val="21"/>
                <w:highlight w:val="none"/>
              </w:rPr>
              <w:t>□</w:t>
            </w:r>
            <w:r>
              <w:rPr>
                <w:rFonts w:hint="default" w:ascii="Times New Roman" w:hAnsi="Times New Roman" w:cs="Times New Roman"/>
                <w:color w:val="auto"/>
                <w:kern w:val="0"/>
                <w:position w:val="-1"/>
                <w:sz w:val="21"/>
                <w:szCs w:val="21"/>
                <w:highlight w:val="none"/>
              </w:rPr>
              <w:t>；二级</w:t>
            </w:r>
            <w:r>
              <w:rPr>
                <w:rFonts w:hint="default" w:ascii="Times New Roman" w:hAnsi="Times New Roman" w:eastAsia="宋体" w:cs="Times New Roman"/>
                <w:snapToGrid w:val="0"/>
                <w:color w:val="auto"/>
                <w:sz w:val="21"/>
                <w:szCs w:val="21"/>
                <w:highlight w:val="none"/>
              </w:rPr>
              <w:t>□</w:t>
            </w:r>
            <w:r>
              <w:rPr>
                <w:rFonts w:hint="default" w:ascii="Times New Roman" w:hAnsi="Times New Roman" w:cs="Times New Roman"/>
                <w:color w:val="auto"/>
                <w:kern w:val="0"/>
                <w:position w:val="-1"/>
                <w:sz w:val="21"/>
                <w:szCs w:val="21"/>
                <w:highlight w:val="none"/>
              </w:rPr>
              <w:t>；三级</w:t>
            </w:r>
            <w:r>
              <w:rPr>
                <w:rFonts w:hint="default" w:ascii="Times New Roman" w:hAnsi="Times New Roman" w:eastAsia="宋体" w:cs="Times New Roman"/>
                <w:snapToGrid w:val="0"/>
                <w:color w:val="auto"/>
                <w:sz w:val="21"/>
                <w:szCs w:val="21"/>
                <w:highlight w:val="none"/>
              </w:rPr>
              <w:t>□</w:t>
            </w:r>
          </w:p>
        </w:tc>
        <w:tc>
          <w:tcPr>
            <w:tcW w:w="1035" w:type="dxa"/>
            <w:vAlign w:val="center"/>
          </w:tcPr>
          <w:p w14:paraId="35A87AAA">
            <w:pPr>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简单分析</w:t>
            </w:r>
          </w:p>
        </w:tc>
      </w:tr>
      <w:tr w14:paraId="59340A1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restart"/>
            <w:vAlign w:val="center"/>
          </w:tcPr>
          <w:p w14:paraId="72C2F67E">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现</w:t>
            </w:r>
          </w:p>
          <w:p w14:paraId="0AC7F30C">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 xml:space="preserve">状 </w:t>
            </w:r>
          </w:p>
          <w:p w14:paraId="6B034A7A">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调</w:t>
            </w:r>
          </w:p>
          <w:p w14:paraId="6DC451DB">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查</w:t>
            </w:r>
          </w:p>
          <w:p w14:paraId="001C33FC">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内</w:t>
            </w:r>
          </w:p>
          <w:p w14:paraId="62D18C39">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容</w:t>
            </w:r>
          </w:p>
        </w:tc>
        <w:tc>
          <w:tcPr>
            <w:tcW w:w="1557" w:type="dxa"/>
            <w:vAlign w:val="center"/>
          </w:tcPr>
          <w:p w14:paraId="5FBD9FB0">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资料收集</w:t>
            </w:r>
          </w:p>
        </w:tc>
        <w:tc>
          <w:tcPr>
            <w:tcW w:w="5359" w:type="dxa"/>
            <w:gridSpan w:val="5"/>
            <w:vAlign w:val="center"/>
          </w:tcPr>
          <w:p w14:paraId="1E2F2E72">
            <w:pPr>
              <w:autoSpaceDE w:val="0"/>
              <w:autoSpaceDN w:val="0"/>
              <w:adjustRightInd w:val="0"/>
              <w:spacing w:line="360" w:lineRule="exact"/>
              <w:ind w:firstLine="0" w:firstLine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b w:val="0"/>
                <w:bCs w:val="0"/>
                <w:color w:val="auto"/>
                <w:spacing w:val="0"/>
                <w:w w:val="100"/>
                <w:position w:val="0"/>
                <w:sz w:val="21"/>
                <w:szCs w:val="21"/>
                <w:highlight w:val="none"/>
                <w:lang w:val="en-US" w:eastAsia="zh-CN"/>
              </w:rPr>
              <w:t>a</w:t>
            </w:r>
            <w:r>
              <w:rPr>
                <w:rFonts w:hint="eastAsia" w:cs="Times New Roman"/>
                <w:b w:val="0"/>
                <w:bCs w:val="0"/>
                <w:color w:val="auto"/>
                <w:spacing w:val="0"/>
                <w:w w:val="100"/>
                <w:position w:val="0"/>
                <w:sz w:val="21"/>
                <w:szCs w:val="21"/>
                <w:highlight w:val="none"/>
                <w:lang w:val="en-US" w:eastAsia="zh-CN"/>
              </w:rPr>
              <w:t>）</w:t>
            </w:r>
            <w:r>
              <w:rPr>
                <w:rFonts w:hint="default" w:ascii="Times New Roman" w:hAnsi="Times New Roman" w:cs="Times New Roman"/>
                <w:b w:val="0"/>
                <w:bCs w:val="0"/>
                <w:color w:val="auto"/>
                <w:spacing w:val="0"/>
                <w:w w:val="100"/>
                <w:position w:val="0"/>
                <w:sz w:val="21"/>
                <w:szCs w:val="21"/>
                <w:highlight w:val="none"/>
                <w:lang w:val="en-US" w:eastAsia="zh-CN"/>
              </w:rPr>
              <w:t>□；b</w:t>
            </w:r>
            <w:r>
              <w:rPr>
                <w:rFonts w:hint="eastAsia" w:cs="Times New Roman"/>
                <w:b w:val="0"/>
                <w:bCs w:val="0"/>
                <w:color w:val="auto"/>
                <w:spacing w:val="0"/>
                <w:w w:val="100"/>
                <w:position w:val="0"/>
                <w:sz w:val="21"/>
                <w:szCs w:val="21"/>
                <w:highlight w:val="none"/>
                <w:lang w:val="en-US" w:eastAsia="zh-CN"/>
              </w:rPr>
              <w:t>）</w:t>
            </w:r>
            <w:r>
              <w:rPr>
                <w:rFonts w:hint="default" w:ascii="Times New Roman" w:hAnsi="Times New Roman" w:cs="Times New Roman"/>
                <w:b w:val="0"/>
                <w:bCs w:val="0"/>
                <w:color w:val="auto"/>
                <w:spacing w:val="0"/>
                <w:w w:val="100"/>
                <w:position w:val="0"/>
                <w:sz w:val="21"/>
                <w:szCs w:val="21"/>
                <w:highlight w:val="none"/>
                <w:lang w:val="en-US" w:eastAsia="zh-CN"/>
              </w:rPr>
              <w:t>□；c</w:t>
            </w:r>
            <w:r>
              <w:rPr>
                <w:rFonts w:hint="eastAsia" w:cs="Times New Roman"/>
                <w:b w:val="0"/>
                <w:bCs w:val="0"/>
                <w:color w:val="auto"/>
                <w:spacing w:val="0"/>
                <w:w w:val="100"/>
                <w:position w:val="0"/>
                <w:sz w:val="21"/>
                <w:szCs w:val="21"/>
                <w:highlight w:val="none"/>
                <w:lang w:val="en-US" w:eastAsia="zh-CN"/>
              </w:rPr>
              <w:t>）</w:t>
            </w:r>
            <w:r>
              <w:rPr>
                <w:rFonts w:hint="default" w:ascii="Times New Roman" w:hAnsi="Times New Roman" w:cs="Times New Roman"/>
                <w:b w:val="0"/>
                <w:bCs w:val="0"/>
                <w:color w:val="auto"/>
                <w:spacing w:val="0"/>
                <w:w w:val="100"/>
                <w:position w:val="0"/>
                <w:sz w:val="21"/>
                <w:szCs w:val="21"/>
                <w:highlight w:val="none"/>
                <w:lang w:val="en-US" w:eastAsia="zh-CN"/>
              </w:rPr>
              <w:t>□；d</w:t>
            </w:r>
            <w:r>
              <w:rPr>
                <w:rFonts w:hint="eastAsia" w:cs="Times New Roman"/>
                <w:b w:val="0"/>
                <w:bCs w:val="0"/>
                <w:color w:val="auto"/>
                <w:spacing w:val="0"/>
                <w:w w:val="100"/>
                <w:position w:val="0"/>
                <w:sz w:val="21"/>
                <w:szCs w:val="21"/>
                <w:highlight w:val="none"/>
                <w:lang w:val="en-US" w:eastAsia="zh-CN"/>
              </w:rPr>
              <w:t>）</w:t>
            </w:r>
            <w:r>
              <w:rPr>
                <w:rFonts w:hint="default" w:ascii="Times New Roman" w:hAnsi="Times New Roman" w:cs="Times New Roman"/>
                <w:b w:val="0"/>
                <w:bCs w:val="0"/>
                <w:color w:val="auto"/>
                <w:spacing w:val="0"/>
                <w:w w:val="100"/>
                <w:position w:val="0"/>
                <w:sz w:val="21"/>
                <w:szCs w:val="21"/>
                <w:highlight w:val="none"/>
                <w:lang w:val="en-US" w:eastAsia="zh-CN"/>
              </w:rPr>
              <w:t>□</w:t>
            </w:r>
          </w:p>
        </w:tc>
        <w:tc>
          <w:tcPr>
            <w:tcW w:w="1035" w:type="dxa"/>
            <w:vAlign w:val="center"/>
          </w:tcPr>
          <w:p w14:paraId="31874EE0">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6170C2D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7FEBB559">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557" w:type="dxa"/>
            <w:vAlign w:val="center"/>
          </w:tcPr>
          <w:p w14:paraId="76B13AE1">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理化特性</w:t>
            </w:r>
          </w:p>
        </w:tc>
        <w:tc>
          <w:tcPr>
            <w:tcW w:w="5359" w:type="dxa"/>
            <w:gridSpan w:val="5"/>
            <w:vAlign w:val="center"/>
          </w:tcPr>
          <w:p w14:paraId="6917F7D7">
            <w:pPr>
              <w:autoSpaceDE w:val="0"/>
              <w:autoSpaceDN w:val="0"/>
              <w:adjustRightIn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1035" w:type="dxa"/>
            <w:vAlign w:val="center"/>
          </w:tcPr>
          <w:p w14:paraId="43A2C3DF">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同附录C</w:t>
            </w:r>
          </w:p>
        </w:tc>
      </w:tr>
      <w:tr w14:paraId="1BCA23E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21EE8BF9">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557" w:type="dxa"/>
            <w:vMerge w:val="restart"/>
            <w:vAlign w:val="center"/>
          </w:tcPr>
          <w:p w14:paraId="46DA35BD">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现状监测点位</w:t>
            </w:r>
          </w:p>
        </w:tc>
        <w:tc>
          <w:tcPr>
            <w:tcW w:w="1216" w:type="dxa"/>
            <w:vAlign w:val="center"/>
          </w:tcPr>
          <w:p w14:paraId="3F2EAE49">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377" w:type="dxa"/>
            <w:vAlign w:val="center"/>
          </w:tcPr>
          <w:p w14:paraId="20A5E3EF">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占地范围内</w:t>
            </w:r>
          </w:p>
        </w:tc>
        <w:tc>
          <w:tcPr>
            <w:tcW w:w="1785" w:type="dxa"/>
            <w:gridSpan w:val="2"/>
            <w:vAlign w:val="center"/>
          </w:tcPr>
          <w:p w14:paraId="54B7FF8F">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占地范围外</w:t>
            </w:r>
          </w:p>
        </w:tc>
        <w:tc>
          <w:tcPr>
            <w:tcW w:w="981" w:type="dxa"/>
            <w:vAlign w:val="center"/>
          </w:tcPr>
          <w:p w14:paraId="28DD2DBB">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深度</w:t>
            </w:r>
          </w:p>
        </w:tc>
        <w:tc>
          <w:tcPr>
            <w:tcW w:w="1035" w:type="dxa"/>
            <w:vMerge w:val="restart"/>
            <w:vAlign w:val="center"/>
          </w:tcPr>
          <w:p w14:paraId="54549C7C">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点位布置图</w:t>
            </w:r>
          </w:p>
        </w:tc>
      </w:tr>
      <w:tr w14:paraId="271C107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2075881C">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557" w:type="dxa"/>
            <w:vMerge w:val="continue"/>
            <w:vAlign w:val="center"/>
          </w:tcPr>
          <w:p w14:paraId="3E54F0E7">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216" w:type="dxa"/>
            <w:vAlign w:val="center"/>
          </w:tcPr>
          <w:p w14:paraId="5005C9C7">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表层样点数</w:t>
            </w:r>
          </w:p>
        </w:tc>
        <w:tc>
          <w:tcPr>
            <w:tcW w:w="1377" w:type="dxa"/>
            <w:vAlign w:val="center"/>
          </w:tcPr>
          <w:p w14:paraId="56DCED4B">
            <w:pPr>
              <w:autoSpaceDE w:val="0"/>
              <w:autoSpaceDN w:val="0"/>
              <w:adjustRightInd w:val="0"/>
              <w:spacing w:line="360" w:lineRule="exact"/>
              <w:ind w:firstLine="0" w:firstLineChars="0"/>
              <w:jc w:val="center"/>
              <w:rPr>
                <w:rFonts w:hint="default" w:ascii="Times New Roman" w:hAnsi="Times New Roman" w:eastAsia="宋体" w:cs="Times New Roman"/>
                <w:color w:val="auto"/>
                <w:kern w:val="0"/>
                <w:sz w:val="21"/>
                <w:szCs w:val="21"/>
                <w:highlight w:val="none"/>
                <w:lang w:eastAsia="zh-CN"/>
              </w:rPr>
            </w:pPr>
            <w:r>
              <w:rPr>
                <w:rFonts w:hint="eastAsia" w:cs="Times New Roman"/>
                <w:color w:val="auto"/>
                <w:kern w:val="0"/>
                <w:sz w:val="21"/>
                <w:szCs w:val="21"/>
                <w:highlight w:val="none"/>
                <w:lang w:val="en-US" w:eastAsia="zh-CN"/>
              </w:rPr>
              <w:t>2</w:t>
            </w:r>
          </w:p>
        </w:tc>
        <w:tc>
          <w:tcPr>
            <w:tcW w:w="1785" w:type="dxa"/>
            <w:gridSpan w:val="2"/>
            <w:vAlign w:val="center"/>
          </w:tcPr>
          <w:p w14:paraId="74481510">
            <w:pPr>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cs="Times New Roman"/>
                <w:color w:val="auto"/>
                <w:kern w:val="0"/>
                <w:sz w:val="21"/>
                <w:szCs w:val="21"/>
                <w:highlight w:val="none"/>
                <w:lang w:val="en-US" w:eastAsia="zh-CN"/>
              </w:rPr>
              <w:t>2</w:t>
            </w:r>
          </w:p>
        </w:tc>
        <w:tc>
          <w:tcPr>
            <w:tcW w:w="981" w:type="dxa"/>
            <w:vAlign w:val="center"/>
          </w:tcPr>
          <w:p w14:paraId="7B7EADE1">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0~0.2m</w:t>
            </w:r>
          </w:p>
        </w:tc>
        <w:tc>
          <w:tcPr>
            <w:tcW w:w="1035" w:type="dxa"/>
            <w:vMerge w:val="continue"/>
            <w:vAlign w:val="center"/>
          </w:tcPr>
          <w:p w14:paraId="0CB7ECAE">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7D1DB95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1320DF3A">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557" w:type="dxa"/>
            <w:vMerge w:val="continue"/>
            <w:vAlign w:val="center"/>
          </w:tcPr>
          <w:p w14:paraId="1AFA0425">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216" w:type="dxa"/>
            <w:vAlign w:val="center"/>
          </w:tcPr>
          <w:p w14:paraId="1C48528D">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柱状样点数</w:t>
            </w:r>
          </w:p>
        </w:tc>
        <w:tc>
          <w:tcPr>
            <w:tcW w:w="1377" w:type="dxa"/>
            <w:vAlign w:val="center"/>
          </w:tcPr>
          <w:p w14:paraId="31C7BFF3">
            <w:pPr>
              <w:autoSpaceDE w:val="0"/>
              <w:autoSpaceDN w:val="0"/>
              <w:adjustRightInd w:val="0"/>
              <w:spacing w:line="360" w:lineRule="exact"/>
              <w:ind w:firstLine="0" w:firstLine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rPr>
              <w:t>/</w:t>
            </w:r>
          </w:p>
        </w:tc>
        <w:tc>
          <w:tcPr>
            <w:tcW w:w="1785" w:type="dxa"/>
            <w:gridSpan w:val="2"/>
            <w:vAlign w:val="center"/>
          </w:tcPr>
          <w:p w14:paraId="51E1153D">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981" w:type="dxa"/>
            <w:vAlign w:val="center"/>
          </w:tcPr>
          <w:p w14:paraId="446AD14E">
            <w:pPr>
              <w:autoSpaceDE w:val="0"/>
              <w:autoSpaceDN w:val="0"/>
              <w:adjustRightInd w:val="0"/>
              <w:spacing w:line="240" w:lineRule="atLeas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1035" w:type="dxa"/>
            <w:vMerge w:val="continue"/>
            <w:vAlign w:val="center"/>
          </w:tcPr>
          <w:p w14:paraId="7AC95246">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122A2F1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52EEB2D1">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557" w:type="dxa"/>
            <w:vAlign w:val="center"/>
          </w:tcPr>
          <w:p w14:paraId="05B8EE88">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现状监测因子</w:t>
            </w:r>
          </w:p>
        </w:tc>
        <w:tc>
          <w:tcPr>
            <w:tcW w:w="5359" w:type="dxa"/>
            <w:gridSpan w:val="5"/>
            <w:vAlign w:val="center"/>
          </w:tcPr>
          <w:p w14:paraId="44A34566">
            <w:pPr>
              <w:autoSpaceDE w:val="0"/>
              <w:autoSpaceDN w:val="0"/>
              <w:adjustRightIn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基本45项及pH</w:t>
            </w:r>
          </w:p>
        </w:tc>
        <w:tc>
          <w:tcPr>
            <w:tcW w:w="1035" w:type="dxa"/>
            <w:vAlign w:val="center"/>
          </w:tcPr>
          <w:p w14:paraId="2DC9C16E">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1E4C1EE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restart"/>
            <w:vAlign w:val="center"/>
          </w:tcPr>
          <w:p w14:paraId="7DB0D6D0">
            <w:pPr>
              <w:autoSpaceDE w:val="0"/>
              <w:autoSpaceDN w:val="0"/>
              <w:adjustRightInd w:val="0"/>
              <w:spacing w:line="360" w:lineRule="exact"/>
              <w:ind w:firstLine="0" w:firstLineChars="0"/>
              <w:jc w:val="center"/>
              <w:rPr>
                <w:rFonts w:hint="default" w:ascii="Times New Roman" w:hAnsi="Times New Roman" w:cs="Times New Roman"/>
                <w:color w:val="auto"/>
                <w:kern w:val="0"/>
                <w:position w:val="-1"/>
                <w:sz w:val="21"/>
                <w:szCs w:val="21"/>
                <w:highlight w:val="none"/>
              </w:rPr>
            </w:pPr>
            <w:r>
              <w:rPr>
                <w:rFonts w:hint="default" w:ascii="Times New Roman" w:hAnsi="Times New Roman" w:cs="Times New Roman"/>
                <w:color w:val="auto"/>
                <w:kern w:val="0"/>
                <w:position w:val="-1"/>
                <w:sz w:val="21"/>
                <w:szCs w:val="21"/>
                <w:highlight w:val="none"/>
              </w:rPr>
              <w:t>现</w:t>
            </w:r>
          </w:p>
          <w:p w14:paraId="65685EA2">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 xml:space="preserve">状 </w:t>
            </w:r>
          </w:p>
          <w:p w14:paraId="19C1350A">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评</w:t>
            </w:r>
          </w:p>
          <w:p w14:paraId="028EF755">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价</w:t>
            </w:r>
          </w:p>
        </w:tc>
        <w:tc>
          <w:tcPr>
            <w:tcW w:w="1557" w:type="dxa"/>
            <w:vAlign w:val="center"/>
          </w:tcPr>
          <w:p w14:paraId="17089442">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评价因子</w:t>
            </w:r>
          </w:p>
        </w:tc>
        <w:tc>
          <w:tcPr>
            <w:tcW w:w="5359" w:type="dxa"/>
            <w:gridSpan w:val="5"/>
            <w:vAlign w:val="center"/>
          </w:tcPr>
          <w:p w14:paraId="4C464E44">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基本45项</w:t>
            </w:r>
          </w:p>
        </w:tc>
        <w:tc>
          <w:tcPr>
            <w:tcW w:w="1035" w:type="dxa"/>
            <w:vAlign w:val="center"/>
          </w:tcPr>
          <w:p w14:paraId="364F51F1">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2840127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35D61B7D">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557" w:type="dxa"/>
            <w:vAlign w:val="center"/>
          </w:tcPr>
          <w:p w14:paraId="49359EDF">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评价标准</w:t>
            </w:r>
          </w:p>
        </w:tc>
        <w:tc>
          <w:tcPr>
            <w:tcW w:w="5359" w:type="dxa"/>
            <w:gridSpan w:val="5"/>
            <w:vAlign w:val="center"/>
          </w:tcPr>
          <w:p w14:paraId="7AF968AA">
            <w:pPr>
              <w:tabs>
                <w:tab w:val="left" w:pos="5080"/>
              </w:tabs>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b w:val="0"/>
                <w:bCs w:val="0"/>
                <w:color w:val="auto"/>
                <w:spacing w:val="0"/>
                <w:w w:val="100"/>
                <w:position w:val="0"/>
                <w:sz w:val="21"/>
                <w:szCs w:val="21"/>
                <w:highlight w:val="none"/>
                <w:lang w:val="en-US" w:eastAsia="zh-CN"/>
              </w:rPr>
              <w:t>GB 15618□；GB 36600</w:t>
            </w:r>
            <w:r>
              <w:rPr>
                <w:rFonts w:hint="eastAsia" w:ascii="Times New Roman" w:hAnsi="Times New Roman" w:cs="Times New Roman"/>
                <w:b w:val="0"/>
                <w:bCs w:val="0"/>
                <w:color w:val="auto"/>
                <w:spacing w:val="0"/>
                <w:w w:val="100"/>
                <w:position w:val="0"/>
                <w:sz w:val="21"/>
                <w:szCs w:val="21"/>
                <w:highlight w:val="none"/>
                <w:lang w:val="en-US" w:eastAsia="zh-CN"/>
              </w:rPr>
              <w:t>☑</w:t>
            </w:r>
            <w:r>
              <w:rPr>
                <w:rFonts w:hint="default" w:ascii="Times New Roman" w:hAnsi="Times New Roman" w:cs="Times New Roman"/>
                <w:b w:val="0"/>
                <w:bCs w:val="0"/>
                <w:color w:val="auto"/>
                <w:spacing w:val="0"/>
                <w:w w:val="100"/>
                <w:position w:val="0"/>
                <w:sz w:val="21"/>
                <w:szCs w:val="21"/>
                <w:highlight w:val="none"/>
                <w:lang w:val="en-US" w:eastAsia="zh-CN"/>
              </w:rPr>
              <w:t>；表 D.1</w:t>
            </w:r>
            <w:r>
              <w:rPr>
                <w:rFonts w:hint="eastAsia" w:ascii="Times New Roman" w:hAnsi="Times New Roman" w:cs="Times New Roman"/>
                <w:b w:val="0"/>
                <w:bCs w:val="0"/>
                <w:color w:val="auto"/>
                <w:spacing w:val="0"/>
                <w:w w:val="100"/>
                <w:position w:val="0"/>
                <w:sz w:val="21"/>
                <w:szCs w:val="21"/>
                <w:highlight w:val="none"/>
                <w:lang w:val="en-US" w:eastAsia="zh-CN"/>
              </w:rPr>
              <w:t>☑</w:t>
            </w:r>
            <w:r>
              <w:rPr>
                <w:rFonts w:hint="default" w:ascii="Times New Roman" w:hAnsi="Times New Roman" w:cs="Times New Roman"/>
                <w:b w:val="0"/>
                <w:bCs w:val="0"/>
                <w:color w:val="auto"/>
                <w:spacing w:val="0"/>
                <w:w w:val="100"/>
                <w:position w:val="0"/>
                <w:sz w:val="21"/>
                <w:szCs w:val="21"/>
                <w:highlight w:val="none"/>
                <w:lang w:val="en-US" w:eastAsia="zh-CN"/>
              </w:rPr>
              <w:t>；表 D.2□；其他（）</w:t>
            </w:r>
          </w:p>
        </w:tc>
        <w:tc>
          <w:tcPr>
            <w:tcW w:w="1035" w:type="dxa"/>
            <w:vAlign w:val="center"/>
          </w:tcPr>
          <w:p w14:paraId="2957D786">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5DBC12F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23424DBC">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557" w:type="dxa"/>
            <w:vAlign w:val="center"/>
          </w:tcPr>
          <w:p w14:paraId="7075847E">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现状评价结论</w:t>
            </w:r>
          </w:p>
        </w:tc>
        <w:tc>
          <w:tcPr>
            <w:tcW w:w="5359" w:type="dxa"/>
            <w:gridSpan w:val="5"/>
            <w:vAlign w:val="center"/>
          </w:tcPr>
          <w:p w14:paraId="1E0798A9">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各监测点监测结果均能达到《土壤环境质量 建设用地土壤污染风险管控标准（试行）》（GB36600-2018）第二类用地筛选值要求。</w:t>
            </w:r>
          </w:p>
        </w:tc>
        <w:tc>
          <w:tcPr>
            <w:tcW w:w="1035" w:type="dxa"/>
            <w:vAlign w:val="center"/>
          </w:tcPr>
          <w:p w14:paraId="08430498">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5B544F9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restart"/>
            <w:vAlign w:val="center"/>
          </w:tcPr>
          <w:p w14:paraId="4B64D4D7">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影</w:t>
            </w:r>
          </w:p>
          <w:p w14:paraId="2B958AC7">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 xml:space="preserve">响 </w:t>
            </w:r>
          </w:p>
          <w:p w14:paraId="76A9EAE6">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预</w:t>
            </w:r>
          </w:p>
          <w:p w14:paraId="5CC98917">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测</w:t>
            </w:r>
          </w:p>
        </w:tc>
        <w:tc>
          <w:tcPr>
            <w:tcW w:w="1557" w:type="dxa"/>
            <w:vAlign w:val="center"/>
          </w:tcPr>
          <w:p w14:paraId="00D77550">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预测因子</w:t>
            </w:r>
          </w:p>
        </w:tc>
        <w:tc>
          <w:tcPr>
            <w:tcW w:w="5359" w:type="dxa"/>
            <w:gridSpan w:val="5"/>
            <w:vAlign w:val="center"/>
          </w:tcPr>
          <w:p w14:paraId="563F38B7">
            <w:pPr>
              <w:autoSpaceDE w:val="0"/>
              <w:autoSpaceDN w:val="0"/>
              <w:adjustRightIn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1035" w:type="dxa"/>
            <w:vAlign w:val="center"/>
          </w:tcPr>
          <w:p w14:paraId="21115A76">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02D1E07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04EEE9D5">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557" w:type="dxa"/>
            <w:vAlign w:val="center"/>
          </w:tcPr>
          <w:p w14:paraId="5DF61CEE">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预测方法</w:t>
            </w:r>
          </w:p>
        </w:tc>
        <w:tc>
          <w:tcPr>
            <w:tcW w:w="5359" w:type="dxa"/>
            <w:gridSpan w:val="5"/>
            <w:vAlign w:val="center"/>
          </w:tcPr>
          <w:p w14:paraId="4953B927">
            <w:pPr>
              <w:tabs>
                <w:tab w:val="left" w:pos="2920"/>
              </w:tabs>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附录</w:t>
            </w:r>
            <w:r>
              <w:rPr>
                <w:rFonts w:hint="default" w:ascii="Times New Roman" w:hAnsi="Times New Roman" w:cs="Times New Roman"/>
                <w:color w:val="auto"/>
                <w:spacing w:val="-2"/>
                <w:w w:val="99"/>
                <w:kern w:val="0"/>
                <w:position w:val="-1"/>
                <w:sz w:val="21"/>
                <w:szCs w:val="21"/>
                <w:highlight w:val="none"/>
              </w:rPr>
              <w:t>E</w:t>
            </w:r>
            <w:r>
              <w:rPr>
                <w:rFonts w:hint="default" w:ascii="Times New Roman" w:hAnsi="Times New Roman" w:cs="Times New Roman"/>
                <w:b w:val="0"/>
                <w:bCs w:val="0"/>
                <w:color w:val="auto"/>
                <w:spacing w:val="0"/>
                <w:w w:val="100"/>
                <w:position w:val="0"/>
                <w:sz w:val="21"/>
                <w:szCs w:val="21"/>
                <w:highlight w:val="none"/>
                <w:lang w:val="en-US" w:eastAsia="zh-CN"/>
              </w:rPr>
              <w:t>□</w:t>
            </w:r>
            <w:r>
              <w:rPr>
                <w:rFonts w:hint="default" w:ascii="Times New Roman" w:hAnsi="Times New Roman" w:cs="Times New Roman"/>
                <w:color w:val="auto"/>
                <w:kern w:val="0"/>
                <w:position w:val="-1"/>
                <w:sz w:val="21"/>
                <w:szCs w:val="21"/>
                <w:highlight w:val="none"/>
              </w:rPr>
              <w:t>；附录</w:t>
            </w:r>
            <w:r>
              <w:rPr>
                <w:rFonts w:hint="default" w:ascii="Times New Roman" w:hAnsi="Times New Roman" w:cs="Times New Roman"/>
                <w:color w:val="auto"/>
                <w:spacing w:val="1"/>
                <w:kern w:val="0"/>
                <w:position w:val="-1"/>
                <w:sz w:val="21"/>
                <w:szCs w:val="21"/>
                <w:highlight w:val="none"/>
              </w:rPr>
              <w:t>F</w:t>
            </w:r>
            <w:r>
              <w:rPr>
                <w:rFonts w:hint="default" w:ascii="Times New Roman" w:hAnsi="Times New Roman" w:cs="Times New Roman"/>
                <w:b w:val="0"/>
                <w:bCs w:val="0"/>
                <w:color w:val="auto"/>
                <w:spacing w:val="0"/>
                <w:w w:val="100"/>
                <w:position w:val="0"/>
                <w:sz w:val="21"/>
                <w:szCs w:val="21"/>
                <w:highlight w:val="none"/>
                <w:lang w:val="en-US" w:eastAsia="zh-CN"/>
              </w:rPr>
              <w:t>□</w:t>
            </w:r>
            <w:r>
              <w:rPr>
                <w:rFonts w:hint="default" w:ascii="Times New Roman" w:hAnsi="Times New Roman" w:cs="Times New Roman"/>
                <w:color w:val="auto"/>
                <w:kern w:val="0"/>
                <w:position w:val="-1"/>
                <w:sz w:val="21"/>
                <w:szCs w:val="21"/>
                <w:highlight w:val="none"/>
              </w:rPr>
              <w:t>；其他（）</w:t>
            </w:r>
          </w:p>
        </w:tc>
        <w:tc>
          <w:tcPr>
            <w:tcW w:w="1035" w:type="dxa"/>
            <w:vAlign w:val="center"/>
          </w:tcPr>
          <w:p w14:paraId="64875953">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02D5077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0D0E9058">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557" w:type="dxa"/>
            <w:vAlign w:val="center"/>
          </w:tcPr>
          <w:p w14:paraId="26522656">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预测分析内容</w:t>
            </w:r>
          </w:p>
        </w:tc>
        <w:tc>
          <w:tcPr>
            <w:tcW w:w="5359" w:type="dxa"/>
            <w:gridSpan w:val="5"/>
            <w:vAlign w:val="center"/>
          </w:tcPr>
          <w:p w14:paraId="06B31438">
            <w:pPr>
              <w:pStyle w:val="2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0"/>
                <w:w w:val="100"/>
                <w:position w:val="0"/>
                <w:sz w:val="21"/>
                <w:szCs w:val="21"/>
                <w:highlight w:val="none"/>
                <w:lang w:val="en-US" w:eastAsia="zh-CN"/>
              </w:rPr>
            </w:pPr>
            <w:r>
              <w:rPr>
                <w:rFonts w:hint="default" w:ascii="Times New Roman" w:hAnsi="Times New Roman" w:cs="Times New Roman"/>
                <w:b w:val="0"/>
                <w:bCs w:val="0"/>
                <w:color w:val="auto"/>
                <w:spacing w:val="0"/>
                <w:w w:val="100"/>
                <w:position w:val="0"/>
                <w:sz w:val="21"/>
                <w:szCs w:val="21"/>
                <w:highlight w:val="none"/>
                <w:lang w:val="en-US" w:eastAsia="zh-CN"/>
              </w:rPr>
              <w:t>影响范围（      m</w:t>
            </w:r>
            <w:r>
              <w:rPr>
                <w:rFonts w:hint="default" w:ascii="Times New Roman" w:hAnsi="Times New Roman" w:cs="Times New Roman"/>
                <w:b w:val="0"/>
                <w:bCs w:val="0"/>
                <w:color w:val="auto"/>
                <w:spacing w:val="0"/>
                <w:w w:val="100"/>
                <w:position w:val="0"/>
                <w:sz w:val="21"/>
                <w:szCs w:val="21"/>
                <w:highlight w:val="none"/>
                <w:vertAlign w:val="superscript"/>
                <w:lang w:val="en-US" w:eastAsia="zh-CN"/>
              </w:rPr>
              <w:t>2</w:t>
            </w:r>
            <w:r>
              <w:rPr>
                <w:rFonts w:hint="default" w:ascii="Times New Roman" w:hAnsi="Times New Roman" w:cs="Times New Roman"/>
                <w:b w:val="0"/>
                <w:bCs w:val="0"/>
                <w:color w:val="auto"/>
                <w:spacing w:val="0"/>
                <w:w w:val="100"/>
                <w:position w:val="0"/>
                <w:sz w:val="21"/>
                <w:szCs w:val="21"/>
                <w:highlight w:val="none"/>
                <w:lang w:val="en-US" w:eastAsia="zh-CN"/>
              </w:rPr>
              <w:t>）</w:t>
            </w:r>
          </w:p>
          <w:p w14:paraId="08CB624D">
            <w:pPr>
              <w:pStyle w:val="2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b w:val="0"/>
                <w:bCs w:val="0"/>
                <w:color w:val="auto"/>
                <w:spacing w:val="0"/>
                <w:w w:val="100"/>
                <w:position w:val="0"/>
                <w:sz w:val="21"/>
                <w:szCs w:val="21"/>
                <w:highlight w:val="none"/>
                <w:lang w:val="en-US" w:eastAsia="zh-CN"/>
              </w:rPr>
              <w:t>影响程度（        ）</w:t>
            </w:r>
          </w:p>
        </w:tc>
        <w:tc>
          <w:tcPr>
            <w:tcW w:w="1035" w:type="dxa"/>
            <w:vAlign w:val="center"/>
          </w:tcPr>
          <w:p w14:paraId="710CE0F2">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4208A9D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78C7BDD0">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557" w:type="dxa"/>
            <w:vAlign w:val="center"/>
          </w:tcPr>
          <w:p w14:paraId="0479BD02">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预测结论</w:t>
            </w:r>
          </w:p>
        </w:tc>
        <w:tc>
          <w:tcPr>
            <w:tcW w:w="5359" w:type="dxa"/>
            <w:gridSpan w:val="5"/>
            <w:vAlign w:val="center"/>
          </w:tcPr>
          <w:p w14:paraId="59272589">
            <w:pPr>
              <w:pStyle w:val="2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b w:val="0"/>
                <w:bCs w:val="0"/>
                <w:color w:val="auto"/>
                <w:spacing w:val="0"/>
                <w:w w:val="100"/>
                <w:position w:val="0"/>
                <w:sz w:val="21"/>
                <w:szCs w:val="21"/>
                <w:highlight w:val="none"/>
                <w:lang w:val="en-US" w:eastAsia="zh-CN"/>
              </w:rPr>
            </w:pPr>
            <w:r>
              <w:rPr>
                <w:rFonts w:hint="default" w:ascii="Times New Roman" w:hAnsi="Times New Roman" w:cs="Times New Roman"/>
                <w:b w:val="0"/>
                <w:bCs w:val="0"/>
                <w:color w:val="auto"/>
                <w:spacing w:val="0"/>
                <w:w w:val="100"/>
                <w:position w:val="0"/>
                <w:sz w:val="21"/>
                <w:szCs w:val="21"/>
                <w:highlight w:val="none"/>
                <w:lang w:val="en-US" w:eastAsia="zh-CN"/>
              </w:rPr>
              <w:t>达标结论：a）□；b）□；c）□</w:t>
            </w:r>
          </w:p>
          <w:p w14:paraId="313F8FC1">
            <w:pPr>
              <w:pStyle w:val="2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b w:val="0"/>
                <w:bCs w:val="0"/>
                <w:color w:val="auto"/>
                <w:spacing w:val="0"/>
                <w:w w:val="100"/>
                <w:position w:val="0"/>
                <w:sz w:val="21"/>
                <w:szCs w:val="21"/>
                <w:highlight w:val="none"/>
                <w:lang w:val="en-US" w:eastAsia="zh-CN"/>
              </w:rPr>
              <w:t>不达标结论：a）□；b）□</w:t>
            </w:r>
          </w:p>
        </w:tc>
        <w:tc>
          <w:tcPr>
            <w:tcW w:w="1035" w:type="dxa"/>
            <w:vAlign w:val="center"/>
          </w:tcPr>
          <w:p w14:paraId="357E32DE">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1C2517A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restart"/>
            <w:vAlign w:val="center"/>
          </w:tcPr>
          <w:p w14:paraId="7B35B629">
            <w:pPr>
              <w:autoSpaceDE w:val="0"/>
              <w:autoSpaceDN w:val="0"/>
              <w:adjustRightInd w:val="0"/>
              <w:spacing w:line="360" w:lineRule="exact"/>
              <w:ind w:firstLine="0" w:firstLineChars="0"/>
              <w:jc w:val="center"/>
              <w:rPr>
                <w:rFonts w:hint="default" w:ascii="Times New Roman" w:hAnsi="Times New Roman" w:cs="Times New Roman"/>
                <w:color w:val="auto"/>
                <w:kern w:val="0"/>
                <w:position w:val="-1"/>
                <w:sz w:val="21"/>
                <w:szCs w:val="21"/>
                <w:highlight w:val="none"/>
              </w:rPr>
            </w:pPr>
            <w:r>
              <w:rPr>
                <w:rFonts w:hint="default" w:ascii="Times New Roman" w:hAnsi="Times New Roman" w:cs="Times New Roman"/>
                <w:color w:val="auto"/>
                <w:kern w:val="0"/>
                <w:position w:val="-1"/>
                <w:sz w:val="21"/>
                <w:szCs w:val="21"/>
                <w:highlight w:val="none"/>
              </w:rPr>
              <w:t>防</w:t>
            </w:r>
          </w:p>
          <w:p w14:paraId="250532E4">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 xml:space="preserve">治 </w:t>
            </w:r>
          </w:p>
          <w:p w14:paraId="7DE47273">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措</w:t>
            </w:r>
          </w:p>
          <w:p w14:paraId="40E285BD">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施</w:t>
            </w:r>
          </w:p>
        </w:tc>
        <w:tc>
          <w:tcPr>
            <w:tcW w:w="1557" w:type="dxa"/>
            <w:vAlign w:val="center"/>
          </w:tcPr>
          <w:p w14:paraId="3CD5497A">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防控措施</w:t>
            </w:r>
          </w:p>
        </w:tc>
        <w:tc>
          <w:tcPr>
            <w:tcW w:w="5359" w:type="dxa"/>
            <w:gridSpan w:val="5"/>
            <w:vAlign w:val="center"/>
          </w:tcPr>
          <w:p w14:paraId="59F14B47">
            <w:pPr>
              <w:tabs>
                <w:tab w:val="left" w:pos="5500"/>
              </w:tabs>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b w:val="0"/>
                <w:bCs w:val="0"/>
                <w:color w:val="auto"/>
                <w:spacing w:val="0"/>
                <w:w w:val="100"/>
                <w:position w:val="0"/>
                <w:sz w:val="21"/>
                <w:szCs w:val="21"/>
                <w:highlight w:val="none"/>
                <w:lang w:val="en-US" w:eastAsia="zh-CN"/>
              </w:rPr>
              <w:t>土壤环境质量现状保障□；源头控制</w:t>
            </w:r>
            <w:r>
              <w:rPr>
                <w:rFonts w:hint="eastAsia" w:cs="Times New Roman"/>
                <w:b w:val="0"/>
                <w:bCs w:val="0"/>
                <w:color w:val="auto"/>
                <w:spacing w:val="0"/>
                <w:w w:val="100"/>
                <w:position w:val="0"/>
                <w:sz w:val="21"/>
                <w:szCs w:val="21"/>
                <w:highlight w:val="none"/>
                <w:lang w:val="en-US" w:eastAsia="zh-CN"/>
              </w:rPr>
              <w:t>☑</w:t>
            </w:r>
            <w:r>
              <w:rPr>
                <w:rFonts w:hint="default" w:ascii="Times New Roman" w:hAnsi="Times New Roman" w:cs="Times New Roman"/>
                <w:b w:val="0"/>
                <w:bCs w:val="0"/>
                <w:color w:val="auto"/>
                <w:spacing w:val="0"/>
                <w:w w:val="100"/>
                <w:position w:val="0"/>
                <w:sz w:val="21"/>
                <w:szCs w:val="21"/>
                <w:highlight w:val="none"/>
                <w:lang w:val="en-US" w:eastAsia="zh-CN"/>
              </w:rPr>
              <w:t>；过程防控</w:t>
            </w:r>
            <w:r>
              <w:rPr>
                <w:rFonts w:hint="eastAsia" w:cs="Times New Roman"/>
                <w:b w:val="0"/>
                <w:bCs w:val="0"/>
                <w:color w:val="auto"/>
                <w:spacing w:val="0"/>
                <w:w w:val="100"/>
                <w:position w:val="0"/>
                <w:sz w:val="21"/>
                <w:szCs w:val="21"/>
                <w:highlight w:val="none"/>
                <w:lang w:val="en-US" w:eastAsia="zh-CN"/>
              </w:rPr>
              <w:t>☑</w:t>
            </w:r>
            <w:r>
              <w:rPr>
                <w:rFonts w:hint="default" w:ascii="Times New Roman" w:hAnsi="Times New Roman" w:cs="Times New Roman"/>
                <w:b w:val="0"/>
                <w:bCs w:val="0"/>
                <w:color w:val="auto"/>
                <w:spacing w:val="0"/>
                <w:w w:val="100"/>
                <w:position w:val="0"/>
                <w:sz w:val="21"/>
                <w:szCs w:val="21"/>
                <w:highlight w:val="none"/>
                <w:lang w:val="en-US" w:eastAsia="zh-CN"/>
              </w:rPr>
              <w:t>；其他（        ）</w:t>
            </w:r>
          </w:p>
        </w:tc>
        <w:tc>
          <w:tcPr>
            <w:tcW w:w="1035" w:type="dxa"/>
            <w:vAlign w:val="center"/>
          </w:tcPr>
          <w:p w14:paraId="21A4AC8E">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32508EB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2F12CE10">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557" w:type="dxa"/>
            <w:vMerge w:val="restart"/>
            <w:vAlign w:val="center"/>
          </w:tcPr>
          <w:p w14:paraId="1188B29A">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跟踪监测</w:t>
            </w:r>
          </w:p>
        </w:tc>
        <w:tc>
          <w:tcPr>
            <w:tcW w:w="2593" w:type="dxa"/>
            <w:gridSpan w:val="2"/>
            <w:vAlign w:val="center"/>
          </w:tcPr>
          <w:p w14:paraId="5A6DC0DA">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监测点数</w:t>
            </w:r>
          </w:p>
        </w:tc>
        <w:tc>
          <w:tcPr>
            <w:tcW w:w="1457" w:type="dxa"/>
            <w:vAlign w:val="center"/>
          </w:tcPr>
          <w:p w14:paraId="5370F522">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监测指标</w:t>
            </w:r>
          </w:p>
        </w:tc>
        <w:tc>
          <w:tcPr>
            <w:tcW w:w="1309" w:type="dxa"/>
            <w:gridSpan w:val="2"/>
            <w:vAlign w:val="center"/>
          </w:tcPr>
          <w:p w14:paraId="58D3F7C2">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监测频次</w:t>
            </w:r>
          </w:p>
        </w:tc>
        <w:tc>
          <w:tcPr>
            <w:tcW w:w="1035" w:type="dxa"/>
            <w:vMerge w:val="restart"/>
            <w:vAlign w:val="center"/>
          </w:tcPr>
          <w:p w14:paraId="2622793A">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7541822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01062C0D">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557" w:type="dxa"/>
            <w:vMerge w:val="continue"/>
            <w:vAlign w:val="center"/>
          </w:tcPr>
          <w:p w14:paraId="5E73AAF0">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2593" w:type="dxa"/>
            <w:gridSpan w:val="2"/>
            <w:vAlign w:val="center"/>
          </w:tcPr>
          <w:p w14:paraId="65BE7705">
            <w:pPr>
              <w:autoSpaceDE w:val="0"/>
              <w:autoSpaceDN w:val="0"/>
              <w:adjustRightInd w:val="0"/>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2~3</w:t>
            </w:r>
          </w:p>
        </w:tc>
        <w:tc>
          <w:tcPr>
            <w:tcW w:w="1457" w:type="dxa"/>
            <w:vAlign w:val="center"/>
          </w:tcPr>
          <w:p w14:paraId="0BAC4735">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基本45项及pH</w:t>
            </w:r>
          </w:p>
        </w:tc>
        <w:tc>
          <w:tcPr>
            <w:tcW w:w="1309" w:type="dxa"/>
            <w:gridSpan w:val="2"/>
            <w:vAlign w:val="center"/>
          </w:tcPr>
          <w:p w14:paraId="1BDEC8A3">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val="en-US" w:eastAsia="zh-CN"/>
              </w:rPr>
              <w:t>1</w:t>
            </w:r>
            <w:r>
              <w:rPr>
                <w:rFonts w:hint="default" w:ascii="Times New Roman" w:hAnsi="Times New Roman" w:cs="Times New Roman"/>
                <w:color w:val="auto"/>
                <w:kern w:val="0"/>
                <w:sz w:val="21"/>
                <w:szCs w:val="21"/>
                <w:highlight w:val="none"/>
              </w:rPr>
              <w:t>年/次</w:t>
            </w:r>
          </w:p>
        </w:tc>
        <w:tc>
          <w:tcPr>
            <w:tcW w:w="1035" w:type="dxa"/>
            <w:vMerge w:val="continue"/>
            <w:vAlign w:val="center"/>
          </w:tcPr>
          <w:p w14:paraId="62E56ABB">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40763DC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383" w:type="dxa"/>
            <w:vMerge w:val="continue"/>
            <w:vAlign w:val="center"/>
          </w:tcPr>
          <w:p w14:paraId="330D45A3">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c>
          <w:tcPr>
            <w:tcW w:w="1557" w:type="dxa"/>
            <w:vAlign w:val="center"/>
          </w:tcPr>
          <w:p w14:paraId="69AAB3B9">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信息公开指标</w:t>
            </w:r>
          </w:p>
        </w:tc>
        <w:tc>
          <w:tcPr>
            <w:tcW w:w="5359" w:type="dxa"/>
            <w:gridSpan w:val="5"/>
            <w:vAlign w:val="center"/>
          </w:tcPr>
          <w:p w14:paraId="03C3A769">
            <w:pPr>
              <w:autoSpaceDE w:val="0"/>
              <w:autoSpaceDN w:val="0"/>
              <w:adjustRightInd w:val="0"/>
              <w:spacing w:line="360" w:lineRule="exact"/>
              <w:ind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1035" w:type="dxa"/>
            <w:vMerge w:val="continue"/>
            <w:vAlign w:val="center"/>
          </w:tcPr>
          <w:p w14:paraId="0AD6C361">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7C6238E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1940" w:type="dxa"/>
            <w:gridSpan w:val="2"/>
            <w:vAlign w:val="center"/>
          </w:tcPr>
          <w:p w14:paraId="6EFD76AF">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评价结论</w:t>
            </w:r>
          </w:p>
        </w:tc>
        <w:tc>
          <w:tcPr>
            <w:tcW w:w="5359" w:type="dxa"/>
            <w:gridSpan w:val="5"/>
            <w:vAlign w:val="center"/>
          </w:tcPr>
          <w:p w14:paraId="349D3FA6">
            <w:pPr>
              <w:autoSpaceDE w:val="0"/>
              <w:autoSpaceDN w:val="0"/>
              <w:adjustRightInd w:val="0"/>
              <w:spacing w:line="360" w:lineRule="exact"/>
              <w:ind w:firstLine="0" w:firstLineChars="0"/>
              <w:jc w:val="both"/>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综上所述，本项目土壤环境影响评价工作等级为简单评价。在落实源头控制、分区防渗、事故应急等过程防控措施，并参考同类规范项目的良好运行实践的基础上，本项目运营期对区域土壤环境的影响较小，不会造成土壤中特征污染物（氟化物、汞等）的超标累积。从土壤环境保护角度，本项目建设可行。</w:t>
            </w:r>
          </w:p>
        </w:tc>
        <w:tc>
          <w:tcPr>
            <w:tcW w:w="1035" w:type="dxa"/>
            <w:vAlign w:val="center"/>
          </w:tcPr>
          <w:p w14:paraId="2D4828B3">
            <w:pPr>
              <w:autoSpaceDE w:val="0"/>
              <w:autoSpaceDN w:val="0"/>
              <w:adjustRightInd w:val="0"/>
              <w:spacing w:line="360" w:lineRule="exact"/>
              <w:ind w:firstLine="0" w:firstLineChars="0"/>
              <w:jc w:val="center"/>
              <w:rPr>
                <w:rFonts w:hint="default" w:ascii="Times New Roman" w:hAnsi="Times New Roman" w:cs="Times New Roman"/>
                <w:color w:val="auto"/>
                <w:kern w:val="0"/>
                <w:sz w:val="21"/>
                <w:szCs w:val="21"/>
                <w:highlight w:val="none"/>
              </w:rPr>
            </w:pPr>
          </w:p>
        </w:tc>
      </w:tr>
      <w:tr w14:paraId="09ED347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8334" w:type="dxa"/>
            <w:gridSpan w:val="8"/>
            <w:vAlign w:val="center"/>
          </w:tcPr>
          <w:p w14:paraId="32BD0418">
            <w:pPr>
              <w:autoSpaceDE w:val="0"/>
              <w:autoSpaceDN w:val="0"/>
              <w:adjustRightInd w:val="0"/>
              <w:spacing w:line="360" w:lineRule="exact"/>
              <w:ind w:firstLine="0" w:firstLineChars="0"/>
              <w:jc w:val="left"/>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position w:val="-1"/>
                <w:sz w:val="21"/>
                <w:szCs w:val="21"/>
                <w:highlight w:val="none"/>
              </w:rPr>
              <w:t>注</w:t>
            </w:r>
            <w:r>
              <w:rPr>
                <w:rFonts w:hint="default" w:ascii="Times New Roman" w:hAnsi="Times New Roman" w:cs="Times New Roman"/>
                <w:color w:val="auto"/>
                <w:spacing w:val="1"/>
                <w:kern w:val="0"/>
                <w:position w:val="-1"/>
                <w:sz w:val="21"/>
                <w:szCs w:val="21"/>
                <w:highlight w:val="none"/>
              </w:rPr>
              <w:t xml:space="preserve"> </w:t>
            </w:r>
            <w:r>
              <w:rPr>
                <w:rFonts w:hint="default" w:ascii="Times New Roman" w:hAnsi="Times New Roman" w:cs="Times New Roman"/>
                <w:color w:val="auto"/>
                <w:spacing w:val="-1"/>
                <w:kern w:val="0"/>
                <w:position w:val="-1"/>
                <w:sz w:val="21"/>
                <w:szCs w:val="21"/>
                <w:highlight w:val="none"/>
              </w:rPr>
              <w:t>1</w:t>
            </w:r>
            <w:r>
              <w:rPr>
                <w:rFonts w:hint="default" w:ascii="Times New Roman" w:hAnsi="Times New Roman" w:cs="Times New Roman"/>
                <w:color w:val="auto"/>
                <w:kern w:val="0"/>
                <w:position w:val="-1"/>
                <w:sz w:val="21"/>
                <w:szCs w:val="21"/>
                <w:highlight w:val="none"/>
              </w:rPr>
              <w:t>：</w:t>
            </w:r>
            <w:r>
              <w:rPr>
                <w:rFonts w:hint="eastAsia" w:cs="Times New Roman"/>
                <w:color w:val="auto"/>
                <w:kern w:val="0"/>
                <w:position w:val="-1"/>
                <w:sz w:val="21"/>
                <w:szCs w:val="21"/>
                <w:highlight w:val="none"/>
                <w:lang w:eastAsia="zh-CN"/>
              </w:rPr>
              <w:t>“</w:t>
            </w:r>
            <w:r>
              <w:rPr>
                <w:rFonts w:hint="eastAsia" w:cs="Times New Roman"/>
                <w:color w:val="auto"/>
                <w:sz w:val="21"/>
                <w:szCs w:val="21"/>
                <w:highlight w:val="none"/>
                <w:lang w:eastAsia="zh-CN"/>
              </w:rPr>
              <w:t>□</w:t>
            </w:r>
            <w:r>
              <w:rPr>
                <w:rFonts w:hint="eastAsia" w:cs="Times New Roman"/>
                <w:color w:val="auto"/>
                <w:kern w:val="0"/>
                <w:position w:val="-1"/>
                <w:sz w:val="21"/>
                <w:szCs w:val="21"/>
                <w:highlight w:val="none"/>
                <w:lang w:eastAsia="zh-CN"/>
              </w:rPr>
              <w:t>”</w:t>
            </w:r>
            <w:r>
              <w:rPr>
                <w:rFonts w:hint="default" w:ascii="Times New Roman" w:hAnsi="Times New Roman" w:cs="Times New Roman"/>
                <w:color w:val="auto"/>
                <w:kern w:val="0"/>
                <w:position w:val="-1"/>
                <w:sz w:val="21"/>
                <w:szCs w:val="21"/>
                <w:highlight w:val="none"/>
              </w:rPr>
              <w:t>为勾选项，可</w:t>
            </w:r>
            <w:r>
              <w:rPr>
                <w:rFonts w:hint="default" w:ascii="Times New Roman" w:hAnsi="Times New Roman" w:cs="Times New Roman"/>
                <w:color w:val="auto"/>
                <w:w w:val="142"/>
                <w:kern w:val="0"/>
                <w:position w:val="-1"/>
                <w:sz w:val="21"/>
                <w:szCs w:val="21"/>
                <w:highlight w:val="none"/>
              </w:rPr>
              <w:t>√</w:t>
            </w:r>
            <w:r>
              <w:rPr>
                <w:rFonts w:hint="default" w:ascii="Times New Roman" w:hAnsi="Times New Roman" w:cs="Times New Roman"/>
                <w:color w:val="auto"/>
                <w:kern w:val="0"/>
                <w:position w:val="-1"/>
                <w:sz w:val="21"/>
                <w:szCs w:val="21"/>
                <w:highlight w:val="none"/>
              </w:rPr>
              <w:t>；</w:t>
            </w:r>
            <w:r>
              <w:rPr>
                <w:rFonts w:hint="eastAsia" w:cs="Times New Roman"/>
                <w:color w:val="auto"/>
                <w:kern w:val="0"/>
                <w:position w:val="-1"/>
                <w:sz w:val="21"/>
                <w:szCs w:val="21"/>
                <w:highlight w:val="none"/>
                <w:lang w:eastAsia="zh-CN"/>
              </w:rPr>
              <w:t>“</w:t>
            </w:r>
            <w:r>
              <w:rPr>
                <w:rFonts w:hint="default" w:ascii="Times New Roman" w:hAnsi="Times New Roman" w:cs="Times New Roman"/>
                <w:color w:val="auto"/>
                <w:kern w:val="0"/>
                <w:position w:val="-1"/>
                <w:sz w:val="21"/>
                <w:szCs w:val="21"/>
                <w:highlight w:val="none"/>
              </w:rPr>
              <w:t>（ ）</w:t>
            </w:r>
            <w:r>
              <w:rPr>
                <w:rFonts w:hint="eastAsia" w:cs="Times New Roman"/>
                <w:color w:val="auto"/>
                <w:kern w:val="0"/>
                <w:position w:val="-1"/>
                <w:sz w:val="21"/>
                <w:szCs w:val="21"/>
                <w:highlight w:val="none"/>
                <w:lang w:eastAsia="zh-CN"/>
              </w:rPr>
              <w:t>”</w:t>
            </w:r>
            <w:r>
              <w:rPr>
                <w:rFonts w:hint="default" w:ascii="Times New Roman" w:hAnsi="Times New Roman" w:cs="Times New Roman"/>
                <w:color w:val="auto"/>
                <w:kern w:val="0"/>
                <w:position w:val="-1"/>
                <w:sz w:val="21"/>
                <w:szCs w:val="21"/>
                <w:highlight w:val="none"/>
              </w:rPr>
              <w:t>为内容填写项；</w:t>
            </w:r>
            <w:r>
              <w:rPr>
                <w:rFonts w:hint="eastAsia" w:cs="Times New Roman"/>
                <w:color w:val="auto"/>
                <w:kern w:val="0"/>
                <w:position w:val="-1"/>
                <w:sz w:val="21"/>
                <w:szCs w:val="21"/>
                <w:highlight w:val="none"/>
                <w:lang w:eastAsia="zh-CN"/>
              </w:rPr>
              <w:t>“</w:t>
            </w:r>
            <w:r>
              <w:rPr>
                <w:rFonts w:hint="default" w:ascii="Times New Roman" w:hAnsi="Times New Roman" w:cs="Times New Roman"/>
                <w:color w:val="auto"/>
                <w:kern w:val="0"/>
                <w:position w:val="-1"/>
                <w:sz w:val="21"/>
                <w:szCs w:val="21"/>
                <w:highlight w:val="none"/>
              </w:rPr>
              <w:t>备注</w:t>
            </w:r>
            <w:r>
              <w:rPr>
                <w:rFonts w:hint="eastAsia" w:cs="Times New Roman"/>
                <w:color w:val="auto"/>
                <w:kern w:val="0"/>
                <w:position w:val="-1"/>
                <w:sz w:val="21"/>
                <w:szCs w:val="21"/>
                <w:highlight w:val="none"/>
                <w:lang w:eastAsia="zh-CN"/>
              </w:rPr>
              <w:t>”</w:t>
            </w:r>
            <w:r>
              <w:rPr>
                <w:rFonts w:hint="default" w:ascii="Times New Roman" w:hAnsi="Times New Roman" w:cs="Times New Roman"/>
                <w:color w:val="auto"/>
                <w:kern w:val="0"/>
                <w:position w:val="-1"/>
                <w:sz w:val="21"/>
                <w:szCs w:val="21"/>
                <w:highlight w:val="none"/>
              </w:rPr>
              <w:t>为其他补充内容。</w:t>
            </w:r>
          </w:p>
          <w:p w14:paraId="2D3876A9">
            <w:pPr>
              <w:autoSpaceDE w:val="0"/>
              <w:autoSpaceDN w:val="0"/>
              <w:adjustRightInd w:val="0"/>
              <w:spacing w:line="360" w:lineRule="exact"/>
              <w:ind w:firstLine="0" w:firstLineChars="0"/>
              <w:jc w:val="left"/>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注</w:t>
            </w:r>
            <w:r>
              <w:rPr>
                <w:rFonts w:hint="default" w:ascii="Times New Roman" w:hAnsi="Times New Roman" w:cs="Times New Roman"/>
                <w:color w:val="auto"/>
                <w:spacing w:val="1"/>
                <w:kern w:val="0"/>
                <w:sz w:val="21"/>
                <w:szCs w:val="21"/>
                <w:highlight w:val="none"/>
              </w:rPr>
              <w:t xml:space="preserve"> </w:t>
            </w:r>
            <w:r>
              <w:rPr>
                <w:rFonts w:hint="default" w:ascii="Times New Roman" w:hAnsi="Times New Roman" w:cs="Times New Roman"/>
                <w:color w:val="auto"/>
                <w:spacing w:val="-1"/>
                <w:kern w:val="0"/>
                <w:sz w:val="21"/>
                <w:szCs w:val="21"/>
                <w:highlight w:val="none"/>
              </w:rPr>
              <w:t>2</w:t>
            </w:r>
            <w:r>
              <w:rPr>
                <w:rFonts w:hint="default" w:ascii="Times New Roman" w:hAnsi="Times New Roman" w:cs="Times New Roman"/>
                <w:color w:val="auto"/>
                <w:kern w:val="0"/>
                <w:sz w:val="21"/>
                <w:szCs w:val="21"/>
                <w:highlight w:val="none"/>
              </w:rPr>
              <w:t>：需要分别开展土壤环境影响评级工作的，分别填写自查表。</w:t>
            </w:r>
          </w:p>
        </w:tc>
      </w:tr>
    </w:tbl>
    <w:p w14:paraId="764F6B63">
      <w:pPr>
        <w:pStyle w:val="4"/>
        <w:rPr>
          <w:rFonts w:hint="default" w:ascii="Times New Roman" w:hAnsi="Times New Roman" w:cs="Times New Roman"/>
          <w:color w:val="auto"/>
          <w:highlight w:val="none"/>
        </w:rPr>
      </w:pPr>
      <w:bookmarkStart w:id="730" w:name="_Toc27346"/>
      <w:bookmarkStart w:id="731" w:name="_Toc15280"/>
      <w:bookmarkStart w:id="732" w:name="_Toc32314"/>
      <w:r>
        <w:rPr>
          <w:rFonts w:hint="default" w:ascii="Times New Roman" w:hAnsi="Times New Roman" w:cs="Times New Roman"/>
          <w:color w:val="auto"/>
          <w:highlight w:val="none"/>
        </w:rPr>
        <w:t>5.2.7运营期生态环境影响分析</w:t>
      </w:r>
      <w:bookmarkEnd w:id="730"/>
      <w:bookmarkEnd w:id="731"/>
      <w:bookmarkEnd w:id="732"/>
    </w:p>
    <w:p w14:paraId="48B21AC8">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5.2.7.1土地利用评价</w:t>
      </w:r>
    </w:p>
    <w:p w14:paraId="65A8B647">
      <w:pPr>
        <w:pStyle w:val="68"/>
        <w:overflowPunct w:val="0"/>
        <w:topLinePunct/>
        <w:spacing w:line="480" w:lineRule="exa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对场地的影响主要表现在项目建成后的永久占地，主要表现为新建选矿厂、尾矿库等配套设施。</w:t>
      </w:r>
    </w:p>
    <w:p w14:paraId="761BFE45">
      <w:pPr>
        <w:pStyle w:val="68"/>
        <w:overflowPunct w:val="0"/>
        <w:topLinePunct/>
        <w:spacing w:line="480" w:lineRule="exact"/>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本项目运营期对土地利用的影响分别见表5.2-29。</w:t>
      </w:r>
    </w:p>
    <w:p w14:paraId="40F4EEB4">
      <w:pPr>
        <w:adjustRightInd w:val="0"/>
        <w:ind w:firstLine="0" w:firstLineChars="0"/>
        <w:jc w:val="center"/>
        <w:rPr>
          <w:color w:val="auto"/>
          <w:highlight w:val="none"/>
        </w:rPr>
      </w:pPr>
      <w:r>
        <w:rPr>
          <w:rFonts w:hint="default" w:ascii="Times New Roman" w:hAnsi="Times New Roman" w:cs="Times New Roman"/>
          <w:b/>
          <w:color w:val="auto"/>
          <w:kern w:val="0"/>
          <w:highlight w:val="none"/>
        </w:rPr>
        <w:t xml:space="preserve">表5.2-29    </w:t>
      </w:r>
      <w:r>
        <w:rPr>
          <w:rFonts w:hint="default" w:ascii="Times New Roman" w:hAnsi="Times New Roman" w:cs="Times New Roman"/>
          <w:b/>
          <w:bCs/>
          <w:color w:val="auto"/>
          <w:highlight w:val="none"/>
        </w:rPr>
        <w:t>本项目占地面积及类型</w:t>
      </w:r>
    </w:p>
    <w:tbl>
      <w:tblPr>
        <w:tblStyle w:val="33"/>
        <w:tblW w:w="5016" w:type="pct"/>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513"/>
        <w:gridCol w:w="1628"/>
        <w:gridCol w:w="1436"/>
        <w:gridCol w:w="2228"/>
        <w:gridCol w:w="2558"/>
      </w:tblGrid>
      <w:tr w14:paraId="06E23178">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tblHeader/>
          <w:jc w:val="center"/>
        </w:trPr>
        <w:tc>
          <w:tcPr>
            <w:tcW w:w="541" w:type="dxa"/>
            <w:tcBorders>
              <w:bottom w:val="single" w:color="auto" w:sz="4" w:space="0"/>
              <w:right w:val="single" w:color="auto" w:sz="4" w:space="0"/>
            </w:tcBorders>
            <w:shd w:val="clear" w:color="auto" w:fill="auto"/>
            <w:tcMar>
              <w:top w:w="0" w:type="dxa"/>
              <w:left w:w="0" w:type="dxa"/>
              <w:bottom w:w="0" w:type="dxa"/>
              <w:right w:w="0" w:type="dxa"/>
            </w:tcMar>
            <w:vAlign w:val="center"/>
          </w:tcPr>
          <w:p w14:paraId="2FA7D07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序号</w:t>
            </w:r>
          </w:p>
        </w:tc>
        <w:tc>
          <w:tcPr>
            <w:tcW w:w="1744" w:type="dxa"/>
            <w:tcBorders>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B80770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建构筑物名称</w:t>
            </w:r>
          </w:p>
        </w:tc>
        <w:tc>
          <w:tcPr>
            <w:tcW w:w="1498" w:type="dxa"/>
            <w:tcBorders>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FD20B6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占地面积</w:t>
            </w:r>
          </w:p>
          <w:p w14:paraId="4945CDE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eastAsia" w:eastAsia="宋体" w:cs="Times New Roman"/>
                <w:b/>
                <w:bCs/>
                <w:color w:val="auto"/>
                <w:kern w:val="0"/>
                <w:sz w:val="21"/>
                <w:szCs w:val="21"/>
                <w:highlight w:val="none"/>
                <w:lang w:eastAsia="zh-CN"/>
              </w:rPr>
              <w:t>（</w:t>
            </w:r>
            <w:r>
              <w:rPr>
                <w:rFonts w:hint="default" w:ascii="Times New Roman" w:hAnsi="Times New Roman" w:eastAsia="宋体" w:cs="Times New Roman"/>
                <w:b/>
                <w:bCs/>
                <w:color w:val="auto"/>
                <w:kern w:val="0"/>
                <w:sz w:val="21"/>
                <w:szCs w:val="21"/>
                <w:highlight w:val="none"/>
              </w:rPr>
              <w:t>hm</w:t>
            </w:r>
            <w:r>
              <w:rPr>
                <w:rFonts w:hint="eastAsia" w:eastAsia="宋体" w:cs="Times New Roman"/>
                <w:b/>
                <w:bCs/>
                <w:color w:val="auto"/>
                <w:kern w:val="0"/>
                <w:sz w:val="21"/>
                <w:szCs w:val="21"/>
                <w:highlight w:val="none"/>
                <w:vertAlign w:val="superscript"/>
                <w:lang w:val="en-US" w:eastAsia="zh-CN"/>
              </w:rPr>
              <w:t>2</w:t>
            </w:r>
            <w:r>
              <w:rPr>
                <w:rFonts w:hint="eastAsia" w:eastAsia="宋体" w:cs="Times New Roman"/>
                <w:b/>
                <w:bCs/>
                <w:color w:val="auto"/>
                <w:kern w:val="0"/>
                <w:sz w:val="21"/>
                <w:szCs w:val="21"/>
                <w:highlight w:val="none"/>
                <w:lang w:eastAsia="zh-CN"/>
              </w:rPr>
              <w:t>）</w:t>
            </w:r>
          </w:p>
        </w:tc>
        <w:tc>
          <w:tcPr>
            <w:tcW w:w="2422" w:type="dxa"/>
            <w:tcBorders>
              <w:left w:val="single" w:color="auto" w:sz="4" w:space="0"/>
              <w:bottom w:val="single" w:color="auto" w:sz="4" w:space="0"/>
            </w:tcBorders>
            <w:shd w:val="clear" w:color="auto" w:fill="auto"/>
            <w:tcMar>
              <w:top w:w="0" w:type="dxa"/>
              <w:left w:w="0" w:type="dxa"/>
              <w:bottom w:w="0" w:type="dxa"/>
              <w:right w:w="0" w:type="dxa"/>
            </w:tcMar>
            <w:vAlign w:val="center"/>
          </w:tcPr>
          <w:p w14:paraId="57EB101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eastAsia" w:eastAsia="宋体" w:cs="Times New Roman"/>
                <w:b/>
                <w:bCs/>
                <w:color w:val="auto"/>
                <w:kern w:val="0"/>
                <w:sz w:val="21"/>
                <w:szCs w:val="21"/>
                <w:highlight w:val="none"/>
                <w:lang w:val="en-US" w:eastAsia="zh-CN"/>
              </w:rPr>
              <w:t>占地类型</w:t>
            </w:r>
          </w:p>
        </w:tc>
        <w:tc>
          <w:tcPr>
            <w:tcW w:w="2783" w:type="dxa"/>
            <w:tcBorders>
              <w:left w:val="single" w:color="auto" w:sz="4" w:space="0"/>
              <w:bottom w:val="single" w:color="auto" w:sz="4" w:space="0"/>
            </w:tcBorders>
            <w:shd w:val="clear" w:color="auto" w:fill="auto"/>
            <w:tcMar>
              <w:top w:w="0" w:type="dxa"/>
              <w:left w:w="0" w:type="dxa"/>
              <w:bottom w:w="0" w:type="dxa"/>
              <w:right w:w="0" w:type="dxa"/>
            </w:tcMar>
            <w:vAlign w:val="center"/>
          </w:tcPr>
          <w:p w14:paraId="643A40F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备注</w:t>
            </w:r>
          </w:p>
        </w:tc>
      </w:tr>
      <w:tr w14:paraId="2C3DDC8E">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718D04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8A024E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卸料棚</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199A68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0.0033</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628E63B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6A9857F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永久占地</w:t>
            </w:r>
          </w:p>
        </w:tc>
      </w:tr>
      <w:tr w14:paraId="7C53E141">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066806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862254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粗碎车间</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FDFDC3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0.0225</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0CEC861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6C5C0AC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永久占地</w:t>
            </w:r>
          </w:p>
        </w:tc>
      </w:tr>
      <w:tr w14:paraId="7B76BC37">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8C258A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1CDD91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中碎车间</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4E3096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0.0270</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7AAA274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70FBA1F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永久占地</w:t>
            </w:r>
          </w:p>
        </w:tc>
      </w:tr>
      <w:tr w14:paraId="1C113EF7">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DCFE3D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0B461D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粉矿仓（2座）</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6C0EED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0.0127</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0E8E14D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3EBF6A9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永久占地</w:t>
            </w:r>
          </w:p>
        </w:tc>
      </w:tr>
      <w:tr w14:paraId="64ECA625">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2D069E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C3C85E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皮带通廊</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4DD3FF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0.0407</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0AAE486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277B8D0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永久占地</w:t>
            </w:r>
          </w:p>
        </w:tc>
      </w:tr>
      <w:tr w14:paraId="28F4C9D5">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3829C2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5EBAC7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主厂房</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EACE15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0.4959</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0FA39B2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1E1BC99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永久占地</w:t>
            </w:r>
          </w:p>
        </w:tc>
      </w:tr>
      <w:tr w14:paraId="39CCADBE">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731476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7</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ED82B5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浓密机</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0FF859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0.0452</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4F5ADCB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109F817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永久占地</w:t>
            </w:r>
          </w:p>
        </w:tc>
      </w:tr>
      <w:tr w14:paraId="5CA9EAF0">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859052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8</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72B9E1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清水集聚池</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4709E1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0.1700</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24D77D3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33921CE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永久占地</w:t>
            </w:r>
          </w:p>
        </w:tc>
      </w:tr>
      <w:tr w14:paraId="2967FA22">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2ADD54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9</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13D417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选矿厂循环水</w:t>
            </w:r>
            <w:r>
              <w:rPr>
                <w:rFonts w:hint="default" w:ascii="Times New Roman" w:hAnsi="Times New Roman" w:eastAsia="宋体" w:cs="Times New Roman"/>
                <w:color w:val="auto"/>
                <w:kern w:val="0"/>
                <w:sz w:val="21"/>
                <w:szCs w:val="21"/>
                <w:highlight w:val="none"/>
              </w:rPr>
              <w:t>池</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6E98C4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0.2000</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2B88547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51FD867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永久占地</w:t>
            </w:r>
          </w:p>
        </w:tc>
      </w:tr>
      <w:tr w14:paraId="3D99410B">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BCBC89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A21A03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尾矿水1号澄清池</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CAF5C8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0.0150</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104FAE6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4661B38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永久占地</w:t>
            </w:r>
          </w:p>
        </w:tc>
      </w:tr>
      <w:tr w14:paraId="6371184B">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764829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BCB908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尾矿水2号澄清池</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507D38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0.0150</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632C519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6679C30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永久占地</w:t>
            </w:r>
          </w:p>
        </w:tc>
      </w:tr>
      <w:tr w14:paraId="35337713">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8DBFCB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1AED84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配电室</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45B3C3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0.0192</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53DBBFB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267C8F1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永久占地</w:t>
            </w:r>
          </w:p>
        </w:tc>
      </w:tr>
      <w:tr w14:paraId="211A8BE0">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101611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13</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F7EB42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锅炉房</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44E5B9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0.0576</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2C81F9D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7A6408E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永久占地</w:t>
            </w:r>
          </w:p>
        </w:tc>
      </w:tr>
      <w:tr w14:paraId="5A97F5A4">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BBD779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14</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ED6AFD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煤棚</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5783E9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0.0735</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77D898B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795B235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永久占地</w:t>
            </w:r>
          </w:p>
        </w:tc>
      </w:tr>
      <w:tr w14:paraId="2D0C9517">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FEFA4F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15</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A2FB99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门卫值班室</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74375B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0.0046</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3723A50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574FB6A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永久占地</w:t>
            </w:r>
          </w:p>
        </w:tc>
      </w:tr>
      <w:tr w14:paraId="3EA0F7C3">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6C394E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16</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0EAA54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磅秤房</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137917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0.0046</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73CABDC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7CFC293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永久占地</w:t>
            </w:r>
          </w:p>
        </w:tc>
      </w:tr>
      <w:tr w14:paraId="109F20AC">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297F34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17</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3267BA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采矿楼</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F50BE0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0.0866</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318D1B5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1DB3A96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永久占地</w:t>
            </w:r>
          </w:p>
        </w:tc>
      </w:tr>
      <w:tr w14:paraId="5D91A65D">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38B3F0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18</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487FFAF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选厂楼</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31199C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0.0866</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26BB564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62E2844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永久占地</w:t>
            </w:r>
          </w:p>
        </w:tc>
      </w:tr>
      <w:tr w14:paraId="608B06ED">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946AAE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19</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E59748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办公楼</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6B25E08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0.0866</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3E0C6DD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032CA3F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永久占地</w:t>
            </w:r>
          </w:p>
        </w:tc>
      </w:tr>
      <w:tr w14:paraId="34C50198">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D72E7D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8A1BEF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餐厅楼</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2AF76D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0.0866</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32F083C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10AB782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永久占地</w:t>
            </w:r>
          </w:p>
        </w:tc>
      </w:tr>
      <w:tr w14:paraId="66D94D1B">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BB0068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21</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50102D1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消防水池</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EF9371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0.0080</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2EF3085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0D44DCF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永久占地</w:t>
            </w:r>
          </w:p>
        </w:tc>
      </w:tr>
      <w:tr w14:paraId="663D7E5A">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14B26B4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22</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0C594E7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尾矿库</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3E62E26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16.6</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7E6CD19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1F983BB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val="en-US" w:eastAsia="zh-CN"/>
              </w:rPr>
              <w:t>永久占地</w:t>
            </w:r>
          </w:p>
        </w:tc>
      </w:tr>
      <w:tr w14:paraId="19D2640E">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541" w:type="dxa"/>
            <w:tcBorders>
              <w:top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259983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23</w:t>
            </w:r>
          </w:p>
        </w:tc>
        <w:tc>
          <w:tcPr>
            <w:tcW w:w="174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2A5F8EE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厂区道路、绿化及预留用地</w:t>
            </w:r>
          </w:p>
        </w:tc>
        <w:tc>
          <w:tcPr>
            <w:tcW w:w="149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14:paraId="7A922D0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1.9989</w:t>
            </w:r>
          </w:p>
        </w:tc>
        <w:tc>
          <w:tcPr>
            <w:tcW w:w="2422"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44C6C99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bottom w:val="single" w:color="auto" w:sz="4" w:space="0"/>
            </w:tcBorders>
            <w:shd w:val="clear" w:color="auto" w:fill="auto"/>
            <w:tcMar>
              <w:top w:w="0" w:type="dxa"/>
              <w:left w:w="0" w:type="dxa"/>
              <w:bottom w:w="0" w:type="dxa"/>
              <w:right w:w="0" w:type="dxa"/>
            </w:tcMar>
            <w:vAlign w:val="center"/>
          </w:tcPr>
          <w:p w14:paraId="1426FBC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临时占地</w:t>
            </w:r>
          </w:p>
        </w:tc>
      </w:tr>
      <w:tr w14:paraId="16EA0317">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2285" w:type="dxa"/>
            <w:gridSpan w:val="2"/>
            <w:tcBorders>
              <w:top w:val="single" w:color="auto" w:sz="4" w:space="0"/>
              <w:right w:val="single" w:color="auto" w:sz="4" w:space="0"/>
            </w:tcBorders>
            <w:shd w:val="clear" w:color="auto" w:fill="auto"/>
            <w:tcMar>
              <w:top w:w="0" w:type="dxa"/>
              <w:left w:w="0" w:type="dxa"/>
              <w:bottom w:w="0" w:type="dxa"/>
              <w:right w:w="0" w:type="dxa"/>
            </w:tcMar>
            <w:vAlign w:val="center"/>
          </w:tcPr>
          <w:p w14:paraId="79FA285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合计</w:t>
            </w:r>
          </w:p>
        </w:tc>
        <w:tc>
          <w:tcPr>
            <w:tcW w:w="1498" w:type="dxa"/>
            <w:tcBorders>
              <w:top w:val="single" w:color="auto" w:sz="4" w:space="0"/>
              <w:left w:val="single" w:color="auto" w:sz="4" w:space="0"/>
              <w:right w:val="single" w:color="auto" w:sz="4" w:space="0"/>
            </w:tcBorders>
            <w:shd w:val="clear" w:color="auto" w:fill="auto"/>
            <w:tcMar>
              <w:top w:w="0" w:type="dxa"/>
              <w:left w:w="0" w:type="dxa"/>
              <w:bottom w:w="0" w:type="dxa"/>
              <w:right w:w="0" w:type="dxa"/>
            </w:tcMar>
            <w:vAlign w:val="center"/>
          </w:tcPr>
          <w:p w14:paraId="405A575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20.1603</w:t>
            </w:r>
          </w:p>
        </w:tc>
        <w:tc>
          <w:tcPr>
            <w:tcW w:w="2422" w:type="dxa"/>
            <w:tcBorders>
              <w:top w:val="single" w:color="auto" w:sz="4" w:space="0"/>
              <w:left w:val="single" w:color="auto" w:sz="4" w:space="0"/>
            </w:tcBorders>
            <w:shd w:val="clear" w:color="auto" w:fill="auto"/>
            <w:tcMar>
              <w:top w:w="0" w:type="dxa"/>
              <w:left w:w="0" w:type="dxa"/>
              <w:bottom w:w="0" w:type="dxa"/>
              <w:right w:w="0" w:type="dxa"/>
            </w:tcMar>
            <w:vAlign w:val="center"/>
          </w:tcPr>
          <w:p w14:paraId="735AF2E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t>裸岩石砾地</w:t>
            </w:r>
          </w:p>
        </w:tc>
        <w:tc>
          <w:tcPr>
            <w:tcW w:w="2783" w:type="dxa"/>
            <w:tcBorders>
              <w:top w:val="single" w:color="auto" w:sz="4" w:space="0"/>
              <w:left w:val="single" w:color="auto" w:sz="4" w:space="0"/>
            </w:tcBorders>
            <w:shd w:val="clear" w:color="auto" w:fill="auto"/>
            <w:tcMar>
              <w:top w:w="0" w:type="dxa"/>
              <w:left w:w="0" w:type="dxa"/>
              <w:bottom w:w="0" w:type="dxa"/>
              <w:right w:w="0" w:type="dxa"/>
            </w:tcMar>
            <w:vAlign w:val="center"/>
          </w:tcPr>
          <w:p w14:paraId="347E28A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w:t>
            </w:r>
          </w:p>
        </w:tc>
      </w:tr>
    </w:tbl>
    <w:p w14:paraId="4D586D3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由表5.2-29可见，项目运营期占用的工业场地等土地将彻底改变原有的土地利用类型。</w:t>
      </w:r>
    </w:p>
    <w:p w14:paraId="4C649F43">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5.2.7.2对植被影响分析</w:t>
      </w:r>
    </w:p>
    <w:p w14:paraId="6D4BE93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（1）工程占地对植被的影响</w:t>
      </w:r>
    </w:p>
    <w:p w14:paraId="7BA66C1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项目建设过程中，各种施工活动将破坏项目区内的植被，减少植物数量及分布范围；项目所在地区域种植种类比较</w:t>
      </w:r>
      <w:r>
        <w:rPr>
          <w:rFonts w:hint="default" w:ascii="Times New Roman" w:hAnsi="Times New Roman" w:cs="Times New Roman"/>
          <w:color w:val="auto"/>
          <w:highlight w:val="none"/>
          <w:lang w:val="en-US" w:eastAsia="zh-CN"/>
        </w:rPr>
        <w:t>少</w:t>
      </w:r>
      <w:r>
        <w:rPr>
          <w:rFonts w:hint="default" w:ascii="Times New Roman" w:hAnsi="Times New Roman" w:cs="Times New Roman"/>
          <w:color w:val="auto"/>
          <w:highlight w:val="none"/>
        </w:rPr>
        <w:t>；鉴于此，评价区内的某个物种及其种群不会因为项目建设而导致灭绝。因此，尽管由于项目建设会使原有少量植被遭到局部损失，但不会使整个评价区植物群落的种类组成发生变化，也不会造成某一物种在评价区范围内的消失。</w:t>
      </w:r>
    </w:p>
    <w:p w14:paraId="6D82CA2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（2）污染物排放对土壤植被的影响</w:t>
      </w:r>
    </w:p>
    <w:p w14:paraId="48ED138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本项目车辆运输过程中及生产过</w:t>
      </w:r>
      <w:r>
        <w:rPr>
          <w:rFonts w:hint="eastAsia" w:cs="Times New Roman"/>
          <w:color w:val="auto"/>
          <w:highlight w:val="none"/>
          <w:lang w:eastAsia="zh-CN"/>
        </w:rPr>
        <w:t>程中</w:t>
      </w:r>
      <w:r>
        <w:rPr>
          <w:rFonts w:hint="default" w:ascii="Times New Roman" w:hAnsi="Times New Roman" w:cs="Times New Roman"/>
          <w:color w:val="auto"/>
          <w:highlight w:val="none"/>
        </w:rPr>
        <w:t>产生的粉尘等污染物会对项目区周围空气环境产生影响。污染物可通过自然沉降和降水淋溶等途径进入土壤环境，从物理、化学等方面影响周围土壤的孔隙度、团粒结构、酸碱度、土壤肥力及微量元素含量等，从而间接影响植被生长。粉尘降落到植物叶面上，将堵塞叶面气孔，使光合作用强度下降。同时，覆尘叶片吸收红外光辐射的能力增强，导致叶温增高，蒸腾速度加快，引起失水，使植物生长发育不良。本项目在生产过程中采取防尘措施，将尽可能降低扩散到附近植被的粉尘量。</w:t>
      </w:r>
    </w:p>
    <w:p w14:paraId="3C077AAA">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5.2.7.3对野生动物影响分析</w:t>
      </w:r>
    </w:p>
    <w:p w14:paraId="04E0B3FA">
      <w:pPr>
        <w:widowControl/>
        <w:overflowPunct w:val="0"/>
        <w:topLinePunct/>
        <w:ind w:firstLine="480"/>
        <w:rPr>
          <w:rFonts w:hint="default" w:ascii="Times New Roman" w:hAnsi="Times New Roman" w:cs="Times New Roman"/>
          <w:color w:val="auto"/>
          <w:kern w:val="0"/>
          <w:highlight w:val="none"/>
          <w:lang w:bidi="ar"/>
        </w:rPr>
      </w:pPr>
      <w:r>
        <w:rPr>
          <w:rFonts w:hint="default" w:ascii="Times New Roman" w:hAnsi="Times New Roman" w:cs="Times New Roman"/>
          <w:color w:val="auto"/>
          <w:highlight w:val="none"/>
        </w:rPr>
        <w:t>经调查，项目区周边无</w:t>
      </w:r>
      <w:r>
        <w:rPr>
          <w:rFonts w:hint="eastAsia" w:cs="Times New Roman"/>
          <w:color w:val="auto"/>
          <w:highlight w:val="none"/>
          <w:lang w:val="en-US" w:eastAsia="zh-CN"/>
        </w:rPr>
        <w:t>居民</w:t>
      </w:r>
      <w:r>
        <w:rPr>
          <w:rFonts w:hint="default" w:ascii="Times New Roman" w:hAnsi="Times New Roman" w:cs="Times New Roman"/>
          <w:color w:val="auto"/>
          <w:highlight w:val="none"/>
        </w:rPr>
        <w:t>，区域生产繁衍的野生动物很少，</w:t>
      </w:r>
      <w:r>
        <w:rPr>
          <w:rFonts w:hint="default" w:ascii="Times New Roman" w:hAnsi="Times New Roman" w:cs="Times New Roman"/>
          <w:color w:val="auto"/>
          <w:kern w:val="0"/>
          <w:highlight w:val="none"/>
          <w:lang w:bidi="ar"/>
        </w:rPr>
        <w:t>现有的野生动物多为一些常见的鸟类、野兔、鼠类和昆虫等。</w:t>
      </w:r>
      <w:r>
        <w:rPr>
          <w:rFonts w:hint="eastAsia" w:cs="Times New Roman"/>
          <w:color w:val="auto"/>
          <w:kern w:val="0"/>
          <w:sz w:val="24"/>
          <w:szCs w:val="24"/>
          <w:highlight w:val="none"/>
          <w:lang w:val="en-US" w:eastAsia="zh-CN" w:bidi="ar"/>
        </w:rPr>
        <w:t>项目</w:t>
      </w:r>
      <w:r>
        <w:rPr>
          <w:rFonts w:hint="default" w:ascii="Times New Roman" w:hAnsi="Times New Roman" w:cs="Times New Roman"/>
          <w:color w:val="auto"/>
          <w:kern w:val="0"/>
          <w:sz w:val="24"/>
          <w:szCs w:val="24"/>
          <w:highlight w:val="none"/>
          <w:lang w:val="en-US" w:eastAsia="zh-CN" w:bidi="ar"/>
        </w:rPr>
        <w:t>范围内未发现重点保护野生动物的踪迹（包括足印、粪便、体毛、爪印、食痕、睡窝、洞穴）。</w:t>
      </w:r>
    </w:p>
    <w:p w14:paraId="4339FD85">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项目厂界围栏对外环境野生动物进行了隔离，避免了外界野生动物进入而造成影响。且项目区各种机械</w:t>
      </w:r>
      <w:r>
        <w:rPr>
          <w:rFonts w:hint="eastAsia" w:cs="Times New Roman"/>
          <w:color w:val="auto"/>
          <w:highlight w:val="none"/>
          <w:lang w:eastAsia="zh-CN"/>
        </w:rPr>
        <w:t>产生</w:t>
      </w:r>
      <w:r>
        <w:rPr>
          <w:rFonts w:hint="default" w:ascii="Times New Roman" w:hAnsi="Times New Roman" w:cs="Times New Roman"/>
          <w:color w:val="auto"/>
          <w:highlight w:val="none"/>
        </w:rPr>
        <w:t>的噪声和人员活动对外环境动物造成干扰，大型野生动物很少出现，仅有少量小型爬行类动物出没。</w:t>
      </w:r>
    </w:p>
    <w:p w14:paraId="0D03CCBF">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在项目的建设过程中，会破坏部分鼠类的洞穴和导致部分洞穴中的鼠类死亡，对飞翔的鸟类，项目建设有驱赶作用，但影响不大。对爬行动物及昆虫，其影响与对鼠类的影响近似，由于该区域野生动物密度较低，总体上影响较小。</w:t>
      </w:r>
    </w:p>
    <w:p w14:paraId="36F0A258">
      <w:pPr>
        <w:overflowPunct w:val="0"/>
        <w:topLinePunct/>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Cs w:val="21"/>
          <w:highlight w:val="none"/>
        </w:rPr>
        <w:t>生物多样性维护功能本项目主要表现在维护项目所在区域的物种多样性，追根溯源体现在对区域物种及其生境的保护。根据前文分析得知本工程的建设对区域植被和野生动物产生一定影响，本项目的建设需采取本次环评提出的植被、动物等生态保护措施及环境保护措施后对区域生物多样性维护功能影响较小。</w:t>
      </w:r>
    </w:p>
    <w:p w14:paraId="0FCE0D44">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5.2.7.4对自然景观影响分析</w:t>
      </w:r>
    </w:p>
    <w:p w14:paraId="46928D6B">
      <w:pPr>
        <w:widowControl/>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lang w:eastAsia="zh-CN"/>
        </w:rPr>
        <w:t>本项目运营后，</w:t>
      </w:r>
      <w:r>
        <w:rPr>
          <w:rFonts w:hint="default" w:ascii="Times New Roman" w:hAnsi="Times New Roman" w:cs="Times New Roman"/>
          <w:color w:val="auto"/>
          <w:kern w:val="0"/>
          <w:highlight w:val="none"/>
        </w:rPr>
        <w:t>项目区在一定程度上破坏了范围内原有的景观格局，使区域内自然景观类型变为工业厂房、尾矿库、道路等人工景观，从而对原来的景观进行分隔，造成空间上的非连续性和一些人为的劣质景观，与周围自然环境不协调。</w:t>
      </w:r>
    </w:p>
    <w:p w14:paraId="414EF62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在项目建成后，将会对项目区自然景观将会产生较大影响。根据生态环境现状调查可知，本项目各主要工程建设场地是依照所处位置的地形地貌及项目要求进行了较为合理的布局，因此，本次项目建设将原有的</w:t>
      </w:r>
      <w:r>
        <w:rPr>
          <w:rFonts w:hint="default" w:ascii="Times New Roman" w:hAnsi="Times New Roman" w:cs="Times New Roman"/>
          <w:color w:val="auto"/>
          <w:kern w:val="0"/>
          <w:highlight w:val="none"/>
          <w:lang w:val="en-US" w:eastAsia="zh-CN"/>
        </w:rPr>
        <w:t>裸岩石砾地，</w:t>
      </w:r>
      <w:r>
        <w:rPr>
          <w:rFonts w:hint="default" w:ascii="Times New Roman" w:hAnsi="Times New Roman" w:cs="Times New Roman"/>
          <w:color w:val="auto"/>
          <w:kern w:val="0"/>
          <w:highlight w:val="none"/>
        </w:rPr>
        <w:t>改变为工矿用地景观，对于周边景观格局和功能不会带来明显改变。本次环评要求服务期满后，对项目区进行生态恢复，在工业场地及尾矿库均拆除及进行了生态恢复的前提下，自然景观影响将得到一定程度的恢复和改善。</w:t>
      </w:r>
    </w:p>
    <w:p w14:paraId="7026B798">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5.2.7.5对土壤理化性状影响分析</w:t>
      </w:r>
    </w:p>
    <w:p w14:paraId="22D676D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区域内植被因场地建设原因破坏后，地面裸露，即使没有被冲刷，表土的温度变幅将增加，对土壤的理化性质即会有不利影响。其中，最明显的变化是有机质分解作用加强，使土壤内有机质含量降低，不利于植物生长。</w:t>
      </w:r>
    </w:p>
    <w:p w14:paraId="2FCD032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另外，由于施工破坏和机械挖运，可能使土壤富集过程受阻，表现在下述方面：</w:t>
      </w:r>
    </w:p>
    <w:p w14:paraId="59F329D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①影响了生物对灰分元素的吸收与富集。通过生物吸收使营养元素重新回到土壤中的</w:t>
      </w:r>
      <w:r>
        <w:rPr>
          <w:rFonts w:hint="eastAsia" w:cs="Times New Roman"/>
          <w:color w:val="auto"/>
          <w:highlight w:val="none"/>
          <w:lang w:eastAsia="zh-CN"/>
        </w:rPr>
        <w:t>“</w:t>
      </w:r>
      <w:r>
        <w:rPr>
          <w:rFonts w:hint="default" w:ascii="Times New Roman" w:hAnsi="Times New Roman" w:cs="Times New Roman"/>
          <w:color w:val="auto"/>
          <w:highlight w:val="none"/>
        </w:rPr>
        <w:t>生物自肥</w:t>
      </w:r>
      <w:r>
        <w:rPr>
          <w:rFonts w:hint="eastAsia" w:cs="Times New Roman"/>
          <w:color w:val="auto"/>
          <w:highlight w:val="none"/>
          <w:lang w:eastAsia="zh-CN"/>
        </w:rPr>
        <w:t>”</w:t>
      </w:r>
      <w:r>
        <w:rPr>
          <w:rFonts w:hint="default" w:ascii="Times New Roman" w:hAnsi="Times New Roman" w:cs="Times New Roman"/>
          <w:color w:val="auto"/>
          <w:highlight w:val="none"/>
        </w:rPr>
        <w:t>作用虽然比较微弱，而施工破坏了植被，从而阻断了</w:t>
      </w:r>
      <w:r>
        <w:rPr>
          <w:rFonts w:hint="eastAsia" w:cs="Times New Roman"/>
          <w:color w:val="auto"/>
          <w:highlight w:val="none"/>
          <w:lang w:eastAsia="zh-CN"/>
        </w:rPr>
        <w:t>“</w:t>
      </w:r>
      <w:r>
        <w:rPr>
          <w:rFonts w:hint="default" w:ascii="Times New Roman" w:hAnsi="Times New Roman" w:cs="Times New Roman"/>
          <w:color w:val="auto"/>
          <w:highlight w:val="none"/>
        </w:rPr>
        <w:t>生物自肥</w:t>
      </w:r>
      <w:r>
        <w:rPr>
          <w:rFonts w:hint="eastAsia" w:cs="Times New Roman"/>
          <w:color w:val="auto"/>
          <w:highlight w:val="none"/>
          <w:lang w:eastAsia="zh-CN"/>
        </w:rPr>
        <w:t>”</w:t>
      </w:r>
      <w:r>
        <w:rPr>
          <w:rFonts w:hint="default" w:ascii="Times New Roman" w:hAnsi="Times New Roman" w:cs="Times New Roman"/>
          <w:color w:val="auto"/>
          <w:highlight w:val="none"/>
        </w:rPr>
        <w:t>途径。</w:t>
      </w:r>
    </w:p>
    <w:p w14:paraId="5CB6634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②阻断了生物与土壤间的物质交换</w:t>
      </w:r>
    </w:p>
    <w:p w14:paraId="38AB72E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土壤理化性质的变化，直接影响到植被的重新恢复，因此要求在施工中尽量维护土壤现状，使开垦与保护土壤相结合。</w:t>
      </w:r>
    </w:p>
    <w:p w14:paraId="49EAB63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施工期地表扰动之后，使得地表土壤结构变化，上下土层混合，土壤肥力降低，极易发生土壤侵蚀。</w:t>
      </w:r>
    </w:p>
    <w:p w14:paraId="4FBC93B7">
      <w:pPr>
        <w:pStyle w:val="5"/>
        <w:ind w:firstLine="482" w:firstLineChars="200"/>
        <w:rPr>
          <w:rFonts w:hint="default" w:ascii="Times New Roman" w:hAnsi="Times New Roman" w:cs="Times New Roman"/>
          <w:color w:val="auto"/>
          <w:highlight w:val="none"/>
        </w:rPr>
      </w:pPr>
      <w:bookmarkStart w:id="733" w:name="_Toc7815"/>
      <w:bookmarkStart w:id="734" w:name="_Toc30657"/>
      <w:bookmarkStart w:id="735" w:name="_Toc24054"/>
      <w:r>
        <w:rPr>
          <w:rFonts w:hint="default" w:ascii="Times New Roman" w:hAnsi="Times New Roman" w:cs="Times New Roman"/>
          <w:color w:val="auto"/>
          <w:highlight w:val="none"/>
        </w:rPr>
        <w:t>5.2.7.</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水土流失影响评价</w:t>
      </w:r>
      <w:bookmarkEnd w:id="733"/>
      <w:bookmarkEnd w:id="734"/>
      <w:bookmarkEnd w:id="735"/>
    </w:p>
    <w:p w14:paraId="54CF93A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1、施工期对水土流失的影响分析</w:t>
      </w:r>
    </w:p>
    <w:p w14:paraId="21088E8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（1）本项目建设过程中场地平整、场地道路建设、各建筑物占地、施工机械及人员践踏、</w:t>
      </w:r>
      <w:r>
        <w:rPr>
          <w:rFonts w:hint="eastAsia" w:cs="Times New Roman"/>
          <w:color w:val="auto"/>
          <w:highlight w:val="none"/>
          <w:lang w:eastAsia="zh-CN"/>
        </w:rPr>
        <w:t>碾轧</w:t>
      </w:r>
      <w:r>
        <w:rPr>
          <w:rFonts w:hint="default" w:ascii="Times New Roman" w:hAnsi="Times New Roman" w:cs="Times New Roman"/>
          <w:color w:val="auto"/>
          <w:highlight w:val="none"/>
        </w:rPr>
        <w:t>的都将不同程度的破坏地表原始结构，改变原始地貌、损坏天然植被，从而造成或加剧水土流失。</w:t>
      </w:r>
    </w:p>
    <w:p w14:paraId="71788E1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（2）各建筑物占地要占压部分</w:t>
      </w:r>
      <w:r>
        <w:rPr>
          <w:rFonts w:hint="eastAsia" w:cs="Times New Roman"/>
          <w:color w:val="auto"/>
          <w:highlight w:val="none"/>
          <w:lang w:val="en-US" w:eastAsia="zh-CN"/>
        </w:rPr>
        <w:t>地表稀疏植被</w:t>
      </w:r>
      <w:r>
        <w:rPr>
          <w:rFonts w:hint="default" w:ascii="Times New Roman" w:hAnsi="Times New Roman" w:cs="Times New Roman"/>
          <w:color w:val="auto"/>
          <w:highlight w:val="none"/>
        </w:rPr>
        <w:t>，形成裸地，诱发水土流失。</w:t>
      </w:r>
    </w:p>
    <w:p w14:paraId="7BCDD43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（3）建筑过程中被扰动的地表未被建（构）筑物覆盖的地区，若不能及时平整、硬化或绿化，则会诱发水土流失。</w:t>
      </w:r>
    </w:p>
    <w:p w14:paraId="3ECCA8E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（4）施工车辆不按指定便道行驶，任意碾压，会诱发水土流失。</w:t>
      </w:r>
    </w:p>
    <w:p w14:paraId="459393A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（5）道路建设形成的挖填方，输水及输电线路的敷设要形成松散土壤、土埂，从而诱发水土流失。施工人员及机械作业会对土壤及植被造成破坏，形成裸地，也会加剧水土流失。</w:t>
      </w:r>
    </w:p>
    <w:p w14:paraId="36F1D67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（6）选矿厂的场地平整，在建设施工中要剥离表层土和风化层。产生挖填方，挖填若不能实现平整，产生的弃土会诱发水土流失。</w:t>
      </w:r>
    </w:p>
    <w:p w14:paraId="71E1609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2、运营期对水土流失的影响分析</w:t>
      </w:r>
    </w:p>
    <w:p w14:paraId="3C4A247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进入运营期后，大规模的土石方开挖活动已基本停止，地表扰动强度较施工期显著降低，但由于选矿厂、尾矿库及运输道路等永久性占地范围内的地表植被和土壤结构已发生不可逆改变，若管理不善，仍可能产生一定程度的土壤侵蚀和水土流失。运营期水土流失的主要影响体现在以下几个方面：</w:t>
      </w:r>
    </w:p>
    <w:p w14:paraId="6B56493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（1）选矿工业场地的水土流失风险</w:t>
      </w:r>
    </w:p>
    <w:p w14:paraId="55042D2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选矿厂生产区建筑物、硬化道路及绿化区域的布局基本定型。永久建筑物和硬化路面可有效抵御风蚀和水蚀，水土流失轻微。但厂区内未硬化的裸土地面（如待绿化区域等），在缺乏植被覆盖和有效管理的情况下，大风季节易发生风蚀扬尘，短时强降雨则可能产生地表径流，携带泥沙造成局部水土流失。因此，需对厂区裸露地面采取硬化、碎石覆盖或及时绿化等措施，减少水土流失。</w:t>
      </w:r>
    </w:p>
    <w:p w14:paraId="61CADB3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（2）尾矿库运行过程中的水土流失特征</w:t>
      </w:r>
    </w:p>
    <w:p w14:paraId="2D92E18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尾矿库是运营期水土流失的重点防控区域：</w:t>
      </w:r>
    </w:p>
    <w:p w14:paraId="65635D5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坝体边坡：初期坝和后期堆积坝的外坡面若未采取植被或碎石护坡，受雨水冲刷易形成冲沟，严重时可能影响坝体稳定性。本项目尾矿坝下游坡采用草皮或毛石护坡，可有效减轻坡面水土流失。</w:t>
      </w:r>
    </w:p>
    <w:p w14:paraId="0AE1D4E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干滩区域：尾矿库干滩表面为松散尾矿砂，在大风天气下易产生风蚀扬尘，造成尾矿砂颗粒的迁移和流失。本项目采用湿式堆存和均匀分散放矿，保持沉积滩面湿润，显著降低了风蚀风险。</w:t>
      </w:r>
    </w:p>
    <w:p w14:paraId="7245AB1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库区汇水：尾矿库上游及周边汇水若未有效截排，洪水进入库区可能冲刷坝体或造成漫顶，引发严重水土流失。本项目设置截水沟和溢洪道等排洪设施，实现清污分流，有效控制了汇水对库区的水力侵蚀。</w:t>
      </w:r>
    </w:p>
    <w:p w14:paraId="7D65A76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（3）运输道路的水土流失影响</w:t>
      </w:r>
    </w:p>
    <w:p w14:paraId="66A0753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原矿、精矿及生产物资的运输车辆在进场道路和厂内道路上行驶，若道路路面未硬化或维护不及时，车轮碾压会破坏路面结构，产生松散碎屑，遇大风或降雨时易形成扬尘和路面径流泥沙。此外，车辆若超范围行驶，碾压道路两侧未保护的地表，会扩大扰动面积，加剧水土流失。本项目对场内主要道路进行硬化，并定期洒水抑尘，同时严格限制车辆行驶路线，可有效减少道路区域的水土流失。</w:t>
      </w:r>
    </w:p>
    <w:p w14:paraId="04C446C4">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（4）场地绿化与生态恢复的减蚀作用</w:t>
      </w:r>
    </w:p>
    <w:p w14:paraId="1D42F90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运营期持续的绿化养护（厂区绿化、坝坡植草等）能够逐步恢复植被覆盖，增强土壤抗蚀能力，对水土流失具有正向的减缓作用。随着植被生长，厂区和尾矿库周边区域的水土流失强度将逐年降低，生态环境逐步改善。</w:t>
      </w:r>
    </w:p>
    <w:p w14:paraId="68F9793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通过以上措施，可将运营期新增水土流失控制在允许范围内，使项目区土壤侵蚀强度逐步恢复至背景水平。</w:t>
      </w:r>
    </w:p>
    <w:p w14:paraId="5DD7DFA4">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5.2.7.</w:t>
      </w:r>
      <w:r>
        <w:rPr>
          <w:rFonts w:hint="default" w:ascii="Times New Roman" w:hAnsi="Times New Roman" w:cs="Times New Roman"/>
          <w:color w:val="auto"/>
          <w:highlight w:val="none"/>
          <w:lang w:val="en-US" w:eastAsia="zh-CN"/>
        </w:rPr>
        <w:t>7生态影响评价自查表</w:t>
      </w:r>
    </w:p>
    <w:p w14:paraId="2F77788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生态影响评价自查表见表5.2-30。</w:t>
      </w:r>
    </w:p>
    <w:p w14:paraId="66CC9303">
      <w:pPr>
        <w:overflowPunct w:val="0"/>
        <w:topLinePunct/>
        <w:ind w:firstLine="0" w:firstLineChars="0"/>
        <w:jc w:val="center"/>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表5.2-30    生态影响评价自查表</w:t>
      </w:r>
    </w:p>
    <w:tbl>
      <w:tblPr>
        <w:tblStyle w:val="33"/>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889"/>
        <w:gridCol w:w="1257"/>
        <w:gridCol w:w="6190"/>
      </w:tblGrid>
      <w:tr w14:paraId="513045B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tblHeader/>
        </w:trPr>
        <w:tc>
          <w:tcPr>
            <w:tcW w:w="2146" w:type="dxa"/>
            <w:gridSpan w:val="2"/>
            <w:noWrap w:val="0"/>
            <w:vAlign w:val="center"/>
          </w:tcPr>
          <w:p w14:paraId="5E52779B">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snapToGrid w:val="0"/>
                <w:color w:val="auto"/>
                <w:sz w:val="21"/>
                <w:szCs w:val="21"/>
                <w:highlight w:val="none"/>
              </w:rPr>
            </w:pPr>
            <w:r>
              <w:rPr>
                <w:rFonts w:hint="default" w:ascii="Times New Roman" w:hAnsi="Times New Roman" w:eastAsia="宋体" w:cs="Times New Roman"/>
                <w:b/>
                <w:bCs/>
                <w:snapToGrid w:val="0"/>
                <w:color w:val="auto"/>
                <w:sz w:val="21"/>
                <w:szCs w:val="21"/>
                <w:highlight w:val="none"/>
              </w:rPr>
              <w:t>工作内容</w:t>
            </w:r>
          </w:p>
        </w:tc>
        <w:tc>
          <w:tcPr>
            <w:tcW w:w="6190" w:type="dxa"/>
            <w:noWrap w:val="0"/>
            <w:vAlign w:val="center"/>
          </w:tcPr>
          <w:p w14:paraId="03D8971A">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snapToGrid w:val="0"/>
                <w:color w:val="auto"/>
                <w:sz w:val="21"/>
                <w:szCs w:val="21"/>
                <w:highlight w:val="none"/>
              </w:rPr>
            </w:pPr>
            <w:r>
              <w:rPr>
                <w:rFonts w:hint="default" w:ascii="Times New Roman" w:hAnsi="Times New Roman" w:eastAsia="宋体" w:cs="Times New Roman"/>
                <w:b/>
                <w:bCs/>
                <w:snapToGrid w:val="0"/>
                <w:color w:val="auto"/>
                <w:sz w:val="21"/>
                <w:szCs w:val="21"/>
                <w:highlight w:val="none"/>
              </w:rPr>
              <w:t>自查项目</w:t>
            </w:r>
          </w:p>
        </w:tc>
      </w:tr>
      <w:tr w14:paraId="15C5A46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889" w:type="dxa"/>
            <w:vMerge w:val="restart"/>
            <w:noWrap w:val="0"/>
            <w:vAlign w:val="center"/>
          </w:tcPr>
          <w:p w14:paraId="708CAFA9">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生态影响识别</w:t>
            </w:r>
          </w:p>
        </w:tc>
        <w:tc>
          <w:tcPr>
            <w:tcW w:w="1257" w:type="dxa"/>
            <w:noWrap w:val="0"/>
            <w:vAlign w:val="center"/>
          </w:tcPr>
          <w:p w14:paraId="39033A6B">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生态保护目标</w:t>
            </w:r>
          </w:p>
        </w:tc>
        <w:tc>
          <w:tcPr>
            <w:tcW w:w="6190" w:type="dxa"/>
            <w:noWrap w:val="0"/>
            <w:vAlign w:val="center"/>
          </w:tcPr>
          <w:p w14:paraId="0244A662">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重要物种□；国家公园□；自然保护区□；自然公园□；世界自然遗产□；生态保护红线□；重要生境□；其他具有重要生态功能、对保护生物多样性具有重要意义的区域□；其他□</w:t>
            </w:r>
          </w:p>
        </w:tc>
      </w:tr>
      <w:tr w14:paraId="3B59E8E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889" w:type="dxa"/>
            <w:vMerge w:val="continue"/>
            <w:noWrap w:val="0"/>
            <w:vAlign w:val="center"/>
          </w:tcPr>
          <w:p w14:paraId="4A8EE3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1257" w:type="dxa"/>
            <w:noWrap w:val="0"/>
            <w:vAlign w:val="center"/>
          </w:tcPr>
          <w:p w14:paraId="52E0A5F5">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影响方式</w:t>
            </w:r>
          </w:p>
        </w:tc>
        <w:tc>
          <w:tcPr>
            <w:tcW w:w="6190" w:type="dxa"/>
            <w:noWrap w:val="0"/>
            <w:vAlign w:val="center"/>
          </w:tcPr>
          <w:p w14:paraId="35A8659E">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rPr>
              <w:t>工程占用</w:t>
            </w:r>
            <w:r>
              <w:rPr>
                <w:rFonts w:hint="eastAsia"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；施工活动干扰</w:t>
            </w:r>
            <w:r>
              <w:rPr>
                <w:rFonts w:hint="eastAsia"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；改变环境条件</w:t>
            </w:r>
            <w:r>
              <w:rPr>
                <w:rFonts w:hint="eastAsia"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；其他</w:t>
            </w:r>
            <w:r>
              <w:rPr>
                <w:rFonts w:hint="eastAsia" w:cs="Times New Roman"/>
                <w:snapToGrid w:val="0"/>
                <w:color w:val="auto"/>
                <w:sz w:val="21"/>
                <w:szCs w:val="21"/>
                <w:highlight w:val="none"/>
                <w:lang w:eastAsia="zh-CN"/>
              </w:rPr>
              <w:t>□</w:t>
            </w:r>
          </w:p>
        </w:tc>
      </w:tr>
      <w:tr w14:paraId="0A2CC4A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889" w:type="dxa"/>
            <w:vMerge w:val="continue"/>
            <w:noWrap w:val="0"/>
            <w:vAlign w:val="center"/>
          </w:tcPr>
          <w:p w14:paraId="7BB61C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1257" w:type="dxa"/>
            <w:noWrap w:val="0"/>
            <w:vAlign w:val="center"/>
          </w:tcPr>
          <w:p w14:paraId="09C40AD6">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评价因子</w:t>
            </w:r>
          </w:p>
        </w:tc>
        <w:tc>
          <w:tcPr>
            <w:tcW w:w="6190" w:type="dxa"/>
            <w:noWrap w:val="0"/>
            <w:vAlign w:val="center"/>
          </w:tcPr>
          <w:p w14:paraId="2D0978A7">
            <w:pPr>
              <w:pStyle w:val="47"/>
              <w:keepNext w:val="0"/>
              <w:keepLines w:val="0"/>
              <w:pageBreakBefore w:val="0"/>
              <w:widowControl w:val="0"/>
              <w:suppressLineNumbers w:val="0"/>
              <w:tabs>
                <w:tab w:val="left" w:pos="3092"/>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物种（物种种类、物种结构）</w:t>
            </w:r>
          </w:p>
          <w:p w14:paraId="72AF6A7E">
            <w:pPr>
              <w:pStyle w:val="47"/>
              <w:keepNext w:val="0"/>
              <w:keepLines w:val="0"/>
              <w:pageBreakBefore w:val="0"/>
              <w:widowControl w:val="0"/>
              <w:suppressLineNumbers w:val="0"/>
              <w:tabs>
                <w:tab w:val="left" w:pos="3092"/>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生境（生境质量、连通性）</w:t>
            </w:r>
          </w:p>
          <w:p w14:paraId="0FD3DAFA">
            <w:pPr>
              <w:pStyle w:val="47"/>
              <w:keepNext w:val="0"/>
              <w:keepLines w:val="0"/>
              <w:pageBreakBefore w:val="0"/>
              <w:widowControl w:val="0"/>
              <w:suppressLineNumbers w:val="0"/>
              <w:tabs>
                <w:tab w:val="left" w:pos="3092"/>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生物群落</w:t>
            </w:r>
            <w:r>
              <w:rPr>
                <w:rFonts w:hint="default" w:ascii="Times New Roman" w:hAnsi="Times New Roman" w:eastAsia="宋体"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生物量、植被类型、土地利用类型等）</w:t>
            </w:r>
          </w:p>
          <w:p w14:paraId="6770B5A7">
            <w:pPr>
              <w:pStyle w:val="47"/>
              <w:keepNext w:val="0"/>
              <w:keepLines w:val="0"/>
              <w:pageBreakBefore w:val="0"/>
              <w:widowControl w:val="0"/>
              <w:suppressLineNumbers w:val="0"/>
              <w:tabs>
                <w:tab w:val="left" w:pos="3092"/>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生态系统</w:t>
            </w:r>
            <w:r>
              <w:rPr>
                <w:rFonts w:hint="default" w:ascii="Times New Roman" w:hAnsi="Times New Roman" w:eastAsia="宋体"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植被覆盖度、生态系统功能等）</w:t>
            </w:r>
          </w:p>
          <w:p w14:paraId="10654A4A">
            <w:pPr>
              <w:pStyle w:val="47"/>
              <w:keepNext w:val="0"/>
              <w:keepLines w:val="0"/>
              <w:pageBreakBefore w:val="0"/>
              <w:widowControl w:val="0"/>
              <w:suppressLineNumbers w:val="0"/>
              <w:tabs>
                <w:tab w:val="left" w:pos="3092"/>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生物多样性</w:t>
            </w:r>
            <w:r>
              <w:rPr>
                <w:rFonts w:hint="default" w:ascii="Times New Roman" w:hAnsi="Times New Roman" w:eastAsia="宋体"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w:t>
            </w:r>
          </w:p>
          <w:p w14:paraId="10355FD5">
            <w:pPr>
              <w:pStyle w:val="47"/>
              <w:keepNext w:val="0"/>
              <w:keepLines w:val="0"/>
              <w:pageBreakBefore w:val="0"/>
              <w:widowControl w:val="0"/>
              <w:suppressLineNumbers w:val="0"/>
              <w:tabs>
                <w:tab w:val="left" w:pos="3092"/>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生态敏感区</w:t>
            </w:r>
            <w:r>
              <w:rPr>
                <w:rFonts w:hint="default" w:ascii="Times New Roman" w:hAnsi="Times New Roman" w:eastAsia="宋体"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生态功能）</w:t>
            </w:r>
          </w:p>
          <w:p w14:paraId="1E8EE83B">
            <w:pPr>
              <w:pStyle w:val="47"/>
              <w:keepNext w:val="0"/>
              <w:keepLines w:val="0"/>
              <w:pageBreakBefore w:val="0"/>
              <w:widowControl w:val="0"/>
              <w:suppressLineNumbers w:val="0"/>
              <w:tabs>
                <w:tab w:val="left" w:pos="3092"/>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自然景观</w:t>
            </w:r>
            <w:r>
              <w:rPr>
                <w:rFonts w:hint="default" w:ascii="Times New Roman" w:hAnsi="Times New Roman" w:eastAsia="宋体"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景观多样性）</w:t>
            </w:r>
          </w:p>
          <w:p w14:paraId="1828B154">
            <w:pPr>
              <w:pStyle w:val="47"/>
              <w:keepNext w:val="0"/>
              <w:keepLines w:val="0"/>
              <w:pageBreakBefore w:val="0"/>
              <w:widowControl w:val="0"/>
              <w:suppressLineNumbers w:val="0"/>
              <w:tabs>
                <w:tab w:val="left" w:pos="3092"/>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自然遗迹□（</w:t>
            </w:r>
            <w:r>
              <w:rPr>
                <w:rFonts w:hint="eastAsia" w:cs="Times New Roman"/>
                <w:snapToGrid w:val="0"/>
                <w:color w:val="auto"/>
                <w:sz w:val="21"/>
                <w:szCs w:val="21"/>
                <w:highlight w:val="none"/>
                <w:lang w:val="en-US" w:eastAsia="zh-CN"/>
              </w:rPr>
              <w:t xml:space="preserve"> </w:t>
            </w:r>
            <w:r>
              <w:rPr>
                <w:rFonts w:hint="default" w:ascii="Times New Roman" w:hAnsi="Times New Roman" w:eastAsia="宋体" w:cs="Times New Roman"/>
                <w:snapToGrid w:val="0"/>
                <w:color w:val="auto"/>
                <w:sz w:val="21"/>
                <w:szCs w:val="21"/>
                <w:highlight w:val="none"/>
              </w:rPr>
              <w:t>）</w:t>
            </w:r>
          </w:p>
          <w:p w14:paraId="233334BA">
            <w:pPr>
              <w:pStyle w:val="47"/>
              <w:keepNext w:val="0"/>
              <w:keepLines w:val="0"/>
              <w:pageBreakBefore w:val="0"/>
              <w:widowControl w:val="0"/>
              <w:suppressLineNumbers w:val="0"/>
              <w:tabs>
                <w:tab w:val="left" w:pos="3092"/>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其他□（</w:t>
            </w:r>
            <w:r>
              <w:rPr>
                <w:rFonts w:hint="eastAsia" w:cs="Times New Roman"/>
                <w:snapToGrid w:val="0"/>
                <w:color w:val="auto"/>
                <w:sz w:val="21"/>
                <w:szCs w:val="21"/>
                <w:highlight w:val="none"/>
                <w:lang w:val="en-US" w:eastAsia="zh-CN"/>
              </w:rPr>
              <w:t xml:space="preserve"> </w:t>
            </w:r>
            <w:r>
              <w:rPr>
                <w:rFonts w:hint="default" w:ascii="Times New Roman" w:hAnsi="Times New Roman" w:eastAsia="宋体" w:cs="Times New Roman"/>
                <w:snapToGrid w:val="0"/>
                <w:color w:val="auto"/>
                <w:sz w:val="21"/>
                <w:szCs w:val="21"/>
                <w:highlight w:val="none"/>
              </w:rPr>
              <w:t>）</w:t>
            </w:r>
          </w:p>
        </w:tc>
      </w:tr>
      <w:tr w14:paraId="04C97A7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2146" w:type="dxa"/>
            <w:gridSpan w:val="2"/>
            <w:noWrap w:val="0"/>
            <w:vAlign w:val="center"/>
          </w:tcPr>
          <w:p w14:paraId="2A04390A">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评价等级</w:t>
            </w:r>
          </w:p>
        </w:tc>
        <w:tc>
          <w:tcPr>
            <w:tcW w:w="6190" w:type="dxa"/>
            <w:noWrap w:val="0"/>
            <w:vAlign w:val="center"/>
          </w:tcPr>
          <w:p w14:paraId="62B210FF">
            <w:pPr>
              <w:pStyle w:val="47"/>
              <w:keepNext w:val="0"/>
              <w:keepLines w:val="0"/>
              <w:pageBreakBefore w:val="0"/>
              <w:widowControl w:val="0"/>
              <w:suppressLineNumbers w:val="0"/>
              <w:tabs>
                <w:tab w:val="left" w:pos="1471"/>
                <w:tab w:val="left" w:pos="2823"/>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rPr>
              <w:t>一级</w:t>
            </w:r>
            <w:r>
              <w:rPr>
                <w:rFonts w:hint="eastAsia"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 xml:space="preserve">    二级</w:t>
            </w:r>
            <w:r>
              <w:rPr>
                <w:rFonts w:hint="eastAsia"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 xml:space="preserve">    三级</w:t>
            </w:r>
            <w:r>
              <w:rPr>
                <w:rFonts w:hint="eastAsia"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 xml:space="preserve">    生态影响简单分析</w:t>
            </w:r>
            <w:r>
              <w:rPr>
                <w:rFonts w:hint="eastAsia" w:cs="Times New Roman"/>
                <w:snapToGrid w:val="0"/>
                <w:color w:val="auto"/>
                <w:sz w:val="21"/>
                <w:szCs w:val="21"/>
                <w:highlight w:val="none"/>
                <w:lang w:eastAsia="zh-CN"/>
              </w:rPr>
              <w:t>□</w:t>
            </w:r>
          </w:p>
        </w:tc>
      </w:tr>
      <w:tr w14:paraId="0D70930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2146" w:type="dxa"/>
            <w:gridSpan w:val="2"/>
            <w:noWrap w:val="0"/>
            <w:vAlign w:val="center"/>
          </w:tcPr>
          <w:p w14:paraId="4700F1CF">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评价范围</w:t>
            </w:r>
          </w:p>
        </w:tc>
        <w:tc>
          <w:tcPr>
            <w:tcW w:w="6190" w:type="dxa"/>
            <w:noWrap w:val="0"/>
            <w:vAlign w:val="center"/>
          </w:tcPr>
          <w:p w14:paraId="0CE37799">
            <w:pPr>
              <w:pStyle w:val="47"/>
              <w:keepNext w:val="0"/>
              <w:keepLines w:val="0"/>
              <w:pageBreakBefore w:val="0"/>
              <w:widowControl w:val="0"/>
              <w:suppressLineNumbers w:val="0"/>
              <w:tabs>
                <w:tab w:val="left" w:pos="1560"/>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陆域面积：（0.201603）km</w:t>
            </w:r>
            <w:r>
              <w:rPr>
                <w:rFonts w:hint="default" w:ascii="Times New Roman" w:hAnsi="Times New Roman" w:eastAsia="宋体" w:cs="Times New Roman"/>
                <w:snapToGrid w:val="0"/>
                <w:color w:val="auto"/>
                <w:sz w:val="21"/>
                <w:szCs w:val="21"/>
                <w:highlight w:val="none"/>
                <w:vertAlign w:val="superscript"/>
              </w:rPr>
              <w:t>2</w:t>
            </w:r>
            <w:r>
              <w:rPr>
                <w:rFonts w:hint="default" w:ascii="Times New Roman" w:hAnsi="Times New Roman" w:eastAsia="宋体" w:cs="Times New Roman"/>
                <w:snapToGrid w:val="0"/>
                <w:color w:val="auto"/>
                <w:sz w:val="21"/>
                <w:szCs w:val="21"/>
                <w:highlight w:val="none"/>
              </w:rPr>
              <w:t>；水域面积：（ ）km</w:t>
            </w:r>
            <w:r>
              <w:rPr>
                <w:rFonts w:hint="default" w:ascii="Times New Roman" w:hAnsi="Times New Roman" w:eastAsia="宋体" w:cs="Times New Roman"/>
                <w:snapToGrid w:val="0"/>
                <w:color w:val="auto"/>
                <w:sz w:val="21"/>
                <w:szCs w:val="21"/>
                <w:highlight w:val="none"/>
                <w:vertAlign w:val="superscript"/>
              </w:rPr>
              <w:t>2</w:t>
            </w:r>
          </w:p>
        </w:tc>
      </w:tr>
      <w:tr w14:paraId="5E1B2CA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889" w:type="dxa"/>
            <w:vMerge w:val="restart"/>
            <w:noWrap w:val="0"/>
            <w:vAlign w:val="center"/>
          </w:tcPr>
          <w:p w14:paraId="5C7A764F">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生态现状调查与评价</w:t>
            </w:r>
          </w:p>
        </w:tc>
        <w:tc>
          <w:tcPr>
            <w:tcW w:w="1257" w:type="dxa"/>
            <w:noWrap w:val="0"/>
            <w:vAlign w:val="center"/>
          </w:tcPr>
          <w:p w14:paraId="68E23F8C">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调查方法</w:t>
            </w:r>
          </w:p>
        </w:tc>
        <w:tc>
          <w:tcPr>
            <w:tcW w:w="6190" w:type="dxa"/>
            <w:noWrap w:val="0"/>
            <w:vAlign w:val="center"/>
          </w:tcPr>
          <w:p w14:paraId="555CA45F">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资料收集</w:t>
            </w:r>
            <w:r>
              <w:rPr>
                <w:rFonts w:hint="eastAsia"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；遥感调查</w:t>
            </w:r>
            <w:r>
              <w:rPr>
                <w:rFonts w:hint="eastAsia"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；调查样方、样线</w:t>
            </w:r>
            <w:r>
              <w:rPr>
                <w:rFonts w:hint="eastAsia"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；调查点位、断面□；专家和公众咨询法□；其他□</w:t>
            </w:r>
          </w:p>
        </w:tc>
      </w:tr>
      <w:tr w14:paraId="3B10B89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889" w:type="dxa"/>
            <w:vMerge w:val="continue"/>
            <w:noWrap w:val="0"/>
            <w:vAlign w:val="center"/>
          </w:tcPr>
          <w:p w14:paraId="633B4C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1257" w:type="dxa"/>
            <w:noWrap w:val="0"/>
            <w:vAlign w:val="center"/>
          </w:tcPr>
          <w:p w14:paraId="126F3E62">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调查时间</w:t>
            </w:r>
          </w:p>
        </w:tc>
        <w:tc>
          <w:tcPr>
            <w:tcW w:w="6190" w:type="dxa"/>
            <w:noWrap w:val="0"/>
            <w:vAlign w:val="center"/>
          </w:tcPr>
          <w:p w14:paraId="18C0DC82">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春季</w:t>
            </w:r>
            <w:r>
              <w:rPr>
                <w:rFonts w:hint="eastAsia"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；夏季</w:t>
            </w:r>
            <w:r>
              <w:rPr>
                <w:rFonts w:hint="eastAsia"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；秋季</w:t>
            </w:r>
            <w:r>
              <w:rPr>
                <w:rFonts w:hint="eastAsia"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；冬季</w:t>
            </w:r>
            <w:r>
              <w:rPr>
                <w:rFonts w:hint="eastAsia"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 xml:space="preserve"> 丰水期□；枯水期□；平水期□</w:t>
            </w:r>
          </w:p>
        </w:tc>
      </w:tr>
      <w:tr w14:paraId="4D5CA9E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889" w:type="dxa"/>
            <w:vMerge w:val="continue"/>
            <w:noWrap w:val="0"/>
            <w:vAlign w:val="center"/>
          </w:tcPr>
          <w:p w14:paraId="420377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1257" w:type="dxa"/>
            <w:noWrap w:val="0"/>
            <w:vAlign w:val="center"/>
          </w:tcPr>
          <w:p w14:paraId="5BC6143F">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所在区域的生态问题</w:t>
            </w:r>
          </w:p>
        </w:tc>
        <w:tc>
          <w:tcPr>
            <w:tcW w:w="6190" w:type="dxa"/>
            <w:noWrap w:val="0"/>
            <w:vAlign w:val="center"/>
          </w:tcPr>
          <w:p w14:paraId="53CE380D">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rPr>
              <w:t>水土流失</w:t>
            </w:r>
            <w:r>
              <w:rPr>
                <w:rFonts w:hint="eastAsia"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；沙漠化</w:t>
            </w:r>
            <w:r>
              <w:rPr>
                <w:rFonts w:hint="eastAsia"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；石漠化</w:t>
            </w:r>
            <w:r>
              <w:rPr>
                <w:rFonts w:hint="eastAsia"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；盐渍化</w:t>
            </w:r>
            <w:r>
              <w:rPr>
                <w:rFonts w:hint="eastAsia"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；生物入侵</w:t>
            </w:r>
            <w:r>
              <w:rPr>
                <w:rFonts w:hint="eastAsia"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；污染危害</w:t>
            </w:r>
            <w:r>
              <w:rPr>
                <w:rFonts w:hint="eastAsia"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；其他</w:t>
            </w:r>
            <w:r>
              <w:rPr>
                <w:rFonts w:hint="eastAsia" w:cs="Times New Roman"/>
                <w:snapToGrid w:val="0"/>
                <w:color w:val="auto"/>
                <w:sz w:val="21"/>
                <w:szCs w:val="21"/>
                <w:highlight w:val="none"/>
                <w:lang w:eastAsia="zh-CN"/>
              </w:rPr>
              <w:t>□</w:t>
            </w:r>
          </w:p>
        </w:tc>
      </w:tr>
      <w:tr w14:paraId="25AD7B5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889" w:type="dxa"/>
            <w:vMerge w:val="continue"/>
            <w:noWrap w:val="0"/>
            <w:vAlign w:val="center"/>
          </w:tcPr>
          <w:p w14:paraId="3B600E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1257" w:type="dxa"/>
            <w:noWrap w:val="0"/>
            <w:vAlign w:val="center"/>
          </w:tcPr>
          <w:p w14:paraId="2135E9B4">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评价内容</w:t>
            </w:r>
          </w:p>
        </w:tc>
        <w:tc>
          <w:tcPr>
            <w:tcW w:w="6190" w:type="dxa"/>
            <w:noWrap w:val="0"/>
            <w:vAlign w:val="center"/>
          </w:tcPr>
          <w:p w14:paraId="5B90E464">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植被/植物群落</w:t>
            </w:r>
            <w:r>
              <w:rPr>
                <w:rFonts w:hint="eastAsia"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；土地利用</w:t>
            </w:r>
            <w:r>
              <w:rPr>
                <w:rFonts w:hint="eastAsia"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；生态系统</w:t>
            </w:r>
            <w:r>
              <w:rPr>
                <w:rFonts w:hint="eastAsia"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；生物多样性</w:t>
            </w:r>
            <w:r>
              <w:rPr>
                <w:rFonts w:hint="eastAsia"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；重要物种□；生态敏感区□；其他□</w:t>
            </w:r>
          </w:p>
        </w:tc>
      </w:tr>
      <w:tr w14:paraId="0592483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889" w:type="dxa"/>
            <w:vMerge w:val="restart"/>
            <w:noWrap w:val="0"/>
            <w:vAlign w:val="center"/>
          </w:tcPr>
          <w:p w14:paraId="2B68D9A4">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生态影响预测与评价</w:t>
            </w:r>
          </w:p>
        </w:tc>
        <w:tc>
          <w:tcPr>
            <w:tcW w:w="1257" w:type="dxa"/>
            <w:noWrap w:val="0"/>
            <w:vAlign w:val="center"/>
          </w:tcPr>
          <w:p w14:paraId="5644828B">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评价方法</w:t>
            </w:r>
          </w:p>
        </w:tc>
        <w:tc>
          <w:tcPr>
            <w:tcW w:w="6190" w:type="dxa"/>
            <w:noWrap w:val="0"/>
            <w:vAlign w:val="center"/>
          </w:tcPr>
          <w:p w14:paraId="1DC64CE3">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rPr>
              <w:t>定性□；定性和定量□</w:t>
            </w:r>
          </w:p>
        </w:tc>
      </w:tr>
      <w:tr w14:paraId="544E1A4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889" w:type="dxa"/>
            <w:vMerge w:val="continue"/>
            <w:noWrap w:val="0"/>
            <w:vAlign w:val="center"/>
          </w:tcPr>
          <w:p w14:paraId="757137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1257" w:type="dxa"/>
            <w:noWrap w:val="0"/>
            <w:vAlign w:val="center"/>
          </w:tcPr>
          <w:p w14:paraId="0D637DC7">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评价内容</w:t>
            </w:r>
          </w:p>
        </w:tc>
        <w:tc>
          <w:tcPr>
            <w:tcW w:w="6190" w:type="dxa"/>
            <w:noWrap w:val="0"/>
            <w:vAlign w:val="center"/>
          </w:tcPr>
          <w:p w14:paraId="0BA87535">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植被/植物群落</w:t>
            </w:r>
            <w:r>
              <w:rPr>
                <w:rFonts w:hint="eastAsia"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；土地利用</w:t>
            </w:r>
            <w:r>
              <w:rPr>
                <w:rFonts w:hint="eastAsia"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；生态系统</w:t>
            </w:r>
            <w:r>
              <w:rPr>
                <w:rFonts w:hint="eastAsia"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；生物多样性</w:t>
            </w:r>
            <w:r>
              <w:rPr>
                <w:rFonts w:hint="eastAsia"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；重要物种</w:t>
            </w:r>
            <w:r>
              <w:rPr>
                <w:rFonts w:hint="eastAsia"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；生态敏感区</w:t>
            </w:r>
            <w:r>
              <w:rPr>
                <w:rFonts w:hint="eastAsia"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；生物入侵风险</w:t>
            </w:r>
            <w:r>
              <w:rPr>
                <w:rFonts w:hint="eastAsia"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；其他</w:t>
            </w:r>
            <w:r>
              <w:rPr>
                <w:rFonts w:hint="eastAsia" w:cs="Times New Roman"/>
                <w:snapToGrid w:val="0"/>
                <w:color w:val="auto"/>
                <w:sz w:val="21"/>
                <w:szCs w:val="21"/>
                <w:highlight w:val="none"/>
                <w:lang w:eastAsia="zh-CN"/>
              </w:rPr>
              <w:t>□</w:t>
            </w:r>
          </w:p>
        </w:tc>
      </w:tr>
      <w:tr w14:paraId="4193749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889" w:type="dxa"/>
            <w:vMerge w:val="restart"/>
            <w:noWrap w:val="0"/>
            <w:vAlign w:val="center"/>
          </w:tcPr>
          <w:p w14:paraId="4C599EC6">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生态保护对策措施</w:t>
            </w:r>
          </w:p>
        </w:tc>
        <w:tc>
          <w:tcPr>
            <w:tcW w:w="1257" w:type="dxa"/>
            <w:noWrap w:val="0"/>
            <w:vAlign w:val="center"/>
          </w:tcPr>
          <w:p w14:paraId="40A1CADD">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对策措施</w:t>
            </w:r>
          </w:p>
        </w:tc>
        <w:tc>
          <w:tcPr>
            <w:tcW w:w="6190" w:type="dxa"/>
            <w:noWrap w:val="0"/>
            <w:vAlign w:val="center"/>
          </w:tcPr>
          <w:p w14:paraId="0ABC1BE4">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rPr>
              <w:t>避让□；减缓</w:t>
            </w:r>
            <w:r>
              <w:rPr>
                <w:rFonts w:hint="eastAsia"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；生态修复</w:t>
            </w:r>
            <w:r>
              <w:rPr>
                <w:rFonts w:hint="eastAsia"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；生态补偿</w:t>
            </w:r>
            <w:r>
              <w:rPr>
                <w:rFonts w:hint="eastAsia"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；科研</w:t>
            </w:r>
            <w:r>
              <w:rPr>
                <w:rFonts w:hint="eastAsia"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；其他</w:t>
            </w:r>
            <w:r>
              <w:rPr>
                <w:rFonts w:hint="eastAsia" w:cs="Times New Roman"/>
                <w:snapToGrid w:val="0"/>
                <w:color w:val="auto"/>
                <w:sz w:val="21"/>
                <w:szCs w:val="21"/>
                <w:highlight w:val="none"/>
                <w:lang w:eastAsia="zh-CN"/>
              </w:rPr>
              <w:t>□</w:t>
            </w:r>
          </w:p>
        </w:tc>
      </w:tr>
      <w:tr w14:paraId="33098B0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889" w:type="dxa"/>
            <w:vMerge w:val="continue"/>
            <w:noWrap w:val="0"/>
            <w:vAlign w:val="center"/>
          </w:tcPr>
          <w:p w14:paraId="048875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1257" w:type="dxa"/>
            <w:noWrap w:val="0"/>
            <w:vAlign w:val="center"/>
          </w:tcPr>
          <w:p w14:paraId="75E99F1F">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生态监测计划</w:t>
            </w:r>
          </w:p>
        </w:tc>
        <w:tc>
          <w:tcPr>
            <w:tcW w:w="6190" w:type="dxa"/>
            <w:noWrap w:val="0"/>
            <w:vAlign w:val="center"/>
          </w:tcPr>
          <w:p w14:paraId="605D2F96">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rPr>
              <w:t>全生命周期□；长期跟踪</w:t>
            </w:r>
            <w:r>
              <w:rPr>
                <w:rFonts w:hint="eastAsia"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；常规</w:t>
            </w:r>
            <w:r>
              <w:rPr>
                <w:rFonts w:hint="eastAsia"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；无</w:t>
            </w:r>
            <w:r>
              <w:rPr>
                <w:rFonts w:hint="eastAsia" w:cs="Times New Roman"/>
                <w:snapToGrid w:val="0"/>
                <w:color w:val="auto"/>
                <w:sz w:val="21"/>
                <w:szCs w:val="21"/>
                <w:highlight w:val="none"/>
                <w:lang w:eastAsia="zh-CN"/>
              </w:rPr>
              <w:t>□</w:t>
            </w:r>
          </w:p>
        </w:tc>
      </w:tr>
      <w:tr w14:paraId="0428184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889" w:type="dxa"/>
            <w:vMerge w:val="continue"/>
            <w:noWrap w:val="0"/>
            <w:vAlign w:val="center"/>
          </w:tcPr>
          <w:p w14:paraId="050570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kern w:val="0"/>
                <w:sz w:val="21"/>
                <w:szCs w:val="21"/>
                <w:highlight w:val="none"/>
              </w:rPr>
            </w:pPr>
          </w:p>
        </w:tc>
        <w:tc>
          <w:tcPr>
            <w:tcW w:w="1257" w:type="dxa"/>
            <w:noWrap w:val="0"/>
            <w:vAlign w:val="center"/>
          </w:tcPr>
          <w:p w14:paraId="10CB0405">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环境管理</w:t>
            </w:r>
          </w:p>
        </w:tc>
        <w:tc>
          <w:tcPr>
            <w:tcW w:w="6190" w:type="dxa"/>
            <w:noWrap w:val="0"/>
            <w:vAlign w:val="center"/>
          </w:tcPr>
          <w:p w14:paraId="19890524">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ascii="Times New Roman" w:hAnsi="Times New Roman" w:eastAsia="宋体" w:cs="Times New Roman"/>
                <w:snapToGrid w:val="0"/>
                <w:color w:val="auto"/>
                <w:sz w:val="21"/>
                <w:szCs w:val="21"/>
                <w:highlight w:val="none"/>
                <w:lang w:eastAsia="zh-CN"/>
              </w:rPr>
            </w:pPr>
            <w:r>
              <w:rPr>
                <w:rFonts w:hint="default" w:ascii="Times New Roman" w:hAnsi="Times New Roman" w:eastAsia="宋体" w:cs="Times New Roman"/>
                <w:snapToGrid w:val="0"/>
                <w:color w:val="auto"/>
                <w:sz w:val="21"/>
                <w:szCs w:val="21"/>
                <w:highlight w:val="none"/>
              </w:rPr>
              <w:t>环境监理</w:t>
            </w:r>
            <w:r>
              <w:rPr>
                <w:rFonts w:hint="eastAsia"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；环境影响后评价</w:t>
            </w:r>
            <w:r>
              <w:rPr>
                <w:rFonts w:hint="eastAsia"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；其他</w:t>
            </w:r>
            <w:r>
              <w:rPr>
                <w:rFonts w:hint="eastAsia" w:cs="Times New Roman"/>
                <w:snapToGrid w:val="0"/>
                <w:color w:val="auto"/>
                <w:sz w:val="21"/>
                <w:szCs w:val="21"/>
                <w:highlight w:val="none"/>
                <w:lang w:eastAsia="zh-CN"/>
              </w:rPr>
              <w:t>□</w:t>
            </w:r>
          </w:p>
        </w:tc>
      </w:tr>
      <w:tr w14:paraId="1149DE1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889" w:type="dxa"/>
            <w:noWrap w:val="0"/>
            <w:vAlign w:val="center"/>
          </w:tcPr>
          <w:p w14:paraId="38CC6E13">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评价结论</w:t>
            </w:r>
          </w:p>
        </w:tc>
        <w:tc>
          <w:tcPr>
            <w:tcW w:w="1257" w:type="dxa"/>
            <w:noWrap w:val="0"/>
            <w:vAlign w:val="center"/>
          </w:tcPr>
          <w:p w14:paraId="0E469A4F">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生态影响</w:t>
            </w:r>
          </w:p>
        </w:tc>
        <w:tc>
          <w:tcPr>
            <w:tcW w:w="6190" w:type="dxa"/>
            <w:noWrap w:val="0"/>
            <w:vAlign w:val="center"/>
          </w:tcPr>
          <w:p w14:paraId="76C21EC1">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可行</w:t>
            </w:r>
            <w:r>
              <w:rPr>
                <w:rFonts w:hint="eastAsia"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；不可行□</w:t>
            </w:r>
          </w:p>
        </w:tc>
      </w:tr>
      <w:tr w14:paraId="3077D54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8336" w:type="dxa"/>
            <w:gridSpan w:val="3"/>
            <w:noWrap w:val="0"/>
            <w:vAlign w:val="center"/>
          </w:tcPr>
          <w:p w14:paraId="1AFE9A04">
            <w:pPr>
              <w:pStyle w:val="47"/>
              <w:keepNext w:val="0"/>
              <w:keepLines w:val="0"/>
              <w:pageBreakBefore w:val="0"/>
              <w:widowControl w:val="0"/>
              <w:suppressLineNumbers w:val="0"/>
              <w:tabs>
                <w:tab w:val="left" w:pos="3259"/>
              </w:tabs>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 xml:space="preserve">注： </w:t>
            </w:r>
            <w:r>
              <w:rPr>
                <w:rFonts w:hint="eastAsia"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w:t>
            </w:r>
            <w:r>
              <w:rPr>
                <w:rFonts w:hint="eastAsia"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 xml:space="preserve"> 为勾选项 ，可√ ；</w:t>
            </w:r>
            <w:r>
              <w:rPr>
                <w:rFonts w:hint="eastAsia"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w:t>
            </w:r>
            <w:r>
              <w:rPr>
                <w:rFonts w:hint="default" w:ascii="Times New Roman" w:hAnsi="Times New Roman" w:eastAsia="宋体" w:cs="Times New Roman"/>
                <w:snapToGrid w:val="0"/>
                <w:color w:val="auto"/>
                <w:sz w:val="21"/>
                <w:szCs w:val="21"/>
                <w:highlight w:val="none"/>
              </w:rPr>
              <w:tab/>
            </w:r>
            <w:r>
              <w:rPr>
                <w:rFonts w:hint="default" w:ascii="Times New Roman" w:hAnsi="Times New Roman" w:eastAsia="宋体" w:cs="Times New Roman"/>
                <w:snapToGrid w:val="0"/>
                <w:color w:val="auto"/>
                <w:sz w:val="21"/>
                <w:szCs w:val="21"/>
                <w:highlight w:val="none"/>
              </w:rPr>
              <w:t>）</w:t>
            </w:r>
            <w:r>
              <w:rPr>
                <w:rFonts w:hint="eastAsia"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 xml:space="preserve"> 为内容填写项。</w:t>
            </w:r>
          </w:p>
        </w:tc>
      </w:tr>
    </w:tbl>
    <w:p w14:paraId="65A73105">
      <w:pPr>
        <w:pStyle w:val="3"/>
        <w:rPr>
          <w:rFonts w:hint="default" w:ascii="Times New Roman" w:hAnsi="Times New Roman" w:cs="Times New Roman"/>
          <w:color w:val="auto"/>
          <w:highlight w:val="none"/>
        </w:rPr>
      </w:pPr>
      <w:bookmarkStart w:id="736" w:name="_Toc6217"/>
      <w:bookmarkStart w:id="737" w:name="_Toc13048"/>
      <w:bookmarkStart w:id="738" w:name="_Toc10123"/>
      <w:bookmarkStart w:id="739" w:name="_Toc32160"/>
      <w:bookmarkStart w:id="740" w:name="_Toc9717"/>
      <w:bookmarkStart w:id="741" w:name="_Toc107414666"/>
      <w:bookmarkStart w:id="742" w:name="_Toc107413899"/>
      <w:r>
        <w:rPr>
          <w:rFonts w:hint="default" w:ascii="Times New Roman" w:hAnsi="Times New Roman" w:cs="Times New Roman"/>
          <w:color w:val="auto"/>
          <w:highlight w:val="none"/>
        </w:rPr>
        <w:t>5.3环境风险分析</w:t>
      </w:r>
      <w:bookmarkEnd w:id="736"/>
      <w:bookmarkEnd w:id="737"/>
      <w:bookmarkEnd w:id="738"/>
      <w:bookmarkEnd w:id="739"/>
      <w:bookmarkEnd w:id="740"/>
      <w:bookmarkEnd w:id="741"/>
      <w:bookmarkEnd w:id="742"/>
    </w:p>
    <w:p w14:paraId="2AEB12B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项目环境风险评价技术导则》（HJ169-2018），建设项目环境风险评价是对建设项目的环境风险进行分析、预测和评估，提出环境风险预防、控制、减缓措施，明确环境风险监控及应急建议要求，为建设项目环境风险防控提供科学依据。</w:t>
      </w:r>
    </w:p>
    <w:p w14:paraId="5D0EB5F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次环境风险评价将把风险事故引起厂界外环境质量的恶化及对人群健康影响的预测和防护作为评价工作重点。按照《建设项目环境风险评价技术导则》（HJ169-2018）的方法，通过分析该工程项目中主要物料的危险性和毒性，识别其潜在危险源并提出防治措施，达到降低危害程度，保护环境的目的。</w:t>
      </w:r>
    </w:p>
    <w:p w14:paraId="3EB6107E">
      <w:pPr>
        <w:keepNext/>
        <w:keepLines/>
        <w:spacing w:before="60" w:after="60"/>
        <w:ind w:firstLine="0" w:firstLineChars="0"/>
        <w:outlineLvl w:val="2"/>
        <w:rPr>
          <w:rFonts w:hint="default" w:ascii="Times New Roman" w:hAnsi="Times New Roman" w:cs="Times New Roman"/>
          <w:b/>
          <w:bCs/>
          <w:color w:val="auto"/>
          <w:sz w:val="30"/>
          <w:szCs w:val="32"/>
          <w:highlight w:val="none"/>
        </w:rPr>
      </w:pPr>
      <w:r>
        <w:rPr>
          <w:rFonts w:hint="default" w:ascii="Times New Roman" w:hAnsi="Times New Roman" w:cs="Times New Roman"/>
          <w:b/>
          <w:bCs/>
          <w:color w:val="auto"/>
          <w:sz w:val="30"/>
          <w:szCs w:val="32"/>
          <w:highlight w:val="none"/>
        </w:rPr>
        <w:t>5.3.1风险调查</w:t>
      </w:r>
    </w:p>
    <w:p w14:paraId="2BE2C8CB">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5.3.1.1建设项目风险源调查</w:t>
      </w:r>
    </w:p>
    <w:p w14:paraId="7A029E6A">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根据《建设项目环境风险评价技术导则》（HJ169-2018）中有关规定，</w:t>
      </w:r>
      <w:r>
        <w:rPr>
          <w:rFonts w:hint="default" w:ascii="Times New Roman" w:hAnsi="Times New Roman" w:cs="Times New Roman"/>
          <w:color w:val="auto"/>
          <w:kern w:val="0"/>
          <w:highlight w:val="none"/>
        </w:rPr>
        <w:t>本次风险评价的识别范围主要是选矿厂和尾矿库。</w:t>
      </w:r>
    </w:p>
    <w:p w14:paraId="4C4D1E97">
      <w:pPr>
        <w:overflowPunct w:val="0"/>
        <w:topLinePunct/>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（1）物质危险性识别</w:t>
      </w:r>
    </w:p>
    <w:p w14:paraId="129D114B">
      <w:pPr>
        <w:overflowPunct w:val="0"/>
        <w:topLinePunct/>
        <w:adjustRightInd w:val="0"/>
        <w:snapToGrid w:val="0"/>
        <w:ind w:firstLine="480"/>
        <w:rPr>
          <w:rFonts w:hint="default" w:ascii="Times New Roman" w:hAnsi="Times New Roman" w:eastAsia="宋体" w:cs="Times New Roman"/>
          <w:color w:val="auto"/>
          <w:highlight w:val="none"/>
          <w:lang w:val="en-US" w:eastAsia="zh-CN" w:bidi="ar"/>
        </w:rPr>
      </w:pPr>
      <w:r>
        <w:rPr>
          <w:rFonts w:hint="default" w:ascii="Times New Roman" w:hAnsi="Times New Roman" w:cs="Times New Roman"/>
          <w:color w:val="auto"/>
          <w:highlight w:val="none"/>
          <w:lang w:bidi="ar"/>
        </w:rPr>
        <w:t>本项目选矿厂</w:t>
      </w:r>
      <w:r>
        <w:rPr>
          <w:rFonts w:hint="default" w:ascii="Times New Roman" w:hAnsi="Times New Roman" w:cs="Times New Roman"/>
          <w:color w:val="auto"/>
          <w:highlight w:val="none"/>
          <w:lang w:eastAsia="zh-CN" w:bidi="ar"/>
        </w:rPr>
        <w:t>储存的物料主要为</w:t>
      </w:r>
      <w:r>
        <w:rPr>
          <w:rFonts w:hint="default" w:ascii="Times New Roman" w:hAnsi="Times New Roman" w:cs="Times New Roman"/>
          <w:color w:val="auto"/>
          <w:highlight w:val="none"/>
          <w:lang w:bidi="ar"/>
        </w:rPr>
        <w:t>原矿石</w:t>
      </w:r>
      <w:r>
        <w:rPr>
          <w:rFonts w:hint="eastAsia" w:cs="Times New Roman"/>
          <w:color w:val="auto"/>
          <w:highlight w:val="none"/>
          <w:lang w:eastAsia="zh-CN" w:bidi="ar"/>
        </w:rPr>
        <w:t>、</w:t>
      </w:r>
      <w:r>
        <w:rPr>
          <w:rFonts w:hint="eastAsia" w:cs="Times New Roman"/>
          <w:color w:val="auto"/>
          <w:highlight w:val="none"/>
          <w:lang w:val="en-US" w:eastAsia="zh-CN" w:bidi="ar"/>
        </w:rPr>
        <w:t>油酸</w:t>
      </w:r>
      <w:r>
        <w:rPr>
          <w:rFonts w:hint="eastAsia" w:cs="Times New Roman"/>
          <w:color w:val="auto"/>
          <w:highlight w:val="none"/>
          <w:lang w:eastAsia="zh-CN" w:bidi="ar"/>
        </w:rPr>
        <w:t>、</w:t>
      </w:r>
      <w:r>
        <w:rPr>
          <w:rFonts w:hint="default" w:ascii="Times New Roman" w:hAnsi="Times New Roman" w:eastAsia="宋体" w:cs="Times New Roman"/>
          <w:color w:val="auto"/>
          <w:highlight w:val="none"/>
          <w:lang w:val="en-US" w:eastAsia="zh-CN" w:bidi="ar"/>
        </w:rPr>
        <w:t>水玻璃、</w:t>
      </w:r>
      <w:r>
        <w:rPr>
          <w:rFonts w:hint="eastAsia" w:cs="Times New Roman"/>
          <w:color w:val="auto"/>
          <w:highlight w:val="none"/>
          <w:lang w:val="en-US" w:eastAsia="zh-CN" w:bidi="ar"/>
        </w:rPr>
        <w:t>碳酸钙</w:t>
      </w:r>
      <w:r>
        <w:rPr>
          <w:rFonts w:hint="default" w:ascii="Times New Roman" w:hAnsi="Times New Roman" w:eastAsia="宋体" w:cs="Times New Roman"/>
          <w:color w:val="auto"/>
          <w:highlight w:val="none"/>
          <w:lang w:val="en-US" w:eastAsia="zh-CN" w:bidi="ar"/>
        </w:rPr>
        <w:t>抑制剂</w:t>
      </w:r>
      <w:r>
        <w:rPr>
          <w:rFonts w:hint="default" w:ascii="Times New Roman" w:hAnsi="Times New Roman" w:cs="Times New Roman"/>
          <w:color w:val="auto"/>
          <w:highlight w:val="none"/>
          <w:lang w:val="en-US" w:eastAsia="zh-CN" w:bidi="ar"/>
        </w:rPr>
        <w:t>，不属于导则中危险物质，其他危险物质主要为</w:t>
      </w:r>
      <w:r>
        <w:rPr>
          <w:rFonts w:hint="default" w:ascii="Times New Roman" w:hAnsi="Times New Roman" w:eastAsia="宋体" w:cs="Times New Roman"/>
          <w:color w:val="auto"/>
          <w:highlight w:val="none"/>
          <w:lang w:val="en-US" w:eastAsia="zh-CN" w:bidi="ar"/>
        </w:rPr>
        <w:t>废机油</w:t>
      </w:r>
      <w:r>
        <w:rPr>
          <w:rFonts w:hint="default" w:ascii="Times New Roman" w:hAnsi="Times New Roman" w:cs="Times New Roman"/>
          <w:color w:val="auto"/>
          <w:highlight w:val="none"/>
          <w:lang w:val="en-US" w:eastAsia="zh-CN" w:bidi="ar"/>
        </w:rPr>
        <w:t>及柴油，</w:t>
      </w:r>
      <w:r>
        <w:rPr>
          <w:rFonts w:hint="default" w:ascii="Times New Roman" w:hAnsi="Times New Roman" w:cs="Times New Roman"/>
          <w:color w:val="auto"/>
          <w:highlight w:val="none"/>
        </w:rPr>
        <w:t>属于易燃物质</w:t>
      </w:r>
      <w:r>
        <w:rPr>
          <w:rFonts w:hint="default" w:ascii="Times New Roman" w:hAnsi="Times New Roman" w:eastAsia="宋体" w:cs="Times New Roman"/>
          <w:color w:val="auto"/>
          <w:highlight w:val="none"/>
          <w:lang w:val="en-US" w:eastAsia="zh-CN" w:bidi="ar"/>
        </w:rPr>
        <w:t>。</w:t>
      </w:r>
    </w:p>
    <w:p w14:paraId="30591AC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）生产单元（设施）危险性识别</w:t>
      </w:r>
    </w:p>
    <w:p w14:paraId="6B1CE11C">
      <w:pPr>
        <w:overflowPunct w:val="0"/>
        <w:topLinePunct/>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1）选矿水循环系统</w:t>
      </w:r>
    </w:p>
    <w:p w14:paraId="2952B6F9">
      <w:pPr>
        <w:overflowPunct w:val="0"/>
        <w:topLinePunct/>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本项目选矿废水闭路循环，不外排。选矿水循环系统因设备老化、故障、操作不当以及建筑破损等原因可能发生选矿废水泄漏事故。</w:t>
      </w:r>
    </w:p>
    <w:p w14:paraId="69348705">
      <w:pPr>
        <w:overflowPunct w:val="0"/>
        <w:topLinePunct/>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2）尾矿库</w:t>
      </w:r>
    </w:p>
    <w:p w14:paraId="039B7591">
      <w:pPr>
        <w:overflowPunct w:val="0"/>
        <w:topLinePunct/>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①尾矿排放</w:t>
      </w:r>
    </w:p>
    <w:p w14:paraId="00345AD0">
      <w:pPr>
        <w:overflowPunct w:val="0"/>
        <w:topLinePunct/>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若尾矿库溃坝，则可能造成人身安全、财产损失、环境污染、生态破坏等突发环境事件。</w:t>
      </w:r>
    </w:p>
    <w:p w14:paraId="725A842B">
      <w:pPr>
        <w:overflowPunct w:val="0"/>
        <w:topLinePunct/>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②管道破裂、渗漏</w:t>
      </w:r>
    </w:p>
    <w:p w14:paraId="52497865">
      <w:pPr>
        <w:overflowPunct w:val="0"/>
        <w:topLinePunct/>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主厂房产出的尾矿浆先汇集到泵池，然后由尾矿泵加压，通过敷设的尾矿输送管道（通常为耐磨钢管或HDPE管）泵送至尾矿库</w:t>
      </w:r>
      <w:r>
        <w:rPr>
          <w:rFonts w:hint="default" w:ascii="Times New Roman" w:hAnsi="Times New Roman" w:cs="Times New Roman"/>
          <w:color w:val="auto"/>
          <w:highlight w:val="none"/>
          <w:lang w:eastAsia="zh-CN"/>
        </w:rPr>
        <w:t>，在尾矿库一侧，管道沿坝顶或库周布置，并根据</w:t>
      </w:r>
      <w:r>
        <w:rPr>
          <w:rFonts w:hint="eastAsia" w:cs="Times New Roman"/>
          <w:color w:val="auto"/>
          <w:highlight w:val="none"/>
          <w:lang w:eastAsia="zh-CN"/>
        </w:rPr>
        <w:t>“</w:t>
      </w:r>
      <w:r>
        <w:rPr>
          <w:rFonts w:hint="default" w:ascii="Times New Roman" w:hAnsi="Times New Roman" w:cs="Times New Roman"/>
          <w:color w:val="auto"/>
          <w:highlight w:val="none"/>
          <w:lang w:eastAsia="zh-CN"/>
        </w:rPr>
        <w:t>库周放矿</w:t>
      </w:r>
      <w:r>
        <w:rPr>
          <w:rFonts w:hint="eastAsia" w:cs="Times New Roman"/>
          <w:color w:val="auto"/>
          <w:highlight w:val="none"/>
          <w:lang w:eastAsia="zh-CN"/>
        </w:rPr>
        <w:t>”</w:t>
      </w:r>
      <w:r>
        <w:rPr>
          <w:rFonts w:hint="default" w:ascii="Times New Roman" w:hAnsi="Times New Roman" w:cs="Times New Roman"/>
          <w:color w:val="auto"/>
          <w:highlight w:val="none"/>
          <w:lang w:eastAsia="zh-CN"/>
        </w:rPr>
        <w:t>的工艺要求，在管道上设置放矿支管，将尾矿浆均匀分散地排放到库区内。</w:t>
      </w:r>
      <w:r>
        <w:rPr>
          <w:rFonts w:hint="default" w:ascii="Times New Roman" w:hAnsi="Times New Roman" w:cs="Times New Roman"/>
          <w:color w:val="auto"/>
          <w:highlight w:val="none"/>
        </w:rPr>
        <w:t>尾矿输送管路如遇施工机械破坏或其他人为破坏，可能发生管道破裂、尾矿浆泄漏事故，可能会导致废水渗漏、外泄，致使周边土壤环境、地表水及地下水等受污染。</w:t>
      </w:r>
    </w:p>
    <w:p w14:paraId="5E5F0683">
      <w:pPr>
        <w:overflowPunct w:val="0"/>
        <w:topLinePunct/>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）存储系统风险识别</w:t>
      </w:r>
    </w:p>
    <w:p w14:paraId="6B43765D">
      <w:pPr>
        <w:overflowPunct w:val="0"/>
        <w:topLinePunct/>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原料如</w:t>
      </w:r>
      <w:r>
        <w:rPr>
          <w:rFonts w:hint="default" w:ascii="Times New Roman" w:hAnsi="Times New Roman" w:cs="Times New Roman"/>
          <w:color w:val="auto"/>
          <w:highlight w:val="none"/>
          <w:lang w:eastAsia="zh-CN"/>
        </w:rPr>
        <w:t>柴油</w:t>
      </w:r>
      <w:r>
        <w:rPr>
          <w:rFonts w:hint="default" w:ascii="Times New Roman" w:hAnsi="Times New Roman" w:cs="Times New Roman"/>
          <w:color w:val="auto"/>
          <w:highlight w:val="none"/>
        </w:rPr>
        <w:t>等危险品储存、装卸、运输中可能由于碰撞、震动、挤压等，同时由于操作不当、重装重卸、容器多次回收利用后强度下降，垫圈没有拧紧等原因造成物品泄漏，甚至引起火灾事故。此外，危废贮存点暂存的废机油也属于易燃有毒物质，盛装废机油的容器若破损、倾倒或密封不严，可能导致废机油泄漏，泄漏的废机油若未及时收集，可能通过地面漫流或垂直入渗污染土壤及地下水；遇明火、高温或静电火花可能引发火灾事故。</w:t>
      </w:r>
    </w:p>
    <w:p w14:paraId="4FBBB14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本项目环评主要针对尾矿库可能发生的环境风险事故，进行环境影响预测分析，并提出风险防范措施及应急预案，力求将环境风险影响降至最低。</w:t>
      </w:r>
    </w:p>
    <w:p w14:paraId="406C2F99">
      <w:pPr>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p w14:paraId="6A30607D">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5.3.1.2环境敏感目标调查</w:t>
      </w:r>
    </w:p>
    <w:p w14:paraId="7370438C">
      <w:pPr>
        <w:ind w:firstLine="0" w:firstLineChars="0"/>
        <w:jc w:val="center"/>
        <w:rPr>
          <w:rFonts w:hint="default" w:ascii="Times New Roman" w:hAnsi="Times New Roman" w:cs="Times New Roman"/>
          <w:b/>
          <w:color w:val="auto"/>
          <w:kern w:val="0"/>
          <w:szCs w:val="21"/>
          <w:highlight w:val="none"/>
          <w:lang w:val="zh-CN"/>
        </w:rPr>
      </w:pPr>
      <w:r>
        <w:rPr>
          <w:rFonts w:hint="default" w:ascii="Times New Roman" w:hAnsi="Times New Roman" w:cs="Times New Roman"/>
          <w:b/>
          <w:color w:val="auto"/>
          <w:kern w:val="0"/>
          <w:szCs w:val="21"/>
          <w:highlight w:val="none"/>
          <w:lang w:val="zh-CN"/>
        </w:rPr>
        <w:t>表</w:t>
      </w:r>
      <w:r>
        <w:rPr>
          <w:rFonts w:hint="default" w:ascii="Times New Roman" w:hAnsi="Times New Roman" w:cs="Times New Roman"/>
          <w:b/>
          <w:color w:val="auto"/>
          <w:kern w:val="0"/>
          <w:szCs w:val="21"/>
          <w:highlight w:val="none"/>
        </w:rPr>
        <w:t>5.3-</w:t>
      </w:r>
      <w:r>
        <w:rPr>
          <w:rFonts w:hint="default" w:ascii="Times New Roman" w:hAnsi="Times New Roman" w:cs="Times New Roman"/>
          <w:b/>
          <w:color w:val="auto"/>
          <w:kern w:val="0"/>
          <w:szCs w:val="21"/>
          <w:highlight w:val="none"/>
          <w:lang w:val="en-US" w:eastAsia="zh-CN"/>
        </w:rPr>
        <w:t>1</w:t>
      </w:r>
      <w:r>
        <w:rPr>
          <w:rFonts w:hint="default" w:ascii="Times New Roman" w:hAnsi="Times New Roman" w:cs="Times New Roman"/>
          <w:b/>
          <w:color w:val="auto"/>
          <w:kern w:val="0"/>
          <w:szCs w:val="21"/>
          <w:highlight w:val="none"/>
        </w:rPr>
        <w:t xml:space="preserve">    </w:t>
      </w:r>
      <w:r>
        <w:rPr>
          <w:rFonts w:hint="default" w:ascii="Times New Roman" w:hAnsi="Times New Roman" w:cs="Times New Roman"/>
          <w:b/>
          <w:color w:val="auto"/>
          <w:kern w:val="0"/>
          <w:szCs w:val="21"/>
          <w:highlight w:val="none"/>
          <w:lang w:val="zh-CN"/>
        </w:rPr>
        <w:t>调查范围内环境敏感目标一览表</w:t>
      </w:r>
    </w:p>
    <w:tbl>
      <w:tblPr>
        <w:tblStyle w:val="33"/>
        <w:tblW w:w="85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73"/>
        <w:gridCol w:w="929"/>
        <w:gridCol w:w="1512"/>
        <w:gridCol w:w="1560"/>
        <w:gridCol w:w="1200"/>
        <w:gridCol w:w="1140"/>
        <w:gridCol w:w="1208"/>
      </w:tblGrid>
      <w:tr w14:paraId="648A39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973" w:type="dxa"/>
            <w:tcBorders>
              <w:top w:val="single" w:color="auto" w:sz="12" w:space="0"/>
              <w:left w:val="single" w:color="auto" w:sz="12" w:space="0"/>
              <w:bottom w:val="single" w:color="auto" w:sz="6" w:space="0"/>
              <w:right w:val="single" w:color="auto" w:sz="6" w:space="0"/>
            </w:tcBorders>
            <w:vAlign w:val="center"/>
          </w:tcPr>
          <w:p w14:paraId="5A8D4056">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类别</w:t>
            </w:r>
          </w:p>
        </w:tc>
        <w:tc>
          <w:tcPr>
            <w:tcW w:w="7549" w:type="dxa"/>
            <w:gridSpan w:val="6"/>
            <w:tcBorders>
              <w:top w:val="single" w:color="auto" w:sz="12" w:space="0"/>
              <w:left w:val="single" w:color="auto" w:sz="6" w:space="0"/>
              <w:bottom w:val="single" w:color="auto" w:sz="6" w:space="0"/>
              <w:right w:val="single" w:color="auto" w:sz="12" w:space="0"/>
            </w:tcBorders>
            <w:vAlign w:val="center"/>
          </w:tcPr>
          <w:p w14:paraId="649FD005">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环境敏感特征</w:t>
            </w:r>
          </w:p>
        </w:tc>
      </w:tr>
      <w:tr w14:paraId="12AF52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973" w:type="dxa"/>
            <w:vMerge w:val="restart"/>
            <w:tcBorders>
              <w:top w:val="single" w:color="auto" w:sz="6" w:space="0"/>
              <w:left w:val="single" w:color="auto" w:sz="12" w:space="0"/>
              <w:bottom w:val="single" w:color="auto" w:sz="6" w:space="0"/>
              <w:right w:val="single" w:color="auto" w:sz="6" w:space="0"/>
            </w:tcBorders>
            <w:vAlign w:val="center"/>
          </w:tcPr>
          <w:p w14:paraId="1BF49EE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w:t>
            </w:r>
          </w:p>
          <w:p w14:paraId="7F0A445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空气</w:t>
            </w:r>
          </w:p>
        </w:tc>
        <w:tc>
          <w:tcPr>
            <w:tcW w:w="7549" w:type="dxa"/>
            <w:gridSpan w:val="6"/>
            <w:tcBorders>
              <w:top w:val="single" w:color="auto" w:sz="6" w:space="0"/>
              <w:left w:val="single" w:color="auto" w:sz="6" w:space="0"/>
              <w:bottom w:val="single" w:color="auto" w:sz="6" w:space="0"/>
              <w:right w:val="single" w:color="auto" w:sz="12" w:space="0"/>
            </w:tcBorders>
            <w:vAlign w:val="center"/>
          </w:tcPr>
          <w:p w14:paraId="0973C7A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厂址周边5km范围内</w:t>
            </w:r>
          </w:p>
        </w:tc>
      </w:tr>
      <w:tr w14:paraId="264B41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973" w:type="dxa"/>
            <w:vMerge w:val="continue"/>
            <w:tcBorders>
              <w:top w:val="single" w:color="auto" w:sz="6" w:space="0"/>
              <w:left w:val="single" w:color="auto" w:sz="12" w:space="0"/>
              <w:bottom w:val="single" w:color="auto" w:sz="6" w:space="0"/>
              <w:right w:val="single" w:color="auto" w:sz="6" w:space="0"/>
            </w:tcBorders>
            <w:vAlign w:val="center"/>
          </w:tcPr>
          <w:p w14:paraId="72FCB1BB">
            <w:pPr>
              <w:widowControl/>
              <w:spacing w:line="360" w:lineRule="exact"/>
              <w:ind w:firstLine="0" w:firstLineChars="0"/>
              <w:jc w:val="left"/>
              <w:rPr>
                <w:rFonts w:hint="default" w:ascii="Times New Roman" w:hAnsi="Times New Roman" w:cs="Times New Roman"/>
                <w:color w:val="auto"/>
                <w:sz w:val="21"/>
                <w:szCs w:val="21"/>
                <w:highlight w:val="none"/>
              </w:rPr>
            </w:pPr>
          </w:p>
        </w:tc>
        <w:tc>
          <w:tcPr>
            <w:tcW w:w="929" w:type="dxa"/>
            <w:tcBorders>
              <w:top w:val="single" w:color="auto" w:sz="6" w:space="0"/>
              <w:left w:val="single" w:color="auto" w:sz="6" w:space="0"/>
              <w:bottom w:val="single" w:color="auto" w:sz="6" w:space="0"/>
              <w:right w:val="single" w:color="auto" w:sz="6" w:space="0"/>
            </w:tcBorders>
            <w:vAlign w:val="center"/>
          </w:tcPr>
          <w:p w14:paraId="4474E13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1512" w:type="dxa"/>
            <w:tcBorders>
              <w:top w:val="single" w:color="auto" w:sz="6" w:space="0"/>
              <w:left w:val="single" w:color="auto" w:sz="6" w:space="0"/>
              <w:bottom w:val="single" w:color="auto" w:sz="6" w:space="0"/>
              <w:right w:val="single" w:color="auto" w:sz="6" w:space="0"/>
            </w:tcBorders>
            <w:vAlign w:val="center"/>
          </w:tcPr>
          <w:p w14:paraId="77A2D6E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敏感目标名称</w:t>
            </w:r>
          </w:p>
        </w:tc>
        <w:tc>
          <w:tcPr>
            <w:tcW w:w="1560" w:type="dxa"/>
            <w:tcBorders>
              <w:top w:val="single" w:color="auto" w:sz="6" w:space="0"/>
              <w:left w:val="single" w:color="auto" w:sz="6" w:space="0"/>
              <w:bottom w:val="single" w:color="auto" w:sz="6" w:space="0"/>
              <w:right w:val="single" w:color="auto" w:sz="6" w:space="0"/>
            </w:tcBorders>
            <w:vAlign w:val="center"/>
          </w:tcPr>
          <w:p w14:paraId="1CFD195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相对方位</w:t>
            </w:r>
          </w:p>
        </w:tc>
        <w:tc>
          <w:tcPr>
            <w:tcW w:w="1200" w:type="dxa"/>
            <w:tcBorders>
              <w:top w:val="single" w:color="auto" w:sz="6" w:space="0"/>
              <w:left w:val="single" w:color="auto" w:sz="6" w:space="0"/>
              <w:bottom w:val="single" w:color="auto" w:sz="6" w:space="0"/>
              <w:right w:val="single" w:color="auto" w:sz="6" w:space="0"/>
            </w:tcBorders>
            <w:vAlign w:val="center"/>
          </w:tcPr>
          <w:p w14:paraId="04B10B5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距离/m</w:t>
            </w:r>
          </w:p>
        </w:tc>
        <w:tc>
          <w:tcPr>
            <w:tcW w:w="1140" w:type="dxa"/>
            <w:tcBorders>
              <w:top w:val="single" w:color="auto" w:sz="6" w:space="0"/>
              <w:left w:val="single" w:color="auto" w:sz="6" w:space="0"/>
              <w:bottom w:val="single" w:color="auto" w:sz="6" w:space="0"/>
              <w:right w:val="single" w:color="auto" w:sz="6" w:space="0"/>
            </w:tcBorders>
            <w:vAlign w:val="center"/>
          </w:tcPr>
          <w:p w14:paraId="62D3C33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属性</w:t>
            </w:r>
          </w:p>
        </w:tc>
        <w:tc>
          <w:tcPr>
            <w:tcW w:w="1208" w:type="dxa"/>
            <w:tcBorders>
              <w:top w:val="single" w:color="auto" w:sz="6" w:space="0"/>
              <w:left w:val="single" w:color="auto" w:sz="6" w:space="0"/>
              <w:bottom w:val="single" w:color="auto" w:sz="6" w:space="0"/>
              <w:right w:val="single" w:color="auto" w:sz="12" w:space="0"/>
            </w:tcBorders>
            <w:vAlign w:val="center"/>
          </w:tcPr>
          <w:p w14:paraId="415B6E4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人口数</w:t>
            </w:r>
          </w:p>
        </w:tc>
      </w:tr>
      <w:tr w14:paraId="5C41C0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73" w:type="dxa"/>
            <w:vMerge w:val="continue"/>
            <w:tcBorders>
              <w:top w:val="single" w:color="auto" w:sz="6" w:space="0"/>
              <w:left w:val="single" w:color="auto" w:sz="12" w:space="0"/>
              <w:bottom w:val="single" w:color="auto" w:sz="6" w:space="0"/>
              <w:right w:val="single" w:color="auto" w:sz="6" w:space="0"/>
            </w:tcBorders>
            <w:vAlign w:val="center"/>
          </w:tcPr>
          <w:p w14:paraId="4230E2CD">
            <w:pPr>
              <w:widowControl/>
              <w:spacing w:line="360" w:lineRule="exact"/>
              <w:ind w:firstLine="0" w:firstLineChars="0"/>
              <w:jc w:val="left"/>
              <w:rPr>
                <w:rFonts w:hint="default" w:ascii="Times New Roman" w:hAnsi="Times New Roman" w:cs="Times New Roman"/>
                <w:color w:val="auto"/>
                <w:sz w:val="21"/>
                <w:szCs w:val="21"/>
                <w:highlight w:val="none"/>
              </w:rPr>
            </w:pPr>
          </w:p>
        </w:tc>
        <w:tc>
          <w:tcPr>
            <w:tcW w:w="929" w:type="dxa"/>
            <w:tcBorders>
              <w:top w:val="single" w:color="auto" w:sz="6" w:space="0"/>
              <w:left w:val="single" w:color="auto" w:sz="6" w:space="0"/>
              <w:bottom w:val="single" w:color="auto" w:sz="6" w:space="0"/>
              <w:right w:val="single" w:color="auto" w:sz="6" w:space="0"/>
            </w:tcBorders>
            <w:vAlign w:val="center"/>
          </w:tcPr>
          <w:p w14:paraId="657B460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512" w:type="dxa"/>
            <w:tcBorders>
              <w:top w:val="single" w:color="auto" w:sz="6" w:space="0"/>
              <w:left w:val="single" w:color="auto" w:sz="6" w:space="0"/>
              <w:bottom w:val="single" w:color="auto" w:sz="6" w:space="0"/>
              <w:right w:val="single" w:color="auto" w:sz="6" w:space="0"/>
            </w:tcBorders>
            <w:vAlign w:val="center"/>
          </w:tcPr>
          <w:p w14:paraId="4CFCBB6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560" w:type="dxa"/>
            <w:tcBorders>
              <w:top w:val="single" w:color="auto" w:sz="6" w:space="0"/>
              <w:left w:val="single" w:color="auto" w:sz="6" w:space="0"/>
              <w:bottom w:val="single" w:color="auto" w:sz="6" w:space="0"/>
              <w:right w:val="single" w:color="auto" w:sz="6" w:space="0"/>
            </w:tcBorders>
            <w:vAlign w:val="center"/>
          </w:tcPr>
          <w:p w14:paraId="5597C3E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200" w:type="dxa"/>
            <w:tcBorders>
              <w:top w:val="single" w:color="auto" w:sz="6" w:space="0"/>
              <w:left w:val="single" w:color="auto" w:sz="6" w:space="0"/>
              <w:bottom w:val="single" w:color="auto" w:sz="6" w:space="0"/>
              <w:right w:val="single" w:color="auto" w:sz="6" w:space="0"/>
            </w:tcBorders>
            <w:vAlign w:val="center"/>
          </w:tcPr>
          <w:p w14:paraId="3164E45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140" w:type="dxa"/>
            <w:tcBorders>
              <w:top w:val="single" w:color="auto" w:sz="6" w:space="0"/>
              <w:left w:val="single" w:color="auto" w:sz="6" w:space="0"/>
              <w:bottom w:val="single" w:color="auto" w:sz="6" w:space="0"/>
              <w:right w:val="single" w:color="auto" w:sz="6" w:space="0"/>
            </w:tcBorders>
            <w:vAlign w:val="center"/>
          </w:tcPr>
          <w:p w14:paraId="54DE8B8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208" w:type="dxa"/>
            <w:tcBorders>
              <w:top w:val="single" w:color="auto" w:sz="6" w:space="0"/>
              <w:left w:val="single" w:color="auto" w:sz="6" w:space="0"/>
              <w:bottom w:val="single" w:color="auto" w:sz="6" w:space="0"/>
              <w:right w:val="single" w:color="auto" w:sz="12" w:space="0"/>
            </w:tcBorders>
            <w:vAlign w:val="center"/>
          </w:tcPr>
          <w:p w14:paraId="563EA53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14:paraId="554152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73" w:type="dxa"/>
            <w:vMerge w:val="continue"/>
            <w:tcBorders>
              <w:top w:val="single" w:color="auto" w:sz="6" w:space="0"/>
              <w:left w:val="single" w:color="auto" w:sz="12" w:space="0"/>
              <w:bottom w:val="single" w:color="auto" w:sz="6" w:space="0"/>
              <w:right w:val="single" w:color="auto" w:sz="6" w:space="0"/>
            </w:tcBorders>
            <w:vAlign w:val="center"/>
          </w:tcPr>
          <w:p w14:paraId="72D85667">
            <w:pPr>
              <w:widowControl/>
              <w:spacing w:line="360" w:lineRule="exact"/>
              <w:ind w:firstLine="0" w:firstLineChars="0"/>
              <w:jc w:val="left"/>
              <w:rPr>
                <w:rFonts w:hint="default" w:ascii="Times New Roman" w:hAnsi="Times New Roman" w:cs="Times New Roman"/>
                <w:color w:val="auto"/>
                <w:sz w:val="21"/>
                <w:szCs w:val="21"/>
                <w:highlight w:val="none"/>
              </w:rPr>
            </w:pPr>
          </w:p>
        </w:tc>
        <w:tc>
          <w:tcPr>
            <w:tcW w:w="6341" w:type="dxa"/>
            <w:gridSpan w:val="5"/>
            <w:tcBorders>
              <w:top w:val="single" w:color="auto" w:sz="6" w:space="0"/>
              <w:left w:val="single" w:color="auto" w:sz="6" w:space="0"/>
              <w:bottom w:val="single" w:color="auto" w:sz="6" w:space="0"/>
              <w:right w:val="single" w:color="auto" w:sz="6" w:space="0"/>
            </w:tcBorders>
            <w:vAlign w:val="center"/>
          </w:tcPr>
          <w:p w14:paraId="1CA5C6D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厂址周边500m范围内人口数小计</w:t>
            </w:r>
          </w:p>
        </w:tc>
        <w:tc>
          <w:tcPr>
            <w:tcW w:w="1208" w:type="dxa"/>
            <w:tcBorders>
              <w:top w:val="single" w:color="auto" w:sz="6" w:space="0"/>
              <w:left w:val="single" w:color="auto" w:sz="6" w:space="0"/>
              <w:bottom w:val="single" w:color="auto" w:sz="6" w:space="0"/>
              <w:right w:val="single" w:color="auto" w:sz="12" w:space="0"/>
            </w:tcBorders>
            <w:vAlign w:val="center"/>
          </w:tcPr>
          <w:p w14:paraId="4654DAB2">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0</w:t>
            </w:r>
          </w:p>
        </w:tc>
      </w:tr>
      <w:tr w14:paraId="5363D2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73" w:type="dxa"/>
            <w:vMerge w:val="continue"/>
            <w:tcBorders>
              <w:top w:val="single" w:color="auto" w:sz="6" w:space="0"/>
              <w:left w:val="single" w:color="auto" w:sz="12" w:space="0"/>
              <w:bottom w:val="single" w:color="auto" w:sz="6" w:space="0"/>
              <w:right w:val="single" w:color="auto" w:sz="6" w:space="0"/>
            </w:tcBorders>
            <w:vAlign w:val="center"/>
          </w:tcPr>
          <w:p w14:paraId="79DAF0C8">
            <w:pPr>
              <w:widowControl/>
              <w:spacing w:line="360" w:lineRule="exact"/>
              <w:ind w:firstLine="0" w:firstLineChars="0"/>
              <w:jc w:val="left"/>
              <w:rPr>
                <w:rFonts w:hint="default" w:ascii="Times New Roman" w:hAnsi="Times New Roman" w:cs="Times New Roman"/>
                <w:color w:val="auto"/>
                <w:sz w:val="21"/>
                <w:szCs w:val="21"/>
                <w:highlight w:val="none"/>
              </w:rPr>
            </w:pPr>
          </w:p>
        </w:tc>
        <w:tc>
          <w:tcPr>
            <w:tcW w:w="6341" w:type="dxa"/>
            <w:gridSpan w:val="5"/>
            <w:tcBorders>
              <w:top w:val="single" w:color="auto" w:sz="6" w:space="0"/>
              <w:left w:val="single" w:color="auto" w:sz="6" w:space="0"/>
              <w:bottom w:val="single" w:color="auto" w:sz="6" w:space="0"/>
              <w:right w:val="single" w:color="auto" w:sz="6" w:space="0"/>
            </w:tcBorders>
            <w:vAlign w:val="center"/>
          </w:tcPr>
          <w:p w14:paraId="23EA8A2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厂址周边5km范围内人口数小计</w:t>
            </w:r>
          </w:p>
        </w:tc>
        <w:tc>
          <w:tcPr>
            <w:tcW w:w="1208" w:type="dxa"/>
            <w:tcBorders>
              <w:top w:val="single" w:color="auto" w:sz="6" w:space="0"/>
              <w:left w:val="single" w:color="auto" w:sz="6" w:space="0"/>
              <w:bottom w:val="single" w:color="auto" w:sz="6" w:space="0"/>
              <w:right w:val="single" w:color="auto" w:sz="12" w:space="0"/>
            </w:tcBorders>
            <w:vAlign w:val="center"/>
          </w:tcPr>
          <w:p w14:paraId="57CACA4E">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0</w:t>
            </w:r>
          </w:p>
        </w:tc>
      </w:tr>
      <w:tr w14:paraId="243062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73" w:type="dxa"/>
            <w:vMerge w:val="continue"/>
            <w:tcBorders>
              <w:top w:val="single" w:color="auto" w:sz="6" w:space="0"/>
              <w:left w:val="single" w:color="auto" w:sz="12" w:space="0"/>
              <w:bottom w:val="single" w:color="auto" w:sz="6" w:space="0"/>
              <w:right w:val="single" w:color="auto" w:sz="6" w:space="0"/>
            </w:tcBorders>
            <w:vAlign w:val="center"/>
          </w:tcPr>
          <w:p w14:paraId="577542C7">
            <w:pPr>
              <w:widowControl/>
              <w:spacing w:line="360" w:lineRule="exact"/>
              <w:ind w:firstLine="0" w:firstLineChars="0"/>
              <w:jc w:val="left"/>
              <w:rPr>
                <w:rFonts w:hint="default" w:ascii="Times New Roman" w:hAnsi="Times New Roman" w:cs="Times New Roman"/>
                <w:color w:val="auto"/>
                <w:sz w:val="21"/>
                <w:szCs w:val="21"/>
                <w:highlight w:val="none"/>
              </w:rPr>
            </w:pPr>
          </w:p>
        </w:tc>
        <w:tc>
          <w:tcPr>
            <w:tcW w:w="6341" w:type="dxa"/>
            <w:gridSpan w:val="5"/>
            <w:tcBorders>
              <w:top w:val="single" w:color="auto" w:sz="6" w:space="0"/>
              <w:left w:val="single" w:color="auto" w:sz="6" w:space="0"/>
              <w:bottom w:val="single" w:color="auto" w:sz="6" w:space="0"/>
              <w:right w:val="single" w:color="auto" w:sz="6" w:space="0"/>
            </w:tcBorders>
            <w:vAlign w:val="center"/>
          </w:tcPr>
          <w:p w14:paraId="35BC8A0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大气环境敏感程度E值</w:t>
            </w:r>
          </w:p>
        </w:tc>
        <w:tc>
          <w:tcPr>
            <w:tcW w:w="1208" w:type="dxa"/>
            <w:tcBorders>
              <w:top w:val="single" w:color="auto" w:sz="6" w:space="0"/>
              <w:left w:val="single" w:color="auto" w:sz="6" w:space="0"/>
              <w:bottom w:val="single" w:color="auto" w:sz="6" w:space="0"/>
              <w:right w:val="single" w:color="auto" w:sz="12" w:space="0"/>
            </w:tcBorders>
            <w:vAlign w:val="center"/>
          </w:tcPr>
          <w:p w14:paraId="4EE729D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E3</w:t>
            </w:r>
          </w:p>
        </w:tc>
      </w:tr>
      <w:tr w14:paraId="53B607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73" w:type="dxa"/>
            <w:vMerge w:val="restart"/>
            <w:tcBorders>
              <w:top w:val="single" w:color="auto" w:sz="6" w:space="0"/>
              <w:left w:val="single" w:color="auto" w:sz="12" w:space="0"/>
              <w:bottom w:val="single" w:color="auto" w:sz="6" w:space="0"/>
              <w:right w:val="single" w:color="auto" w:sz="6" w:space="0"/>
            </w:tcBorders>
            <w:vAlign w:val="center"/>
          </w:tcPr>
          <w:p w14:paraId="1162504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地表水</w:t>
            </w:r>
          </w:p>
        </w:tc>
        <w:tc>
          <w:tcPr>
            <w:tcW w:w="7549" w:type="dxa"/>
            <w:gridSpan w:val="6"/>
            <w:tcBorders>
              <w:top w:val="single" w:color="auto" w:sz="6" w:space="0"/>
              <w:left w:val="single" w:color="auto" w:sz="6" w:space="0"/>
              <w:bottom w:val="single" w:color="auto" w:sz="6" w:space="0"/>
              <w:right w:val="single" w:color="auto" w:sz="12" w:space="0"/>
            </w:tcBorders>
            <w:vAlign w:val="center"/>
          </w:tcPr>
          <w:p w14:paraId="69112BE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受纳水体</w:t>
            </w:r>
          </w:p>
        </w:tc>
      </w:tr>
      <w:tr w14:paraId="54A2C8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73" w:type="dxa"/>
            <w:vMerge w:val="continue"/>
            <w:tcBorders>
              <w:top w:val="single" w:color="auto" w:sz="6" w:space="0"/>
              <w:left w:val="single" w:color="auto" w:sz="12" w:space="0"/>
              <w:bottom w:val="single" w:color="auto" w:sz="6" w:space="0"/>
              <w:right w:val="single" w:color="auto" w:sz="6" w:space="0"/>
            </w:tcBorders>
            <w:vAlign w:val="center"/>
          </w:tcPr>
          <w:p w14:paraId="700837B0">
            <w:pPr>
              <w:widowControl/>
              <w:spacing w:line="360" w:lineRule="exact"/>
              <w:ind w:firstLine="0" w:firstLineChars="0"/>
              <w:jc w:val="left"/>
              <w:rPr>
                <w:rFonts w:hint="default" w:ascii="Times New Roman" w:hAnsi="Times New Roman" w:cs="Times New Roman"/>
                <w:color w:val="auto"/>
                <w:sz w:val="21"/>
                <w:szCs w:val="21"/>
                <w:highlight w:val="none"/>
              </w:rPr>
            </w:pPr>
          </w:p>
        </w:tc>
        <w:tc>
          <w:tcPr>
            <w:tcW w:w="929" w:type="dxa"/>
            <w:tcBorders>
              <w:top w:val="single" w:color="auto" w:sz="6" w:space="0"/>
              <w:left w:val="single" w:color="auto" w:sz="6" w:space="0"/>
              <w:bottom w:val="single" w:color="auto" w:sz="6" w:space="0"/>
              <w:right w:val="single" w:color="auto" w:sz="6" w:space="0"/>
            </w:tcBorders>
            <w:vAlign w:val="center"/>
          </w:tcPr>
          <w:p w14:paraId="58C1059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1512" w:type="dxa"/>
            <w:tcBorders>
              <w:top w:val="single" w:color="auto" w:sz="6" w:space="0"/>
              <w:left w:val="single" w:color="auto" w:sz="6" w:space="0"/>
              <w:bottom w:val="single" w:color="auto" w:sz="6" w:space="0"/>
              <w:right w:val="single" w:color="auto" w:sz="6" w:space="0"/>
            </w:tcBorders>
            <w:vAlign w:val="center"/>
          </w:tcPr>
          <w:p w14:paraId="7DD6593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受纳水体名称</w:t>
            </w:r>
          </w:p>
        </w:tc>
        <w:tc>
          <w:tcPr>
            <w:tcW w:w="2760" w:type="dxa"/>
            <w:gridSpan w:val="2"/>
            <w:tcBorders>
              <w:top w:val="single" w:color="auto" w:sz="6" w:space="0"/>
              <w:left w:val="single" w:color="auto" w:sz="6" w:space="0"/>
              <w:bottom w:val="single" w:color="auto" w:sz="6" w:space="0"/>
              <w:right w:val="single" w:color="auto" w:sz="6" w:space="0"/>
            </w:tcBorders>
            <w:vAlign w:val="center"/>
          </w:tcPr>
          <w:p w14:paraId="1CE0849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排放点水域环境功能</w:t>
            </w:r>
          </w:p>
        </w:tc>
        <w:tc>
          <w:tcPr>
            <w:tcW w:w="2348" w:type="dxa"/>
            <w:gridSpan w:val="2"/>
            <w:tcBorders>
              <w:top w:val="single" w:color="auto" w:sz="6" w:space="0"/>
              <w:left w:val="single" w:color="auto" w:sz="6" w:space="0"/>
              <w:bottom w:val="single" w:color="auto" w:sz="6" w:space="0"/>
              <w:right w:val="single" w:color="auto" w:sz="12" w:space="0"/>
            </w:tcBorders>
            <w:vAlign w:val="center"/>
          </w:tcPr>
          <w:p w14:paraId="74DBEE1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24h内流经范围</w:t>
            </w:r>
          </w:p>
        </w:tc>
      </w:tr>
      <w:tr w14:paraId="3DA812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73" w:type="dxa"/>
            <w:vMerge w:val="continue"/>
            <w:tcBorders>
              <w:top w:val="single" w:color="auto" w:sz="6" w:space="0"/>
              <w:left w:val="single" w:color="auto" w:sz="12" w:space="0"/>
              <w:bottom w:val="single" w:color="auto" w:sz="6" w:space="0"/>
              <w:right w:val="single" w:color="auto" w:sz="6" w:space="0"/>
            </w:tcBorders>
            <w:vAlign w:val="center"/>
          </w:tcPr>
          <w:p w14:paraId="7983F6FC">
            <w:pPr>
              <w:widowControl/>
              <w:spacing w:line="360" w:lineRule="exact"/>
              <w:ind w:firstLine="0" w:firstLineChars="0"/>
              <w:jc w:val="left"/>
              <w:rPr>
                <w:rFonts w:hint="default" w:ascii="Times New Roman" w:hAnsi="Times New Roman" w:cs="Times New Roman"/>
                <w:color w:val="auto"/>
                <w:sz w:val="21"/>
                <w:szCs w:val="21"/>
                <w:highlight w:val="none"/>
              </w:rPr>
            </w:pPr>
          </w:p>
        </w:tc>
        <w:tc>
          <w:tcPr>
            <w:tcW w:w="929" w:type="dxa"/>
            <w:tcBorders>
              <w:top w:val="single" w:color="auto" w:sz="6" w:space="0"/>
              <w:left w:val="single" w:color="auto" w:sz="6" w:space="0"/>
              <w:bottom w:val="single" w:color="auto" w:sz="6" w:space="0"/>
              <w:right w:val="single" w:color="auto" w:sz="6" w:space="0"/>
            </w:tcBorders>
            <w:vAlign w:val="center"/>
          </w:tcPr>
          <w:p w14:paraId="7BB1CF9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512" w:type="dxa"/>
            <w:tcBorders>
              <w:top w:val="single" w:color="auto" w:sz="6" w:space="0"/>
              <w:left w:val="single" w:color="auto" w:sz="6" w:space="0"/>
              <w:bottom w:val="single" w:color="auto" w:sz="6" w:space="0"/>
              <w:right w:val="single" w:color="auto" w:sz="6" w:space="0"/>
            </w:tcBorders>
            <w:vAlign w:val="center"/>
          </w:tcPr>
          <w:p w14:paraId="336779E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w:t>
            </w:r>
          </w:p>
        </w:tc>
        <w:tc>
          <w:tcPr>
            <w:tcW w:w="2760" w:type="dxa"/>
            <w:gridSpan w:val="2"/>
            <w:tcBorders>
              <w:top w:val="single" w:color="auto" w:sz="6" w:space="0"/>
              <w:left w:val="single" w:color="auto" w:sz="6" w:space="0"/>
              <w:bottom w:val="single" w:color="auto" w:sz="6" w:space="0"/>
              <w:right w:val="single" w:color="auto" w:sz="6" w:space="0"/>
            </w:tcBorders>
            <w:vAlign w:val="center"/>
          </w:tcPr>
          <w:p w14:paraId="4F950AB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348" w:type="dxa"/>
            <w:gridSpan w:val="2"/>
            <w:tcBorders>
              <w:top w:val="single" w:color="auto" w:sz="6" w:space="0"/>
              <w:left w:val="single" w:color="auto" w:sz="6" w:space="0"/>
              <w:bottom w:val="single" w:color="auto" w:sz="6" w:space="0"/>
              <w:right w:val="single" w:color="auto" w:sz="12" w:space="0"/>
            </w:tcBorders>
            <w:vAlign w:val="center"/>
          </w:tcPr>
          <w:p w14:paraId="5494D3B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14:paraId="1584C0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73" w:type="dxa"/>
            <w:vMerge w:val="continue"/>
            <w:tcBorders>
              <w:top w:val="single" w:color="auto" w:sz="6" w:space="0"/>
              <w:left w:val="single" w:color="auto" w:sz="12" w:space="0"/>
              <w:bottom w:val="single" w:color="auto" w:sz="6" w:space="0"/>
              <w:right w:val="single" w:color="auto" w:sz="6" w:space="0"/>
            </w:tcBorders>
            <w:vAlign w:val="center"/>
          </w:tcPr>
          <w:p w14:paraId="5546DB07">
            <w:pPr>
              <w:widowControl/>
              <w:spacing w:line="360" w:lineRule="exact"/>
              <w:ind w:firstLine="0" w:firstLineChars="0"/>
              <w:jc w:val="left"/>
              <w:rPr>
                <w:rFonts w:hint="default" w:ascii="Times New Roman" w:hAnsi="Times New Roman" w:cs="Times New Roman"/>
                <w:color w:val="auto"/>
                <w:sz w:val="21"/>
                <w:szCs w:val="21"/>
                <w:highlight w:val="none"/>
              </w:rPr>
            </w:pPr>
          </w:p>
        </w:tc>
        <w:tc>
          <w:tcPr>
            <w:tcW w:w="7549" w:type="dxa"/>
            <w:gridSpan w:val="6"/>
            <w:tcBorders>
              <w:top w:val="single" w:color="auto" w:sz="6" w:space="0"/>
              <w:left w:val="single" w:color="auto" w:sz="6" w:space="0"/>
              <w:bottom w:val="single" w:color="auto" w:sz="6" w:space="0"/>
              <w:right w:val="single" w:color="auto" w:sz="12" w:space="0"/>
            </w:tcBorders>
            <w:vAlign w:val="center"/>
          </w:tcPr>
          <w:p w14:paraId="3ECA6F6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内陆水体排放点下游10km（近岸海域一个潮周期最大水平距离两倍）范围内敏感目标</w:t>
            </w:r>
          </w:p>
        </w:tc>
      </w:tr>
      <w:tr w14:paraId="5580E5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73" w:type="dxa"/>
            <w:vMerge w:val="continue"/>
            <w:tcBorders>
              <w:top w:val="single" w:color="auto" w:sz="6" w:space="0"/>
              <w:left w:val="single" w:color="auto" w:sz="12" w:space="0"/>
              <w:bottom w:val="single" w:color="auto" w:sz="6" w:space="0"/>
              <w:right w:val="single" w:color="auto" w:sz="6" w:space="0"/>
            </w:tcBorders>
            <w:vAlign w:val="center"/>
          </w:tcPr>
          <w:p w14:paraId="3201738F">
            <w:pPr>
              <w:widowControl/>
              <w:spacing w:line="360" w:lineRule="exact"/>
              <w:ind w:firstLine="0" w:firstLineChars="0"/>
              <w:jc w:val="left"/>
              <w:rPr>
                <w:rFonts w:hint="default" w:ascii="Times New Roman" w:hAnsi="Times New Roman" w:cs="Times New Roman"/>
                <w:color w:val="auto"/>
                <w:sz w:val="21"/>
                <w:szCs w:val="21"/>
                <w:highlight w:val="none"/>
              </w:rPr>
            </w:pPr>
          </w:p>
        </w:tc>
        <w:tc>
          <w:tcPr>
            <w:tcW w:w="929" w:type="dxa"/>
            <w:tcBorders>
              <w:top w:val="single" w:color="auto" w:sz="6" w:space="0"/>
              <w:left w:val="single" w:color="auto" w:sz="6" w:space="0"/>
              <w:bottom w:val="single" w:color="auto" w:sz="6" w:space="0"/>
              <w:right w:val="single" w:color="auto" w:sz="6" w:space="0"/>
            </w:tcBorders>
            <w:vAlign w:val="center"/>
          </w:tcPr>
          <w:p w14:paraId="27F72C0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1512" w:type="dxa"/>
            <w:tcBorders>
              <w:top w:val="single" w:color="auto" w:sz="6" w:space="0"/>
              <w:left w:val="single" w:color="auto" w:sz="6" w:space="0"/>
              <w:bottom w:val="single" w:color="auto" w:sz="6" w:space="0"/>
              <w:right w:val="single" w:color="auto" w:sz="6" w:space="0"/>
            </w:tcBorders>
            <w:vAlign w:val="center"/>
          </w:tcPr>
          <w:p w14:paraId="305F982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敏感目标名称</w:t>
            </w:r>
          </w:p>
        </w:tc>
        <w:tc>
          <w:tcPr>
            <w:tcW w:w="1560" w:type="dxa"/>
            <w:tcBorders>
              <w:top w:val="single" w:color="auto" w:sz="6" w:space="0"/>
              <w:left w:val="single" w:color="auto" w:sz="6" w:space="0"/>
              <w:bottom w:val="single" w:color="auto" w:sz="6" w:space="0"/>
              <w:right w:val="single" w:color="auto" w:sz="6" w:space="0"/>
            </w:tcBorders>
            <w:vAlign w:val="center"/>
          </w:tcPr>
          <w:p w14:paraId="7033D11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环境敏感特征</w:t>
            </w:r>
          </w:p>
        </w:tc>
        <w:tc>
          <w:tcPr>
            <w:tcW w:w="2340" w:type="dxa"/>
            <w:gridSpan w:val="2"/>
            <w:tcBorders>
              <w:top w:val="single" w:color="auto" w:sz="6" w:space="0"/>
              <w:left w:val="single" w:color="auto" w:sz="6" w:space="0"/>
              <w:bottom w:val="single" w:color="auto" w:sz="6" w:space="0"/>
              <w:right w:val="single" w:color="auto" w:sz="6" w:space="0"/>
            </w:tcBorders>
            <w:vAlign w:val="center"/>
          </w:tcPr>
          <w:p w14:paraId="65AE278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水质目标</w:t>
            </w:r>
          </w:p>
        </w:tc>
        <w:tc>
          <w:tcPr>
            <w:tcW w:w="1208" w:type="dxa"/>
            <w:tcBorders>
              <w:top w:val="single" w:color="auto" w:sz="6" w:space="0"/>
              <w:left w:val="single" w:color="auto" w:sz="6" w:space="0"/>
              <w:bottom w:val="single" w:color="auto" w:sz="6" w:space="0"/>
              <w:right w:val="single" w:color="auto" w:sz="12" w:space="0"/>
            </w:tcBorders>
            <w:vAlign w:val="center"/>
          </w:tcPr>
          <w:p w14:paraId="406A3FC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与排放点距离/m</w:t>
            </w:r>
          </w:p>
        </w:tc>
      </w:tr>
      <w:tr w14:paraId="12E2C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73" w:type="dxa"/>
            <w:vMerge w:val="continue"/>
            <w:tcBorders>
              <w:top w:val="single" w:color="auto" w:sz="6" w:space="0"/>
              <w:left w:val="single" w:color="auto" w:sz="12" w:space="0"/>
              <w:bottom w:val="single" w:color="auto" w:sz="6" w:space="0"/>
              <w:right w:val="single" w:color="auto" w:sz="6" w:space="0"/>
            </w:tcBorders>
            <w:vAlign w:val="center"/>
          </w:tcPr>
          <w:p w14:paraId="16F106B6">
            <w:pPr>
              <w:widowControl/>
              <w:spacing w:line="360" w:lineRule="exact"/>
              <w:ind w:firstLine="0" w:firstLineChars="0"/>
              <w:jc w:val="left"/>
              <w:rPr>
                <w:rFonts w:hint="default" w:ascii="Times New Roman" w:hAnsi="Times New Roman" w:cs="Times New Roman"/>
                <w:color w:val="auto"/>
                <w:sz w:val="21"/>
                <w:szCs w:val="21"/>
                <w:highlight w:val="none"/>
              </w:rPr>
            </w:pPr>
          </w:p>
        </w:tc>
        <w:tc>
          <w:tcPr>
            <w:tcW w:w="929" w:type="dxa"/>
            <w:tcBorders>
              <w:top w:val="single" w:color="auto" w:sz="6" w:space="0"/>
              <w:left w:val="single" w:color="auto" w:sz="6" w:space="0"/>
              <w:bottom w:val="single" w:color="auto" w:sz="6" w:space="0"/>
              <w:right w:val="single" w:color="auto" w:sz="6" w:space="0"/>
            </w:tcBorders>
            <w:vAlign w:val="center"/>
          </w:tcPr>
          <w:p w14:paraId="3DB91AA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512" w:type="dxa"/>
            <w:tcBorders>
              <w:top w:val="single" w:color="auto" w:sz="6" w:space="0"/>
              <w:left w:val="single" w:color="auto" w:sz="6" w:space="0"/>
              <w:bottom w:val="single" w:color="auto" w:sz="6" w:space="0"/>
              <w:right w:val="single" w:color="auto" w:sz="6" w:space="0"/>
            </w:tcBorders>
            <w:vAlign w:val="center"/>
          </w:tcPr>
          <w:p w14:paraId="750195EC">
            <w:pPr>
              <w:spacing w:line="360" w:lineRule="exact"/>
              <w:ind w:firstLine="0" w:firstLineChars="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rPr>
              <w:t>无</w:t>
            </w:r>
          </w:p>
        </w:tc>
        <w:tc>
          <w:tcPr>
            <w:tcW w:w="1560" w:type="dxa"/>
            <w:tcBorders>
              <w:top w:val="single" w:color="auto" w:sz="6" w:space="0"/>
              <w:left w:val="single" w:color="auto" w:sz="6" w:space="0"/>
              <w:bottom w:val="single" w:color="auto" w:sz="6" w:space="0"/>
              <w:right w:val="single" w:color="auto" w:sz="6" w:space="0"/>
            </w:tcBorders>
            <w:vAlign w:val="center"/>
          </w:tcPr>
          <w:p w14:paraId="7A5F2E2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340" w:type="dxa"/>
            <w:gridSpan w:val="2"/>
            <w:tcBorders>
              <w:top w:val="single" w:color="auto" w:sz="6" w:space="0"/>
              <w:left w:val="single" w:color="auto" w:sz="6" w:space="0"/>
              <w:bottom w:val="single" w:color="auto" w:sz="6" w:space="0"/>
              <w:right w:val="single" w:color="auto" w:sz="6" w:space="0"/>
            </w:tcBorders>
            <w:vAlign w:val="center"/>
          </w:tcPr>
          <w:p w14:paraId="06F0388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208" w:type="dxa"/>
            <w:tcBorders>
              <w:top w:val="single" w:color="auto" w:sz="6" w:space="0"/>
              <w:left w:val="single" w:color="auto" w:sz="6" w:space="0"/>
              <w:bottom w:val="single" w:color="auto" w:sz="6" w:space="0"/>
              <w:right w:val="single" w:color="auto" w:sz="12" w:space="0"/>
            </w:tcBorders>
            <w:vAlign w:val="center"/>
          </w:tcPr>
          <w:p w14:paraId="5D86594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14:paraId="7CBA44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73" w:type="dxa"/>
            <w:vMerge w:val="continue"/>
            <w:tcBorders>
              <w:top w:val="single" w:color="auto" w:sz="6" w:space="0"/>
              <w:left w:val="single" w:color="auto" w:sz="12" w:space="0"/>
              <w:bottom w:val="single" w:color="auto" w:sz="6" w:space="0"/>
              <w:right w:val="single" w:color="auto" w:sz="6" w:space="0"/>
            </w:tcBorders>
            <w:vAlign w:val="center"/>
          </w:tcPr>
          <w:p w14:paraId="5C0E9EF1">
            <w:pPr>
              <w:widowControl/>
              <w:spacing w:line="360" w:lineRule="exact"/>
              <w:ind w:firstLine="0" w:firstLineChars="0"/>
              <w:jc w:val="left"/>
              <w:rPr>
                <w:rFonts w:hint="default" w:ascii="Times New Roman" w:hAnsi="Times New Roman" w:cs="Times New Roman"/>
                <w:color w:val="auto"/>
                <w:sz w:val="21"/>
                <w:szCs w:val="21"/>
                <w:highlight w:val="none"/>
              </w:rPr>
            </w:pPr>
          </w:p>
        </w:tc>
        <w:tc>
          <w:tcPr>
            <w:tcW w:w="6341" w:type="dxa"/>
            <w:gridSpan w:val="5"/>
            <w:tcBorders>
              <w:top w:val="single" w:color="auto" w:sz="6" w:space="0"/>
              <w:left w:val="single" w:color="auto" w:sz="6" w:space="0"/>
              <w:bottom w:val="single" w:color="auto" w:sz="6" w:space="0"/>
              <w:right w:val="single" w:color="auto" w:sz="6" w:space="0"/>
            </w:tcBorders>
            <w:vAlign w:val="center"/>
          </w:tcPr>
          <w:p w14:paraId="662CEBC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地表水环境敏感程度E值</w:t>
            </w:r>
          </w:p>
        </w:tc>
        <w:tc>
          <w:tcPr>
            <w:tcW w:w="1208" w:type="dxa"/>
            <w:tcBorders>
              <w:top w:val="single" w:color="auto" w:sz="6" w:space="0"/>
              <w:left w:val="single" w:color="auto" w:sz="6" w:space="0"/>
              <w:bottom w:val="single" w:color="auto" w:sz="6" w:space="0"/>
              <w:right w:val="single" w:color="auto" w:sz="12" w:space="0"/>
            </w:tcBorders>
            <w:vAlign w:val="center"/>
          </w:tcPr>
          <w:p w14:paraId="00B266EB">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E</w:t>
            </w:r>
            <w:r>
              <w:rPr>
                <w:rFonts w:hint="default" w:ascii="Times New Roman" w:hAnsi="Times New Roman" w:cs="Times New Roman"/>
                <w:color w:val="auto"/>
                <w:sz w:val="21"/>
                <w:szCs w:val="21"/>
                <w:highlight w:val="none"/>
                <w:lang w:val="en-US" w:eastAsia="zh-CN"/>
              </w:rPr>
              <w:t>3</w:t>
            </w:r>
          </w:p>
        </w:tc>
      </w:tr>
      <w:tr w14:paraId="0B0996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73" w:type="dxa"/>
            <w:vMerge w:val="restart"/>
            <w:tcBorders>
              <w:top w:val="single" w:color="auto" w:sz="6" w:space="0"/>
              <w:left w:val="single" w:color="auto" w:sz="12" w:space="0"/>
              <w:bottom w:val="single" w:color="auto" w:sz="12" w:space="0"/>
              <w:right w:val="single" w:color="auto" w:sz="6" w:space="0"/>
            </w:tcBorders>
            <w:vAlign w:val="center"/>
          </w:tcPr>
          <w:p w14:paraId="504CCAE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地下水</w:t>
            </w:r>
          </w:p>
        </w:tc>
        <w:tc>
          <w:tcPr>
            <w:tcW w:w="929" w:type="dxa"/>
            <w:tcBorders>
              <w:top w:val="single" w:color="auto" w:sz="6" w:space="0"/>
              <w:left w:val="single" w:color="auto" w:sz="6" w:space="0"/>
              <w:bottom w:val="single" w:color="auto" w:sz="6" w:space="0"/>
              <w:right w:val="single" w:color="auto" w:sz="6" w:space="0"/>
            </w:tcBorders>
            <w:vAlign w:val="center"/>
          </w:tcPr>
          <w:p w14:paraId="6CBA106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1512" w:type="dxa"/>
            <w:tcBorders>
              <w:top w:val="single" w:color="auto" w:sz="6" w:space="0"/>
              <w:left w:val="single" w:color="auto" w:sz="6" w:space="0"/>
              <w:bottom w:val="single" w:color="auto" w:sz="6" w:space="0"/>
              <w:right w:val="single" w:color="auto" w:sz="6" w:space="0"/>
            </w:tcBorders>
            <w:vAlign w:val="center"/>
          </w:tcPr>
          <w:p w14:paraId="43FEAB7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环境敏感区名称</w:t>
            </w:r>
          </w:p>
        </w:tc>
        <w:tc>
          <w:tcPr>
            <w:tcW w:w="1560" w:type="dxa"/>
            <w:tcBorders>
              <w:top w:val="single" w:color="auto" w:sz="6" w:space="0"/>
              <w:left w:val="single" w:color="auto" w:sz="6" w:space="0"/>
              <w:bottom w:val="single" w:color="auto" w:sz="6" w:space="0"/>
              <w:right w:val="single" w:color="auto" w:sz="6" w:space="0"/>
            </w:tcBorders>
            <w:vAlign w:val="center"/>
          </w:tcPr>
          <w:p w14:paraId="44CDF3A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环境敏感特征</w:t>
            </w:r>
          </w:p>
        </w:tc>
        <w:tc>
          <w:tcPr>
            <w:tcW w:w="1200" w:type="dxa"/>
            <w:tcBorders>
              <w:top w:val="single" w:color="auto" w:sz="6" w:space="0"/>
              <w:left w:val="single" w:color="auto" w:sz="6" w:space="0"/>
              <w:bottom w:val="single" w:color="auto" w:sz="6" w:space="0"/>
              <w:right w:val="single" w:color="auto" w:sz="6" w:space="0"/>
            </w:tcBorders>
            <w:vAlign w:val="center"/>
          </w:tcPr>
          <w:p w14:paraId="2F8D95F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水质目标</w:t>
            </w:r>
          </w:p>
        </w:tc>
        <w:tc>
          <w:tcPr>
            <w:tcW w:w="1140" w:type="dxa"/>
            <w:tcBorders>
              <w:top w:val="single" w:color="auto" w:sz="6" w:space="0"/>
              <w:left w:val="single" w:color="auto" w:sz="6" w:space="0"/>
              <w:bottom w:val="single" w:color="auto" w:sz="6" w:space="0"/>
              <w:right w:val="single" w:color="auto" w:sz="6" w:space="0"/>
            </w:tcBorders>
            <w:vAlign w:val="center"/>
          </w:tcPr>
          <w:p w14:paraId="3EAF30D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包气带防污性能</w:t>
            </w:r>
          </w:p>
        </w:tc>
        <w:tc>
          <w:tcPr>
            <w:tcW w:w="1208" w:type="dxa"/>
            <w:tcBorders>
              <w:top w:val="single" w:color="auto" w:sz="6" w:space="0"/>
              <w:left w:val="single" w:color="auto" w:sz="6" w:space="0"/>
              <w:bottom w:val="single" w:color="auto" w:sz="6" w:space="0"/>
              <w:right w:val="single" w:color="auto" w:sz="12" w:space="0"/>
            </w:tcBorders>
            <w:vAlign w:val="center"/>
          </w:tcPr>
          <w:p w14:paraId="10F36C0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与下游厂界距离/m</w:t>
            </w:r>
          </w:p>
        </w:tc>
      </w:tr>
      <w:tr w14:paraId="45AAB5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73" w:type="dxa"/>
            <w:vMerge w:val="continue"/>
            <w:tcBorders>
              <w:top w:val="single" w:color="auto" w:sz="6" w:space="0"/>
              <w:left w:val="single" w:color="auto" w:sz="12" w:space="0"/>
              <w:bottom w:val="single" w:color="auto" w:sz="12" w:space="0"/>
              <w:right w:val="single" w:color="auto" w:sz="6" w:space="0"/>
            </w:tcBorders>
            <w:vAlign w:val="center"/>
          </w:tcPr>
          <w:p w14:paraId="7F3ABCAE">
            <w:pPr>
              <w:widowControl/>
              <w:spacing w:line="360" w:lineRule="exact"/>
              <w:ind w:firstLine="0" w:firstLineChars="0"/>
              <w:jc w:val="left"/>
              <w:rPr>
                <w:rFonts w:hint="default" w:ascii="Times New Roman" w:hAnsi="Times New Roman" w:cs="Times New Roman"/>
                <w:color w:val="auto"/>
                <w:sz w:val="21"/>
                <w:szCs w:val="21"/>
                <w:highlight w:val="none"/>
              </w:rPr>
            </w:pPr>
          </w:p>
        </w:tc>
        <w:tc>
          <w:tcPr>
            <w:tcW w:w="929" w:type="dxa"/>
            <w:tcBorders>
              <w:top w:val="single" w:color="auto" w:sz="6" w:space="0"/>
              <w:left w:val="single" w:color="auto" w:sz="6" w:space="0"/>
              <w:bottom w:val="single" w:color="auto" w:sz="6" w:space="0"/>
              <w:right w:val="single" w:color="auto" w:sz="6" w:space="0"/>
            </w:tcBorders>
            <w:vAlign w:val="center"/>
          </w:tcPr>
          <w:p w14:paraId="725D2BF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512" w:type="dxa"/>
            <w:tcBorders>
              <w:top w:val="single" w:color="auto" w:sz="6" w:space="0"/>
              <w:left w:val="single" w:color="auto" w:sz="6" w:space="0"/>
              <w:bottom w:val="single" w:color="auto" w:sz="6" w:space="0"/>
              <w:right w:val="single" w:color="auto" w:sz="6" w:space="0"/>
            </w:tcBorders>
            <w:vAlign w:val="center"/>
          </w:tcPr>
          <w:p w14:paraId="43F0EDB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560" w:type="dxa"/>
            <w:tcBorders>
              <w:top w:val="single" w:color="auto" w:sz="6" w:space="0"/>
              <w:left w:val="single" w:color="auto" w:sz="6" w:space="0"/>
              <w:bottom w:val="single" w:color="auto" w:sz="6" w:space="0"/>
              <w:right w:val="single" w:color="auto" w:sz="6" w:space="0"/>
            </w:tcBorders>
            <w:vAlign w:val="center"/>
          </w:tcPr>
          <w:p w14:paraId="19B1913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不敏感G3</w:t>
            </w:r>
          </w:p>
        </w:tc>
        <w:tc>
          <w:tcPr>
            <w:tcW w:w="1200" w:type="dxa"/>
            <w:tcBorders>
              <w:top w:val="single" w:color="auto" w:sz="6" w:space="0"/>
              <w:left w:val="single" w:color="auto" w:sz="6" w:space="0"/>
              <w:bottom w:val="single" w:color="auto" w:sz="6" w:space="0"/>
              <w:right w:val="single" w:color="auto" w:sz="6" w:space="0"/>
            </w:tcBorders>
            <w:vAlign w:val="center"/>
          </w:tcPr>
          <w:p w14:paraId="3A9B672E">
            <w:pPr>
              <w:spacing w:line="360" w:lineRule="exact"/>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rPr>
              <w:t>Ⅲ</w:t>
            </w:r>
            <w:r>
              <w:rPr>
                <w:rFonts w:hint="default" w:ascii="Times New Roman" w:hAnsi="Times New Roman" w:cs="Times New Roman"/>
                <w:color w:val="auto"/>
                <w:sz w:val="21"/>
                <w:szCs w:val="21"/>
                <w:highlight w:val="none"/>
              </w:rPr>
              <w:t>类</w:t>
            </w:r>
          </w:p>
        </w:tc>
        <w:tc>
          <w:tcPr>
            <w:tcW w:w="1140" w:type="dxa"/>
            <w:tcBorders>
              <w:top w:val="single" w:color="auto" w:sz="6" w:space="0"/>
              <w:left w:val="single" w:color="auto" w:sz="6" w:space="0"/>
              <w:bottom w:val="single" w:color="auto" w:sz="6" w:space="0"/>
              <w:right w:val="single" w:color="auto" w:sz="6" w:space="0"/>
            </w:tcBorders>
            <w:vAlign w:val="center"/>
          </w:tcPr>
          <w:p w14:paraId="3D76DBF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D1</w:t>
            </w:r>
          </w:p>
        </w:tc>
        <w:tc>
          <w:tcPr>
            <w:tcW w:w="1208" w:type="dxa"/>
            <w:tcBorders>
              <w:top w:val="single" w:color="auto" w:sz="6" w:space="0"/>
              <w:left w:val="single" w:color="auto" w:sz="6" w:space="0"/>
              <w:bottom w:val="single" w:color="auto" w:sz="6" w:space="0"/>
              <w:right w:val="single" w:color="auto" w:sz="12" w:space="0"/>
            </w:tcBorders>
            <w:vAlign w:val="center"/>
          </w:tcPr>
          <w:p w14:paraId="52FEF2F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14:paraId="369AFD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73" w:type="dxa"/>
            <w:vMerge w:val="continue"/>
            <w:tcBorders>
              <w:top w:val="single" w:color="auto" w:sz="6" w:space="0"/>
              <w:left w:val="single" w:color="auto" w:sz="12" w:space="0"/>
              <w:bottom w:val="single" w:color="auto" w:sz="12" w:space="0"/>
              <w:right w:val="single" w:color="auto" w:sz="6" w:space="0"/>
            </w:tcBorders>
            <w:vAlign w:val="center"/>
          </w:tcPr>
          <w:p w14:paraId="56F777BC">
            <w:pPr>
              <w:widowControl/>
              <w:spacing w:line="360" w:lineRule="exact"/>
              <w:ind w:firstLine="0" w:firstLineChars="0"/>
              <w:jc w:val="left"/>
              <w:rPr>
                <w:rFonts w:hint="default" w:ascii="Times New Roman" w:hAnsi="Times New Roman" w:cs="Times New Roman"/>
                <w:color w:val="auto"/>
                <w:sz w:val="21"/>
                <w:szCs w:val="21"/>
                <w:highlight w:val="none"/>
              </w:rPr>
            </w:pPr>
          </w:p>
        </w:tc>
        <w:tc>
          <w:tcPr>
            <w:tcW w:w="6341" w:type="dxa"/>
            <w:gridSpan w:val="5"/>
            <w:tcBorders>
              <w:top w:val="single" w:color="auto" w:sz="6" w:space="0"/>
              <w:left w:val="single" w:color="auto" w:sz="6" w:space="0"/>
              <w:bottom w:val="single" w:color="auto" w:sz="12" w:space="0"/>
              <w:right w:val="single" w:color="auto" w:sz="6" w:space="0"/>
            </w:tcBorders>
            <w:vAlign w:val="center"/>
          </w:tcPr>
          <w:p w14:paraId="5076AE7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地下水环境敏感程度E值</w:t>
            </w:r>
          </w:p>
        </w:tc>
        <w:tc>
          <w:tcPr>
            <w:tcW w:w="1208" w:type="dxa"/>
            <w:tcBorders>
              <w:top w:val="single" w:color="auto" w:sz="6" w:space="0"/>
              <w:left w:val="single" w:color="auto" w:sz="6" w:space="0"/>
              <w:bottom w:val="single" w:color="auto" w:sz="12" w:space="0"/>
              <w:right w:val="single" w:color="auto" w:sz="12" w:space="0"/>
            </w:tcBorders>
            <w:vAlign w:val="center"/>
          </w:tcPr>
          <w:p w14:paraId="36A7B63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E2</w:t>
            </w:r>
          </w:p>
        </w:tc>
      </w:tr>
    </w:tbl>
    <w:p w14:paraId="42E59E9F">
      <w:pPr>
        <w:overflowPunct w:val="0"/>
        <w:topLinePunct/>
        <w:ind w:firstLine="480"/>
        <w:rPr>
          <w:rFonts w:hint="default" w:ascii="Times New Roman" w:hAnsi="Times New Roman" w:eastAsia="宋体" w:cs="Times New Roman"/>
          <w:b/>
          <w:bCs/>
          <w:color w:val="auto"/>
          <w:sz w:val="30"/>
          <w:szCs w:val="32"/>
          <w:highlight w:val="none"/>
          <w:lang w:eastAsia="zh-CN"/>
        </w:rPr>
      </w:pPr>
      <w:r>
        <w:rPr>
          <w:rFonts w:hint="default" w:ascii="Times New Roman" w:hAnsi="Times New Roman" w:cs="Times New Roman"/>
          <w:color w:val="auto"/>
          <w:highlight w:val="none"/>
        </w:rPr>
        <w:t>根据调查，本项目</w:t>
      </w:r>
      <w:r>
        <w:rPr>
          <w:rFonts w:hint="default" w:ascii="Times New Roman" w:hAnsi="Times New Roman" w:cs="Times New Roman"/>
          <w:color w:val="auto"/>
          <w:highlight w:val="none"/>
          <w:lang w:val="en-US" w:eastAsia="zh-CN"/>
        </w:rPr>
        <w:t>不</w:t>
      </w:r>
      <w:r>
        <w:rPr>
          <w:rFonts w:hint="default" w:ascii="Times New Roman" w:hAnsi="Times New Roman" w:cs="Times New Roman"/>
          <w:color w:val="auto"/>
          <w:highlight w:val="none"/>
        </w:rPr>
        <w:t>涉及环境敏感目标</w:t>
      </w:r>
      <w:r>
        <w:rPr>
          <w:rFonts w:hint="default" w:ascii="Times New Roman" w:hAnsi="Times New Roman" w:cs="Times New Roman"/>
          <w:color w:val="auto"/>
          <w:highlight w:val="none"/>
          <w:lang w:eastAsia="zh-CN"/>
        </w:rPr>
        <w:t>。</w:t>
      </w:r>
    </w:p>
    <w:p w14:paraId="6D35D842">
      <w:pPr>
        <w:keepNext/>
        <w:keepLines/>
        <w:spacing w:before="60" w:after="60"/>
        <w:ind w:firstLine="0" w:firstLineChars="0"/>
        <w:outlineLvl w:val="2"/>
        <w:rPr>
          <w:rFonts w:hint="default" w:ascii="Times New Roman" w:hAnsi="Times New Roman" w:cs="Times New Roman"/>
          <w:b/>
          <w:bCs/>
          <w:color w:val="auto"/>
          <w:sz w:val="30"/>
          <w:szCs w:val="32"/>
          <w:highlight w:val="none"/>
        </w:rPr>
      </w:pPr>
      <w:r>
        <w:rPr>
          <w:rFonts w:hint="default" w:ascii="Times New Roman" w:hAnsi="Times New Roman" w:cs="Times New Roman"/>
          <w:b/>
          <w:bCs/>
          <w:color w:val="auto"/>
          <w:sz w:val="30"/>
          <w:szCs w:val="32"/>
          <w:highlight w:val="none"/>
        </w:rPr>
        <w:t>5.3.2环境风险潜势初判</w:t>
      </w:r>
    </w:p>
    <w:p w14:paraId="1217854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（1）选矿厂</w:t>
      </w:r>
    </w:p>
    <w:p w14:paraId="083BF90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计算所涉及的每种危险物质在厂界内的最大存在总量与其在附录B中对应临界量的比值Q</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highlight w:val="none"/>
        </w:rPr>
        <w:t>计算公式如下：</w:t>
      </w:r>
    </w:p>
    <w:p w14:paraId="29B9F07B">
      <w:pPr>
        <w:spacing w:line="360" w:lineRule="auto"/>
        <w:ind w:firstLine="42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position w:val="-30"/>
          <w:sz w:val="21"/>
          <w:szCs w:val="21"/>
          <w:highlight w:val="none"/>
        </w:rPr>
        <w:object>
          <v:shape id="_x0000_i1031" o:spt="75" type="#_x0000_t75" style="height:36pt;width:108pt;" o:ole="t" filled="f" o:preferrelative="t" stroked="f" coordsize="21600,21600">
            <v:path/>
            <v:fill on="f" focussize="0,0"/>
            <v:stroke on="f" joinstyle="miter"/>
            <v:imagedata r:id="rId52" o:title=""/>
            <o:lock v:ext="edit" aspectratio="t"/>
            <w10:wrap type="none"/>
            <w10:anchorlock/>
          </v:shape>
          <o:OLEObject Type="Embed" ProgID="Equation.3" ShapeID="_x0000_i1031" DrawAspect="Content" ObjectID="_1468075733" r:id="rId51">
            <o:LockedField>false</o:LockedField>
          </o:OLEObject>
        </w:object>
      </w:r>
    </w:p>
    <w:p w14:paraId="0C781BDF">
      <w:pPr>
        <w:widowControl/>
        <w:overflowPunct w:val="0"/>
        <w:topLinePunct/>
        <w:ind w:firstLine="476"/>
        <w:rPr>
          <w:rFonts w:hint="default" w:ascii="Times New Roman" w:hAnsi="Times New Roman" w:cs="Times New Roman"/>
          <w:color w:val="auto"/>
          <w:kern w:val="0"/>
          <w:position w:val="2"/>
          <w:highlight w:val="none"/>
        </w:rPr>
      </w:pPr>
      <w:r>
        <w:rPr>
          <w:rFonts w:hint="default" w:ascii="Times New Roman" w:hAnsi="Times New Roman" w:cs="Times New Roman"/>
          <w:color w:val="auto"/>
          <w:spacing w:val="-1"/>
          <w:kern w:val="0"/>
          <w:position w:val="2"/>
          <w:highlight w:val="none"/>
        </w:rPr>
        <w:t>式中：q</w:t>
      </w:r>
      <w:r>
        <w:rPr>
          <w:rFonts w:hint="default" w:ascii="Times New Roman" w:hAnsi="Times New Roman" w:cs="Times New Roman"/>
          <w:color w:val="auto"/>
          <w:spacing w:val="-1"/>
          <w:kern w:val="0"/>
          <w:highlight w:val="none"/>
          <w:vertAlign w:val="subscript"/>
        </w:rPr>
        <w:t>1</w:t>
      </w:r>
      <w:r>
        <w:rPr>
          <w:rFonts w:hint="default" w:ascii="Times New Roman" w:hAnsi="Times New Roman" w:cs="Times New Roman"/>
          <w:color w:val="auto"/>
          <w:spacing w:val="-1"/>
          <w:kern w:val="0"/>
          <w:position w:val="2"/>
          <w:highlight w:val="none"/>
        </w:rPr>
        <w:t>、q</w:t>
      </w:r>
      <w:r>
        <w:rPr>
          <w:rFonts w:hint="default" w:ascii="Times New Roman" w:hAnsi="Times New Roman" w:cs="Times New Roman"/>
          <w:color w:val="auto"/>
          <w:spacing w:val="-1"/>
          <w:kern w:val="0"/>
          <w:highlight w:val="none"/>
          <w:vertAlign w:val="subscript"/>
        </w:rPr>
        <w:t>2</w:t>
      </w:r>
      <w:r>
        <w:rPr>
          <w:rFonts w:hint="default" w:ascii="Times New Roman" w:hAnsi="Times New Roman" w:cs="Times New Roman"/>
          <w:color w:val="auto"/>
          <w:spacing w:val="-1"/>
          <w:kern w:val="0"/>
          <w:position w:val="2"/>
          <w:highlight w:val="none"/>
        </w:rPr>
        <w:t>、…</w:t>
      </w:r>
      <w:r>
        <w:rPr>
          <w:rFonts w:hint="default" w:ascii="Times New Roman" w:hAnsi="Times New Roman" w:cs="Times New Roman"/>
          <w:color w:val="auto"/>
          <w:kern w:val="0"/>
          <w:position w:val="2"/>
          <w:highlight w:val="none"/>
        </w:rPr>
        <w:t>q</w:t>
      </w:r>
      <w:r>
        <w:rPr>
          <w:rFonts w:hint="default" w:ascii="Times New Roman" w:hAnsi="Times New Roman" w:cs="Times New Roman"/>
          <w:color w:val="auto"/>
          <w:kern w:val="0"/>
          <w:highlight w:val="none"/>
          <w:vertAlign w:val="subscript"/>
        </w:rPr>
        <w:t>n</w:t>
      </w:r>
      <w:r>
        <w:rPr>
          <w:rFonts w:hint="default" w:ascii="Times New Roman" w:hAnsi="Times New Roman" w:cs="Times New Roman"/>
          <w:color w:val="auto"/>
          <w:kern w:val="0"/>
          <w:position w:val="2"/>
          <w:highlight w:val="none"/>
        </w:rPr>
        <w:t>----每种危险物质的最大存在总量，t；</w:t>
      </w:r>
    </w:p>
    <w:p w14:paraId="1397F91F">
      <w:pPr>
        <w:widowControl/>
        <w:overflowPunct w:val="0"/>
        <w:topLinePunct/>
        <w:ind w:firstLine="1190" w:firstLineChars="500"/>
        <w:rPr>
          <w:rFonts w:hint="default" w:ascii="Times New Roman" w:hAnsi="Times New Roman" w:cs="Times New Roman"/>
          <w:color w:val="auto"/>
          <w:kern w:val="0"/>
          <w:position w:val="2"/>
          <w:highlight w:val="none"/>
        </w:rPr>
      </w:pPr>
      <w:r>
        <w:rPr>
          <w:rFonts w:hint="default" w:ascii="Times New Roman" w:hAnsi="Times New Roman" w:cs="Times New Roman"/>
          <w:color w:val="auto"/>
          <w:spacing w:val="-1"/>
          <w:kern w:val="0"/>
          <w:position w:val="2"/>
          <w:highlight w:val="none"/>
        </w:rPr>
        <w:t>Q</w:t>
      </w:r>
      <w:r>
        <w:rPr>
          <w:rFonts w:hint="default" w:ascii="Times New Roman" w:hAnsi="Times New Roman" w:cs="Times New Roman"/>
          <w:color w:val="auto"/>
          <w:spacing w:val="-1"/>
          <w:kern w:val="0"/>
          <w:highlight w:val="none"/>
          <w:vertAlign w:val="subscript"/>
        </w:rPr>
        <w:t>1</w:t>
      </w:r>
      <w:r>
        <w:rPr>
          <w:rFonts w:hint="default" w:ascii="Times New Roman" w:hAnsi="Times New Roman" w:cs="Times New Roman"/>
          <w:color w:val="auto"/>
          <w:spacing w:val="-1"/>
          <w:kern w:val="0"/>
          <w:position w:val="2"/>
          <w:highlight w:val="none"/>
        </w:rPr>
        <w:t>、Q</w:t>
      </w:r>
      <w:r>
        <w:rPr>
          <w:rFonts w:hint="default" w:ascii="Times New Roman" w:hAnsi="Times New Roman" w:cs="Times New Roman"/>
          <w:color w:val="auto"/>
          <w:spacing w:val="-1"/>
          <w:kern w:val="0"/>
          <w:highlight w:val="none"/>
          <w:vertAlign w:val="subscript"/>
        </w:rPr>
        <w:t>2</w:t>
      </w:r>
      <w:r>
        <w:rPr>
          <w:rFonts w:hint="default" w:ascii="Times New Roman" w:hAnsi="Times New Roman" w:cs="Times New Roman"/>
          <w:color w:val="auto"/>
          <w:spacing w:val="-1"/>
          <w:kern w:val="0"/>
          <w:position w:val="2"/>
          <w:highlight w:val="none"/>
        </w:rPr>
        <w:t>、…</w:t>
      </w:r>
      <w:r>
        <w:rPr>
          <w:rFonts w:hint="default" w:ascii="Times New Roman" w:hAnsi="Times New Roman" w:cs="Times New Roman"/>
          <w:color w:val="auto"/>
          <w:kern w:val="0"/>
          <w:position w:val="2"/>
          <w:highlight w:val="none"/>
        </w:rPr>
        <w:t>Q</w:t>
      </w:r>
      <w:r>
        <w:rPr>
          <w:rFonts w:hint="default" w:ascii="Times New Roman" w:hAnsi="Times New Roman" w:cs="Times New Roman"/>
          <w:color w:val="auto"/>
          <w:kern w:val="0"/>
          <w:highlight w:val="none"/>
          <w:vertAlign w:val="subscript"/>
        </w:rPr>
        <w:t>n</w:t>
      </w:r>
      <w:r>
        <w:rPr>
          <w:rFonts w:hint="default" w:ascii="Times New Roman" w:hAnsi="Times New Roman" w:cs="Times New Roman"/>
          <w:color w:val="auto"/>
          <w:kern w:val="0"/>
          <w:position w:val="2"/>
          <w:highlight w:val="none"/>
        </w:rPr>
        <w:t>----每种危险物质相对应的临界量，t。</w:t>
      </w:r>
    </w:p>
    <w:p w14:paraId="783F6DFC">
      <w:pPr>
        <w:widowControl/>
        <w:overflowPunct w:val="0"/>
        <w:topLinePunct/>
        <w:ind w:firstLine="1190" w:firstLineChars="500"/>
        <w:rPr>
          <w:rFonts w:hint="default" w:ascii="Times New Roman" w:hAnsi="Times New Roman" w:cs="Times New Roman"/>
          <w:color w:val="auto"/>
          <w:spacing w:val="-1"/>
          <w:kern w:val="0"/>
          <w:highlight w:val="none"/>
        </w:rPr>
      </w:pPr>
      <w:r>
        <w:rPr>
          <w:rFonts w:hint="default" w:ascii="Times New Roman" w:hAnsi="Times New Roman" w:cs="Times New Roman"/>
          <w:color w:val="auto"/>
          <w:spacing w:val="-1"/>
          <w:kern w:val="0"/>
          <w:highlight w:val="none"/>
        </w:rPr>
        <w:t>计算出Q值后，当Q＜1时，该项目环境风险潜势为</w:t>
      </w:r>
      <w:r>
        <w:rPr>
          <w:rFonts w:hint="default" w:ascii="Times New Roman" w:hAnsi="Times New Roman" w:cs="Times New Roman"/>
          <w:color w:val="auto"/>
          <w:spacing w:val="-1"/>
          <w:kern w:val="0"/>
          <w:highlight w:val="none"/>
          <w:lang w:eastAsia="zh-CN"/>
        </w:rPr>
        <w:t>I</w:t>
      </w:r>
      <w:r>
        <w:rPr>
          <w:rFonts w:hint="default" w:ascii="Times New Roman" w:hAnsi="Times New Roman" w:cs="Times New Roman"/>
          <w:color w:val="auto"/>
          <w:spacing w:val="-1"/>
          <w:kern w:val="0"/>
          <w:highlight w:val="none"/>
        </w:rPr>
        <w:t>。</w:t>
      </w:r>
    </w:p>
    <w:p w14:paraId="1320ACCD">
      <w:pPr>
        <w:widowControl/>
        <w:overflowPunct w:val="0"/>
        <w:topLinePunct/>
        <w:ind w:firstLine="1190" w:firstLineChars="500"/>
        <w:rPr>
          <w:rFonts w:hint="default" w:ascii="Times New Roman" w:hAnsi="Times New Roman" w:cs="Times New Roman"/>
          <w:color w:val="auto"/>
          <w:kern w:val="0"/>
          <w:highlight w:val="none"/>
        </w:rPr>
      </w:pPr>
      <w:r>
        <w:rPr>
          <w:rFonts w:hint="default" w:ascii="Times New Roman" w:hAnsi="Times New Roman" w:cs="Times New Roman"/>
          <w:color w:val="auto"/>
          <w:spacing w:val="-1"/>
          <w:kern w:val="0"/>
          <w:highlight w:val="none"/>
        </w:rPr>
        <w:t>当</w:t>
      </w:r>
      <w:r>
        <w:rPr>
          <w:rFonts w:hint="default" w:ascii="Times New Roman" w:hAnsi="Times New Roman" w:cs="Times New Roman"/>
          <w:i/>
          <w:color w:val="auto"/>
          <w:kern w:val="0"/>
          <w:highlight w:val="none"/>
        </w:rPr>
        <w:t>Q</w:t>
      </w:r>
      <w:r>
        <w:rPr>
          <w:rFonts w:hint="default" w:ascii="Times New Roman" w:hAnsi="Times New Roman" w:cs="Times New Roman"/>
          <w:color w:val="auto"/>
          <w:kern w:val="0"/>
          <w:highlight w:val="none"/>
        </w:rPr>
        <w:t>≥1时，将</w:t>
      </w:r>
      <w:r>
        <w:rPr>
          <w:rFonts w:hint="default" w:ascii="Times New Roman" w:hAnsi="Times New Roman" w:cs="Times New Roman"/>
          <w:i/>
          <w:color w:val="auto"/>
          <w:kern w:val="0"/>
          <w:highlight w:val="none"/>
        </w:rPr>
        <w:t>Q</w:t>
      </w:r>
      <w:r>
        <w:rPr>
          <w:rFonts w:hint="default" w:ascii="Times New Roman" w:hAnsi="Times New Roman" w:cs="Times New Roman"/>
          <w:color w:val="auto"/>
          <w:kern w:val="0"/>
          <w:highlight w:val="none"/>
        </w:rPr>
        <w:t>值划分为</w:t>
      </w:r>
      <w:r>
        <w:rPr>
          <w:rFonts w:hint="default" w:ascii="Times New Roman" w:hAnsi="Times New Roman" w:cs="Times New Roman"/>
          <w:color w:val="auto"/>
          <w:spacing w:val="-120"/>
          <w:kern w:val="0"/>
          <w:highlight w:val="none"/>
        </w:rPr>
        <w:t>：</w:t>
      </w:r>
      <w:r>
        <w:rPr>
          <w:rFonts w:hint="default" w:ascii="Times New Roman" w:hAnsi="Times New Roman" w:cs="Times New Roman"/>
          <w:color w:val="auto"/>
          <w:kern w:val="0"/>
          <w:highlight w:val="none"/>
        </w:rPr>
        <w:t>（1）1≤</w:t>
      </w:r>
      <w:r>
        <w:rPr>
          <w:rFonts w:hint="default" w:ascii="Times New Roman" w:hAnsi="Times New Roman" w:cs="Times New Roman"/>
          <w:i/>
          <w:color w:val="auto"/>
          <w:kern w:val="0"/>
          <w:highlight w:val="none"/>
        </w:rPr>
        <w:t>Q</w:t>
      </w:r>
      <w:r>
        <w:rPr>
          <w:rFonts w:hint="default" w:ascii="Times New Roman" w:hAnsi="Times New Roman" w:cs="Times New Roman"/>
          <w:color w:val="auto"/>
          <w:kern w:val="0"/>
          <w:highlight w:val="none"/>
        </w:rPr>
        <w:t>＜10</w:t>
      </w:r>
      <w:r>
        <w:rPr>
          <w:rFonts w:hint="default" w:ascii="Times New Roman" w:hAnsi="Times New Roman" w:cs="Times New Roman"/>
          <w:color w:val="auto"/>
          <w:spacing w:val="-120"/>
          <w:kern w:val="0"/>
          <w:highlight w:val="none"/>
        </w:rPr>
        <w:t>；</w:t>
      </w:r>
      <w:r>
        <w:rPr>
          <w:rFonts w:hint="default" w:ascii="Times New Roman" w:hAnsi="Times New Roman" w:cs="Times New Roman"/>
          <w:color w:val="auto"/>
          <w:kern w:val="0"/>
          <w:highlight w:val="none"/>
        </w:rPr>
        <w:t>（2）10≤</w:t>
      </w:r>
      <w:r>
        <w:rPr>
          <w:rFonts w:hint="default" w:ascii="Times New Roman" w:hAnsi="Times New Roman" w:cs="Times New Roman"/>
          <w:i/>
          <w:color w:val="auto"/>
          <w:kern w:val="0"/>
          <w:highlight w:val="none"/>
        </w:rPr>
        <w:t>Q</w:t>
      </w:r>
      <w:r>
        <w:rPr>
          <w:rFonts w:hint="default" w:ascii="Times New Roman" w:hAnsi="Times New Roman" w:cs="Times New Roman"/>
          <w:color w:val="auto"/>
          <w:kern w:val="0"/>
          <w:highlight w:val="none"/>
        </w:rPr>
        <w:t>＜100</w:t>
      </w:r>
      <w:r>
        <w:rPr>
          <w:rFonts w:hint="default" w:ascii="Times New Roman" w:hAnsi="Times New Roman" w:cs="Times New Roman"/>
          <w:color w:val="auto"/>
          <w:spacing w:val="-120"/>
          <w:kern w:val="0"/>
          <w:highlight w:val="none"/>
        </w:rPr>
        <w:t>；</w:t>
      </w:r>
      <w:r>
        <w:rPr>
          <w:rFonts w:hint="default" w:ascii="Times New Roman" w:hAnsi="Times New Roman" w:cs="Times New Roman"/>
          <w:color w:val="auto"/>
          <w:kern w:val="0"/>
          <w:highlight w:val="none"/>
        </w:rPr>
        <w:t>（3）</w:t>
      </w:r>
      <w:r>
        <w:rPr>
          <w:rFonts w:hint="default" w:ascii="Times New Roman" w:hAnsi="Times New Roman" w:cs="Times New Roman"/>
          <w:i/>
          <w:color w:val="auto"/>
          <w:kern w:val="0"/>
          <w:highlight w:val="none"/>
        </w:rPr>
        <w:t>Q</w:t>
      </w:r>
      <w:r>
        <w:rPr>
          <w:rFonts w:hint="default" w:ascii="Times New Roman" w:hAnsi="Times New Roman" w:cs="Times New Roman"/>
          <w:color w:val="auto"/>
          <w:kern w:val="0"/>
          <w:highlight w:val="none"/>
        </w:rPr>
        <w:t>≥100。</w:t>
      </w:r>
    </w:p>
    <w:p w14:paraId="53348FDF">
      <w:pPr>
        <w:widowControl/>
        <w:overflowPunct w:val="0"/>
        <w:topLinePunct/>
        <w:adjustRightInd w:val="0"/>
        <w:snapToGrid w:val="0"/>
        <w:ind w:firstLine="48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rPr>
        <w:t>本项目所涉及的危险化学品主要为</w:t>
      </w:r>
      <w:r>
        <w:rPr>
          <w:rFonts w:hint="default" w:ascii="Times New Roman" w:hAnsi="Times New Roman" w:cs="Times New Roman"/>
          <w:color w:val="auto"/>
          <w:highlight w:val="none"/>
          <w:lang w:eastAsia="zh-CN" w:bidi="ar"/>
        </w:rPr>
        <w:t>废机油及柴油</w:t>
      </w:r>
      <w:r>
        <w:rPr>
          <w:rFonts w:hint="default" w:ascii="Times New Roman" w:hAnsi="Times New Roman" w:cs="Times New Roman"/>
          <w:color w:val="auto"/>
          <w:highlight w:val="none"/>
          <w:lang w:bidi="ar"/>
        </w:rPr>
        <w:t>，均属于低毒易燃物质。</w:t>
      </w:r>
    </w:p>
    <w:p w14:paraId="5D4F8DF2">
      <w:pPr>
        <w:adjustRightInd w:val="0"/>
        <w:snapToGrid w:val="0"/>
        <w:ind w:firstLine="0" w:firstLineChars="0"/>
        <w:jc w:val="center"/>
        <w:rPr>
          <w:rFonts w:hint="default" w:ascii="Times New Roman" w:hAnsi="Times New Roman" w:cs="Times New Roman"/>
          <w:b/>
          <w:color w:val="auto"/>
          <w:highlight w:val="none"/>
        </w:rPr>
      </w:pPr>
      <w:bookmarkStart w:id="743" w:name="_Toc1142_WPSOffice_Level2"/>
      <w:r>
        <w:rPr>
          <w:rFonts w:hint="default" w:ascii="Times New Roman" w:hAnsi="Times New Roman" w:cs="Times New Roman"/>
          <w:b/>
          <w:color w:val="auto"/>
          <w:highlight w:val="none"/>
        </w:rPr>
        <w:t>表5.3-</w:t>
      </w:r>
      <w:r>
        <w:rPr>
          <w:rFonts w:hint="default" w:ascii="Times New Roman" w:hAnsi="Times New Roman" w:cs="Times New Roman"/>
          <w:b/>
          <w:color w:val="auto"/>
          <w:highlight w:val="none"/>
          <w:lang w:val="en-US" w:eastAsia="zh-CN"/>
        </w:rPr>
        <w:t>2</w:t>
      </w:r>
      <w:r>
        <w:rPr>
          <w:rFonts w:hint="default" w:ascii="Times New Roman" w:hAnsi="Times New Roman" w:cs="Times New Roman"/>
          <w:b/>
          <w:color w:val="auto"/>
          <w:highlight w:val="none"/>
        </w:rPr>
        <w:t xml:space="preserve">    项目区</w:t>
      </w:r>
      <w:r>
        <w:rPr>
          <w:rFonts w:hint="default" w:ascii="Times New Roman" w:hAnsi="Times New Roman" w:cs="Times New Roman"/>
          <w:b/>
          <w:color w:val="auto"/>
          <w:highlight w:val="none"/>
          <w:lang w:val="en-US" w:eastAsia="zh-CN"/>
        </w:rPr>
        <w:t>危险物质</w:t>
      </w:r>
      <w:r>
        <w:rPr>
          <w:rFonts w:hint="default" w:ascii="Times New Roman" w:hAnsi="Times New Roman" w:cs="Times New Roman"/>
          <w:b/>
          <w:color w:val="auto"/>
          <w:highlight w:val="none"/>
        </w:rPr>
        <w:t>贮存情况一览表</w:t>
      </w:r>
      <w:bookmarkEnd w:id="743"/>
    </w:p>
    <w:tbl>
      <w:tblPr>
        <w:tblStyle w:val="33"/>
        <w:tblW w:w="5052"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635"/>
        <w:gridCol w:w="1763"/>
        <w:gridCol w:w="1724"/>
        <w:gridCol w:w="1685"/>
        <w:gridCol w:w="1616"/>
      </w:tblGrid>
      <w:tr w14:paraId="40960D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blHeader/>
          <w:jc w:val="center"/>
        </w:trPr>
        <w:tc>
          <w:tcPr>
            <w:tcW w:w="970" w:type="pct"/>
            <w:tcBorders>
              <w:tl2br w:val="nil"/>
              <w:tr2bl w:val="nil"/>
            </w:tcBorders>
            <w:noWrap w:val="0"/>
            <w:vAlign w:val="center"/>
          </w:tcPr>
          <w:p w14:paraId="4053174A">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spacing w:val="-1"/>
                <w:sz w:val="21"/>
                <w:szCs w:val="21"/>
                <w:highlight w:val="none"/>
              </w:rPr>
            </w:pPr>
            <w:r>
              <w:rPr>
                <w:rFonts w:hint="default" w:ascii="Times New Roman" w:hAnsi="Times New Roman" w:eastAsia="宋体" w:cs="Times New Roman"/>
                <w:b/>
                <w:bCs/>
                <w:color w:val="auto"/>
                <w:spacing w:val="-1"/>
                <w:sz w:val="21"/>
                <w:szCs w:val="21"/>
                <w:highlight w:val="none"/>
              </w:rPr>
              <w:t>设施</w:t>
            </w:r>
          </w:p>
        </w:tc>
        <w:tc>
          <w:tcPr>
            <w:tcW w:w="1046" w:type="pct"/>
            <w:tcBorders>
              <w:tl2br w:val="nil"/>
              <w:tr2bl w:val="nil"/>
            </w:tcBorders>
            <w:noWrap w:val="0"/>
            <w:vAlign w:val="center"/>
          </w:tcPr>
          <w:p w14:paraId="4D04EC9E">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spacing w:val="-1"/>
                <w:sz w:val="21"/>
                <w:szCs w:val="21"/>
                <w:highlight w:val="none"/>
              </w:rPr>
            </w:pPr>
            <w:r>
              <w:rPr>
                <w:rFonts w:hint="default" w:ascii="Times New Roman" w:hAnsi="Times New Roman" w:eastAsia="宋体" w:cs="Times New Roman"/>
                <w:b/>
                <w:bCs/>
                <w:color w:val="auto"/>
                <w:spacing w:val="-1"/>
                <w:sz w:val="21"/>
                <w:szCs w:val="21"/>
                <w:highlight w:val="none"/>
              </w:rPr>
              <w:t>物质名称</w:t>
            </w:r>
          </w:p>
        </w:tc>
        <w:tc>
          <w:tcPr>
            <w:tcW w:w="1023" w:type="pct"/>
            <w:tcBorders>
              <w:tl2br w:val="nil"/>
              <w:tr2bl w:val="nil"/>
            </w:tcBorders>
            <w:noWrap w:val="0"/>
            <w:vAlign w:val="center"/>
          </w:tcPr>
          <w:p w14:paraId="4F68C2A7">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spacing w:val="-1"/>
                <w:sz w:val="21"/>
                <w:szCs w:val="21"/>
                <w:highlight w:val="none"/>
              </w:rPr>
            </w:pPr>
            <w:r>
              <w:rPr>
                <w:rFonts w:hint="default" w:ascii="Times New Roman" w:hAnsi="Times New Roman" w:eastAsia="宋体" w:cs="Times New Roman"/>
                <w:b/>
                <w:bCs/>
                <w:color w:val="auto"/>
                <w:spacing w:val="-1"/>
                <w:sz w:val="21"/>
                <w:szCs w:val="21"/>
                <w:highlight w:val="none"/>
              </w:rPr>
              <w:t>临界量/t</w:t>
            </w:r>
          </w:p>
        </w:tc>
        <w:tc>
          <w:tcPr>
            <w:tcW w:w="1000" w:type="pct"/>
            <w:tcBorders>
              <w:tl2br w:val="nil"/>
              <w:tr2bl w:val="nil"/>
            </w:tcBorders>
            <w:noWrap w:val="0"/>
            <w:vAlign w:val="center"/>
          </w:tcPr>
          <w:p w14:paraId="7C13B155">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spacing w:val="-1"/>
                <w:sz w:val="21"/>
                <w:szCs w:val="21"/>
                <w:highlight w:val="none"/>
              </w:rPr>
            </w:pPr>
            <w:r>
              <w:rPr>
                <w:rFonts w:hint="default" w:ascii="Times New Roman" w:hAnsi="Times New Roman" w:eastAsia="宋体" w:cs="Times New Roman"/>
                <w:b/>
                <w:bCs/>
                <w:color w:val="auto"/>
                <w:spacing w:val="-1"/>
                <w:sz w:val="21"/>
                <w:szCs w:val="21"/>
                <w:highlight w:val="none"/>
              </w:rPr>
              <w:t>储存量/t</w:t>
            </w:r>
          </w:p>
        </w:tc>
        <w:tc>
          <w:tcPr>
            <w:tcW w:w="959" w:type="pct"/>
            <w:tcBorders>
              <w:tl2br w:val="nil"/>
              <w:tr2bl w:val="nil"/>
            </w:tcBorders>
            <w:noWrap w:val="0"/>
            <w:vAlign w:val="center"/>
          </w:tcPr>
          <w:p w14:paraId="56F8BEE2">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spacing w:val="-1"/>
                <w:sz w:val="21"/>
                <w:szCs w:val="21"/>
                <w:highlight w:val="none"/>
              </w:rPr>
            </w:pPr>
            <w:r>
              <w:rPr>
                <w:rFonts w:hint="default" w:ascii="Times New Roman" w:hAnsi="Times New Roman" w:eastAsia="宋体" w:cs="Times New Roman"/>
                <w:b/>
                <w:bCs/>
                <w:color w:val="auto"/>
                <w:spacing w:val="-1"/>
                <w:sz w:val="21"/>
                <w:szCs w:val="21"/>
                <w:highlight w:val="none"/>
              </w:rPr>
              <w:t>Q</w:t>
            </w:r>
          </w:p>
        </w:tc>
      </w:tr>
      <w:tr w14:paraId="57B126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70" w:type="pct"/>
            <w:tcBorders>
              <w:tl2br w:val="nil"/>
              <w:tr2bl w:val="nil"/>
            </w:tcBorders>
            <w:noWrap w:val="0"/>
            <w:vAlign w:val="center"/>
          </w:tcPr>
          <w:p w14:paraId="2C399CB6">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eastAsia="宋体" w:cs="Times New Roman"/>
                <w:color w:val="auto"/>
                <w:spacing w:val="-1"/>
                <w:sz w:val="21"/>
                <w:szCs w:val="21"/>
                <w:highlight w:val="none"/>
                <w:lang w:val="en-US" w:eastAsia="zh-CN"/>
              </w:rPr>
              <w:t>应急</w:t>
            </w:r>
            <w:r>
              <w:rPr>
                <w:rFonts w:hint="default" w:ascii="Times New Roman" w:hAnsi="Times New Roman" w:cs="Times New Roman"/>
                <w:color w:val="auto"/>
                <w:spacing w:val="-1"/>
                <w:sz w:val="21"/>
                <w:szCs w:val="21"/>
                <w:highlight w:val="none"/>
                <w:lang w:val="en-US" w:eastAsia="zh-CN"/>
              </w:rPr>
              <w:t>柴油</w:t>
            </w:r>
            <w:r>
              <w:rPr>
                <w:rFonts w:hint="default" w:ascii="Times New Roman" w:hAnsi="Times New Roman" w:eastAsia="宋体" w:cs="Times New Roman"/>
                <w:color w:val="auto"/>
                <w:spacing w:val="-1"/>
                <w:sz w:val="21"/>
                <w:szCs w:val="21"/>
                <w:highlight w:val="none"/>
                <w:lang w:val="en-US" w:eastAsia="zh-CN"/>
              </w:rPr>
              <w:t>发电机</w:t>
            </w:r>
          </w:p>
        </w:tc>
        <w:tc>
          <w:tcPr>
            <w:tcW w:w="1046" w:type="pct"/>
            <w:tcBorders>
              <w:tl2br w:val="nil"/>
              <w:tr2bl w:val="nil"/>
            </w:tcBorders>
            <w:noWrap w:val="0"/>
            <w:vAlign w:val="center"/>
          </w:tcPr>
          <w:p w14:paraId="1CE594FF">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eastAsia="宋体" w:cs="Times New Roman"/>
                <w:color w:val="auto"/>
                <w:spacing w:val="-1"/>
                <w:sz w:val="21"/>
                <w:szCs w:val="21"/>
                <w:highlight w:val="none"/>
                <w:lang w:val="en-US" w:eastAsia="zh-CN"/>
              </w:rPr>
              <w:t>柴油</w:t>
            </w:r>
          </w:p>
        </w:tc>
        <w:tc>
          <w:tcPr>
            <w:tcW w:w="1023" w:type="pct"/>
            <w:tcBorders>
              <w:tl2br w:val="nil"/>
              <w:tr2bl w:val="nil"/>
            </w:tcBorders>
            <w:noWrap w:val="0"/>
            <w:vAlign w:val="center"/>
          </w:tcPr>
          <w:p w14:paraId="058BD42C">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1"/>
                <w:sz w:val="21"/>
                <w:szCs w:val="21"/>
                <w:highlight w:val="none"/>
              </w:rPr>
            </w:pPr>
            <w:r>
              <w:rPr>
                <w:rFonts w:hint="default" w:ascii="Times New Roman" w:hAnsi="Times New Roman" w:eastAsia="宋体" w:cs="Times New Roman"/>
                <w:color w:val="auto"/>
                <w:spacing w:val="-1"/>
                <w:sz w:val="21"/>
                <w:szCs w:val="21"/>
                <w:highlight w:val="none"/>
              </w:rPr>
              <w:t>2500</w:t>
            </w:r>
          </w:p>
        </w:tc>
        <w:tc>
          <w:tcPr>
            <w:tcW w:w="1000" w:type="pct"/>
            <w:tcBorders>
              <w:tl2br w:val="nil"/>
              <w:tr2bl w:val="nil"/>
            </w:tcBorders>
            <w:noWrap w:val="0"/>
            <w:vAlign w:val="center"/>
          </w:tcPr>
          <w:p w14:paraId="73C7C5A4">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cs="Times New Roman"/>
                <w:color w:val="auto"/>
                <w:spacing w:val="-1"/>
                <w:sz w:val="21"/>
                <w:szCs w:val="21"/>
                <w:highlight w:val="none"/>
                <w:lang w:val="en-US" w:eastAsia="zh-CN"/>
              </w:rPr>
              <w:t>0.1</w:t>
            </w:r>
          </w:p>
        </w:tc>
        <w:tc>
          <w:tcPr>
            <w:tcW w:w="959" w:type="pct"/>
            <w:tcBorders>
              <w:tl2br w:val="nil"/>
              <w:tr2bl w:val="nil"/>
            </w:tcBorders>
            <w:noWrap w:val="0"/>
            <w:vAlign w:val="center"/>
          </w:tcPr>
          <w:p w14:paraId="5CFCC93E">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eastAsia="宋体" w:cs="Times New Roman"/>
                <w:color w:val="auto"/>
                <w:spacing w:val="-1"/>
                <w:sz w:val="21"/>
                <w:szCs w:val="21"/>
                <w:highlight w:val="none"/>
                <w:lang w:val="en-US" w:eastAsia="zh-CN"/>
              </w:rPr>
              <w:t>0.</w:t>
            </w:r>
            <w:r>
              <w:rPr>
                <w:rFonts w:hint="default" w:ascii="Times New Roman" w:hAnsi="Times New Roman" w:cs="Times New Roman"/>
                <w:color w:val="auto"/>
                <w:spacing w:val="-1"/>
                <w:sz w:val="21"/>
                <w:szCs w:val="21"/>
                <w:highlight w:val="none"/>
                <w:lang w:val="en-US" w:eastAsia="zh-CN"/>
              </w:rPr>
              <w:t>00004</w:t>
            </w:r>
          </w:p>
        </w:tc>
      </w:tr>
      <w:tr w14:paraId="7ED426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970" w:type="pct"/>
            <w:tcBorders>
              <w:tl2br w:val="nil"/>
              <w:tr2bl w:val="nil"/>
            </w:tcBorders>
            <w:noWrap w:val="0"/>
            <w:vAlign w:val="center"/>
          </w:tcPr>
          <w:p w14:paraId="0441C350">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1"/>
                <w:sz w:val="21"/>
                <w:szCs w:val="21"/>
                <w:highlight w:val="none"/>
                <w:lang w:val="en-US" w:eastAsia="zh-CN"/>
              </w:rPr>
            </w:pPr>
            <w:r>
              <w:rPr>
                <w:rFonts w:hint="eastAsia" w:cs="Times New Roman"/>
                <w:color w:val="auto"/>
                <w:spacing w:val="-1"/>
                <w:sz w:val="21"/>
                <w:szCs w:val="21"/>
                <w:highlight w:val="none"/>
                <w:lang w:val="en-US" w:eastAsia="zh-CN"/>
              </w:rPr>
              <w:t>危废贮存点</w:t>
            </w:r>
          </w:p>
        </w:tc>
        <w:tc>
          <w:tcPr>
            <w:tcW w:w="1046" w:type="pct"/>
            <w:tcBorders>
              <w:tl2br w:val="nil"/>
              <w:tr2bl w:val="nil"/>
            </w:tcBorders>
            <w:noWrap w:val="0"/>
            <w:vAlign w:val="center"/>
          </w:tcPr>
          <w:p w14:paraId="351BD0E3">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cs="Times New Roman"/>
                <w:color w:val="auto"/>
                <w:spacing w:val="-1"/>
                <w:sz w:val="21"/>
                <w:szCs w:val="21"/>
                <w:highlight w:val="none"/>
                <w:lang w:val="en-US" w:eastAsia="zh-CN"/>
              </w:rPr>
              <w:t>废机油</w:t>
            </w:r>
          </w:p>
        </w:tc>
        <w:tc>
          <w:tcPr>
            <w:tcW w:w="1023" w:type="pct"/>
            <w:tcBorders>
              <w:tl2br w:val="nil"/>
              <w:tr2bl w:val="nil"/>
            </w:tcBorders>
            <w:noWrap w:val="0"/>
            <w:vAlign w:val="center"/>
          </w:tcPr>
          <w:p w14:paraId="151CBA8A">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cs="Times New Roman"/>
                <w:color w:val="auto"/>
                <w:spacing w:val="-1"/>
                <w:sz w:val="21"/>
                <w:szCs w:val="21"/>
                <w:highlight w:val="none"/>
                <w:lang w:val="en-US" w:eastAsia="zh-CN"/>
              </w:rPr>
              <w:t>2500</w:t>
            </w:r>
          </w:p>
        </w:tc>
        <w:tc>
          <w:tcPr>
            <w:tcW w:w="1000" w:type="pct"/>
            <w:tcBorders>
              <w:tl2br w:val="nil"/>
              <w:tr2bl w:val="nil"/>
            </w:tcBorders>
            <w:noWrap w:val="0"/>
            <w:vAlign w:val="center"/>
          </w:tcPr>
          <w:p w14:paraId="64C50129">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cs="Times New Roman"/>
                <w:color w:val="auto"/>
                <w:spacing w:val="-1"/>
                <w:sz w:val="21"/>
                <w:szCs w:val="21"/>
                <w:highlight w:val="none"/>
                <w:lang w:val="en-US" w:eastAsia="zh-CN"/>
              </w:rPr>
            </w:pPr>
            <w:r>
              <w:rPr>
                <w:rFonts w:hint="eastAsia" w:cs="Times New Roman"/>
                <w:color w:val="auto"/>
                <w:spacing w:val="-1"/>
                <w:sz w:val="21"/>
                <w:szCs w:val="21"/>
                <w:highlight w:val="none"/>
                <w:lang w:val="en-US" w:eastAsia="zh-CN"/>
              </w:rPr>
              <w:t>0.3</w:t>
            </w:r>
          </w:p>
        </w:tc>
        <w:tc>
          <w:tcPr>
            <w:tcW w:w="959" w:type="pct"/>
            <w:tcBorders>
              <w:tl2br w:val="nil"/>
              <w:tr2bl w:val="nil"/>
            </w:tcBorders>
            <w:noWrap w:val="0"/>
            <w:vAlign w:val="center"/>
          </w:tcPr>
          <w:p w14:paraId="0EABE5EA">
            <w:pPr>
              <w:pStyle w:val="47"/>
              <w:keepNext w:val="0"/>
              <w:keepLines w:val="0"/>
              <w:pageBreakBefore w:val="0"/>
              <w:widowControl w:val="0"/>
              <w:kinsoku/>
              <w:wordWrap/>
              <w:overflowPunct/>
              <w:topLinePunct w:val="0"/>
              <w:autoSpaceDE/>
              <w:autoSpaceDN/>
              <w:bidi w:val="0"/>
              <w:adjustRightInd/>
              <w:snapToGrid/>
              <w:spacing w:before="0" w:beforeAutospacing="0" w:line="36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cs="Times New Roman"/>
                <w:color w:val="auto"/>
                <w:spacing w:val="-1"/>
                <w:sz w:val="21"/>
                <w:szCs w:val="21"/>
                <w:highlight w:val="none"/>
                <w:lang w:val="en-US" w:eastAsia="zh-CN"/>
              </w:rPr>
              <w:t>0.000</w:t>
            </w:r>
            <w:r>
              <w:rPr>
                <w:rFonts w:hint="eastAsia" w:cs="Times New Roman"/>
                <w:color w:val="auto"/>
                <w:spacing w:val="-1"/>
                <w:sz w:val="21"/>
                <w:szCs w:val="21"/>
                <w:highlight w:val="none"/>
                <w:lang w:val="en-US" w:eastAsia="zh-CN"/>
              </w:rPr>
              <w:t>12</w:t>
            </w:r>
          </w:p>
        </w:tc>
      </w:tr>
    </w:tbl>
    <w:p w14:paraId="6FE39004">
      <w:pPr>
        <w:keepNext w:val="0"/>
        <w:keepLines w:val="0"/>
        <w:pageBreakBefore w:val="0"/>
        <w:widowControl w:val="0"/>
        <w:kinsoku/>
        <w:wordWrap/>
        <w:overflowPunct w:val="0"/>
        <w:topLinePunct/>
        <w:autoSpaceDE/>
        <w:autoSpaceDN/>
        <w:bidi w:val="0"/>
        <w:adjustRightInd/>
        <w:snapToGrid/>
        <w:ind w:firstLine="480"/>
        <w:textAlignment w:val="auto"/>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lang w:val="en-US" w:eastAsia="zh-CN"/>
        </w:rPr>
        <w:t>本项目所涉及的危险化学品主要为废机油</w:t>
      </w:r>
      <w:r>
        <w:rPr>
          <w:rFonts w:hint="eastAsia" w:cs="Times New Roman"/>
          <w:color w:val="auto"/>
          <w:kern w:val="0"/>
          <w:highlight w:val="none"/>
          <w:lang w:val="en-US" w:eastAsia="zh-CN"/>
        </w:rPr>
        <w:t>及柴油</w:t>
      </w:r>
      <w:r>
        <w:rPr>
          <w:rFonts w:hint="default" w:ascii="Times New Roman" w:hAnsi="Times New Roman" w:cs="Times New Roman"/>
          <w:color w:val="auto"/>
          <w:kern w:val="0"/>
          <w:highlight w:val="none"/>
          <w:lang w:val="en-US" w:eastAsia="zh-CN"/>
        </w:rPr>
        <w:t>，Q=0.000</w:t>
      </w:r>
      <w:r>
        <w:rPr>
          <w:rFonts w:hint="eastAsia" w:cs="Times New Roman"/>
          <w:color w:val="auto"/>
          <w:kern w:val="0"/>
          <w:highlight w:val="none"/>
          <w:lang w:val="en-US" w:eastAsia="zh-CN"/>
        </w:rPr>
        <w:t>16</w:t>
      </w:r>
      <w:r>
        <w:rPr>
          <w:rFonts w:hint="default" w:ascii="Times New Roman" w:hAnsi="Times New Roman" w:cs="Times New Roman"/>
          <w:color w:val="auto"/>
          <w:kern w:val="0"/>
          <w:highlight w:val="none"/>
          <w:lang w:val="en-US" w:eastAsia="zh-CN"/>
        </w:rPr>
        <w:t>，故Q＜1。</w:t>
      </w:r>
    </w:p>
    <w:p w14:paraId="108FB591">
      <w:pPr>
        <w:keepNext w:val="0"/>
        <w:keepLines w:val="0"/>
        <w:pageBreakBefore w:val="0"/>
        <w:widowControl w:val="0"/>
        <w:kinsoku/>
        <w:wordWrap/>
        <w:overflowPunct w:val="0"/>
        <w:topLinePunct/>
        <w:autoSpaceDE/>
        <w:autoSpaceDN/>
        <w:bidi w:val="0"/>
        <w:adjustRightInd/>
        <w:snapToGrid/>
        <w:ind w:firstLine="480"/>
        <w:textAlignment w:val="auto"/>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根据《建设项目环境风险评价技术导则》（HJ169-2018），建设项目环境风险潜势划分为I、</w:t>
      </w:r>
      <w:r>
        <w:rPr>
          <w:rFonts w:hint="default" w:ascii="Times New Roman" w:hAnsi="Times New Roman" w:cs="Times New Roman"/>
          <w:color w:val="auto"/>
          <w:kern w:val="0"/>
          <w:highlight w:val="none"/>
          <w:lang w:eastAsia="zh-CN"/>
        </w:rPr>
        <w:t>Ⅱ</w:t>
      </w:r>
      <w:r>
        <w:rPr>
          <w:rFonts w:hint="default" w:ascii="Times New Roman" w:hAnsi="Times New Roman" w:cs="Times New Roman"/>
          <w:color w:val="auto"/>
          <w:kern w:val="0"/>
          <w:highlight w:val="none"/>
        </w:rPr>
        <w:t>、</w:t>
      </w:r>
      <w:r>
        <w:rPr>
          <w:rFonts w:hint="default" w:ascii="Times New Roman" w:hAnsi="Times New Roman" w:cs="Times New Roman"/>
          <w:color w:val="auto"/>
          <w:kern w:val="0"/>
          <w:highlight w:val="none"/>
          <w:lang w:eastAsia="zh-CN"/>
        </w:rPr>
        <w:t>Ⅱ</w:t>
      </w:r>
      <w:r>
        <w:rPr>
          <w:rFonts w:hint="default" w:ascii="Times New Roman" w:hAnsi="Times New Roman" w:cs="Times New Roman"/>
          <w:color w:val="auto"/>
          <w:kern w:val="0"/>
          <w:highlight w:val="none"/>
        </w:rPr>
        <w:t>、IV/IV</w:t>
      </w:r>
      <w:r>
        <w:rPr>
          <w:rFonts w:hint="default" w:ascii="Times New Roman" w:hAnsi="Times New Roman" w:cs="Times New Roman"/>
          <w:color w:val="auto"/>
          <w:kern w:val="0"/>
          <w:highlight w:val="none"/>
          <w:vertAlign w:val="superscript"/>
        </w:rPr>
        <w:t>+</w:t>
      </w:r>
      <w:r>
        <w:rPr>
          <w:rFonts w:hint="default" w:ascii="Times New Roman" w:hAnsi="Times New Roman" w:cs="Times New Roman"/>
          <w:color w:val="auto"/>
          <w:kern w:val="0"/>
          <w:highlight w:val="none"/>
        </w:rPr>
        <w:t>级。</w:t>
      </w:r>
    </w:p>
    <w:p w14:paraId="22C72FE3">
      <w:pPr>
        <w:widowControl/>
        <w:overflowPunct w:val="0"/>
        <w:topLinePunct/>
        <w:adjustRightInd w:val="0"/>
        <w:snapToGrid w:val="0"/>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根据建设项目涉及的物质和工艺系统的危险性及其所在地的环境敏感程度，结合事故情形下环境影响途径，对建设项目潜在环境危害程度进行概化分析，按照表5.3-3确定环境风险潜势。</w:t>
      </w:r>
    </w:p>
    <w:p w14:paraId="78CEFD0F">
      <w:pPr>
        <w:tabs>
          <w:tab w:val="left" w:pos="0"/>
          <w:tab w:val="left" w:pos="993"/>
        </w:tabs>
        <w:adjustRightInd w:val="0"/>
        <w:snapToGrid w:val="0"/>
        <w:ind w:firstLine="0" w:firstLineChars="0"/>
        <w:jc w:val="center"/>
        <w:rPr>
          <w:rFonts w:hint="default" w:ascii="Times New Roman" w:hAnsi="Times New Roman" w:cs="Times New Roman"/>
          <w:b/>
          <w:color w:val="auto"/>
          <w:szCs w:val="22"/>
          <w:highlight w:val="none"/>
        </w:rPr>
      </w:pPr>
      <w:r>
        <w:rPr>
          <w:rFonts w:hint="default" w:ascii="Times New Roman" w:hAnsi="Times New Roman" w:cs="Times New Roman"/>
          <w:b/>
          <w:color w:val="auto"/>
          <w:szCs w:val="22"/>
          <w:highlight w:val="none"/>
        </w:rPr>
        <w:t>表5.3-3    建设项目环境风险潜势划分</w:t>
      </w:r>
    </w:p>
    <w:tbl>
      <w:tblPr>
        <w:tblStyle w:val="33"/>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81"/>
        <w:gridCol w:w="1561"/>
        <w:gridCol w:w="1558"/>
        <w:gridCol w:w="1562"/>
        <w:gridCol w:w="1560"/>
      </w:tblGrid>
      <w:tr w14:paraId="2DFCD7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281" w:type="dxa"/>
            <w:vMerge w:val="restart"/>
            <w:tcBorders>
              <w:top w:val="single" w:color="auto" w:sz="12" w:space="0"/>
              <w:left w:val="single" w:color="auto" w:sz="12" w:space="0"/>
              <w:bottom w:val="single" w:color="auto" w:sz="4" w:space="0"/>
              <w:right w:val="single" w:color="auto" w:sz="4" w:space="0"/>
            </w:tcBorders>
            <w:vAlign w:val="center"/>
          </w:tcPr>
          <w:p w14:paraId="13316473">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环境敏感程度（E）</w:t>
            </w:r>
          </w:p>
        </w:tc>
        <w:tc>
          <w:tcPr>
            <w:tcW w:w="6241" w:type="dxa"/>
            <w:gridSpan w:val="4"/>
            <w:tcBorders>
              <w:top w:val="single" w:color="auto" w:sz="12" w:space="0"/>
              <w:left w:val="single" w:color="auto" w:sz="4" w:space="0"/>
              <w:bottom w:val="single" w:color="auto" w:sz="4" w:space="0"/>
              <w:right w:val="single" w:color="auto" w:sz="12" w:space="0"/>
            </w:tcBorders>
            <w:vAlign w:val="center"/>
          </w:tcPr>
          <w:p w14:paraId="6F3B0151">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危险物质及工艺系统危险性（P）</w:t>
            </w:r>
          </w:p>
        </w:tc>
      </w:tr>
      <w:tr w14:paraId="018E29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281" w:type="dxa"/>
            <w:vMerge w:val="continue"/>
            <w:tcBorders>
              <w:top w:val="single" w:color="auto" w:sz="12" w:space="0"/>
              <w:left w:val="single" w:color="auto" w:sz="12" w:space="0"/>
              <w:bottom w:val="single" w:color="auto" w:sz="4" w:space="0"/>
              <w:right w:val="single" w:color="auto" w:sz="4" w:space="0"/>
            </w:tcBorders>
            <w:vAlign w:val="center"/>
          </w:tcPr>
          <w:p w14:paraId="1D202E7A">
            <w:pPr>
              <w:widowControl/>
              <w:spacing w:line="360" w:lineRule="exact"/>
              <w:ind w:firstLine="0" w:firstLineChars="0"/>
              <w:jc w:val="left"/>
              <w:rPr>
                <w:rFonts w:hint="default" w:ascii="Times New Roman" w:hAnsi="Times New Roman" w:cs="Times New Roman"/>
                <w:b/>
                <w:bCs/>
                <w:color w:val="auto"/>
                <w:sz w:val="21"/>
                <w:szCs w:val="21"/>
                <w:highlight w:val="none"/>
              </w:rPr>
            </w:pPr>
          </w:p>
        </w:tc>
        <w:tc>
          <w:tcPr>
            <w:tcW w:w="1561" w:type="dxa"/>
            <w:tcBorders>
              <w:top w:val="single" w:color="auto" w:sz="4" w:space="0"/>
              <w:left w:val="single" w:color="auto" w:sz="4" w:space="0"/>
              <w:bottom w:val="single" w:color="auto" w:sz="4" w:space="0"/>
              <w:right w:val="single" w:color="auto" w:sz="4" w:space="0"/>
            </w:tcBorders>
            <w:vAlign w:val="center"/>
          </w:tcPr>
          <w:p w14:paraId="7E663D9C">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极高危害（P1）</w:t>
            </w:r>
          </w:p>
        </w:tc>
        <w:tc>
          <w:tcPr>
            <w:tcW w:w="1558" w:type="dxa"/>
            <w:tcBorders>
              <w:top w:val="single" w:color="auto" w:sz="4" w:space="0"/>
              <w:left w:val="single" w:color="auto" w:sz="4" w:space="0"/>
              <w:bottom w:val="single" w:color="auto" w:sz="4" w:space="0"/>
              <w:right w:val="single" w:color="auto" w:sz="4" w:space="0"/>
            </w:tcBorders>
            <w:vAlign w:val="center"/>
          </w:tcPr>
          <w:p w14:paraId="5BFF8CF8">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高度危害（P2）</w:t>
            </w:r>
          </w:p>
        </w:tc>
        <w:tc>
          <w:tcPr>
            <w:tcW w:w="1562" w:type="dxa"/>
            <w:tcBorders>
              <w:top w:val="single" w:color="auto" w:sz="4" w:space="0"/>
              <w:left w:val="single" w:color="auto" w:sz="4" w:space="0"/>
              <w:bottom w:val="single" w:color="auto" w:sz="4" w:space="0"/>
              <w:right w:val="single" w:color="auto" w:sz="4" w:space="0"/>
            </w:tcBorders>
            <w:vAlign w:val="center"/>
          </w:tcPr>
          <w:p w14:paraId="0546E713">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中度危害（P3）</w:t>
            </w:r>
          </w:p>
        </w:tc>
        <w:tc>
          <w:tcPr>
            <w:tcW w:w="1560" w:type="dxa"/>
            <w:tcBorders>
              <w:top w:val="single" w:color="auto" w:sz="4" w:space="0"/>
              <w:left w:val="single" w:color="auto" w:sz="4" w:space="0"/>
              <w:bottom w:val="single" w:color="auto" w:sz="4" w:space="0"/>
              <w:right w:val="single" w:color="auto" w:sz="12" w:space="0"/>
            </w:tcBorders>
            <w:vAlign w:val="center"/>
          </w:tcPr>
          <w:p w14:paraId="6463E224">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轻度危害（P4）</w:t>
            </w:r>
          </w:p>
        </w:tc>
      </w:tr>
      <w:tr w14:paraId="55A27D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281" w:type="dxa"/>
            <w:tcBorders>
              <w:top w:val="single" w:color="auto" w:sz="4" w:space="0"/>
              <w:left w:val="single" w:color="auto" w:sz="12" w:space="0"/>
              <w:bottom w:val="single" w:color="auto" w:sz="4" w:space="0"/>
              <w:right w:val="single" w:color="auto" w:sz="4" w:space="0"/>
            </w:tcBorders>
            <w:vAlign w:val="center"/>
          </w:tcPr>
          <w:p w14:paraId="434640D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环境高度敏感区（E1）</w:t>
            </w:r>
          </w:p>
        </w:tc>
        <w:tc>
          <w:tcPr>
            <w:tcW w:w="1561" w:type="dxa"/>
            <w:tcBorders>
              <w:top w:val="single" w:color="auto" w:sz="4" w:space="0"/>
              <w:left w:val="single" w:color="auto" w:sz="4" w:space="0"/>
              <w:bottom w:val="single" w:color="auto" w:sz="4" w:space="0"/>
              <w:right w:val="single" w:color="auto" w:sz="4" w:space="0"/>
            </w:tcBorders>
            <w:vAlign w:val="center"/>
          </w:tcPr>
          <w:p w14:paraId="0714069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IV</w:t>
            </w:r>
            <w:r>
              <w:rPr>
                <w:rFonts w:hint="default" w:ascii="Times New Roman" w:hAnsi="Times New Roman" w:cs="Times New Roman"/>
                <w:color w:val="auto"/>
                <w:sz w:val="21"/>
                <w:szCs w:val="21"/>
                <w:highlight w:val="none"/>
                <w:vertAlign w:val="superscript"/>
              </w:rPr>
              <w:t>+</w:t>
            </w:r>
          </w:p>
        </w:tc>
        <w:tc>
          <w:tcPr>
            <w:tcW w:w="1558" w:type="dxa"/>
            <w:tcBorders>
              <w:top w:val="single" w:color="auto" w:sz="4" w:space="0"/>
              <w:left w:val="single" w:color="auto" w:sz="4" w:space="0"/>
              <w:bottom w:val="single" w:color="auto" w:sz="4" w:space="0"/>
              <w:right w:val="single" w:color="auto" w:sz="4" w:space="0"/>
            </w:tcBorders>
            <w:vAlign w:val="center"/>
          </w:tcPr>
          <w:p w14:paraId="47543C5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IV</w:t>
            </w:r>
          </w:p>
        </w:tc>
        <w:tc>
          <w:tcPr>
            <w:tcW w:w="1562" w:type="dxa"/>
            <w:tcBorders>
              <w:top w:val="single" w:color="auto" w:sz="4" w:space="0"/>
              <w:left w:val="single" w:color="auto" w:sz="4" w:space="0"/>
              <w:bottom w:val="single" w:color="auto" w:sz="4" w:space="0"/>
              <w:right w:val="single" w:color="auto" w:sz="4" w:space="0"/>
            </w:tcBorders>
            <w:vAlign w:val="center"/>
          </w:tcPr>
          <w:p w14:paraId="1125B65A">
            <w:pPr>
              <w:spacing w:line="360" w:lineRule="exact"/>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rPr>
              <w:t>Ⅲ</w:t>
            </w:r>
          </w:p>
        </w:tc>
        <w:tc>
          <w:tcPr>
            <w:tcW w:w="1560" w:type="dxa"/>
            <w:tcBorders>
              <w:top w:val="single" w:color="auto" w:sz="4" w:space="0"/>
              <w:left w:val="single" w:color="auto" w:sz="4" w:space="0"/>
              <w:bottom w:val="single" w:color="auto" w:sz="4" w:space="0"/>
              <w:right w:val="single" w:color="auto" w:sz="12" w:space="0"/>
            </w:tcBorders>
            <w:vAlign w:val="center"/>
          </w:tcPr>
          <w:p w14:paraId="6299F4A9">
            <w:pPr>
              <w:spacing w:line="360" w:lineRule="exact"/>
              <w:ind w:firstLine="0" w:firstLineChars="0"/>
              <w:jc w:val="center"/>
              <w:rPr>
                <w:rFonts w:hint="default" w:ascii="Times New Roman" w:hAnsi="Times New Roman" w:cs="Times New Roman"/>
                <w:b/>
                <w:color w:val="auto"/>
                <w:sz w:val="21"/>
                <w:szCs w:val="21"/>
                <w:highlight w:val="none"/>
              </w:rPr>
            </w:pPr>
            <w:r>
              <w:rPr>
                <w:rFonts w:hint="eastAsia" w:cs="Times New Roman"/>
                <w:color w:val="auto"/>
                <w:sz w:val="21"/>
                <w:szCs w:val="21"/>
                <w:highlight w:val="none"/>
                <w:lang w:eastAsia="zh-CN"/>
              </w:rPr>
              <w:t>Ⅲ</w:t>
            </w:r>
          </w:p>
        </w:tc>
      </w:tr>
      <w:tr w14:paraId="397251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281" w:type="dxa"/>
            <w:tcBorders>
              <w:top w:val="single" w:color="auto" w:sz="4" w:space="0"/>
              <w:left w:val="single" w:color="auto" w:sz="12" w:space="0"/>
              <w:bottom w:val="single" w:color="auto" w:sz="4" w:space="0"/>
              <w:right w:val="single" w:color="auto" w:sz="4" w:space="0"/>
            </w:tcBorders>
            <w:vAlign w:val="center"/>
          </w:tcPr>
          <w:p w14:paraId="3303513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环境中度敏感区（E2）</w:t>
            </w:r>
          </w:p>
        </w:tc>
        <w:tc>
          <w:tcPr>
            <w:tcW w:w="1561" w:type="dxa"/>
            <w:tcBorders>
              <w:top w:val="single" w:color="auto" w:sz="4" w:space="0"/>
              <w:left w:val="single" w:color="auto" w:sz="4" w:space="0"/>
              <w:bottom w:val="single" w:color="auto" w:sz="4" w:space="0"/>
              <w:right w:val="single" w:color="auto" w:sz="4" w:space="0"/>
            </w:tcBorders>
            <w:vAlign w:val="center"/>
          </w:tcPr>
          <w:p w14:paraId="397BA32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IV</w:t>
            </w:r>
          </w:p>
        </w:tc>
        <w:tc>
          <w:tcPr>
            <w:tcW w:w="1558" w:type="dxa"/>
            <w:tcBorders>
              <w:top w:val="single" w:color="auto" w:sz="4" w:space="0"/>
              <w:left w:val="single" w:color="auto" w:sz="4" w:space="0"/>
              <w:bottom w:val="single" w:color="auto" w:sz="4" w:space="0"/>
              <w:right w:val="single" w:color="auto" w:sz="4" w:space="0"/>
            </w:tcBorders>
            <w:vAlign w:val="center"/>
          </w:tcPr>
          <w:p w14:paraId="6E966533">
            <w:pPr>
              <w:spacing w:line="360" w:lineRule="exact"/>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rPr>
              <w:t>Ⅲ</w:t>
            </w:r>
          </w:p>
        </w:tc>
        <w:tc>
          <w:tcPr>
            <w:tcW w:w="1562" w:type="dxa"/>
            <w:tcBorders>
              <w:top w:val="single" w:color="auto" w:sz="4" w:space="0"/>
              <w:left w:val="single" w:color="auto" w:sz="4" w:space="0"/>
              <w:bottom w:val="single" w:color="auto" w:sz="4" w:space="0"/>
              <w:right w:val="single" w:color="auto" w:sz="4" w:space="0"/>
            </w:tcBorders>
            <w:vAlign w:val="center"/>
          </w:tcPr>
          <w:p w14:paraId="4EB8E148">
            <w:pPr>
              <w:spacing w:line="360" w:lineRule="exact"/>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rPr>
              <w:t>Ⅲ</w:t>
            </w:r>
          </w:p>
        </w:tc>
        <w:tc>
          <w:tcPr>
            <w:tcW w:w="1560" w:type="dxa"/>
            <w:tcBorders>
              <w:top w:val="single" w:color="auto" w:sz="4" w:space="0"/>
              <w:left w:val="single" w:color="auto" w:sz="4" w:space="0"/>
              <w:bottom w:val="single" w:color="auto" w:sz="4" w:space="0"/>
              <w:right w:val="single" w:color="auto" w:sz="12" w:space="0"/>
            </w:tcBorders>
            <w:vAlign w:val="center"/>
          </w:tcPr>
          <w:p w14:paraId="37927998">
            <w:pPr>
              <w:spacing w:line="360" w:lineRule="exac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color w:val="auto"/>
                <w:sz w:val="21"/>
                <w:szCs w:val="21"/>
                <w:highlight w:val="none"/>
              </w:rPr>
              <w:t>II</w:t>
            </w:r>
          </w:p>
        </w:tc>
      </w:tr>
      <w:tr w14:paraId="386A5E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281" w:type="dxa"/>
            <w:tcBorders>
              <w:top w:val="single" w:color="auto" w:sz="4" w:space="0"/>
              <w:left w:val="single" w:color="auto" w:sz="12" w:space="0"/>
              <w:bottom w:val="single" w:color="auto" w:sz="4" w:space="0"/>
              <w:right w:val="single" w:color="auto" w:sz="4" w:space="0"/>
            </w:tcBorders>
            <w:vAlign w:val="center"/>
          </w:tcPr>
          <w:p w14:paraId="461C207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环境低度敏感区（E3）</w:t>
            </w:r>
          </w:p>
        </w:tc>
        <w:tc>
          <w:tcPr>
            <w:tcW w:w="1561" w:type="dxa"/>
            <w:tcBorders>
              <w:top w:val="single" w:color="auto" w:sz="4" w:space="0"/>
              <w:left w:val="single" w:color="auto" w:sz="4" w:space="0"/>
              <w:bottom w:val="single" w:color="auto" w:sz="4" w:space="0"/>
              <w:right w:val="single" w:color="auto" w:sz="4" w:space="0"/>
            </w:tcBorders>
            <w:vAlign w:val="center"/>
          </w:tcPr>
          <w:p w14:paraId="019E52D5">
            <w:pPr>
              <w:spacing w:line="360" w:lineRule="exact"/>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rPr>
              <w:t>Ⅲ</w:t>
            </w:r>
          </w:p>
        </w:tc>
        <w:tc>
          <w:tcPr>
            <w:tcW w:w="1558" w:type="dxa"/>
            <w:tcBorders>
              <w:top w:val="single" w:color="auto" w:sz="4" w:space="0"/>
              <w:left w:val="single" w:color="auto" w:sz="4" w:space="0"/>
              <w:bottom w:val="single" w:color="auto" w:sz="4" w:space="0"/>
              <w:right w:val="single" w:color="auto" w:sz="4" w:space="0"/>
            </w:tcBorders>
            <w:vAlign w:val="center"/>
          </w:tcPr>
          <w:p w14:paraId="06797FEB">
            <w:pPr>
              <w:spacing w:line="360" w:lineRule="exact"/>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rPr>
              <w:t>Ⅲ</w:t>
            </w:r>
          </w:p>
        </w:tc>
        <w:tc>
          <w:tcPr>
            <w:tcW w:w="1562" w:type="dxa"/>
            <w:tcBorders>
              <w:top w:val="single" w:color="auto" w:sz="4" w:space="0"/>
              <w:left w:val="single" w:color="auto" w:sz="4" w:space="0"/>
              <w:bottom w:val="single" w:color="auto" w:sz="4" w:space="0"/>
              <w:right w:val="single" w:color="auto" w:sz="4" w:space="0"/>
            </w:tcBorders>
            <w:vAlign w:val="center"/>
          </w:tcPr>
          <w:p w14:paraId="27E8439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II</w:t>
            </w:r>
          </w:p>
        </w:tc>
        <w:tc>
          <w:tcPr>
            <w:tcW w:w="1560" w:type="dxa"/>
            <w:tcBorders>
              <w:top w:val="single" w:color="auto" w:sz="4" w:space="0"/>
              <w:left w:val="single" w:color="auto" w:sz="4" w:space="0"/>
              <w:bottom w:val="single" w:color="auto" w:sz="4" w:space="0"/>
              <w:right w:val="single" w:color="auto" w:sz="12" w:space="0"/>
            </w:tcBorders>
            <w:vAlign w:val="center"/>
          </w:tcPr>
          <w:p w14:paraId="1C7E92D6">
            <w:pPr>
              <w:spacing w:line="360" w:lineRule="exac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Cs/>
                <w:color w:val="auto"/>
                <w:sz w:val="21"/>
                <w:szCs w:val="21"/>
                <w:highlight w:val="none"/>
              </w:rPr>
              <w:t>I</w:t>
            </w:r>
          </w:p>
        </w:tc>
      </w:tr>
      <w:tr w14:paraId="751BB1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8522" w:type="dxa"/>
            <w:gridSpan w:val="5"/>
            <w:tcBorders>
              <w:top w:val="single" w:color="auto" w:sz="4" w:space="0"/>
              <w:left w:val="single" w:color="auto" w:sz="12" w:space="0"/>
              <w:bottom w:val="single" w:color="auto" w:sz="12" w:space="0"/>
              <w:right w:val="single" w:color="auto" w:sz="12" w:space="0"/>
            </w:tcBorders>
            <w:vAlign w:val="center"/>
          </w:tcPr>
          <w:p w14:paraId="3DBD92D5">
            <w:pPr>
              <w:spacing w:line="360" w:lineRule="exact"/>
              <w:ind w:firstLine="0" w:firstLineChars="0"/>
              <w:rPr>
                <w:rFonts w:hint="default" w:ascii="Times New Roman" w:hAnsi="Times New Roman" w:cs="Times New Roman"/>
                <w:b/>
                <w:color w:val="auto"/>
                <w:sz w:val="21"/>
                <w:szCs w:val="21"/>
                <w:highlight w:val="none"/>
              </w:rPr>
            </w:pPr>
            <w:r>
              <w:rPr>
                <w:rFonts w:hint="default" w:ascii="Times New Roman" w:hAnsi="Times New Roman" w:cs="Times New Roman"/>
                <w:color w:val="auto"/>
                <w:sz w:val="21"/>
                <w:szCs w:val="21"/>
                <w:highlight w:val="none"/>
              </w:rPr>
              <w:t>注：</w:t>
            </w:r>
            <w:r>
              <w:rPr>
                <w:rFonts w:hint="eastAsia" w:cs="Times New Roman"/>
                <w:color w:val="auto"/>
                <w:sz w:val="21"/>
                <w:szCs w:val="21"/>
                <w:highlight w:val="none"/>
                <w:lang w:eastAsia="zh-CN"/>
              </w:rPr>
              <w:t>Ⅳ</w:t>
            </w:r>
            <w:r>
              <w:rPr>
                <w:rFonts w:hint="default" w:ascii="Times New Roman" w:hAnsi="Times New Roman" w:cs="Times New Roman"/>
                <w:color w:val="auto"/>
                <w:sz w:val="21"/>
                <w:szCs w:val="21"/>
                <w:highlight w:val="none"/>
                <w:vertAlign w:val="superscript"/>
              </w:rPr>
              <w:t xml:space="preserve">+ </w:t>
            </w:r>
            <w:r>
              <w:rPr>
                <w:rFonts w:hint="default" w:ascii="Times New Roman" w:hAnsi="Times New Roman" w:cs="Times New Roman"/>
                <w:color w:val="auto"/>
                <w:sz w:val="21"/>
                <w:szCs w:val="21"/>
                <w:highlight w:val="none"/>
              </w:rPr>
              <w:t>为极高环境风险</w:t>
            </w:r>
          </w:p>
        </w:tc>
      </w:tr>
    </w:tbl>
    <w:p w14:paraId="14FD918C">
      <w:pPr>
        <w:widowControl/>
        <w:overflowPunct w:val="0"/>
        <w:topLinePunct/>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本项目位于偏远地区，且本项目</w:t>
      </w:r>
      <w:r>
        <w:rPr>
          <w:rFonts w:hint="default" w:ascii="Times New Roman" w:hAnsi="Times New Roman" w:eastAsia="微软雅黑" w:cs="Times New Roman"/>
          <w:i/>
          <w:color w:val="auto"/>
          <w:kern w:val="0"/>
          <w:sz w:val="25"/>
          <w:szCs w:val="25"/>
          <w:highlight w:val="none"/>
        </w:rPr>
        <w:t>Q</w:t>
      </w:r>
      <w:r>
        <w:rPr>
          <w:rFonts w:hint="default" w:ascii="Times New Roman" w:hAnsi="Times New Roman" w:cs="Times New Roman"/>
          <w:color w:val="auto"/>
          <w:kern w:val="0"/>
          <w:sz w:val="22"/>
          <w:szCs w:val="21"/>
          <w:highlight w:val="none"/>
        </w:rPr>
        <w:t>＜</w:t>
      </w:r>
      <w:r>
        <w:rPr>
          <w:rFonts w:hint="default" w:ascii="Times New Roman" w:hAnsi="Times New Roman" w:eastAsia="微软雅黑" w:cs="Times New Roman"/>
          <w:color w:val="auto"/>
          <w:kern w:val="0"/>
          <w:highlight w:val="none"/>
        </w:rPr>
        <w:t>1</w:t>
      </w:r>
      <w:r>
        <w:rPr>
          <w:rFonts w:hint="default" w:ascii="Times New Roman" w:hAnsi="Times New Roman" w:cs="Times New Roman"/>
          <w:color w:val="auto"/>
          <w:highlight w:val="none"/>
        </w:rPr>
        <w:t>，本项目环境风险潜势为</w:t>
      </w:r>
      <w:r>
        <w:rPr>
          <w:rFonts w:hint="default" w:ascii="Times New Roman" w:hAnsi="Times New Roman" w:cs="Times New Roman"/>
          <w:color w:val="auto"/>
          <w:highlight w:val="none"/>
          <w:lang w:eastAsia="zh-CN"/>
        </w:rPr>
        <w:t>I</w:t>
      </w:r>
      <w:r>
        <w:rPr>
          <w:rFonts w:hint="default" w:ascii="Times New Roman" w:hAnsi="Times New Roman" w:cs="Times New Roman"/>
          <w:color w:val="auto"/>
          <w:highlight w:val="none"/>
        </w:rPr>
        <w:t>，</w:t>
      </w:r>
      <w:r>
        <w:rPr>
          <w:rFonts w:hint="default" w:ascii="Times New Roman" w:hAnsi="Times New Roman" w:cs="Times New Roman"/>
          <w:snapToGrid w:val="0"/>
          <w:color w:val="auto"/>
          <w:szCs w:val="22"/>
          <w:highlight w:val="none"/>
        </w:rPr>
        <w:t>风险评价为简单分析</w:t>
      </w:r>
      <w:r>
        <w:rPr>
          <w:rFonts w:hint="default" w:ascii="Times New Roman" w:hAnsi="Times New Roman" w:cs="Times New Roman"/>
          <w:color w:val="auto"/>
          <w:highlight w:val="none"/>
        </w:rPr>
        <w:t>。</w:t>
      </w:r>
    </w:p>
    <w:p w14:paraId="36CFA304">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（2）尾矿库</w:t>
      </w:r>
    </w:p>
    <w:p w14:paraId="108334DB">
      <w:pPr>
        <w:adjustRightInd w:val="0"/>
        <w:snapToGrid w:val="0"/>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环境风险评价的目的是分析和预测建设项目存在的潜在危险、有害因素</w:t>
      </w:r>
      <w:r>
        <w:rPr>
          <w:rFonts w:hint="eastAsia" w:cs="Times New Roman"/>
          <w:color w:val="auto"/>
          <w:kern w:val="0"/>
          <w:highlight w:val="none"/>
          <w:lang w:eastAsia="zh-CN"/>
        </w:rPr>
        <w:t>，对</w:t>
      </w:r>
      <w:r>
        <w:rPr>
          <w:rFonts w:hint="default" w:ascii="Times New Roman" w:hAnsi="Times New Roman" w:cs="Times New Roman"/>
          <w:color w:val="auto"/>
          <w:kern w:val="0"/>
          <w:highlight w:val="none"/>
        </w:rPr>
        <w:t>建设项目建设和运行期间可能产生的突发性事件或事故（一般不包括人为破坏及自然灾害），引起有毒有害和易燃易爆等物质泄漏，所造成的人身安全与环境影响和损害程度，提出合理可行的防范、应急减缓措施，以使建设项目的事故率、损失和环境影响降低到可接受水平。</w:t>
      </w:r>
    </w:p>
    <w:p w14:paraId="3FAF05B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本项目环评主要针对生产过程中可能发生的环境风险事故，进行环境影响预测分析，并提出风险防范措施及应急预案，力求将环境风险影响降至最低。</w:t>
      </w:r>
    </w:p>
    <w:p w14:paraId="1AB2389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《尾矿库环境风险评估技术导则（试行）》（HJ740-2015）从尾矿库的环境危害性（H）、周边环境敏感性（S）、控制机制可靠性（R）三个方面进行环境风险等级的划分。评价等级划分指标体系见图5.3-1。</w:t>
      </w:r>
    </w:p>
    <w:p w14:paraId="0B4159DF">
      <w:pPr>
        <w:spacing w:line="240" w:lineRule="auto"/>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257165" cy="1304290"/>
            <wp:effectExtent l="0" t="0" r="635" b="10160"/>
            <wp:docPr id="2" name="图片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78"/>
                    <pic:cNvPicPr>
                      <a:picLocks noChangeAspect="1"/>
                    </pic:cNvPicPr>
                  </pic:nvPicPr>
                  <pic:blipFill>
                    <a:blip r:embed="rId53" cstate="print"/>
                    <a:stretch>
                      <a:fillRect/>
                    </a:stretch>
                  </pic:blipFill>
                  <pic:spPr>
                    <a:xfrm>
                      <a:off x="0" y="0"/>
                      <a:ext cx="5257165" cy="1304290"/>
                    </a:xfrm>
                    <a:prstGeom prst="rect">
                      <a:avLst/>
                    </a:prstGeom>
                    <a:noFill/>
                    <a:ln>
                      <a:noFill/>
                    </a:ln>
                  </pic:spPr>
                </pic:pic>
              </a:graphicData>
            </a:graphic>
          </wp:inline>
        </w:drawing>
      </w:r>
    </w:p>
    <w:p w14:paraId="46753DA6">
      <w:pPr>
        <w:ind w:firstLine="0" w:firstLineChars="0"/>
        <w:jc w:val="center"/>
        <w:rPr>
          <w:rFonts w:hint="default" w:ascii="Times New Roman" w:hAnsi="Times New Roman" w:cs="Times New Roman"/>
          <w:color w:val="auto"/>
          <w:highlight w:val="none"/>
        </w:rPr>
      </w:pPr>
      <w:r>
        <w:rPr>
          <w:rFonts w:hint="default" w:ascii="Times New Roman" w:hAnsi="Times New Roman" w:cs="Times New Roman"/>
          <w:b/>
          <w:color w:val="auto"/>
          <w:kern w:val="0"/>
          <w:highlight w:val="none"/>
        </w:rPr>
        <w:t>图5.3-1    评价等级划分指标体系</w:t>
      </w:r>
    </w:p>
    <w:p w14:paraId="3CF27E90">
      <w:pPr>
        <w:overflowPunct w:val="0"/>
        <w:topLinePunct/>
        <w:ind w:left="482"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1）尾矿库环境风险预判</w:t>
      </w:r>
    </w:p>
    <w:p w14:paraId="32AA66F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本项目新建的尾矿库</w:t>
      </w:r>
      <w:r>
        <w:rPr>
          <w:rFonts w:hint="default" w:ascii="Times New Roman" w:hAnsi="Times New Roman" w:cs="Times New Roman"/>
          <w:color w:val="auto"/>
          <w:szCs w:val="28"/>
          <w:highlight w:val="none"/>
        </w:rPr>
        <w:t>最终堆积标高</w:t>
      </w:r>
      <w:r>
        <w:rPr>
          <w:rFonts w:hint="default" w:ascii="Times New Roman" w:hAnsi="Times New Roman" w:cs="Times New Roman"/>
          <w:color w:val="auto"/>
          <w:szCs w:val="28"/>
          <w:highlight w:val="none"/>
          <w:lang w:val="en-US" w:eastAsia="zh-CN"/>
        </w:rPr>
        <w:t>1187</w:t>
      </w:r>
      <w:r>
        <w:rPr>
          <w:rFonts w:hint="default" w:ascii="Times New Roman" w:hAnsi="Times New Roman" w:cs="Times New Roman"/>
          <w:color w:val="auto"/>
          <w:szCs w:val="28"/>
          <w:highlight w:val="none"/>
        </w:rPr>
        <w:t>m，尾矿库总坝高为16m（一期坝高9m，二期加高7m），总库容</w:t>
      </w:r>
      <w:r>
        <w:rPr>
          <w:rFonts w:hint="default" w:ascii="Times New Roman" w:hAnsi="Times New Roman" w:cs="Times New Roman"/>
          <w:color w:val="auto"/>
          <w:szCs w:val="28"/>
          <w:highlight w:val="none"/>
          <w:lang w:val="en-US" w:eastAsia="zh-CN"/>
        </w:rPr>
        <w:t>102</w:t>
      </w:r>
      <w:r>
        <w:rPr>
          <w:rFonts w:hint="default" w:ascii="Times New Roman" w:hAnsi="Times New Roman" w:cs="Times New Roman"/>
          <w:color w:val="auto"/>
          <w:szCs w:val="28"/>
          <w:highlight w:val="none"/>
        </w:rPr>
        <w:t>万m</w:t>
      </w:r>
      <w:r>
        <w:rPr>
          <w:rFonts w:hint="default" w:ascii="Times New Roman" w:hAnsi="Times New Roman" w:cs="Times New Roman"/>
          <w:color w:val="auto"/>
          <w:szCs w:val="28"/>
          <w:highlight w:val="none"/>
          <w:vertAlign w:val="superscript"/>
        </w:rPr>
        <w:t>3</w:t>
      </w:r>
      <w:r>
        <w:rPr>
          <w:rFonts w:hint="default" w:ascii="Times New Roman" w:hAnsi="Times New Roman" w:cs="Times New Roman"/>
          <w:color w:val="auto"/>
          <w:szCs w:val="28"/>
          <w:highlight w:val="none"/>
          <w:lang w:eastAsia="zh-CN"/>
        </w:rPr>
        <w:t>，</w:t>
      </w:r>
      <w:r>
        <w:rPr>
          <w:rFonts w:hint="default" w:ascii="Times New Roman" w:hAnsi="Times New Roman" w:cs="Times New Roman"/>
          <w:color w:val="auto"/>
          <w:szCs w:val="28"/>
          <w:highlight w:val="none"/>
        </w:rPr>
        <w:t>尾矿库等别为</w:t>
      </w:r>
      <w:r>
        <w:rPr>
          <w:rFonts w:hint="default" w:ascii="Times New Roman" w:hAnsi="Times New Roman" w:cs="Times New Roman"/>
          <w:color w:val="auto"/>
          <w:szCs w:val="28"/>
          <w:highlight w:val="none"/>
          <w:lang w:val="en-US" w:eastAsia="zh-CN"/>
        </w:rPr>
        <w:t>四</w:t>
      </w:r>
      <w:r>
        <w:rPr>
          <w:rFonts w:hint="default" w:ascii="Times New Roman" w:hAnsi="Times New Roman" w:cs="Times New Roman"/>
          <w:color w:val="auto"/>
          <w:szCs w:val="28"/>
          <w:highlight w:val="none"/>
        </w:rPr>
        <w:t>等，尾矿库可服务约</w:t>
      </w:r>
      <w:r>
        <w:rPr>
          <w:rFonts w:hint="default" w:ascii="Times New Roman" w:hAnsi="Times New Roman" w:cs="Times New Roman"/>
          <w:color w:val="auto"/>
          <w:szCs w:val="28"/>
          <w:highlight w:val="none"/>
          <w:lang w:val="en-US" w:eastAsia="zh-CN"/>
        </w:rPr>
        <w:t>5.2</w:t>
      </w:r>
      <w:r>
        <w:rPr>
          <w:rFonts w:hint="default" w:ascii="Times New Roman" w:hAnsi="Times New Roman" w:cs="Times New Roman"/>
          <w:color w:val="auto"/>
          <w:szCs w:val="28"/>
          <w:highlight w:val="none"/>
        </w:rPr>
        <w:t>年。</w:t>
      </w:r>
    </w:p>
    <w:p w14:paraId="7F27FCD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本尾矿库主要堆放浮选尾矿，根据选矿试验尾矿浸出毒性试验检测结果可知，尾矿属于</w:t>
      </w:r>
      <w:r>
        <w:rPr>
          <w:rFonts w:hint="default" w:ascii="Times New Roman" w:hAnsi="Times New Roman" w:cs="Times New Roman"/>
          <w:color w:val="auto"/>
          <w:highlight w:val="none"/>
          <w:lang w:eastAsia="zh-CN"/>
        </w:rPr>
        <w:t>I</w:t>
      </w:r>
      <w:r>
        <w:rPr>
          <w:rFonts w:hint="default" w:ascii="Times New Roman" w:hAnsi="Times New Roman" w:cs="Times New Roman"/>
          <w:color w:val="auto"/>
          <w:highlight w:val="none"/>
        </w:rPr>
        <w:t>类固废。</w:t>
      </w:r>
    </w:p>
    <w:p w14:paraId="6AD26DB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从尾矿库的类型、规模、周边环境敏感性、安全性、历史事件与环境违法情况五个方面，利用尾矿库环境风险预判表（附录A，见下表）对尾矿库环境风险进行初步分析，对于满足预判表中任何条件之一的尾矿库即认定为重点环境监管尾矿库，需要进一步开展后续的环境风险评估工作。非重点环境监管尾矿库只需开展风险预判工作，并记录风险预判过程和预判结果。</w:t>
      </w:r>
    </w:p>
    <w:p w14:paraId="4B6C3B59">
      <w:pPr>
        <w:ind w:firstLine="0" w:firstLineChars="0"/>
        <w:jc w:val="center"/>
        <w:rPr>
          <w:rFonts w:hint="default" w:ascii="Times New Roman" w:hAnsi="Times New Roman" w:cs="Times New Roman"/>
          <w:color w:val="auto"/>
          <w:highlight w:val="none"/>
        </w:rPr>
      </w:pPr>
      <w:r>
        <w:rPr>
          <w:rFonts w:hint="default" w:ascii="Times New Roman" w:hAnsi="Times New Roman" w:cs="Times New Roman"/>
          <w:b/>
          <w:color w:val="auto"/>
          <w:kern w:val="0"/>
          <w:highlight w:val="none"/>
        </w:rPr>
        <w:t>表5.3-4    尾矿库环境风险预判表</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777"/>
        <w:gridCol w:w="5178"/>
        <w:gridCol w:w="920"/>
        <w:gridCol w:w="637"/>
      </w:tblGrid>
      <w:tr w14:paraId="163FEA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659" w:type="pct"/>
            <w:gridSpan w:val="4"/>
            <w:vAlign w:val="center"/>
          </w:tcPr>
          <w:p w14:paraId="42B57F10">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kern w:val="0"/>
                <w:sz w:val="21"/>
                <w:szCs w:val="21"/>
                <w:highlight w:val="none"/>
                <w:lang w:bidi="ar"/>
              </w:rPr>
              <w:t>符合下列情形之一，列入重点环境监管尾矿库</w:t>
            </w:r>
          </w:p>
        </w:tc>
        <w:tc>
          <w:tcPr>
            <w:tcW w:w="340" w:type="pct"/>
            <w:vAlign w:val="center"/>
          </w:tcPr>
          <w:p w14:paraId="77A6490F">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kern w:val="0"/>
                <w:sz w:val="21"/>
                <w:szCs w:val="21"/>
                <w:highlight w:val="none"/>
                <w:lang w:bidi="ar"/>
              </w:rPr>
              <w:t>相关说明</w:t>
            </w:r>
          </w:p>
        </w:tc>
      </w:tr>
      <w:tr w14:paraId="38F770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1" w:type="pct"/>
            <w:vMerge w:val="restart"/>
            <w:vAlign w:val="center"/>
          </w:tcPr>
          <w:p w14:paraId="59DCC317">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kern w:val="0"/>
                <w:sz w:val="21"/>
                <w:szCs w:val="21"/>
                <w:highlight w:val="none"/>
                <w:lang w:bidi="ar"/>
              </w:rPr>
              <w:t>类型</w:t>
            </w:r>
          </w:p>
        </w:tc>
        <w:tc>
          <w:tcPr>
            <w:tcW w:w="3510" w:type="pct"/>
            <w:gridSpan w:val="2"/>
            <w:vAlign w:val="center"/>
          </w:tcPr>
          <w:p w14:paraId="1E63ECE3">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矿种类型（包括主矿种、附属矿种）/尾矿（或尾矿水）成分类型</w:t>
            </w:r>
          </w:p>
        </w:tc>
        <w:tc>
          <w:tcPr>
            <w:tcW w:w="546" w:type="pct"/>
            <w:vAlign w:val="center"/>
          </w:tcPr>
          <w:p w14:paraId="723690C8">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固体废物类型</w:t>
            </w:r>
          </w:p>
        </w:tc>
        <w:tc>
          <w:tcPr>
            <w:tcW w:w="340" w:type="pct"/>
            <w:vMerge w:val="restart"/>
            <w:vAlign w:val="center"/>
          </w:tcPr>
          <w:p w14:paraId="1E394036">
            <w:pPr>
              <w:pStyle w:val="126"/>
              <w:spacing w:line="320" w:lineRule="exact"/>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不涉及</w:t>
            </w:r>
          </w:p>
        </w:tc>
      </w:tr>
      <w:tr w14:paraId="6EF858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1" w:type="pct"/>
            <w:vMerge w:val="continue"/>
            <w:vAlign w:val="center"/>
          </w:tcPr>
          <w:p w14:paraId="5CA9983A">
            <w:pPr>
              <w:pStyle w:val="126"/>
              <w:spacing w:line="320" w:lineRule="exact"/>
              <w:ind w:firstLine="0" w:firstLineChars="0"/>
              <w:jc w:val="center"/>
              <w:rPr>
                <w:rFonts w:hint="default" w:ascii="Times New Roman" w:hAnsi="Times New Roman" w:eastAsia="宋体" w:cs="Times New Roman"/>
                <w:color w:val="auto"/>
                <w:sz w:val="21"/>
                <w:szCs w:val="21"/>
                <w:highlight w:val="none"/>
              </w:rPr>
            </w:pPr>
          </w:p>
        </w:tc>
        <w:tc>
          <w:tcPr>
            <w:tcW w:w="3510" w:type="pct"/>
            <w:gridSpan w:val="2"/>
            <w:vAlign w:val="center"/>
          </w:tcPr>
          <w:p w14:paraId="1CC7F68B">
            <w:pPr>
              <w:widowControl/>
              <w:spacing w:line="32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1、相关的生产过程中使用了列入《重点环境管理危险化学品目录》的危险化学品。</w:t>
            </w:r>
          </w:p>
          <w:p w14:paraId="1E382093">
            <w:pPr>
              <w:widowControl/>
              <w:spacing w:line="32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2、重金属矿种：铜、镍、铅、锌、锡、锑、钴、汞、镉、铋、砷、铊、钒、铬、锰、钼。</w:t>
            </w:r>
          </w:p>
          <w:p w14:paraId="405B07A7">
            <w:pPr>
              <w:widowControl/>
              <w:spacing w:line="32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3、贵金属矿种：金、银、铂族（铂、钯、铱、铑、锇、钌）。</w:t>
            </w:r>
          </w:p>
          <w:p w14:paraId="6001321E">
            <w:pPr>
              <w:widowControl/>
              <w:spacing w:line="32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4、轻有色金属矿种：铝（铝土）、镁、锶、钡。</w:t>
            </w:r>
          </w:p>
          <w:p w14:paraId="277DE4C9">
            <w:pPr>
              <w:widowControl/>
              <w:spacing w:line="32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5、稀土元素的矿种：钇、镧、铈、镨、钕、钷、钐、铕、钆、铽、镝、钬、铒、铥、镱、镥。</w:t>
            </w:r>
          </w:p>
          <w:p w14:paraId="741FC76A">
            <w:pPr>
              <w:widowControl/>
              <w:spacing w:line="32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6、有色金属矿种：钨、钛。</w:t>
            </w:r>
          </w:p>
          <w:p w14:paraId="6163C033">
            <w:pPr>
              <w:widowControl/>
              <w:spacing w:line="32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7、非金属矿种：化工原料或化学矿。</w:t>
            </w:r>
          </w:p>
          <w:p w14:paraId="7D04C0B2">
            <w:pPr>
              <w:widowControl/>
              <w:spacing w:line="32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8、涉及硫（包括主矿、共生矿）、磷（包括主矿、共生矿）。</w:t>
            </w:r>
          </w:p>
          <w:p w14:paraId="2C7009EA">
            <w:pPr>
              <w:widowControl/>
              <w:spacing w:line="32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9、涉及酸性岩矿种或产生酸性废液的矿种</w:t>
            </w:r>
          </w:p>
        </w:tc>
        <w:tc>
          <w:tcPr>
            <w:tcW w:w="546" w:type="pct"/>
            <w:vAlign w:val="center"/>
          </w:tcPr>
          <w:p w14:paraId="076D8995">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10、危险废物。</w:t>
            </w:r>
          </w:p>
          <w:p w14:paraId="622716FF">
            <w:pPr>
              <w:pStyle w:val="126"/>
              <w:spacing w:line="32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bidi="ar"/>
              </w:rPr>
              <w:t>11、一般工业固体废物（</w:t>
            </w:r>
            <w:r>
              <w:rPr>
                <w:rFonts w:hint="eastAsia" w:eastAsia="宋体" w:cs="Times New Roman"/>
                <w:color w:val="auto"/>
                <w:kern w:val="0"/>
                <w:sz w:val="21"/>
                <w:szCs w:val="21"/>
                <w:highlight w:val="none"/>
                <w:lang w:val="en-US" w:eastAsia="zh-CN" w:bidi="ar"/>
              </w:rPr>
              <w:t>Ⅱ类</w:t>
            </w:r>
            <w:r>
              <w:rPr>
                <w:rFonts w:hint="default" w:ascii="Times New Roman" w:hAnsi="Times New Roman" w:eastAsia="宋体" w:cs="Times New Roman"/>
                <w:color w:val="auto"/>
                <w:kern w:val="0"/>
                <w:sz w:val="21"/>
                <w:szCs w:val="21"/>
                <w:highlight w:val="none"/>
                <w:lang w:val="en-US" w:bidi="ar"/>
              </w:rPr>
              <w:t>）</w:t>
            </w:r>
          </w:p>
        </w:tc>
        <w:tc>
          <w:tcPr>
            <w:tcW w:w="340" w:type="pct"/>
            <w:vMerge w:val="continue"/>
            <w:vAlign w:val="center"/>
          </w:tcPr>
          <w:p w14:paraId="7D3D9A83">
            <w:pPr>
              <w:pStyle w:val="126"/>
              <w:spacing w:line="320" w:lineRule="exact"/>
              <w:ind w:firstLine="0" w:firstLineChars="0"/>
              <w:jc w:val="center"/>
              <w:rPr>
                <w:rFonts w:hint="default" w:ascii="Times New Roman" w:hAnsi="Times New Roman" w:eastAsia="宋体" w:cs="Times New Roman"/>
                <w:color w:val="auto"/>
                <w:sz w:val="21"/>
                <w:szCs w:val="21"/>
                <w:highlight w:val="none"/>
              </w:rPr>
            </w:pPr>
          </w:p>
        </w:tc>
      </w:tr>
      <w:tr w14:paraId="1FB038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1" w:type="pct"/>
            <w:vAlign w:val="center"/>
          </w:tcPr>
          <w:p w14:paraId="46F6E1CA">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kern w:val="0"/>
                <w:sz w:val="21"/>
                <w:szCs w:val="21"/>
                <w:highlight w:val="none"/>
                <w:lang w:bidi="ar"/>
              </w:rPr>
              <w:t>规模</w:t>
            </w:r>
          </w:p>
        </w:tc>
        <w:tc>
          <w:tcPr>
            <w:tcW w:w="4057" w:type="pct"/>
            <w:gridSpan w:val="3"/>
            <w:vAlign w:val="center"/>
          </w:tcPr>
          <w:p w14:paraId="16133F86">
            <w:pPr>
              <w:widowControl/>
              <w:spacing w:line="320" w:lineRule="exact"/>
              <w:ind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12、尾矿库等别：四等及以上</w:t>
            </w:r>
          </w:p>
        </w:tc>
        <w:tc>
          <w:tcPr>
            <w:tcW w:w="340" w:type="pct"/>
            <w:vAlign w:val="center"/>
          </w:tcPr>
          <w:p w14:paraId="2197F014">
            <w:pPr>
              <w:pStyle w:val="126"/>
              <w:spacing w:line="320" w:lineRule="exact"/>
              <w:ind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rPr>
              <w:t>涉及</w:t>
            </w:r>
            <w:r>
              <w:rPr>
                <w:rFonts w:hint="eastAsia" w:eastAsia="宋体" w:cs="Times New Roman"/>
                <w:color w:val="auto"/>
                <w:sz w:val="21"/>
                <w:szCs w:val="21"/>
                <w:highlight w:val="none"/>
                <w:lang w:val="en-US" w:eastAsia="zh-CN"/>
              </w:rPr>
              <w:t>（尾矿库等别为四等）</w:t>
            </w:r>
          </w:p>
        </w:tc>
      </w:tr>
      <w:tr w14:paraId="0B1D7B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1" w:type="pct"/>
            <w:vAlign w:val="center"/>
          </w:tcPr>
          <w:p w14:paraId="189D8638">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kern w:val="0"/>
                <w:sz w:val="21"/>
                <w:szCs w:val="21"/>
                <w:highlight w:val="none"/>
                <w:lang w:bidi="ar"/>
              </w:rPr>
              <w:t>周边区域敏感</w:t>
            </w:r>
          </w:p>
          <w:p w14:paraId="66C1C98D">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kern w:val="0"/>
                <w:sz w:val="21"/>
                <w:szCs w:val="21"/>
                <w:highlight w:val="none"/>
                <w:lang w:bidi="ar"/>
              </w:rPr>
              <w:t>性</w:t>
            </w:r>
          </w:p>
        </w:tc>
        <w:tc>
          <w:tcPr>
            <w:tcW w:w="464" w:type="pct"/>
            <w:vAlign w:val="center"/>
          </w:tcPr>
          <w:p w14:paraId="57020996">
            <w:pPr>
              <w:widowControl/>
              <w:spacing w:line="320" w:lineRule="exact"/>
              <w:ind w:firstLine="0" w:firstLineChars="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kern w:val="0"/>
                <w:sz w:val="21"/>
                <w:szCs w:val="21"/>
                <w:highlight w:val="none"/>
                <w:lang w:bidi="ar"/>
              </w:rPr>
              <w:t>所处区域尾矿库下游评</w:t>
            </w:r>
          </w:p>
          <w:p w14:paraId="3A1CC3DB">
            <w:pPr>
              <w:widowControl/>
              <w:spacing w:line="320" w:lineRule="exact"/>
              <w:ind w:firstLine="0" w:firstLineChars="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kern w:val="0"/>
                <w:sz w:val="21"/>
                <w:szCs w:val="21"/>
                <w:highlight w:val="none"/>
                <w:lang w:bidi="ar"/>
              </w:rPr>
              <w:t>估范围内或者尾矿库输送管</w:t>
            </w:r>
          </w:p>
          <w:p w14:paraId="6F34378F">
            <w:pPr>
              <w:widowControl/>
              <w:spacing w:line="320" w:lineRule="exact"/>
              <w:ind w:firstLine="0" w:firstLineChars="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kern w:val="0"/>
                <w:sz w:val="21"/>
                <w:szCs w:val="21"/>
                <w:highlight w:val="none"/>
                <w:lang w:bidi="ar"/>
              </w:rPr>
              <w:t>线、回水管线涉及穿越</w:t>
            </w:r>
          </w:p>
        </w:tc>
        <w:tc>
          <w:tcPr>
            <w:tcW w:w="3593" w:type="pct"/>
            <w:gridSpan w:val="2"/>
            <w:vAlign w:val="center"/>
          </w:tcPr>
          <w:p w14:paraId="1FB0D94A">
            <w:pPr>
              <w:widowControl/>
              <w:spacing w:line="320" w:lineRule="exact"/>
              <w:ind w:firstLine="0" w:firstLineChars="0"/>
              <w:jc w:val="left"/>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13、处于国家重点生态功能区、国家禁止开发区。域、水土流失重点防治区、沙化土地封禁保护区等。</w:t>
            </w:r>
          </w:p>
          <w:p w14:paraId="677703A3">
            <w:pPr>
              <w:widowControl/>
              <w:spacing w:line="320" w:lineRule="exact"/>
              <w:ind w:firstLine="0" w:firstLineChars="0"/>
              <w:jc w:val="left"/>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14、处于江河源头区和重要水源涵养区。</w:t>
            </w:r>
          </w:p>
          <w:p w14:paraId="3F9D6371">
            <w:pPr>
              <w:widowControl/>
              <w:spacing w:line="320" w:lineRule="exact"/>
              <w:ind w:firstLine="0" w:firstLineChars="0"/>
              <w:jc w:val="left"/>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15、涉及跨省级及以上行政区边界。</w:t>
            </w:r>
          </w:p>
          <w:p w14:paraId="6D5D182A">
            <w:pPr>
              <w:widowControl/>
              <w:spacing w:line="320" w:lineRule="exact"/>
              <w:ind w:firstLine="0" w:firstLineChars="0"/>
              <w:jc w:val="left"/>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16、饮用水水源保护区、自来水厂取水。</w:t>
            </w:r>
          </w:p>
          <w:p w14:paraId="519CE281">
            <w:pPr>
              <w:widowControl/>
              <w:spacing w:line="320" w:lineRule="exact"/>
              <w:ind w:firstLine="0" w:firstLineChars="0"/>
              <w:jc w:val="left"/>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17、重要江、河、湖、库等大型水体。</w:t>
            </w:r>
          </w:p>
          <w:p w14:paraId="3DA9A115">
            <w:pPr>
              <w:widowControl/>
              <w:spacing w:line="320" w:lineRule="exact"/>
              <w:ind w:firstLine="0" w:firstLineChars="0"/>
              <w:jc w:val="left"/>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18、重要湿地、天然林、珍稀濒危野生动植物天然集中分布区、重要水生生物的自然产卵场及索饵场、越冬场和洄游通道、天然渔场、资源性缺水地区、封闭及半封闭海域、富营养化水域等。</w:t>
            </w:r>
          </w:p>
          <w:p w14:paraId="1FD7E840">
            <w:pPr>
              <w:widowControl/>
              <w:spacing w:line="320" w:lineRule="exact"/>
              <w:ind w:firstLine="0" w:firstLineChars="0"/>
              <w:jc w:val="left"/>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19、水产养殖区，且规模在20亩及以上。</w:t>
            </w:r>
          </w:p>
          <w:p w14:paraId="0CF50540">
            <w:pPr>
              <w:widowControl/>
              <w:spacing w:line="320" w:lineRule="exact"/>
              <w:ind w:firstLine="0" w:firstLineChars="0"/>
              <w:jc w:val="left"/>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20、下游涉及人口聚集区，且人口规模在100人及以上。</w:t>
            </w:r>
          </w:p>
          <w:p w14:paraId="52A4B2E9">
            <w:pPr>
              <w:widowControl/>
              <w:spacing w:line="320" w:lineRule="exact"/>
              <w:ind w:firstLine="0" w:firstLineChars="0"/>
              <w:jc w:val="left"/>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21、下游涉及自然保护区、风景名胜区、森林公园、地质公园、世界文化或自然遗产地，重点文物保护单位</w:t>
            </w:r>
            <w:r>
              <w:rPr>
                <w:rFonts w:hint="eastAsia" w:cs="Times New Roman"/>
                <w:b w:val="0"/>
                <w:bCs w:val="0"/>
                <w:color w:val="auto"/>
                <w:kern w:val="0"/>
                <w:sz w:val="21"/>
                <w:szCs w:val="21"/>
                <w:highlight w:val="none"/>
                <w:lang w:eastAsia="zh-CN" w:bidi="ar"/>
              </w:rPr>
              <w:t>以及</w:t>
            </w:r>
            <w:r>
              <w:rPr>
                <w:rFonts w:hint="default" w:ascii="Times New Roman" w:hAnsi="Times New Roman" w:eastAsia="宋体" w:cs="Times New Roman"/>
                <w:b w:val="0"/>
                <w:bCs w:val="0"/>
                <w:color w:val="auto"/>
                <w:kern w:val="0"/>
                <w:sz w:val="21"/>
                <w:szCs w:val="21"/>
                <w:highlight w:val="none"/>
                <w:lang w:bidi="ar"/>
              </w:rPr>
              <w:t>其他具有特殊历史、文化、科学、民族意义的保护地等。</w:t>
            </w:r>
          </w:p>
          <w:p w14:paraId="66CF45A6">
            <w:pPr>
              <w:widowControl/>
              <w:spacing w:line="320" w:lineRule="exact"/>
              <w:ind w:firstLine="0" w:firstLineChars="0"/>
              <w:jc w:val="left"/>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22、涉及基本农田保护区、基本草原、种植大棚，农产品基地等，且规模在20亩及以上。</w:t>
            </w:r>
          </w:p>
          <w:p w14:paraId="01FD57FD">
            <w:pPr>
              <w:pStyle w:val="126"/>
              <w:spacing w:line="320" w:lineRule="exact"/>
              <w:ind w:firstLine="0" w:firstLineChars="0"/>
              <w:jc w:val="left"/>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23、涉及环境风险企业、二次环境污染源或风险源</w:t>
            </w:r>
          </w:p>
        </w:tc>
        <w:tc>
          <w:tcPr>
            <w:tcW w:w="340" w:type="pct"/>
            <w:vAlign w:val="center"/>
          </w:tcPr>
          <w:p w14:paraId="5C743B74">
            <w:pPr>
              <w:pStyle w:val="126"/>
              <w:spacing w:line="320" w:lineRule="exact"/>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不</w:t>
            </w:r>
            <w:r>
              <w:rPr>
                <w:rFonts w:hint="default" w:ascii="Times New Roman" w:hAnsi="Times New Roman" w:eastAsia="宋体" w:cs="Times New Roman"/>
                <w:color w:val="auto"/>
                <w:sz w:val="21"/>
                <w:szCs w:val="21"/>
                <w:highlight w:val="none"/>
                <w:lang w:val="en-US"/>
              </w:rPr>
              <w:t>涉及</w:t>
            </w:r>
          </w:p>
        </w:tc>
      </w:tr>
      <w:tr w14:paraId="289F19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1" w:type="pct"/>
            <w:vAlign w:val="center"/>
          </w:tcPr>
          <w:p w14:paraId="42E49458">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kern w:val="0"/>
                <w:sz w:val="21"/>
                <w:szCs w:val="21"/>
                <w:highlight w:val="none"/>
                <w:lang w:bidi="ar"/>
              </w:rPr>
              <w:t>安全性</w:t>
            </w:r>
          </w:p>
        </w:tc>
        <w:tc>
          <w:tcPr>
            <w:tcW w:w="4057" w:type="pct"/>
            <w:gridSpan w:val="3"/>
            <w:vAlign w:val="center"/>
          </w:tcPr>
          <w:p w14:paraId="2A83C704">
            <w:pPr>
              <w:widowControl/>
              <w:spacing w:line="320" w:lineRule="exact"/>
              <w:ind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24、属于危库\险库\病库。</w:t>
            </w:r>
          </w:p>
          <w:p w14:paraId="4613C613">
            <w:pPr>
              <w:widowControl/>
              <w:spacing w:line="320" w:lineRule="exact"/>
              <w:ind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25、处于按《地质灾害危险性评估技术要求（试行）》评定为</w:t>
            </w:r>
            <w:r>
              <w:rPr>
                <w:rFonts w:hint="eastAsia" w:cs="Times New Roman"/>
                <w:color w:val="auto"/>
                <w:kern w:val="0"/>
                <w:sz w:val="21"/>
                <w:szCs w:val="21"/>
                <w:highlight w:val="none"/>
                <w:lang w:eastAsia="zh-CN" w:bidi="ar"/>
              </w:rPr>
              <w:t>“</w:t>
            </w:r>
            <w:r>
              <w:rPr>
                <w:rFonts w:hint="default" w:ascii="Times New Roman" w:hAnsi="Times New Roman" w:eastAsia="宋体" w:cs="Times New Roman"/>
                <w:color w:val="auto"/>
                <w:kern w:val="0"/>
                <w:sz w:val="21"/>
                <w:szCs w:val="21"/>
                <w:highlight w:val="none"/>
                <w:lang w:bidi="ar"/>
              </w:rPr>
              <w:t>危害性中等</w:t>
            </w:r>
            <w:r>
              <w:rPr>
                <w:rFonts w:hint="eastAsia" w:cs="Times New Roman"/>
                <w:color w:val="auto"/>
                <w:kern w:val="0"/>
                <w:sz w:val="21"/>
                <w:szCs w:val="21"/>
                <w:highlight w:val="none"/>
                <w:lang w:eastAsia="zh-CN" w:bidi="ar"/>
              </w:rPr>
              <w:t>”</w:t>
            </w:r>
            <w:r>
              <w:rPr>
                <w:rFonts w:hint="default" w:ascii="Times New Roman" w:hAnsi="Times New Roman" w:eastAsia="宋体" w:cs="Times New Roman"/>
                <w:color w:val="auto"/>
                <w:kern w:val="0"/>
                <w:sz w:val="21"/>
                <w:szCs w:val="21"/>
                <w:highlight w:val="none"/>
                <w:lang w:bidi="ar"/>
              </w:rPr>
              <w:t>或</w:t>
            </w:r>
            <w:r>
              <w:rPr>
                <w:rFonts w:hint="eastAsia" w:cs="Times New Roman"/>
                <w:color w:val="auto"/>
                <w:kern w:val="0"/>
                <w:sz w:val="21"/>
                <w:szCs w:val="21"/>
                <w:highlight w:val="none"/>
                <w:lang w:eastAsia="zh-CN" w:bidi="ar"/>
              </w:rPr>
              <w:t>“</w:t>
            </w:r>
            <w:r>
              <w:rPr>
                <w:rFonts w:hint="default" w:ascii="Times New Roman" w:hAnsi="Times New Roman" w:eastAsia="宋体" w:cs="Times New Roman"/>
                <w:color w:val="auto"/>
                <w:kern w:val="0"/>
                <w:sz w:val="21"/>
                <w:szCs w:val="21"/>
                <w:highlight w:val="none"/>
                <w:lang w:bidi="ar"/>
              </w:rPr>
              <w:t>危害性大</w:t>
            </w:r>
            <w:r>
              <w:rPr>
                <w:rFonts w:hint="eastAsia" w:cs="Times New Roman"/>
                <w:color w:val="auto"/>
                <w:kern w:val="0"/>
                <w:sz w:val="21"/>
                <w:szCs w:val="21"/>
                <w:highlight w:val="none"/>
                <w:lang w:eastAsia="zh-CN" w:bidi="ar"/>
              </w:rPr>
              <w:t>”</w:t>
            </w:r>
            <w:r>
              <w:rPr>
                <w:rFonts w:hint="default" w:ascii="Times New Roman" w:hAnsi="Times New Roman" w:eastAsia="宋体" w:cs="Times New Roman"/>
                <w:color w:val="auto"/>
                <w:kern w:val="0"/>
                <w:sz w:val="21"/>
                <w:szCs w:val="21"/>
                <w:highlight w:val="none"/>
                <w:lang w:bidi="ar"/>
              </w:rPr>
              <w:t>的区域。</w:t>
            </w:r>
          </w:p>
          <w:p w14:paraId="0A88DE23">
            <w:pPr>
              <w:widowControl/>
              <w:spacing w:line="320" w:lineRule="exact"/>
              <w:ind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26、处于地质灾害易灾区。</w:t>
            </w:r>
          </w:p>
          <w:p w14:paraId="186B9301">
            <w:pPr>
              <w:widowControl/>
              <w:spacing w:line="320" w:lineRule="exact"/>
              <w:ind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27、处于岩溶（喀斯特）地貌区。</w:t>
            </w:r>
          </w:p>
          <w:p w14:paraId="513B7595">
            <w:pPr>
              <w:pStyle w:val="126"/>
              <w:spacing w:line="320" w:lineRule="exact"/>
              <w:ind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28、已被相关部门鉴定为</w:t>
            </w:r>
            <w:r>
              <w:rPr>
                <w:rFonts w:hint="eastAsia" w:eastAsia="宋体" w:cs="Times New Roman"/>
                <w:color w:val="auto"/>
                <w:kern w:val="0"/>
                <w:sz w:val="21"/>
                <w:szCs w:val="21"/>
                <w:highlight w:val="none"/>
                <w:lang w:eastAsia="zh-CN" w:bidi="ar"/>
              </w:rPr>
              <w:t>“</w:t>
            </w:r>
            <w:r>
              <w:rPr>
                <w:rFonts w:hint="default" w:ascii="Times New Roman" w:hAnsi="Times New Roman" w:eastAsia="宋体" w:cs="Times New Roman"/>
                <w:color w:val="auto"/>
                <w:kern w:val="0"/>
                <w:sz w:val="21"/>
                <w:szCs w:val="21"/>
                <w:highlight w:val="none"/>
                <w:lang w:bidi="ar"/>
              </w:rPr>
              <w:t>三边库</w:t>
            </w:r>
            <w:r>
              <w:rPr>
                <w:rFonts w:hint="eastAsia" w:eastAsia="宋体" w:cs="Times New Roman"/>
                <w:color w:val="auto"/>
                <w:kern w:val="0"/>
                <w:sz w:val="21"/>
                <w:szCs w:val="21"/>
                <w:highlight w:val="none"/>
                <w:lang w:eastAsia="zh-CN" w:bidi="ar"/>
              </w:rPr>
              <w:t>”</w:t>
            </w:r>
            <w:r>
              <w:rPr>
                <w:rFonts w:hint="default" w:ascii="Times New Roman" w:hAnsi="Times New Roman" w:eastAsia="宋体" w:cs="Times New Roman"/>
                <w:color w:val="auto"/>
                <w:kern w:val="0"/>
                <w:sz w:val="21"/>
                <w:szCs w:val="21"/>
                <w:highlight w:val="none"/>
                <w:lang w:bidi="ar"/>
              </w:rPr>
              <w:t>、</w:t>
            </w:r>
            <w:r>
              <w:rPr>
                <w:rFonts w:hint="eastAsia" w:eastAsia="宋体" w:cs="Times New Roman"/>
                <w:color w:val="auto"/>
                <w:kern w:val="0"/>
                <w:sz w:val="21"/>
                <w:szCs w:val="21"/>
                <w:highlight w:val="none"/>
                <w:lang w:eastAsia="zh-CN" w:bidi="ar"/>
              </w:rPr>
              <w:t>“</w:t>
            </w:r>
            <w:r>
              <w:rPr>
                <w:rFonts w:hint="default" w:ascii="Times New Roman" w:hAnsi="Times New Roman" w:eastAsia="宋体" w:cs="Times New Roman"/>
                <w:color w:val="auto"/>
                <w:kern w:val="0"/>
                <w:sz w:val="21"/>
                <w:szCs w:val="21"/>
                <w:highlight w:val="none"/>
                <w:lang w:bidi="ar"/>
              </w:rPr>
              <w:t>头顶库</w:t>
            </w:r>
            <w:r>
              <w:rPr>
                <w:rFonts w:hint="eastAsia" w:eastAsia="宋体" w:cs="Times New Roman"/>
                <w:color w:val="auto"/>
                <w:kern w:val="0"/>
                <w:sz w:val="21"/>
                <w:szCs w:val="21"/>
                <w:highlight w:val="none"/>
                <w:lang w:eastAsia="zh-CN" w:bidi="ar"/>
              </w:rPr>
              <w:t>”</w:t>
            </w:r>
            <w:r>
              <w:rPr>
                <w:rFonts w:hint="default" w:ascii="Times New Roman" w:hAnsi="Times New Roman" w:eastAsia="宋体" w:cs="Times New Roman"/>
                <w:color w:val="auto"/>
                <w:kern w:val="0"/>
                <w:sz w:val="21"/>
                <w:szCs w:val="21"/>
                <w:highlight w:val="none"/>
                <w:lang w:bidi="ar"/>
              </w:rPr>
              <w:t>的尾矿库</w:t>
            </w:r>
          </w:p>
        </w:tc>
        <w:tc>
          <w:tcPr>
            <w:tcW w:w="340" w:type="pct"/>
            <w:vAlign w:val="center"/>
          </w:tcPr>
          <w:p w14:paraId="3D658752">
            <w:pPr>
              <w:pStyle w:val="126"/>
              <w:spacing w:line="320" w:lineRule="exact"/>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不涉及</w:t>
            </w:r>
          </w:p>
        </w:tc>
      </w:tr>
      <w:tr w14:paraId="4709E8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1" w:type="pct"/>
            <w:vAlign w:val="center"/>
          </w:tcPr>
          <w:p w14:paraId="36B0A831">
            <w:pPr>
              <w:widowControl/>
              <w:spacing w:line="32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kern w:val="0"/>
                <w:sz w:val="21"/>
                <w:szCs w:val="21"/>
                <w:highlight w:val="none"/>
                <w:lang w:bidi="ar"/>
              </w:rPr>
              <w:t>历史事件与环境违法情况</w:t>
            </w:r>
          </w:p>
        </w:tc>
        <w:tc>
          <w:tcPr>
            <w:tcW w:w="4057" w:type="pct"/>
            <w:gridSpan w:val="3"/>
            <w:vAlign w:val="center"/>
          </w:tcPr>
          <w:p w14:paraId="0E7C787B">
            <w:pPr>
              <w:widowControl/>
              <w:spacing w:line="320" w:lineRule="exact"/>
              <w:ind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29、近3年内发生过较大及以上等级的生产安全事故或突发环境事件。</w:t>
            </w:r>
          </w:p>
          <w:p w14:paraId="2E6DE82C">
            <w:pPr>
              <w:pStyle w:val="126"/>
              <w:spacing w:line="320" w:lineRule="exact"/>
              <w:ind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30、近3年内存在恶意环境违法行为或因环境问题与周边存在纠纷</w:t>
            </w:r>
            <w:r>
              <w:rPr>
                <w:rFonts w:hint="default" w:ascii="Times New Roman" w:hAnsi="Times New Roman" w:eastAsia="宋体" w:cs="Times New Roman"/>
                <w:color w:val="auto"/>
                <w:kern w:val="0"/>
                <w:sz w:val="21"/>
                <w:szCs w:val="21"/>
                <w:highlight w:val="none"/>
                <w:lang w:eastAsia="zh-CN" w:bidi="ar"/>
              </w:rPr>
              <w:t>。</w:t>
            </w:r>
          </w:p>
        </w:tc>
        <w:tc>
          <w:tcPr>
            <w:tcW w:w="340" w:type="pct"/>
            <w:vAlign w:val="center"/>
          </w:tcPr>
          <w:p w14:paraId="69CACB6E">
            <w:pPr>
              <w:pStyle w:val="126"/>
              <w:spacing w:line="320" w:lineRule="exact"/>
              <w:ind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不涉及</w:t>
            </w:r>
          </w:p>
        </w:tc>
      </w:tr>
      <w:tr w14:paraId="0640CE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14:paraId="70160A65">
            <w:pPr>
              <w:widowControl/>
              <w:spacing w:line="32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注：（1）类型：指矿种类型（包括主矿种、附属矿种）/固体废物类型/尾矿（或尾矿水）成分类型，以环境危害大的计算。</w:t>
            </w:r>
          </w:p>
          <w:p w14:paraId="60B63406">
            <w:pPr>
              <w:widowControl/>
              <w:spacing w:line="32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（2）表中复选框</w:t>
            </w:r>
            <w:r>
              <w:rPr>
                <w:rFonts w:hint="eastAsia" w:cs="Times New Roman"/>
                <w:color w:val="auto"/>
                <w:kern w:val="0"/>
                <w:sz w:val="21"/>
                <w:szCs w:val="21"/>
                <w:highlight w:val="none"/>
                <w:lang w:eastAsia="zh-CN" w:bidi="ar"/>
              </w:rPr>
              <w:t>“□”</w:t>
            </w:r>
            <w:r>
              <w:rPr>
                <w:rFonts w:hint="default" w:ascii="Times New Roman" w:hAnsi="Times New Roman" w:cs="Times New Roman"/>
                <w:color w:val="auto"/>
                <w:kern w:val="0"/>
                <w:sz w:val="21"/>
                <w:szCs w:val="21"/>
                <w:highlight w:val="none"/>
                <w:lang w:bidi="ar"/>
              </w:rPr>
              <w:t>表示可以多选</w:t>
            </w:r>
          </w:p>
        </w:tc>
      </w:tr>
    </w:tbl>
    <w:p w14:paraId="581E0FF4">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根据尾矿库环境风险预判表，本项目所需建设尾矿库即认定为重点环境监管尾矿库，需要进一步开展后续的环境风险评估。</w:t>
      </w:r>
    </w:p>
    <w:p w14:paraId="45BADB39">
      <w:pPr>
        <w:overflowPunct w:val="0"/>
        <w:topLinePunct/>
        <w:ind w:left="482"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2）尾矿库环境风险等级划分指标体系</w:t>
      </w:r>
    </w:p>
    <w:p w14:paraId="53D160E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利用层次分析法，从尾矿库的环境危害性（H）、周边环境敏感性（S）、控制机制可靠性（R）三方面进行尾矿库环境风险等级划分。</w:t>
      </w:r>
    </w:p>
    <w:p w14:paraId="14E88A7B">
      <w:pPr>
        <w:overflowPunct w:val="0"/>
        <w:topLinePunct/>
        <w:ind w:firstLine="48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环境危害性（H）</w:t>
      </w:r>
      <w:r>
        <w:rPr>
          <w:rFonts w:hint="default" w:ascii="Times New Roman" w:hAnsi="Times New Roman" w:cs="Times New Roman"/>
          <w:color w:val="auto"/>
          <w:highlight w:val="none"/>
          <w:lang w:eastAsia="zh-CN"/>
        </w:rPr>
        <w:t>：</w:t>
      </w:r>
    </w:p>
    <w:p w14:paraId="2045FC5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采用评分方法，对类型、性质和规模三方面指标进行评分与累加求和，评估尾矿库环境危害性（H），危险性等别划分指标见表5.3-5。</w:t>
      </w:r>
    </w:p>
    <w:p w14:paraId="17FABA34">
      <w:pPr>
        <w:ind w:firstLine="482"/>
        <w:jc w:val="center"/>
        <w:rPr>
          <w:rFonts w:hint="default" w:ascii="Times New Roman" w:hAnsi="Times New Roman" w:cs="Times New Roman"/>
          <w:color w:val="auto"/>
          <w:highlight w:val="none"/>
        </w:rPr>
      </w:pPr>
      <w:r>
        <w:rPr>
          <w:rFonts w:hint="default" w:ascii="Times New Roman" w:hAnsi="Times New Roman" w:cs="Times New Roman"/>
          <w:b/>
          <w:color w:val="auto"/>
          <w:kern w:val="0"/>
          <w:highlight w:val="none"/>
        </w:rPr>
        <w:t>表5.3-5    尾矿库环境危害性（H）等别划分指标体系</w:t>
      </w:r>
    </w:p>
    <w:tbl>
      <w:tblPr>
        <w:tblStyle w:val="3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98"/>
        <w:gridCol w:w="1337"/>
        <w:gridCol w:w="596"/>
        <w:gridCol w:w="1707"/>
        <w:gridCol w:w="1089"/>
        <w:gridCol w:w="1372"/>
        <w:gridCol w:w="852"/>
        <w:gridCol w:w="968"/>
      </w:tblGrid>
      <w:tr w14:paraId="1BCBAD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51" w:type="pct"/>
            <w:tcBorders>
              <w:tl2br w:val="nil"/>
              <w:tr2bl w:val="nil"/>
            </w:tcBorders>
            <w:vAlign w:val="center"/>
          </w:tcPr>
          <w:p w14:paraId="1F3FB625">
            <w:pPr>
              <w:spacing w:line="360" w:lineRule="exact"/>
              <w:ind w:firstLine="0" w:firstLineChars="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序号</w:t>
            </w:r>
          </w:p>
        </w:tc>
        <w:tc>
          <w:tcPr>
            <w:tcW w:w="3581" w:type="pct"/>
            <w:gridSpan w:val="5"/>
            <w:tcBorders>
              <w:tl2br w:val="nil"/>
              <w:tr2bl w:val="nil"/>
            </w:tcBorders>
            <w:vAlign w:val="center"/>
          </w:tcPr>
          <w:p w14:paraId="643C064D">
            <w:pPr>
              <w:spacing w:line="360" w:lineRule="exact"/>
              <w:ind w:firstLine="0" w:firstLineChars="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指标项目</w:t>
            </w:r>
          </w:p>
        </w:tc>
        <w:tc>
          <w:tcPr>
            <w:tcW w:w="496" w:type="pct"/>
            <w:tcBorders>
              <w:tl2br w:val="nil"/>
              <w:tr2bl w:val="nil"/>
            </w:tcBorders>
            <w:vAlign w:val="center"/>
          </w:tcPr>
          <w:p w14:paraId="72BD5FF0">
            <w:pPr>
              <w:spacing w:line="360" w:lineRule="exact"/>
              <w:ind w:firstLine="0" w:firstLineChars="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指标分值</w:t>
            </w:r>
          </w:p>
        </w:tc>
        <w:tc>
          <w:tcPr>
            <w:tcW w:w="570" w:type="pct"/>
            <w:tcBorders>
              <w:tl2br w:val="nil"/>
              <w:tr2bl w:val="nil"/>
            </w:tcBorders>
            <w:vAlign w:val="center"/>
          </w:tcPr>
          <w:p w14:paraId="1F363766">
            <w:pPr>
              <w:spacing w:line="360" w:lineRule="exact"/>
              <w:ind w:firstLine="0" w:firstLineChars="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尾矿库</w:t>
            </w:r>
          </w:p>
        </w:tc>
      </w:tr>
      <w:tr w14:paraId="01A818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tcBorders>
              <w:tl2br w:val="nil"/>
              <w:tr2bl w:val="nil"/>
            </w:tcBorders>
            <w:vAlign w:val="center"/>
          </w:tcPr>
          <w:p w14:paraId="2DFE0B3E">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1</w:t>
            </w:r>
          </w:p>
        </w:tc>
        <w:tc>
          <w:tcPr>
            <w:tcW w:w="785" w:type="pct"/>
            <w:vMerge w:val="restart"/>
            <w:tcBorders>
              <w:tl2br w:val="nil"/>
              <w:tr2bl w:val="nil"/>
            </w:tcBorders>
            <w:vAlign w:val="center"/>
          </w:tcPr>
          <w:p w14:paraId="6A1FFB36">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尾矿库环境危害性</w:t>
            </w:r>
          </w:p>
        </w:tc>
        <w:tc>
          <w:tcPr>
            <w:tcW w:w="350" w:type="pct"/>
            <w:tcBorders>
              <w:tl2br w:val="nil"/>
              <w:tr2bl w:val="nil"/>
            </w:tcBorders>
            <w:vAlign w:val="center"/>
          </w:tcPr>
          <w:p w14:paraId="019844D8">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类型</w:t>
            </w:r>
          </w:p>
        </w:tc>
        <w:tc>
          <w:tcPr>
            <w:tcW w:w="2444" w:type="pct"/>
            <w:gridSpan w:val="3"/>
            <w:tcBorders>
              <w:tl2br w:val="nil"/>
              <w:tr2bl w:val="nil"/>
            </w:tcBorders>
            <w:vAlign w:val="center"/>
          </w:tcPr>
          <w:p w14:paraId="5B82FD54">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矿种类型/固体废物类型/尾矿（或尾矿水）成分类型</w:t>
            </w:r>
          </w:p>
        </w:tc>
        <w:tc>
          <w:tcPr>
            <w:tcW w:w="496" w:type="pct"/>
            <w:tcBorders>
              <w:tl2br w:val="nil"/>
              <w:tr2bl w:val="nil"/>
            </w:tcBorders>
            <w:vAlign w:val="center"/>
          </w:tcPr>
          <w:p w14:paraId="53213105">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48</w:t>
            </w:r>
          </w:p>
        </w:tc>
        <w:tc>
          <w:tcPr>
            <w:tcW w:w="570" w:type="pct"/>
            <w:tcBorders>
              <w:tl2br w:val="nil"/>
              <w:tr2bl w:val="nil"/>
            </w:tcBorders>
            <w:vAlign w:val="center"/>
          </w:tcPr>
          <w:p w14:paraId="40D34875">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0</w:t>
            </w:r>
          </w:p>
        </w:tc>
      </w:tr>
      <w:tr w14:paraId="598AD7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tcBorders>
              <w:tl2br w:val="nil"/>
              <w:tr2bl w:val="nil"/>
            </w:tcBorders>
            <w:vAlign w:val="center"/>
          </w:tcPr>
          <w:p w14:paraId="4B38B75D">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2</w:t>
            </w:r>
          </w:p>
        </w:tc>
        <w:tc>
          <w:tcPr>
            <w:tcW w:w="785" w:type="pct"/>
            <w:vMerge w:val="continue"/>
            <w:tcBorders>
              <w:tl2br w:val="nil"/>
              <w:tr2bl w:val="nil"/>
            </w:tcBorders>
            <w:vAlign w:val="center"/>
          </w:tcPr>
          <w:p w14:paraId="2CB15C77">
            <w:pPr>
              <w:spacing w:line="360" w:lineRule="exact"/>
              <w:ind w:firstLine="0" w:firstLineChars="0"/>
              <w:jc w:val="center"/>
              <w:rPr>
                <w:rFonts w:hint="default" w:ascii="Times New Roman" w:hAnsi="Times New Roman" w:cs="Times New Roman"/>
                <w:bCs/>
                <w:color w:val="auto"/>
                <w:kern w:val="0"/>
                <w:sz w:val="21"/>
                <w:szCs w:val="21"/>
                <w:highlight w:val="none"/>
              </w:rPr>
            </w:pPr>
          </w:p>
        </w:tc>
        <w:tc>
          <w:tcPr>
            <w:tcW w:w="350" w:type="pct"/>
            <w:vMerge w:val="restart"/>
            <w:tcBorders>
              <w:tl2br w:val="nil"/>
              <w:tr2bl w:val="nil"/>
            </w:tcBorders>
            <w:vAlign w:val="center"/>
          </w:tcPr>
          <w:p w14:paraId="65950C40">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性质</w:t>
            </w:r>
          </w:p>
        </w:tc>
        <w:tc>
          <w:tcPr>
            <w:tcW w:w="1002" w:type="pct"/>
            <w:vMerge w:val="restart"/>
            <w:tcBorders>
              <w:tl2br w:val="nil"/>
              <w:tr2bl w:val="nil"/>
            </w:tcBorders>
            <w:vAlign w:val="center"/>
          </w:tcPr>
          <w:p w14:paraId="34E9FBA7">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特征污染物指标浓度情况</w:t>
            </w:r>
          </w:p>
        </w:tc>
        <w:tc>
          <w:tcPr>
            <w:tcW w:w="639" w:type="pct"/>
            <w:vMerge w:val="restart"/>
            <w:tcBorders>
              <w:tl2br w:val="nil"/>
              <w:tr2bl w:val="nil"/>
            </w:tcBorders>
            <w:vAlign w:val="center"/>
          </w:tcPr>
          <w:p w14:paraId="07AB9940">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浓度倍数情况</w:t>
            </w:r>
          </w:p>
        </w:tc>
        <w:tc>
          <w:tcPr>
            <w:tcW w:w="802" w:type="pct"/>
            <w:tcBorders>
              <w:tl2br w:val="nil"/>
              <w:tr2bl w:val="nil"/>
            </w:tcBorders>
            <w:vAlign w:val="center"/>
          </w:tcPr>
          <w:p w14:paraId="6836A1B3">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pH值</w:t>
            </w:r>
          </w:p>
        </w:tc>
        <w:tc>
          <w:tcPr>
            <w:tcW w:w="496" w:type="pct"/>
            <w:tcBorders>
              <w:tl2br w:val="nil"/>
              <w:tr2bl w:val="nil"/>
            </w:tcBorders>
            <w:vAlign w:val="center"/>
          </w:tcPr>
          <w:p w14:paraId="5BCBE904">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8</w:t>
            </w:r>
          </w:p>
        </w:tc>
        <w:tc>
          <w:tcPr>
            <w:tcW w:w="570" w:type="pct"/>
            <w:tcBorders>
              <w:tl2br w:val="nil"/>
              <w:tr2bl w:val="nil"/>
            </w:tcBorders>
            <w:vAlign w:val="center"/>
          </w:tcPr>
          <w:p w14:paraId="4DCF9B0E">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0</w:t>
            </w:r>
          </w:p>
        </w:tc>
      </w:tr>
      <w:tr w14:paraId="52BD05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tcBorders>
              <w:tl2br w:val="nil"/>
              <w:tr2bl w:val="nil"/>
            </w:tcBorders>
            <w:vAlign w:val="center"/>
          </w:tcPr>
          <w:p w14:paraId="465D53FF">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3</w:t>
            </w:r>
          </w:p>
        </w:tc>
        <w:tc>
          <w:tcPr>
            <w:tcW w:w="785" w:type="pct"/>
            <w:vMerge w:val="continue"/>
            <w:tcBorders>
              <w:tl2br w:val="nil"/>
              <w:tr2bl w:val="nil"/>
            </w:tcBorders>
            <w:vAlign w:val="center"/>
          </w:tcPr>
          <w:p w14:paraId="1A012FE6">
            <w:pPr>
              <w:spacing w:line="360" w:lineRule="exact"/>
              <w:ind w:firstLine="0" w:firstLineChars="0"/>
              <w:jc w:val="center"/>
              <w:rPr>
                <w:rFonts w:hint="default" w:ascii="Times New Roman" w:hAnsi="Times New Roman" w:cs="Times New Roman"/>
                <w:bCs/>
                <w:color w:val="auto"/>
                <w:kern w:val="0"/>
                <w:sz w:val="21"/>
                <w:szCs w:val="21"/>
                <w:highlight w:val="none"/>
              </w:rPr>
            </w:pPr>
          </w:p>
        </w:tc>
        <w:tc>
          <w:tcPr>
            <w:tcW w:w="350" w:type="pct"/>
            <w:vMerge w:val="continue"/>
            <w:tcBorders>
              <w:tl2br w:val="nil"/>
              <w:tr2bl w:val="nil"/>
            </w:tcBorders>
            <w:vAlign w:val="center"/>
          </w:tcPr>
          <w:p w14:paraId="156EC440">
            <w:pPr>
              <w:spacing w:line="360" w:lineRule="exact"/>
              <w:ind w:firstLine="0" w:firstLineChars="0"/>
              <w:jc w:val="center"/>
              <w:rPr>
                <w:rFonts w:hint="default" w:ascii="Times New Roman" w:hAnsi="Times New Roman" w:cs="Times New Roman"/>
                <w:bCs/>
                <w:color w:val="auto"/>
                <w:kern w:val="0"/>
                <w:sz w:val="21"/>
                <w:szCs w:val="21"/>
                <w:highlight w:val="none"/>
              </w:rPr>
            </w:pPr>
          </w:p>
        </w:tc>
        <w:tc>
          <w:tcPr>
            <w:tcW w:w="1002" w:type="pct"/>
            <w:vMerge w:val="continue"/>
            <w:tcBorders>
              <w:tl2br w:val="nil"/>
              <w:tr2bl w:val="nil"/>
            </w:tcBorders>
            <w:vAlign w:val="center"/>
          </w:tcPr>
          <w:p w14:paraId="3C5BFDF8">
            <w:pPr>
              <w:spacing w:line="360" w:lineRule="exact"/>
              <w:ind w:firstLine="0" w:firstLineChars="0"/>
              <w:jc w:val="center"/>
              <w:rPr>
                <w:rFonts w:hint="default" w:ascii="Times New Roman" w:hAnsi="Times New Roman" w:cs="Times New Roman"/>
                <w:bCs/>
                <w:color w:val="auto"/>
                <w:kern w:val="0"/>
                <w:sz w:val="21"/>
                <w:szCs w:val="21"/>
                <w:highlight w:val="none"/>
              </w:rPr>
            </w:pPr>
          </w:p>
        </w:tc>
        <w:tc>
          <w:tcPr>
            <w:tcW w:w="639" w:type="pct"/>
            <w:vMerge w:val="continue"/>
            <w:tcBorders>
              <w:tl2br w:val="nil"/>
              <w:tr2bl w:val="nil"/>
            </w:tcBorders>
            <w:vAlign w:val="center"/>
          </w:tcPr>
          <w:p w14:paraId="69AF01E9">
            <w:pPr>
              <w:spacing w:line="360" w:lineRule="exact"/>
              <w:ind w:firstLine="0" w:firstLineChars="0"/>
              <w:jc w:val="center"/>
              <w:rPr>
                <w:rFonts w:hint="default" w:ascii="Times New Roman" w:hAnsi="Times New Roman" w:cs="Times New Roman"/>
                <w:bCs/>
                <w:color w:val="auto"/>
                <w:kern w:val="0"/>
                <w:sz w:val="21"/>
                <w:szCs w:val="21"/>
                <w:highlight w:val="none"/>
              </w:rPr>
            </w:pPr>
          </w:p>
        </w:tc>
        <w:tc>
          <w:tcPr>
            <w:tcW w:w="802" w:type="pct"/>
            <w:tcBorders>
              <w:tl2br w:val="nil"/>
              <w:tr2bl w:val="nil"/>
            </w:tcBorders>
            <w:vAlign w:val="center"/>
          </w:tcPr>
          <w:p w14:paraId="4AE51A2F">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指标最高浓度倍数</w:t>
            </w:r>
          </w:p>
        </w:tc>
        <w:tc>
          <w:tcPr>
            <w:tcW w:w="496" w:type="pct"/>
            <w:tcBorders>
              <w:tl2br w:val="nil"/>
              <w:tr2bl w:val="nil"/>
            </w:tcBorders>
            <w:vAlign w:val="center"/>
          </w:tcPr>
          <w:p w14:paraId="237E2EC7">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14</w:t>
            </w:r>
          </w:p>
        </w:tc>
        <w:tc>
          <w:tcPr>
            <w:tcW w:w="570" w:type="pct"/>
            <w:tcBorders>
              <w:tl2br w:val="nil"/>
              <w:tr2bl w:val="nil"/>
            </w:tcBorders>
            <w:vAlign w:val="center"/>
          </w:tcPr>
          <w:p w14:paraId="583033AE">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0</w:t>
            </w:r>
          </w:p>
        </w:tc>
      </w:tr>
      <w:tr w14:paraId="51AFA0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tcBorders>
              <w:tl2br w:val="nil"/>
              <w:tr2bl w:val="nil"/>
            </w:tcBorders>
            <w:vAlign w:val="center"/>
          </w:tcPr>
          <w:p w14:paraId="30F409B4">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4</w:t>
            </w:r>
          </w:p>
        </w:tc>
        <w:tc>
          <w:tcPr>
            <w:tcW w:w="785" w:type="pct"/>
            <w:vMerge w:val="continue"/>
            <w:tcBorders>
              <w:tl2br w:val="nil"/>
              <w:tr2bl w:val="nil"/>
            </w:tcBorders>
            <w:vAlign w:val="center"/>
          </w:tcPr>
          <w:p w14:paraId="525404F9">
            <w:pPr>
              <w:spacing w:line="360" w:lineRule="exact"/>
              <w:ind w:firstLine="0" w:firstLineChars="0"/>
              <w:jc w:val="center"/>
              <w:rPr>
                <w:rFonts w:hint="default" w:ascii="Times New Roman" w:hAnsi="Times New Roman" w:cs="Times New Roman"/>
                <w:bCs/>
                <w:color w:val="auto"/>
                <w:kern w:val="0"/>
                <w:sz w:val="21"/>
                <w:szCs w:val="21"/>
                <w:highlight w:val="none"/>
              </w:rPr>
            </w:pPr>
          </w:p>
        </w:tc>
        <w:tc>
          <w:tcPr>
            <w:tcW w:w="350" w:type="pct"/>
            <w:vMerge w:val="continue"/>
            <w:tcBorders>
              <w:tl2br w:val="nil"/>
              <w:tr2bl w:val="nil"/>
            </w:tcBorders>
            <w:vAlign w:val="center"/>
          </w:tcPr>
          <w:p w14:paraId="151726E9">
            <w:pPr>
              <w:spacing w:line="360" w:lineRule="exact"/>
              <w:ind w:firstLine="0" w:firstLineChars="0"/>
              <w:jc w:val="center"/>
              <w:rPr>
                <w:rFonts w:hint="default" w:ascii="Times New Roman" w:hAnsi="Times New Roman" w:cs="Times New Roman"/>
                <w:bCs/>
                <w:color w:val="auto"/>
                <w:kern w:val="0"/>
                <w:sz w:val="21"/>
                <w:szCs w:val="21"/>
                <w:highlight w:val="none"/>
              </w:rPr>
            </w:pPr>
          </w:p>
        </w:tc>
        <w:tc>
          <w:tcPr>
            <w:tcW w:w="1002" w:type="pct"/>
            <w:vMerge w:val="continue"/>
            <w:tcBorders>
              <w:tl2br w:val="nil"/>
              <w:tr2bl w:val="nil"/>
            </w:tcBorders>
            <w:vAlign w:val="center"/>
          </w:tcPr>
          <w:p w14:paraId="1C6A1DCB">
            <w:pPr>
              <w:spacing w:line="360" w:lineRule="exact"/>
              <w:ind w:firstLine="0" w:firstLineChars="0"/>
              <w:jc w:val="center"/>
              <w:rPr>
                <w:rFonts w:hint="default" w:ascii="Times New Roman" w:hAnsi="Times New Roman" w:cs="Times New Roman"/>
                <w:bCs/>
                <w:color w:val="auto"/>
                <w:kern w:val="0"/>
                <w:sz w:val="21"/>
                <w:szCs w:val="21"/>
                <w:highlight w:val="none"/>
              </w:rPr>
            </w:pPr>
          </w:p>
        </w:tc>
        <w:tc>
          <w:tcPr>
            <w:tcW w:w="1441" w:type="pct"/>
            <w:gridSpan w:val="2"/>
            <w:tcBorders>
              <w:tl2br w:val="nil"/>
              <w:tr2bl w:val="nil"/>
            </w:tcBorders>
            <w:vAlign w:val="center"/>
          </w:tcPr>
          <w:p w14:paraId="1BE9EB75">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浓度倍数3倍及以上指标项数</w:t>
            </w:r>
          </w:p>
        </w:tc>
        <w:tc>
          <w:tcPr>
            <w:tcW w:w="496" w:type="pct"/>
            <w:tcBorders>
              <w:tl2br w:val="nil"/>
              <w:tr2bl w:val="nil"/>
            </w:tcBorders>
            <w:vAlign w:val="center"/>
          </w:tcPr>
          <w:p w14:paraId="3E3B48B3">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6</w:t>
            </w:r>
          </w:p>
        </w:tc>
        <w:tc>
          <w:tcPr>
            <w:tcW w:w="570" w:type="pct"/>
            <w:tcBorders>
              <w:tl2br w:val="nil"/>
              <w:tr2bl w:val="nil"/>
            </w:tcBorders>
            <w:vAlign w:val="center"/>
          </w:tcPr>
          <w:p w14:paraId="48538E34">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0</w:t>
            </w:r>
          </w:p>
        </w:tc>
      </w:tr>
      <w:tr w14:paraId="209F7E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1" w:type="pct"/>
            <w:tcBorders>
              <w:tl2br w:val="nil"/>
              <w:tr2bl w:val="nil"/>
            </w:tcBorders>
            <w:vAlign w:val="center"/>
          </w:tcPr>
          <w:p w14:paraId="48748A1E">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5</w:t>
            </w:r>
          </w:p>
        </w:tc>
        <w:tc>
          <w:tcPr>
            <w:tcW w:w="785" w:type="pct"/>
            <w:vMerge w:val="continue"/>
            <w:tcBorders>
              <w:tl2br w:val="nil"/>
              <w:tr2bl w:val="nil"/>
            </w:tcBorders>
            <w:vAlign w:val="center"/>
          </w:tcPr>
          <w:p w14:paraId="23FC1766">
            <w:pPr>
              <w:spacing w:line="360" w:lineRule="exact"/>
              <w:ind w:firstLine="0" w:firstLineChars="0"/>
              <w:jc w:val="center"/>
              <w:rPr>
                <w:rFonts w:hint="default" w:ascii="Times New Roman" w:hAnsi="Times New Roman" w:cs="Times New Roman"/>
                <w:bCs/>
                <w:color w:val="auto"/>
                <w:kern w:val="0"/>
                <w:sz w:val="21"/>
                <w:szCs w:val="21"/>
                <w:highlight w:val="none"/>
              </w:rPr>
            </w:pPr>
          </w:p>
        </w:tc>
        <w:tc>
          <w:tcPr>
            <w:tcW w:w="350" w:type="pct"/>
            <w:tcBorders>
              <w:tl2br w:val="nil"/>
              <w:tr2bl w:val="nil"/>
            </w:tcBorders>
            <w:vAlign w:val="center"/>
          </w:tcPr>
          <w:p w14:paraId="4D388977">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规模</w:t>
            </w:r>
          </w:p>
        </w:tc>
        <w:tc>
          <w:tcPr>
            <w:tcW w:w="2444" w:type="pct"/>
            <w:gridSpan w:val="3"/>
            <w:tcBorders>
              <w:tl2br w:val="nil"/>
              <w:tr2bl w:val="nil"/>
            </w:tcBorders>
            <w:vAlign w:val="center"/>
          </w:tcPr>
          <w:p w14:paraId="12DF7CFF">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现状库容</w:t>
            </w:r>
          </w:p>
        </w:tc>
        <w:tc>
          <w:tcPr>
            <w:tcW w:w="496" w:type="pct"/>
            <w:tcBorders>
              <w:tl2br w:val="nil"/>
              <w:tr2bl w:val="nil"/>
            </w:tcBorders>
            <w:vAlign w:val="center"/>
          </w:tcPr>
          <w:p w14:paraId="30F565C5">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24</w:t>
            </w:r>
          </w:p>
        </w:tc>
        <w:tc>
          <w:tcPr>
            <w:tcW w:w="570" w:type="pct"/>
            <w:tcBorders>
              <w:tl2br w:val="nil"/>
              <w:tr2bl w:val="nil"/>
            </w:tcBorders>
            <w:vAlign w:val="center"/>
          </w:tcPr>
          <w:p w14:paraId="3552738F">
            <w:pPr>
              <w:spacing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12</w:t>
            </w:r>
          </w:p>
        </w:tc>
      </w:tr>
      <w:tr w14:paraId="43727F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9" w:type="pct"/>
            <w:gridSpan w:val="7"/>
            <w:tcBorders>
              <w:tl2br w:val="nil"/>
              <w:tr2bl w:val="nil"/>
            </w:tcBorders>
            <w:vAlign w:val="center"/>
          </w:tcPr>
          <w:p w14:paraId="66BBF02B">
            <w:pPr>
              <w:spacing w:line="360" w:lineRule="exact"/>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合计</w:t>
            </w:r>
          </w:p>
        </w:tc>
        <w:tc>
          <w:tcPr>
            <w:tcW w:w="570" w:type="pct"/>
            <w:tcBorders>
              <w:tl2br w:val="nil"/>
              <w:tr2bl w:val="nil"/>
            </w:tcBorders>
            <w:vAlign w:val="center"/>
          </w:tcPr>
          <w:p w14:paraId="3C8AB80C">
            <w:pPr>
              <w:spacing w:line="360" w:lineRule="exact"/>
              <w:ind w:firstLine="0" w:firstLineChars="0"/>
              <w:jc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12</w:t>
            </w:r>
          </w:p>
        </w:tc>
      </w:tr>
    </w:tbl>
    <w:p w14:paraId="5A3D64A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尾矿库等别划分见表5.3-6。</w:t>
      </w:r>
    </w:p>
    <w:p w14:paraId="4ED9A37E">
      <w:pPr>
        <w:ind w:firstLine="0" w:firstLineChars="0"/>
        <w:jc w:val="center"/>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表5.3-6    尾矿库环境危害性（H）等别划分表</w:t>
      </w:r>
    </w:p>
    <w:tbl>
      <w:tblPr>
        <w:tblStyle w:val="34"/>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2F77BF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261" w:type="dxa"/>
            <w:tcBorders>
              <w:tl2br w:val="nil"/>
              <w:tr2bl w:val="nil"/>
            </w:tcBorders>
            <w:vAlign w:val="center"/>
          </w:tcPr>
          <w:p w14:paraId="2E7EB8E0">
            <w:pPr>
              <w:pStyle w:val="32"/>
              <w:spacing w:after="0" w:line="360" w:lineRule="exact"/>
              <w:ind w:left="0" w:leftChars="0" w:firstLine="0" w:firstLineChars="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kern w:val="0"/>
                <w:szCs w:val="21"/>
                <w:highlight w:val="none"/>
              </w:rPr>
              <w:t>尾矿库环境危害性得分（D</w:t>
            </w:r>
            <w:r>
              <w:rPr>
                <w:rFonts w:hint="default" w:ascii="Times New Roman" w:hAnsi="Times New Roman" w:cs="Times New Roman"/>
                <w:b/>
                <w:color w:val="auto"/>
                <w:kern w:val="0"/>
                <w:szCs w:val="21"/>
                <w:highlight w:val="none"/>
                <w:vertAlign w:val="subscript"/>
              </w:rPr>
              <w:t>H</w:t>
            </w:r>
            <w:r>
              <w:rPr>
                <w:rFonts w:hint="default" w:ascii="Times New Roman" w:hAnsi="Times New Roman" w:cs="Times New Roman"/>
                <w:b/>
                <w:color w:val="auto"/>
                <w:kern w:val="0"/>
                <w:szCs w:val="21"/>
                <w:highlight w:val="none"/>
              </w:rPr>
              <w:t>）</w:t>
            </w:r>
          </w:p>
        </w:tc>
        <w:tc>
          <w:tcPr>
            <w:tcW w:w="4261" w:type="dxa"/>
            <w:tcBorders>
              <w:tl2br w:val="nil"/>
              <w:tr2bl w:val="nil"/>
            </w:tcBorders>
            <w:vAlign w:val="center"/>
          </w:tcPr>
          <w:p w14:paraId="79E060B9">
            <w:pPr>
              <w:pStyle w:val="32"/>
              <w:spacing w:after="0" w:line="360" w:lineRule="exact"/>
              <w:ind w:left="0" w:leftChars="0" w:firstLine="0" w:firstLineChars="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尾矿库环境危害性等别代码</w:t>
            </w:r>
          </w:p>
        </w:tc>
      </w:tr>
      <w:tr w14:paraId="446701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1" w:type="dxa"/>
            <w:tcBorders>
              <w:tl2br w:val="nil"/>
              <w:tr2bl w:val="nil"/>
            </w:tcBorders>
            <w:vAlign w:val="center"/>
          </w:tcPr>
          <w:p w14:paraId="232981B3">
            <w:pPr>
              <w:pStyle w:val="32"/>
              <w:spacing w:after="0" w:line="360" w:lineRule="exact"/>
              <w:ind w:left="0" w:leftChars="0" w:firstLine="0" w:firstLine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kern w:val="0"/>
                <w:szCs w:val="21"/>
                <w:highlight w:val="none"/>
              </w:rPr>
              <w:t>D</w:t>
            </w:r>
            <w:r>
              <w:rPr>
                <w:rFonts w:hint="default" w:ascii="Times New Roman" w:hAnsi="Times New Roman" w:cs="Times New Roman"/>
                <w:bCs/>
                <w:color w:val="auto"/>
                <w:kern w:val="0"/>
                <w:szCs w:val="21"/>
                <w:highlight w:val="none"/>
                <w:vertAlign w:val="subscript"/>
              </w:rPr>
              <w:t>H</w:t>
            </w:r>
            <w:r>
              <w:rPr>
                <w:rFonts w:hint="default" w:ascii="Times New Roman" w:hAnsi="Times New Roman" w:cs="Times New Roman"/>
                <w:bCs/>
                <w:color w:val="auto"/>
                <w:kern w:val="0"/>
                <w:szCs w:val="21"/>
                <w:highlight w:val="none"/>
              </w:rPr>
              <w:t>&gt;60</w:t>
            </w:r>
          </w:p>
        </w:tc>
        <w:tc>
          <w:tcPr>
            <w:tcW w:w="4261" w:type="dxa"/>
            <w:tcBorders>
              <w:tl2br w:val="nil"/>
              <w:tr2bl w:val="nil"/>
            </w:tcBorders>
            <w:vAlign w:val="center"/>
          </w:tcPr>
          <w:p w14:paraId="5C78908E">
            <w:pPr>
              <w:pStyle w:val="32"/>
              <w:spacing w:after="0" w:line="360" w:lineRule="exact"/>
              <w:ind w:left="0" w:leftChars="0" w:firstLine="0" w:firstLine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H1</w:t>
            </w:r>
          </w:p>
        </w:tc>
      </w:tr>
      <w:tr w14:paraId="36AE5A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1" w:type="dxa"/>
            <w:tcBorders>
              <w:tl2br w:val="nil"/>
              <w:tr2bl w:val="nil"/>
            </w:tcBorders>
            <w:vAlign w:val="center"/>
          </w:tcPr>
          <w:p w14:paraId="32088EC2">
            <w:pPr>
              <w:pStyle w:val="32"/>
              <w:spacing w:after="0" w:line="360" w:lineRule="exact"/>
              <w:ind w:left="0" w:leftChars="0" w:firstLine="0" w:firstLine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kern w:val="0"/>
                <w:szCs w:val="21"/>
                <w:highlight w:val="none"/>
              </w:rPr>
              <w:t>30&lt;D</w:t>
            </w:r>
            <w:r>
              <w:rPr>
                <w:rFonts w:hint="default" w:ascii="Times New Roman" w:hAnsi="Times New Roman" w:cs="Times New Roman"/>
                <w:bCs/>
                <w:color w:val="auto"/>
                <w:kern w:val="0"/>
                <w:szCs w:val="21"/>
                <w:highlight w:val="none"/>
                <w:vertAlign w:val="subscript"/>
              </w:rPr>
              <w:t>H</w:t>
            </w:r>
            <w:r>
              <w:rPr>
                <w:rFonts w:hint="default" w:ascii="Times New Roman" w:hAnsi="Times New Roman" w:cs="Times New Roman"/>
                <w:bCs/>
                <w:color w:val="auto"/>
                <w:kern w:val="0"/>
                <w:szCs w:val="21"/>
                <w:highlight w:val="none"/>
              </w:rPr>
              <w:t>≦60</w:t>
            </w:r>
          </w:p>
        </w:tc>
        <w:tc>
          <w:tcPr>
            <w:tcW w:w="4261" w:type="dxa"/>
            <w:tcBorders>
              <w:tl2br w:val="nil"/>
              <w:tr2bl w:val="nil"/>
            </w:tcBorders>
            <w:vAlign w:val="center"/>
          </w:tcPr>
          <w:p w14:paraId="1C176D88">
            <w:pPr>
              <w:pStyle w:val="32"/>
              <w:spacing w:after="0" w:line="360" w:lineRule="exact"/>
              <w:ind w:left="0" w:leftChars="0" w:firstLine="0" w:firstLine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H2</w:t>
            </w:r>
          </w:p>
        </w:tc>
      </w:tr>
      <w:tr w14:paraId="7DD827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1" w:type="dxa"/>
            <w:tcBorders>
              <w:tl2br w:val="nil"/>
              <w:tr2bl w:val="nil"/>
            </w:tcBorders>
            <w:vAlign w:val="center"/>
          </w:tcPr>
          <w:p w14:paraId="2FF539EE">
            <w:pPr>
              <w:pStyle w:val="32"/>
              <w:spacing w:after="0" w:line="360" w:lineRule="exact"/>
              <w:ind w:left="0" w:leftChars="0" w:firstLine="0" w:firstLine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kern w:val="0"/>
                <w:szCs w:val="21"/>
                <w:highlight w:val="none"/>
              </w:rPr>
              <w:t>D</w:t>
            </w:r>
            <w:r>
              <w:rPr>
                <w:rFonts w:hint="default" w:ascii="Times New Roman" w:hAnsi="Times New Roman" w:cs="Times New Roman"/>
                <w:bCs/>
                <w:color w:val="auto"/>
                <w:kern w:val="0"/>
                <w:szCs w:val="21"/>
                <w:highlight w:val="none"/>
                <w:vertAlign w:val="subscript"/>
              </w:rPr>
              <w:t>H</w:t>
            </w:r>
            <w:r>
              <w:rPr>
                <w:rFonts w:hint="default" w:ascii="Times New Roman" w:hAnsi="Times New Roman" w:cs="Times New Roman"/>
                <w:bCs/>
                <w:color w:val="auto"/>
                <w:kern w:val="0"/>
                <w:szCs w:val="21"/>
                <w:highlight w:val="none"/>
              </w:rPr>
              <w:t>≦30</w:t>
            </w:r>
          </w:p>
        </w:tc>
        <w:tc>
          <w:tcPr>
            <w:tcW w:w="4261" w:type="dxa"/>
            <w:tcBorders>
              <w:tl2br w:val="nil"/>
              <w:tr2bl w:val="nil"/>
            </w:tcBorders>
            <w:vAlign w:val="center"/>
          </w:tcPr>
          <w:p w14:paraId="0F3A9277">
            <w:pPr>
              <w:pStyle w:val="32"/>
              <w:spacing w:after="0" w:line="360" w:lineRule="exact"/>
              <w:ind w:left="0" w:leftChars="0" w:firstLine="0" w:firstLine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H3</w:t>
            </w:r>
          </w:p>
        </w:tc>
      </w:tr>
    </w:tbl>
    <w:p w14:paraId="510C764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根据《尾矿库环境风险评估技术导则（试行）》（HJ740-2015）附录B中各指标评分方法，本项目尾矿砂主要矿种为</w:t>
      </w:r>
      <w:r>
        <w:rPr>
          <w:rFonts w:hint="default" w:ascii="Times New Roman" w:hAnsi="Times New Roman" w:cs="Times New Roman"/>
          <w:color w:val="auto"/>
          <w:highlight w:val="none"/>
          <w:lang w:eastAsia="zh-CN"/>
        </w:rPr>
        <w:t>非</w:t>
      </w:r>
      <w:r>
        <w:rPr>
          <w:rFonts w:hint="default" w:ascii="Times New Roman" w:hAnsi="Times New Roman" w:cs="Times New Roman"/>
          <w:color w:val="auto"/>
          <w:highlight w:val="none"/>
        </w:rPr>
        <w:t>金属矿种，尾矿属于</w:t>
      </w:r>
      <w:r>
        <w:rPr>
          <w:rFonts w:hint="default" w:ascii="Times New Roman" w:hAnsi="Times New Roman" w:cs="Times New Roman"/>
          <w:color w:val="auto"/>
          <w:highlight w:val="none"/>
          <w:lang w:eastAsia="zh-CN"/>
        </w:rPr>
        <w:t>I</w:t>
      </w:r>
      <w:r>
        <w:rPr>
          <w:rFonts w:hint="default" w:ascii="Times New Roman" w:hAnsi="Times New Roman" w:cs="Times New Roman"/>
          <w:color w:val="auto"/>
          <w:highlight w:val="none"/>
        </w:rPr>
        <w:t>类工业固体废弃物，评分取0；特征污染物指标pH介于6~9，评分取0；所有污染物浓度指标倍数均在3倍以下，评分取0；浓度倍数3倍及以上的指标项数为0，评分取0；</w:t>
      </w:r>
      <w:r>
        <w:rPr>
          <w:rFonts w:hint="default" w:ascii="Times New Roman" w:hAnsi="Times New Roman" w:cs="Times New Roman"/>
          <w:color w:val="auto"/>
          <w:highlight w:val="none"/>
          <w:lang w:val="en-US" w:eastAsia="zh-CN"/>
        </w:rPr>
        <w:t>尾</w:t>
      </w:r>
      <w:r>
        <w:rPr>
          <w:rFonts w:hint="default" w:ascii="Times New Roman" w:hAnsi="Times New Roman" w:cs="Times New Roman"/>
          <w:color w:val="auto"/>
          <w:highlight w:val="none"/>
        </w:rPr>
        <w:t>矿库库容为</w:t>
      </w:r>
      <w:r>
        <w:rPr>
          <w:rFonts w:hint="default" w:ascii="Times New Roman" w:hAnsi="Times New Roman" w:cs="Times New Roman"/>
          <w:color w:val="auto"/>
          <w:highlight w:val="none"/>
          <w:lang w:val="en-US" w:eastAsia="zh-CN"/>
        </w:rPr>
        <w:t>102</w:t>
      </w:r>
      <w:r>
        <w:rPr>
          <w:rFonts w:hint="default" w:ascii="Times New Roman" w:hAnsi="Times New Roman" w:cs="Times New Roman"/>
          <w:color w:val="auto"/>
          <w:highlight w:val="none"/>
        </w:rPr>
        <w:t>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，评分分别取</w:t>
      </w:r>
      <w:r>
        <w:rPr>
          <w:rFonts w:hint="default" w:ascii="Times New Roman" w:hAnsi="Times New Roman" w:cs="Times New Roman"/>
          <w:color w:val="auto"/>
          <w:highlight w:val="none"/>
          <w:lang w:val="en-US" w:eastAsia="zh-CN"/>
        </w:rPr>
        <w:t>12</w:t>
      </w:r>
      <w:r>
        <w:rPr>
          <w:rFonts w:hint="default" w:ascii="Times New Roman" w:hAnsi="Times New Roman" w:cs="Times New Roman"/>
          <w:color w:val="auto"/>
          <w:highlight w:val="none"/>
        </w:rPr>
        <w:t>，由此得出总得为</w:t>
      </w:r>
      <w:r>
        <w:rPr>
          <w:rFonts w:hint="default" w:ascii="Times New Roman" w:hAnsi="Times New Roman" w:cs="Times New Roman"/>
          <w:color w:val="auto"/>
          <w:highlight w:val="none"/>
          <w:lang w:val="en-US" w:eastAsia="zh-CN"/>
        </w:rPr>
        <w:t>12</w:t>
      </w:r>
      <w:r>
        <w:rPr>
          <w:rFonts w:hint="default" w:ascii="Times New Roman" w:hAnsi="Times New Roman" w:cs="Times New Roman"/>
          <w:color w:val="auto"/>
          <w:highlight w:val="none"/>
        </w:rPr>
        <w:t>，环境危险性等别均为H3。</w:t>
      </w:r>
    </w:p>
    <w:p w14:paraId="5BB36489">
      <w:pPr>
        <w:overflowPunct w:val="0"/>
        <w:topLinePunct/>
        <w:ind w:firstLine="48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周边环境敏感性</w:t>
      </w:r>
      <w:r>
        <w:rPr>
          <w:rFonts w:hint="default" w:ascii="Times New Roman" w:hAnsi="Times New Roman" w:cs="Times New Roman"/>
          <w:color w:val="auto"/>
          <w:highlight w:val="none"/>
          <w:lang w:eastAsia="zh-CN"/>
        </w:rPr>
        <w:t>：</w:t>
      </w:r>
    </w:p>
    <w:p w14:paraId="4DE01B4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采用评分方法，对尾矿库下游涉及的跨界情况、周边环境风险受体情况、周边环境功能类别情况三方面指标进行评分与累加求和，评估尾矿库周边环境敏感性（S），尾矿库周边环境敏感性等别划分体系见表5.3-7。</w:t>
      </w:r>
    </w:p>
    <w:p w14:paraId="2D5F89CC">
      <w:pPr>
        <w:overflowPunct w:val="0"/>
        <w:topLinePun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b/>
          <w:color w:val="auto"/>
          <w:kern w:val="0"/>
          <w:highlight w:val="none"/>
        </w:rPr>
        <w:t>表5.3-7    尾矿库周边环境敏感性（S）等别划分指标体系</w:t>
      </w:r>
    </w:p>
    <w:tbl>
      <w:tblPr>
        <w:tblStyle w:val="3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18"/>
        <w:gridCol w:w="1755"/>
        <w:gridCol w:w="1755"/>
        <w:gridCol w:w="760"/>
        <w:gridCol w:w="901"/>
        <w:gridCol w:w="772"/>
        <w:gridCol w:w="913"/>
        <w:gridCol w:w="1045"/>
      </w:tblGrid>
      <w:tr w14:paraId="70389F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63" w:type="pct"/>
            <w:tcBorders>
              <w:tl2br w:val="nil"/>
              <w:tr2bl w:val="nil"/>
            </w:tcBorders>
            <w:vAlign w:val="center"/>
          </w:tcPr>
          <w:p w14:paraId="1C34601B">
            <w:pPr>
              <w:pStyle w:val="32"/>
              <w:spacing w:after="0" w:line="360" w:lineRule="exact"/>
              <w:ind w:left="0" w:leftChars="0" w:firstLine="0" w:firstLineChars="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序号</w:t>
            </w:r>
          </w:p>
        </w:tc>
        <w:tc>
          <w:tcPr>
            <w:tcW w:w="3488" w:type="pct"/>
            <w:gridSpan w:val="5"/>
            <w:tcBorders>
              <w:tl2br w:val="nil"/>
              <w:tr2bl w:val="nil"/>
            </w:tcBorders>
            <w:vAlign w:val="center"/>
          </w:tcPr>
          <w:p w14:paraId="0C742052">
            <w:pPr>
              <w:pStyle w:val="32"/>
              <w:spacing w:after="0" w:line="360" w:lineRule="exact"/>
              <w:ind w:left="0" w:leftChars="0" w:firstLine="0" w:firstLineChars="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指标项目</w:t>
            </w:r>
          </w:p>
        </w:tc>
        <w:tc>
          <w:tcPr>
            <w:tcW w:w="533" w:type="pct"/>
            <w:tcBorders>
              <w:tl2br w:val="nil"/>
              <w:tr2bl w:val="nil"/>
            </w:tcBorders>
            <w:vAlign w:val="center"/>
          </w:tcPr>
          <w:p w14:paraId="33979CC8">
            <w:pPr>
              <w:pStyle w:val="32"/>
              <w:spacing w:after="0" w:line="360" w:lineRule="exact"/>
              <w:ind w:left="0" w:leftChars="0" w:firstLine="0" w:firstLineChars="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指标分值</w:t>
            </w:r>
          </w:p>
        </w:tc>
        <w:tc>
          <w:tcPr>
            <w:tcW w:w="615" w:type="pct"/>
            <w:tcBorders>
              <w:tl2br w:val="nil"/>
              <w:tr2bl w:val="nil"/>
            </w:tcBorders>
            <w:vAlign w:val="center"/>
          </w:tcPr>
          <w:p w14:paraId="47E6CF8D">
            <w:pPr>
              <w:spacing w:line="360" w:lineRule="exact"/>
              <w:ind w:firstLine="0" w:firstLineChars="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尾矿库</w:t>
            </w:r>
          </w:p>
        </w:tc>
      </w:tr>
      <w:tr w14:paraId="5699A3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tcBorders>
              <w:tl2br w:val="nil"/>
              <w:tr2bl w:val="nil"/>
            </w:tcBorders>
            <w:vAlign w:val="center"/>
          </w:tcPr>
          <w:p w14:paraId="1B40CA48">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1</w:t>
            </w:r>
          </w:p>
        </w:tc>
        <w:tc>
          <w:tcPr>
            <w:tcW w:w="1030" w:type="pct"/>
            <w:vMerge w:val="restart"/>
            <w:tcBorders>
              <w:tl2br w:val="nil"/>
              <w:tr2bl w:val="nil"/>
            </w:tcBorders>
            <w:vAlign w:val="center"/>
          </w:tcPr>
          <w:p w14:paraId="4CD8B4DD">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尾矿库周边环境敏感性</w:t>
            </w:r>
          </w:p>
        </w:tc>
        <w:tc>
          <w:tcPr>
            <w:tcW w:w="1030" w:type="pct"/>
            <w:vMerge w:val="restart"/>
            <w:tcBorders>
              <w:tl2br w:val="nil"/>
              <w:tr2bl w:val="nil"/>
            </w:tcBorders>
            <w:vAlign w:val="center"/>
          </w:tcPr>
          <w:p w14:paraId="28E602DC">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下游涉及的跨界情况</w:t>
            </w:r>
          </w:p>
        </w:tc>
        <w:tc>
          <w:tcPr>
            <w:tcW w:w="1426" w:type="pct"/>
            <w:gridSpan w:val="3"/>
            <w:tcBorders>
              <w:tl2br w:val="nil"/>
              <w:tr2bl w:val="nil"/>
            </w:tcBorders>
            <w:vAlign w:val="center"/>
          </w:tcPr>
          <w:p w14:paraId="1D028D16">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涉及跨界类型</w:t>
            </w:r>
          </w:p>
        </w:tc>
        <w:tc>
          <w:tcPr>
            <w:tcW w:w="533" w:type="pct"/>
            <w:tcBorders>
              <w:tl2br w:val="nil"/>
              <w:tr2bl w:val="nil"/>
            </w:tcBorders>
            <w:vAlign w:val="center"/>
          </w:tcPr>
          <w:p w14:paraId="0209DC84">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18</w:t>
            </w:r>
          </w:p>
        </w:tc>
        <w:tc>
          <w:tcPr>
            <w:tcW w:w="615" w:type="pct"/>
            <w:tcBorders>
              <w:tl2br w:val="nil"/>
              <w:tr2bl w:val="nil"/>
            </w:tcBorders>
            <w:vAlign w:val="center"/>
          </w:tcPr>
          <w:p w14:paraId="674FE6CE">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0</w:t>
            </w:r>
          </w:p>
        </w:tc>
      </w:tr>
      <w:tr w14:paraId="375A63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tcBorders>
              <w:tl2br w:val="nil"/>
              <w:tr2bl w:val="nil"/>
            </w:tcBorders>
            <w:vAlign w:val="center"/>
          </w:tcPr>
          <w:p w14:paraId="0108FED5">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2</w:t>
            </w:r>
          </w:p>
        </w:tc>
        <w:tc>
          <w:tcPr>
            <w:tcW w:w="1030" w:type="pct"/>
            <w:vMerge w:val="continue"/>
            <w:tcBorders>
              <w:tl2br w:val="nil"/>
              <w:tr2bl w:val="nil"/>
            </w:tcBorders>
            <w:vAlign w:val="center"/>
          </w:tcPr>
          <w:p w14:paraId="642ECF7F">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p>
        </w:tc>
        <w:tc>
          <w:tcPr>
            <w:tcW w:w="1030" w:type="pct"/>
            <w:vMerge w:val="continue"/>
            <w:tcBorders>
              <w:tl2br w:val="nil"/>
              <w:tr2bl w:val="nil"/>
            </w:tcBorders>
            <w:vAlign w:val="center"/>
          </w:tcPr>
          <w:p w14:paraId="1FA36BB2">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p>
        </w:tc>
        <w:tc>
          <w:tcPr>
            <w:tcW w:w="1426" w:type="pct"/>
            <w:gridSpan w:val="3"/>
            <w:tcBorders>
              <w:tl2br w:val="nil"/>
              <w:tr2bl w:val="nil"/>
            </w:tcBorders>
            <w:vAlign w:val="center"/>
          </w:tcPr>
          <w:p w14:paraId="439F8AC8">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涉及跨界距离</w:t>
            </w:r>
          </w:p>
        </w:tc>
        <w:tc>
          <w:tcPr>
            <w:tcW w:w="533" w:type="pct"/>
            <w:tcBorders>
              <w:tl2br w:val="nil"/>
              <w:tr2bl w:val="nil"/>
            </w:tcBorders>
            <w:vAlign w:val="center"/>
          </w:tcPr>
          <w:p w14:paraId="3C273F2C">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6</w:t>
            </w:r>
          </w:p>
        </w:tc>
        <w:tc>
          <w:tcPr>
            <w:tcW w:w="615" w:type="pct"/>
            <w:tcBorders>
              <w:tl2br w:val="nil"/>
              <w:tr2bl w:val="nil"/>
            </w:tcBorders>
            <w:vAlign w:val="center"/>
          </w:tcPr>
          <w:p w14:paraId="157D8D17">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0</w:t>
            </w:r>
          </w:p>
        </w:tc>
      </w:tr>
      <w:tr w14:paraId="5BB46A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tcBorders>
              <w:tl2br w:val="nil"/>
              <w:tr2bl w:val="nil"/>
            </w:tcBorders>
            <w:vAlign w:val="center"/>
          </w:tcPr>
          <w:p w14:paraId="38587038">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3</w:t>
            </w:r>
          </w:p>
        </w:tc>
        <w:tc>
          <w:tcPr>
            <w:tcW w:w="1030" w:type="pct"/>
            <w:vMerge w:val="continue"/>
            <w:tcBorders>
              <w:tl2br w:val="nil"/>
              <w:tr2bl w:val="nil"/>
            </w:tcBorders>
            <w:vAlign w:val="center"/>
          </w:tcPr>
          <w:p w14:paraId="3CB4236B">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p>
        </w:tc>
        <w:tc>
          <w:tcPr>
            <w:tcW w:w="2457" w:type="pct"/>
            <w:gridSpan w:val="4"/>
            <w:tcBorders>
              <w:tl2br w:val="nil"/>
              <w:tr2bl w:val="nil"/>
            </w:tcBorders>
            <w:vAlign w:val="center"/>
          </w:tcPr>
          <w:p w14:paraId="6E00A2E0">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周边环境风险受体情况</w:t>
            </w:r>
          </w:p>
        </w:tc>
        <w:tc>
          <w:tcPr>
            <w:tcW w:w="533" w:type="pct"/>
            <w:tcBorders>
              <w:tl2br w:val="nil"/>
              <w:tr2bl w:val="nil"/>
            </w:tcBorders>
            <w:vAlign w:val="center"/>
          </w:tcPr>
          <w:p w14:paraId="276F3719">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54</w:t>
            </w:r>
          </w:p>
        </w:tc>
        <w:tc>
          <w:tcPr>
            <w:tcW w:w="615" w:type="pct"/>
            <w:tcBorders>
              <w:tl2br w:val="nil"/>
              <w:tr2bl w:val="nil"/>
            </w:tcBorders>
            <w:vAlign w:val="center"/>
          </w:tcPr>
          <w:p w14:paraId="67E580B2">
            <w:pPr>
              <w:pStyle w:val="32"/>
              <w:spacing w:after="0" w:line="360" w:lineRule="exact"/>
              <w:ind w:left="0" w:leftChars="0" w:firstLine="0" w:firstLineChars="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18</w:t>
            </w:r>
          </w:p>
        </w:tc>
      </w:tr>
      <w:tr w14:paraId="59CAA9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tcBorders>
              <w:tl2br w:val="nil"/>
              <w:tr2bl w:val="nil"/>
            </w:tcBorders>
            <w:vAlign w:val="center"/>
          </w:tcPr>
          <w:p w14:paraId="386E5719">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w:t>
            </w:r>
          </w:p>
        </w:tc>
        <w:tc>
          <w:tcPr>
            <w:tcW w:w="1030" w:type="pct"/>
            <w:vMerge w:val="continue"/>
            <w:tcBorders>
              <w:tl2br w:val="nil"/>
              <w:tr2bl w:val="nil"/>
            </w:tcBorders>
            <w:vAlign w:val="center"/>
          </w:tcPr>
          <w:p w14:paraId="6EDFF54B">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p>
        </w:tc>
        <w:tc>
          <w:tcPr>
            <w:tcW w:w="1030" w:type="pct"/>
            <w:vMerge w:val="restart"/>
            <w:tcBorders>
              <w:tl2br w:val="nil"/>
              <w:tr2bl w:val="nil"/>
            </w:tcBorders>
            <w:vAlign w:val="center"/>
          </w:tcPr>
          <w:p w14:paraId="3D070836">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周边环境功能类别情况</w:t>
            </w:r>
          </w:p>
        </w:tc>
        <w:tc>
          <w:tcPr>
            <w:tcW w:w="446" w:type="pct"/>
            <w:vMerge w:val="restart"/>
            <w:tcBorders>
              <w:tl2br w:val="nil"/>
              <w:tr2bl w:val="nil"/>
            </w:tcBorders>
            <w:vAlign w:val="center"/>
          </w:tcPr>
          <w:p w14:paraId="6E4493D1">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水环境</w:t>
            </w:r>
          </w:p>
        </w:tc>
        <w:tc>
          <w:tcPr>
            <w:tcW w:w="529" w:type="pct"/>
            <w:vMerge w:val="restart"/>
            <w:tcBorders>
              <w:tl2br w:val="nil"/>
              <w:tr2bl w:val="nil"/>
            </w:tcBorders>
            <w:vAlign w:val="center"/>
          </w:tcPr>
          <w:p w14:paraId="0E46D102">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下游水体</w:t>
            </w:r>
          </w:p>
        </w:tc>
        <w:tc>
          <w:tcPr>
            <w:tcW w:w="450" w:type="pct"/>
            <w:tcBorders>
              <w:tl2br w:val="nil"/>
              <w:tr2bl w:val="nil"/>
            </w:tcBorders>
            <w:vAlign w:val="center"/>
          </w:tcPr>
          <w:p w14:paraId="78C0FB72">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地表水</w:t>
            </w:r>
          </w:p>
        </w:tc>
        <w:tc>
          <w:tcPr>
            <w:tcW w:w="533" w:type="pct"/>
            <w:vMerge w:val="restart"/>
            <w:tcBorders>
              <w:tl2br w:val="nil"/>
              <w:tr2bl w:val="nil"/>
            </w:tcBorders>
            <w:vAlign w:val="center"/>
          </w:tcPr>
          <w:p w14:paraId="112E762A">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9</w:t>
            </w:r>
          </w:p>
        </w:tc>
        <w:tc>
          <w:tcPr>
            <w:tcW w:w="615" w:type="pct"/>
            <w:tcBorders>
              <w:tl2br w:val="nil"/>
              <w:tr2bl w:val="nil"/>
            </w:tcBorders>
            <w:vAlign w:val="center"/>
          </w:tcPr>
          <w:p w14:paraId="59582999">
            <w:pPr>
              <w:pStyle w:val="32"/>
              <w:spacing w:after="0" w:line="360" w:lineRule="exact"/>
              <w:ind w:left="0" w:leftChars="0" w:firstLine="0" w:firstLineChars="0"/>
              <w:jc w:val="center"/>
              <w:rPr>
                <w:rFonts w:hint="default" w:ascii="Times New Roman" w:hAnsi="Times New Roman" w:eastAsia="宋体" w:cs="Times New Roman"/>
                <w:bCs/>
                <w:color w:val="auto"/>
                <w:kern w:val="0"/>
                <w:szCs w:val="21"/>
                <w:highlight w:val="none"/>
                <w:lang w:eastAsia="zh-CN"/>
              </w:rPr>
            </w:pPr>
            <w:r>
              <w:rPr>
                <w:rFonts w:hint="default" w:ascii="Times New Roman" w:hAnsi="Times New Roman" w:cs="Times New Roman"/>
                <w:bCs/>
                <w:color w:val="auto"/>
                <w:kern w:val="0"/>
                <w:szCs w:val="21"/>
                <w:highlight w:val="none"/>
                <w:lang w:val="en-US" w:eastAsia="zh-CN"/>
              </w:rPr>
              <w:t>0</w:t>
            </w:r>
          </w:p>
        </w:tc>
      </w:tr>
      <w:tr w14:paraId="69A2B2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tcBorders>
              <w:tl2br w:val="nil"/>
              <w:tr2bl w:val="nil"/>
            </w:tcBorders>
            <w:vAlign w:val="center"/>
          </w:tcPr>
          <w:p w14:paraId="31E567E8">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5</w:t>
            </w:r>
          </w:p>
        </w:tc>
        <w:tc>
          <w:tcPr>
            <w:tcW w:w="1030" w:type="pct"/>
            <w:vMerge w:val="continue"/>
            <w:tcBorders>
              <w:tl2br w:val="nil"/>
              <w:tr2bl w:val="nil"/>
            </w:tcBorders>
            <w:vAlign w:val="center"/>
          </w:tcPr>
          <w:p w14:paraId="0FBA614B">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p>
        </w:tc>
        <w:tc>
          <w:tcPr>
            <w:tcW w:w="1030" w:type="pct"/>
            <w:vMerge w:val="continue"/>
            <w:tcBorders>
              <w:tl2br w:val="nil"/>
              <w:tr2bl w:val="nil"/>
            </w:tcBorders>
            <w:vAlign w:val="center"/>
          </w:tcPr>
          <w:p w14:paraId="68E8A387">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p>
        </w:tc>
        <w:tc>
          <w:tcPr>
            <w:tcW w:w="446" w:type="pct"/>
            <w:vMerge w:val="continue"/>
            <w:tcBorders>
              <w:tl2br w:val="nil"/>
              <w:tr2bl w:val="nil"/>
            </w:tcBorders>
            <w:vAlign w:val="center"/>
          </w:tcPr>
          <w:p w14:paraId="366B767E">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p>
        </w:tc>
        <w:tc>
          <w:tcPr>
            <w:tcW w:w="529" w:type="pct"/>
            <w:vMerge w:val="continue"/>
            <w:tcBorders>
              <w:tl2br w:val="nil"/>
              <w:tr2bl w:val="nil"/>
            </w:tcBorders>
            <w:vAlign w:val="center"/>
          </w:tcPr>
          <w:p w14:paraId="54031807">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p>
        </w:tc>
        <w:tc>
          <w:tcPr>
            <w:tcW w:w="450" w:type="pct"/>
            <w:tcBorders>
              <w:tl2br w:val="nil"/>
              <w:tr2bl w:val="nil"/>
            </w:tcBorders>
            <w:vAlign w:val="center"/>
          </w:tcPr>
          <w:p w14:paraId="0F655DED">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海水</w:t>
            </w:r>
          </w:p>
        </w:tc>
        <w:tc>
          <w:tcPr>
            <w:tcW w:w="533" w:type="pct"/>
            <w:vMerge w:val="continue"/>
            <w:tcBorders>
              <w:tl2br w:val="nil"/>
              <w:tr2bl w:val="nil"/>
            </w:tcBorders>
            <w:vAlign w:val="center"/>
          </w:tcPr>
          <w:p w14:paraId="760A6656">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p>
        </w:tc>
        <w:tc>
          <w:tcPr>
            <w:tcW w:w="615" w:type="pct"/>
            <w:tcBorders>
              <w:tl2br w:val="nil"/>
              <w:tr2bl w:val="nil"/>
            </w:tcBorders>
            <w:vAlign w:val="center"/>
          </w:tcPr>
          <w:p w14:paraId="4F147894">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0</w:t>
            </w:r>
          </w:p>
        </w:tc>
      </w:tr>
      <w:tr w14:paraId="2C64A8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tcBorders>
              <w:tl2br w:val="nil"/>
              <w:tr2bl w:val="nil"/>
            </w:tcBorders>
            <w:vAlign w:val="center"/>
          </w:tcPr>
          <w:p w14:paraId="41CF878C">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6</w:t>
            </w:r>
          </w:p>
        </w:tc>
        <w:tc>
          <w:tcPr>
            <w:tcW w:w="1030" w:type="pct"/>
            <w:vMerge w:val="continue"/>
            <w:tcBorders>
              <w:tl2br w:val="nil"/>
              <w:tr2bl w:val="nil"/>
            </w:tcBorders>
            <w:vAlign w:val="center"/>
          </w:tcPr>
          <w:p w14:paraId="6EC56FC7">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p>
        </w:tc>
        <w:tc>
          <w:tcPr>
            <w:tcW w:w="1030" w:type="pct"/>
            <w:vMerge w:val="continue"/>
            <w:tcBorders>
              <w:tl2br w:val="nil"/>
              <w:tr2bl w:val="nil"/>
            </w:tcBorders>
            <w:vAlign w:val="center"/>
          </w:tcPr>
          <w:p w14:paraId="136FC3F2">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p>
        </w:tc>
        <w:tc>
          <w:tcPr>
            <w:tcW w:w="446" w:type="pct"/>
            <w:vMerge w:val="continue"/>
            <w:tcBorders>
              <w:tl2br w:val="nil"/>
              <w:tr2bl w:val="nil"/>
            </w:tcBorders>
            <w:vAlign w:val="center"/>
          </w:tcPr>
          <w:p w14:paraId="766E3FED">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p>
        </w:tc>
        <w:tc>
          <w:tcPr>
            <w:tcW w:w="980" w:type="pct"/>
            <w:gridSpan w:val="2"/>
            <w:tcBorders>
              <w:tl2br w:val="nil"/>
              <w:tr2bl w:val="nil"/>
            </w:tcBorders>
            <w:vAlign w:val="center"/>
          </w:tcPr>
          <w:p w14:paraId="23176BCD">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地下水</w:t>
            </w:r>
          </w:p>
        </w:tc>
        <w:tc>
          <w:tcPr>
            <w:tcW w:w="533" w:type="pct"/>
            <w:tcBorders>
              <w:tl2br w:val="nil"/>
              <w:tr2bl w:val="nil"/>
            </w:tcBorders>
            <w:vAlign w:val="center"/>
          </w:tcPr>
          <w:p w14:paraId="7C29245E">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6</w:t>
            </w:r>
          </w:p>
        </w:tc>
        <w:tc>
          <w:tcPr>
            <w:tcW w:w="615" w:type="pct"/>
            <w:tcBorders>
              <w:tl2br w:val="nil"/>
              <w:tr2bl w:val="nil"/>
            </w:tcBorders>
            <w:vAlign w:val="center"/>
          </w:tcPr>
          <w:p w14:paraId="6CD58D50">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w:t>
            </w:r>
          </w:p>
        </w:tc>
      </w:tr>
      <w:tr w14:paraId="510A21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tcBorders>
              <w:tl2br w:val="nil"/>
              <w:tr2bl w:val="nil"/>
            </w:tcBorders>
            <w:vAlign w:val="center"/>
          </w:tcPr>
          <w:p w14:paraId="34BD9D0A">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7</w:t>
            </w:r>
          </w:p>
        </w:tc>
        <w:tc>
          <w:tcPr>
            <w:tcW w:w="1030" w:type="pct"/>
            <w:vMerge w:val="continue"/>
            <w:tcBorders>
              <w:tl2br w:val="nil"/>
              <w:tr2bl w:val="nil"/>
            </w:tcBorders>
            <w:vAlign w:val="center"/>
          </w:tcPr>
          <w:p w14:paraId="438C08BB">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p>
        </w:tc>
        <w:tc>
          <w:tcPr>
            <w:tcW w:w="1030" w:type="pct"/>
            <w:vMerge w:val="continue"/>
            <w:tcBorders>
              <w:tl2br w:val="nil"/>
              <w:tr2bl w:val="nil"/>
            </w:tcBorders>
            <w:vAlign w:val="center"/>
          </w:tcPr>
          <w:p w14:paraId="537D8472">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p>
        </w:tc>
        <w:tc>
          <w:tcPr>
            <w:tcW w:w="1426" w:type="pct"/>
            <w:gridSpan w:val="3"/>
            <w:tcBorders>
              <w:tl2br w:val="nil"/>
              <w:tr2bl w:val="nil"/>
            </w:tcBorders>
            <w:vAlign w:val="center"/>
          </w:tcPr>
          <w:p w14:paraId="5ED27369">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土壤环境</w:t>
            </w:r>
          </w:p>
        </w:tc>
        <w:tc>
          <w:tcPr>
            <w:tcW w:w="533" w:type="pct"/>
            <w:tcBorders>
              <w:tl2br w:val="nil"/>
              <w:tr2bl w:val="nil"/>
            </w:tcBorders>
            <w:vAlign w:val="center"/>
          </w:tcPr>
          <w:p w14:paraId="777A06B4">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4</w:t>
            </w:r>
          </w:p>
        </w:tc>
        <w:tc>
          <w:tcPr>
            <w:tcW w:w="615" w:type="pct"/>
            <w:tcBorders>
              <w:tl2br w:val="nil"/>
              <w:tr2bl w:val="nil"/>
            </w:tcBorders>
            <w:vAlign w:val="center"/>
          </w:tcPr>
          <w:p w14:paraId="4A4BAAC6">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3</w:t>
            </w:r>
          </w:p>
        </w:tc>
      </w:tr>
      <w:tr w14:paraId="2F4D64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63" w:type="pct"/>
            <w:tcBorders>
              <w:tl2br w:val="nil"/>
              <w:tr2bl w:val="nil"/>
            </w:tcBorders>
            <w:vAlign w:val="center"/>
          </w:tcPr>
          <w:p w14:paraId="26CC8B40">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8</w:t>
            </w:r>
          </w:p>
        </w:tc>
        <w:tc>
          <w:tcPr>
            <w:tcW w:w="1030" w:type="pct"/>
            <w:vMerge w:val="continue"/>
            <w:tcBorders>
              <w:tl2br w:val="nil"/>
              <w:tr2bl w:val="nil"/>
            </w:tcBorders>
            <w:vAlign w:val="center"/>
          </w:tcPr>
          <w:p w14:paraId="50C6A2BA">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p>
        </w:tc>
        <w:tc>
          <w:tcPr>
            <w:tcW w:w="1030" w:type="pct"/>
            <w:vMerge w:val="continue"/>
            <w:tcBorders>
              <w:tl2br w:val="nil"/>
              <w:tr2bl w:val="nil"/>
            </w:tcBorders>
            <w:vAlign w:val="center"/>
          </w:tcPr>
          <w:p w14:paraId="48535E4C">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p>
        </w:tc>
        <w:tc>
          <w:tcPr>
            <w:tcW w:w="1426" w:type="pct"/>
            <w:gridSpan w:val="3"/>
            <w:tcBorders>
              <w:tl2br w:val="nil"/>
              <w:tr2bl w:val="nil"/>
            </w:tcBorders>
            <w:vAlign w:val="center"/>
          </w:tcPr>
          <w:p w14:paraId="2E3F55DB">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大气环境</w:t>
            </w:r>
          </w:p>
        </w:tc>
        <w:tc>
          <w:tcPr>
            <w:tcW w:w="533" w:type="pct"/>
            <w:tcBorders>
              <w:tl2br w:val="nil"/>
              <w:tr2bl w:val="nil"/>
            </w:tcBorders>
            <w:vAlign w:val="center"/>
          </w:tcPr>
          <w:p w14:paraId="201550C3">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3</w:t>
            </w:r>
          </w:p>
        </w:tc>
        <w:tc>
          <w:tcPr>
            <w:tcW w:w="615" w:type="pct"/>
            <w:tcBorders>
              <w:tl2br w:val="nil"/>
              <w:tr2bl w:val="nil"/>
            </w:tcBorders>
            <w:vAlign w:val="center"/>
          </w:tcPr>
          <w:p w14:paraId="1A7AE797">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1.5</w:t>
            </w:r>
          </w:p>
        </w:tc>
      </w:tr>
      <w:tr w14:paraId="45BA25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84" w:type="pct"/>
            <w:gridSpan w:val="7"/>
            <w:tcBorders>
              <w:tl2br w:val="nil"/>
              <w:tr2bl w:val="nil"/>
            </w:tcBorders>
            <w:vAlign w:val="center"/>
          </w:tcPr>
          <w:p w14:paraId="29BC590E">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合计</w:t>
            </w:r>
          </w:p>
        </w:tc>
        <w:tc>
          <w:tcPr>
            <w:tcW w:w="615" w:type="pct"/>
            <w:tcBorders>
              <w:tl2br w:val="nil"/>
              <w:tr2bl w:val="nil"/>
            </w:tcBorders>
            <w:vAlign w:val="center"/>
          </w:tcPr>
          <w:p w14:paraId="7EB07110">
            <w:pPr>
              <w:pStyle w:val="32"/>
              <w:spacing w:after="0" w:line="360" w:lineRule="exact"/>
              <w:ind w:left="0" w:leftChars="0" w:firstLine="0" w:firstLineChars="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cs="Times New Roman"/>
                <w:bCs/>
                <w:color w:val="auto"/>
                <w:kern w:val="0"/>
                <w:szCs w:val="21"/>
                <w:highlight w:val="none"/>
                <w:lang w:val="en-US" w:eastAsia="zh-CN"/>
              </w:rPr>
              <w:t>26.5</w:t>
            </w:r>
          </w:p>
        </w:tc>
      </w:tr>
    </w:tbl>
    <w:p w14:paraId="0FD3E80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依据尾矿库周边环境敏感性等别划分表，将周边环境敏感性（S）划分为S1、S2、S3三个等别，见表5.3-8。</w:t>
      </w:r>
    </w:p>
    <w:p w14:paraId="7ED53079">
      <w:pPr>
        <w:ind w:firstLine="0" w:firstLineChars="0"/>
        <w:jc w:val="center"/>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表5.3-8    尾矿库周边环境敏感性（S）等别划分表</w:t>
      </w:r>
    </w:p>
    <w:tbl>
      <w:tblPr>
        <w:tblStyle w:val="3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77A3EB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tcBorders>
              <w:tl2br w:val="nil"/>
              <w:tr2bl w:val="nil"/>
            </w:tcBorders>
            <w:vAlign w:val="center"/>
          </w:tcPr>
          <w:p w14:paraId="06A590A5">
            <w:pPr>
              <w:pStyle w:val="32"/>
              <w:spacing w:after="0" w:line="360" w:lineRule="exact"/>
              <w:ind w:left="0" w:leftChars="0" w:firstLine="0" w:firstLineChars="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尾矿库周边环境敏感性得分（DS）</w:t>
            </w:r>
          </w:p>
        </w:tc>
        <w:tc>
          <w:tcPr>
            <w:tcW w:w="4261" w:type="dxa"/>
            <w:tcBorders>
              <w:tl2br w:val="nil"/>
              <w:tr2bl w:val="nil"/>
            </w:tcBorders>
            <w:vAlign w:val="center"/>
          </w:tcPr>
          <w:p w14:paraId="0B492704">
            <w:pPr>
              <w:pStyle w:val="32"/>
              <w:spacing w:after="0" w:line="360" w:lineRule="exact"/>
              <w:ind w:left="0" w:leftChars="0" w:firstLine="0" w:firstLineChars="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尾矿库周边环境敏感性（S）等别代码</w:t>
            </w:r>
          </w:p>
        </w:tc>
      </w:tr>
      <w:tr w14:paraId="7C90C0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tcBorders>
              <w:tl2br w:val="nil"/>
              <w:tr2bl w:val="nil"/>
            </w:tcBorders>
            <w:vAlign w:val="center"/>
          </w:tcPr>
          <w:p w14:paraId="1B782240">
            <w:pPr>
              <w:pStyle w:val="32"/>
              <w:spacing w:after="0" w:line="360" w:lineRule="exact"/>
              <w:ind w:left="0" w:leftChars="0" w:firstLine="0" w:firstLineChars="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DS&gt;60</w:t>
            </w:r>
          </w:p>
        </w:tc>
        <w:tc>
          <w:tcPr>
            <w:tcW w:w="4261" w:type="dxa"/>
            <w:tcBorders>
              <w:tl2br w:val="nil"/>
              <w:tr2bl w:val="nil"/>
            </w:tcBorders>
            <w:vAlign w:val="center"/>
          </w:tcPr>
          <w:p w14:paraId="3B4C8FFD">
            <w:pPr>
              <w:pStyle w:val="32"/>
              <w:spacing w:after="0" w:line="360" w:lineRule="exact"/>
              <w:ind w:left="0" w:leftChars="0" w:firstLine="0" w:firstLineChars="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S1</w:t>
            </w:r>
          </w:p>
        </w:tc>
      </w:tr>
      <w:tr w14:paraId="0340C1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tcBorders>
              <w:tl2br w:val="nil"/>
              <w:tr2bl w:val="nil"/>
            </w:tcBorders>
            <w:vAlign w:val="center"/>
          </w:tcPr>
          <w:p w14:paraId="6B92B739">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30&lt;DS≦60</w:t>
            </w:r>
          </w:p>
        </w:tc>
        <w:tc>
          <w:tcPr>
            <w:tcW w:w="4261" w:type="dxa"/>
            <w:tcBorders>
              <w:tl2br w:val="nil"/>
              <w:tr2bl w:val="nil"/>
            </w:tcBorders>
            <w:vAlign w:val="center"/>
          </w:tcPr>
          <w:p w14:paraId="4158130E">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S2</w:t>
            </w:r>
          </w:p>
        </w:tc>
      </w:tr>
      <w:tr w14:paraId="6CA944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tcBorders>
              <w:tl2br w:val="nil"/>
              <w:tr2bl w:val="nil"/>
            </w:tcBorders>
            <w:vAlign w:val="center"/>
          </w:tcPr>
          <w:p w14:paraId="58BE2399">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DS≦30</w:t>
            </w:r>
          </w:p>
        </w:tc>
        <w:tc>
          <w:tcPr>
            <w:tcW w:w="4261" w:type="dxa"/>
            <w:tcBorders>
              <w:tl2br w:val="nil"/>
              <w:tr2bl w:val="nil"/>
            </w:tcBorders>
            <w:vAlign w:val="center"/>
          </w:tcPr>
          <w:p w14:paraId="44FACB0A">
            <w:pPr>
              <w:pStyle w:val="32"/>
              <w:spacing w:after="0" w:line="360" w:lineRule="exact"/>
              <w:ind w:left="0" w:leftChars="0" w:firstLine="0" w:firstLineChars="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S3</w:t>
            </w:r>
          </w:p>
        </w:tc>
      </w:tr>
    </w:tbl>
    <w:p w14:paraId="6981026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根据《尾矿库环境风险评估技术导则（试行）》（HJ740-2015）附录C中各指标评分方法，本项目尾矿库位于</w:t>
      </w:r>
      <w:r>
        <w:rPr>
          <w:rFonts w:hint="default" w:ascii="Times New Roman" w:hAnsi="Times New Roman" w:cs="Times New Roman"/>
          <w:color w:val="auto"/>
          <w:highlight w:val="none"/>
          <w:lang w:val="en-US" w:eastAsia="zh-CN"/>
        </w:rPr>
        <w:t>伊州区</w:t>
      </w:r>
      <w:r>
        <w:rPr>
          <w:rFonts w:hint="default" w:ascii="Times New Roman" w:hAnsi="Times New Roman" w:cs="Times New Roman"/>
          <w:color w:val="auto"/>
          <w:highlight w:val="none"/>
        </w:rPr>
        <w:t>，不</w:t>
      </w:r>
      <w:r>
        <w:rPr>
          <w:rFonts w:hint="eastAsia" w:cs="Times New Roman"/>
          <w:color w:val="auto"/>
          <w:highlight w:val="none"/>
          <w:lang w:eastAsia="zh-CN"/>
        </w:rPr>
        <w:t>涉及</w:t>
      </w:r>
      <w:r>
        <w:rPr>
          <w:rFonts w:hint="default" w:ascii="Times New Roman" w:hAnsi="Times New Roman" w:cs="Times New Roman"/>
          <w:color w:val="auto"/>
          <w:highlight w:val="none"/>
        </w:rPr>
        <w:t>跨界情况，属其他类，评分取0；尾矿库周边及下游涉及</w:t>
      </w:r>
      <w:r>
        <w:rPr>
          <w:rFonts w:hint="default" w:ascii="Times New Roman" w:hAnsi="Times New Roman" w:cs="Times New Roman"/>
          <w:color w:val="auto"/>
          <w:highlight w:val="none"/>
          <w:lang w:val="en-US" w:eastAsia="zh-CN"/>
        </w:rPr>
        <w:t>累计人口200人以下</w:t>
      </w:r>
      <w:r>
        <w:rPr>
          <w:rFonts w:hint="default" w:ascii="Times New Roman" w:hAnsi="Times New Roman" w:cs="Times New Roman"/>
          <w:color w:val="auto"/>
          <w:highlight w:val="none"/>
        </w:rPr>
        <w:t>，评分取</w:t>
      </w:r>
      <w:r>
        <w:rPr>
          <w:rFonts w:hint="default" w:ascii="Times New Roman" w:hAnsi="Times New Roman" w:cs="Times New Roman"/>
          <w:color w:val="auto"/>
          <w:highlight w:val="none"/>
          <w:lang w:val="en-US" w:eastAsia="zh-CN"/>
        </w:rPr>
        <w:t>18</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项目周边30km无</w:t>
      </w:r>
      <w:r>
        <w:rPr>
          <w:rFonts w:hint="default" w:ascii="Times New Roman" w:hAnsi="Times New Roman" w:cs="Times New Roman"/>
          <w:color w:val="auto"/>
          <w:highlight w:val="none"/>
        </w:rPr>
        <w:t>地表水，评分取</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rPr>
        <w:t>分；地下水属于三类，评分取4分；土壤环境属二类，评分取3分；大气环境为二类，评分取1.5。综上，总得</w:t>
      </w:r>
      <w:r>
        <w:rPr>
          <w:rFonts w:hint="default" w:ascii="Times New Roman" w:hAnsi="Times New Roman" w:cs="Times New Roman"/>
          <w:color w:val="auto"/>
          <w:highlight w:val="none"/>
          <w:lang w:eastAsia="zh-CN"/>
        </w:rPr>
        <w:t>分</w:t>
      </w:r>
      <w:r>
        <w:rPr>
          <w:rFonts w:hint="default" w:ascii="Times New Roman" w:hAnsi="Times New Roman" w:cs="Times New Roman"/>
          <w:color w:val="auto"/>
          <w:highlight w:val="none"/>
        </w:rPr>
        <w:t>为</w:t>
      </w:r>
      <w:r>
        <w:rPr>
          <w:rFonts w:hint="default" w:ascii="Times New Roman" w:hAnsi="Times New Roman" w:cs="Times New Roman"/>
          <w:color w:val="auto"/>
          <w:highlight w:val="none"/>
          <w:lang w:val="en-US" w:eastAsia="zh-CN"/>
        </w:rPr>
        <w:t>26.5</w:t>
      </w:r>
      <w:r>
        <w:rPr>
          <w:rFonts w:hint="default" w:ascii="Times New Roman" w:hAnsi="Times New Roman" w:cs="Times New Roman"/>
          <w:color w:val="auto"/>
          <w:highlight w:val="none"/>
        </w:rPr>
        <w:t>，环境敏感性等别均为S</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p>
    <w:p w14:paraId="05BEF335">
      <w:pPr>
        <w:overflowPunct w:val="0"/>
        <w:topLinePunct/>
        <w:ind w:firstLine="48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控制机制可靠性</w:t>
      </w:r>
      <w:r>
        <w:rPr>
          <w:rFonts w:hint="default" w:ascii="Times New Roman" w:hAnsi="Times New Roman" w:cs="Times New Roman"/>
          <w:color w:val="auto"/>
          <w:highlight w:val="none"/>
          <w:lang w:eastAsia="zh-CN"/>
        </w:rPr>
        <w:t>：</w:t>
      </w:r>
    </w:p>
    <w:p w14:paraId="529C3C6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采用评分方法，对尾矿库的基本情况、自然条件情况、生产安全情况、环境保护情况和历史事件情况五方面指标进行评分与累加求和，评估尾矿库控制机制可靠性（R），控制机制可靠性等别划分指标体系见表5.3-9。</w:t>
      </w:r>
    </w:p>
    <w:p w14:paraId="28B6E203">
      <w:pPr>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color w:val="auto"/>
          <w:kern w:val="0"/>
          <w:highlight w:val="none"/>
        </w:rPr>
        <w:t>表5.3-9    尾矿库控制机制可靠性（R）等别划分指标体系</w:t>
      </w:r>
    </w:p>
    <w:tbl>
      <w:tblPr>
        <w:tblStyle w:val="34"/>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997"/>
        <w:gridCol w:w="765"/>
        <w:gridCol w:w="1408"/>
        <w:gridCol w:w="1310"/>
        <w:gridCol w:w="1600"/>
        <w:gridCol w:w="830"/>
        <w:gridCol w:w="1094"/>
      </w:tblGrid>
      <w:tr w14:paraId="09722B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03" w:type="pct"/>
            <w:tcBorders>
              <w:tl2br w:val="nil"/>
              <w:tr2bl w:val="nil"/>
            </w:tcBorders>
            <w:vAlign w:val="center"/>
          </w:tcPr>
          <w:p w14:paraId="067EC81D">
            <w:pPr>
              <w:pStyle w:val="10"/>
              <w:spacing w:after="0" w:line="360" w:lineRule="exac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序号</w:t>
            </w:r>
          </w:p>
        </w:tc>
        <w:tc>
          <w:tcPr>
            <w:tcW w:w="3568" w:type="pct"/>
            <w:gridSpan w:val="5"/>
            <w:tcBorders>
              <w:tl2br w:val="nil"/>
              <w:tr2bl w:val="nil"/>
            </w:tcBorders>
            <w:vAlign w:val="center"/>
          </w:tcPr>
          <w:p w14:paraId="3179A29D">
            <w:pPr>
              <w:pStyle w:val="10"/>
              <w:spacing w:after="0" w:line="360" w:lineRule="exac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指标项目</w:t>
            </w:r>
          </w:p>
        </w:tc>
        <w:tc>
          <w:tcPr>
            <w:tcW w:w="484" w:type="pct"/>
            <w:tcBorders>
              <w:tl2br w:val="nil"/>
              <w:tr2bl w:val="nil"/>
            </w:tcBorders>
            <w:vAlign w:val="center"/>
          </w:tcPr>
          <w:p w14:paraId="79DF61F1">
            <w:pPr>
              <w:pStyle w:val="10"/>
              <w:spacing w:after="0" w:line="360" w:lineRule="exac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指标分值</w:t>
            </w:r>
          </w:p>
        </w:tc>
        <w:tc>
          <w:tcPr>
            <w:tcW w:w="643" w:type="pct"/>
            <w:tcBorders>
              <w:tl2br w:val="nil"/>
              <w:tr2bl w:val="nil"/>
            </w:tcBorders>
            <w:vAlign w:val="center"/>
          </w:tcPr>
          <w:p w14:paraId="7003ED49">
            <w:pPr>
              <w:pStyle w:val="10"/>
              <w:spacing w:after="0" w:line="360" w:lineRule="exact"/>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尾矿库</w:t>
            </w:r>
          </w:p>
        </w:tc>
      </w:tr>
      <w:tr w14:paraId="6D5825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tcBorders>
              <w:tl2br w:val="nil"/>
              <w:tr2bl w:val="nil"/>
            </w:tcBorders>
            <w:vAlign w:val="center"/>
          </w:tcPr>
          <w:p w14:paraId="66E8BFDB">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c>
          <w:tcPr>
            <w:tcW w:w="585" w:type="pct"/>
            <w:vMerge w:val="restart"/>
            <w:tcBorders>
              <w:tl2br w:val="nil"/>
              <w:tr2bl w:val="nil"/>
            </w:tcBorders>
            <w:vAlign w:val="center"/>
          </w:tcPr>
          <w:p w14:paraId="0F94C9BB">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尾矿库控制机制可靠性</w:t>
            </w:r>
          </w:p>
        </w:tc>
        <w:tc>
          <w:tcPr>
            <w:tcW w:w="449" w:type="pct"/>
            <w:vMerge w:val="restart"/>
            <w:tcBorders>
              <w:tl2br w:val="nil"/>
              <w:tr2bl w:val="nil"/>
            </w:tcBorders>
            <w:vAlign w:val="center"/>
          </w:tcPr>
          <w:p w14:paraId="32F7704B">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基本</w:t>
            </w:r>
          </w:p>
          <w:p w14:paraId="39F4DC77">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情况</w:t>
            </w:r>
          </w:p>
        </w:tc>
        <w:tc>
          <w:tcPr>
            <w:tcW w:w="826" w:type="pct"/>
            <w:vMerge w:val="restart"/>
            <w:tcBorders>
              <w:tl2br w:val="nil"/>
              <w:tr2bl w:val="nil"/>
            </w:tcBorders>
            <w:vAlign w:val="center"/>
          </w:tcPr>
          <w:p w14:paraId="54BDB215">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堆存</w:t>
            </w:r>
          </w:p>
        </w:tc>
        <w:tc>
          <w:tcPr>
            <w:tcW w:w="1706" w:type="pct"/>
            <w:gridSpan w:val="2"/>
            <w:tcBorders>
              <w:tl2br w:val="nil"/>
              <w:tr2bl w:val="nil"/>
            </w:tcBorders>
            <w:vAlign w:val="center"/>
          </w:tcPr>
          <w:p w14:paraId="7FBED2A8">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堆存种类</w:t>
            </w:r>
          </w:p>
        </w:tc>
        <w:tc>
          <w:tcPr>
            <w:tcW w:w="484" w:type="pct"/>
            <w:tcBorders>
              <w:tl2br w:val="nil"/>
              <w:tr2bl w:val="nil"/>
            </w:tcBorders>
            <w:vAlign w:val="center"/>
          </w:tcPr>
          <w:p w14:paraId="4C8150D6">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c>
          <w:tcPr>
            <w:tcW w:w="643" w:type="pct"/>
            <w:tcBorders>
              <w:tl2br w:val="nil"/>
              <w:tr2bl w:val="nil"/>
            </w:tcBorders>
            <w:vAlign w:val="center"/>
          </w:tcPr>
          <w:p w14:paraId="5910E3E0">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r>
      <w:tr w14:paraId="4FC8DF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tcBorders>
              <w:tl2br w:val="nil"/>
              <w:tr2bl w:val="nil"/>
            </w:tcBorders>
            <w:vAlign w:val="center"/>
          </w:tcPr>
          <w:p w14:paraId="39BCC60E">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w:t>
            </w:r>
          </w:p>
        </w:tc>
        <w:tc>
          <w:tcPr>
            <w:tcW w:w="585" w:type="pct"/>
            <w:vMerge w:val="continue"/>
            <w:tcBorders>
              <w:tl2br w:val="nil"/>
              <w:tr2bl w:val="nil"/>
            </w:tcBorders>
            <w:vAlign w:val="center"/>
          </w:tcPr>
          <w:p w14:paraId="10C452E5">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49" w:type="pct"/>
            <w:vMerge w:val="continue"/>
            <w:tcBorders>
              <w:tl2br w:val="nil"/>
              <w:tr2bl w:val="nil"/>
            </w:tcBorders>
            <w:vAlign w:val="center"/>
          </w:tcPr>
          <w:p w14:paraId="73AA0467">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826" w:type="pct"/>
            <w:vMerge w:val="continue"/>
            <w:tcBorders>
              <w:tl2br w:val="nil"/>
              <w:tr2bl w:val="nil"/>
            </w:tcBorders>
            <w:vAlign w:val="center"/>
          </w:tcPr>
          <w:p w14:paraId="6135A432">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706" w:type="pct"/>
            <w:gridSpan w:val="2"/>
            <w:tcBorders>
              <w:tl2br w:val="nil"/>
              <w:tr2bl w:val="nil"/>
            </w:tcBorders>
            <w:vAlign w:val="center"/>
          </w:tcPr>
          <w:p w14:paraId="06ECBE87">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堆存方式</w:t>
            </w:r>
          </w:p>
        </w:tc>
        <w:tc>
          <w:tcPr>
            <w:tcW w:w="484" w:type="pct"/>
            <w:tcBorders>
              <w:tl2br w:val="nil"/>
              <w:tr2bl w:val="nil"/>
            </w:tcBorders>
            <w:vAlign w:val="center"/>
          </w:tcPr>
          <w:p w14:paraId="2FE91532">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c>
          <w:tcPr>
            <w:tcW w:w="643" w:type="pct"/>
            <w:tcBorders>
              <w:tl2br w:val="nil"/>
              <w:tr2bl w:val="nil"/>
            </w:tcBorders>
            <w:vAlign w:val="center"/>
          </w:tcPr>
          <w:p w14:paraId="69420B34">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r>
      <w:tr w14:paraId="00359D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tcBorders>
              <w:tl2br w:val="nil"/>
              <w:tr2bl w:val="nil"/>
            </w:tcBorders>
            <w:vAlign w:val="center"/>
          </w:tcPr>
          <w:p w14:paraId="5475B164">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w:t>
            </w:r>
          </w:p>
        </w:tc>
        <w:tc>
          <w:tcPr>
            <w:tcW w:w="585" w:type="pct"/>
            <w:vMerge w:val="continue"/>
            <w:tcBorders>
              <w:tl2br w:val="nil"/>
              <w:tr2bl w:val="nil"/>
            </w:tcBorders>
            <w:vAlign w:val="center"/>
          </w:tcPr>
          <w:p w14:paraId="54E6B9F5">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49" w:type="pct"/>
            <w:vMerge w:val="continue"/>
            <w:tcBorders>
              <w:tl2br w:val="nil"/>
              <w:tr2bl w:val="nil"/>
            </w:tcBorders>
            <w:vAlign w:val="center"/>
          </w:tcPr>
          <w:p w14:paraId="6EA1C4BE">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826" w:type="pct"/>
            <w:vMerge w:val="continue"/>
            <w:tcBorders>
              <w:tl2br w:val="nil"/>
              <w:tr2bl w:val="nil"/>
            </w:tcBorders>
            <w:vAlign w:val="center"/>
          </w:tcPr>
          <w:p w14:paraId="3CFB900A">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706" w:type="pct"/>
            <w:gridSpan w:val="2"/>
            <w:tcBorders>
              <w:tl2br w:val="nil"/>
              <w:tr2bl w:val="nil"/>
            </w:tcBorders>
            <w:vAlign w:val="center"/>
          </w:tcPr>
          <w:p w14:paraId="74BC9255">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坝体透水情况</w:t>
            </w:r>
          </w:p>
        </w:tc>
        <w:tc>
          <w:tcPr>
            <w:tcW w:w="484" w:type="pct"/>
            <w:tcBorders>
              <w:tl2br w:val="nil"/>
              <w:tr2bl w:val="nil"/>
            </w:tcBorders>
            <w:vAlign w:val="center"/>
          </w:tcPr>
          <w:p w14:paraId="413C37AF">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w:t>
            </w:r>
          </w:p>
        </w:tc>
        <w:tc>
          <w:tcPr>
            <w:tcW w:w="643" w:type="pct"/>
            <w:tcBorders>
              <w:tl2br w:val="nil"/>
              <w:tr2bl w:val="nil"/>
            </w:tcBorders>
            <w:vAlign w:val="center"/>
          </w:tcPr>
          <w:p w14:paraId="4C7B3C3C">
            <w:pPr>
              <w:pStyle w:val="10"/>
              <w:spacing w:after="0" w:line="360" w:lineRule="exact"/>
              <w:ind w:firstLine="0" w:firstLineChars="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val="en-US" w:eastAsia="zh-CN"/>
              </w:rPr>
              <w:t>1</w:t>
            </w:r>
          </w:p>
        </w:tc>
      </w:tr>
      <w:tr w14:paraId="2EAF82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tcBorders>
              <w:tl2br w:val="nil"/>
              <w:tr2bl w:val="nil"/>
            </w:tcBorders>
            <w:vAlign w:val="center"/>
          </w:tcPr>
          <w:p w14:paraId="0FEDAD43">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w:t>
            </w:r>
          </w:p>
        </w:tc>
        <w:tc>
          <w:tcPr>
            <w:tcW w:w="585" w:type="pct"/>
            <w:vMerge w:val="continue"/>
            <w:tcBorders>
              <w:tl2br w:val="nil"/>
              <w:tr2bl w:val="nil"/>
            </w:tcBorders>
            <w:vAlign w:val="center"/>
          </w:tcPr>
          <w:p w14:paraId="648867E0">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49" w:type="pct"/>
            <w:vMerge w:val="continue"/>
            <w:tcBorders>
              <w:tl2br w:val="nil"/>
              <w:tr2bl w:val="nil"/>
            </w:tcBorders>
            <w:vAlign w:val="center"/>
          </w:tcPr>
          <w:p w14:paraId="52BC60C0">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826" w:type="pct"/>
            <w:vMerge w:val="restart"/>
            <w:tcBorders>
              <w:tl2br w:val="nil"/>
              <w:tr2bl w:val="nil"/>
            </w:tcBorders>
            <w:vAlign w:val="center"/>
          </w:tcPr>
          <w:p w14:paraId="13087B85">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输送</w:t>
            </w:r>
          </w:p>
        </w:tc>
        <w:tc>
          <w:tcPr>
            <w:tcW w:w="1706" w:type="pct"/>
            <w:gridSpan w:val="2"/>
            <w:tcBorders>
              <w:tl2br w:val="nil"/>
              <w:tr2bl w:val="nil"/>
            </w:tcBorders>
            <w:vAlign w:val="center"/>
          </w:tcPr>
          <w:p w14:paraId="23E232B3">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输送方式</w:t>
            </w:r>
          </w:p>
        </w:tc>
        <w:tc>
          <w:tcPr>
            <w:tcW w:w="484" w:type="pct"/>
            <w:tcBorders>
              <w:tl2br w:val="nil"/>
              <w:tr2bl w:val="nil"/>
            </w:tcBorders>
            <w:vAlign w:val="center"/>
          </w:tcPr>
          <w:p w14:paraId="41F45246">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c>
          <w:tcPr>
            <w:tcW w:w="643" w:type="pct"/>
            <w:tcBorders>
              <w:tl2br w:val="nil"/>
              <w:tr2bl w:val="nil"/>
            </w:tcBorders>
            <w:vAlign w:val="center"/>
          </w:tcPr>
          <w:p w14:paraId="1D128B6D">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r>
      <w:tr w14:paraId="1CE9F6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tcBorders>
              <w:tl2br w:val="nil"/>
              <w:tr2bl w:val="nil"/>
            </w:tcBorders>
            <w:vAlign w:val="center"/>
          </w:tcPr>
          <w:p w14:paraId="6A692294">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w:t>
            </w:r>
          </w:p>
        </w:tc>
        <w:tc>
          <w:tcPr>
            <w:tcW w:w="585" w:type="pct"/>
            <w:vMerge w:val="continue"/>
            <w:tcBorders>
              <w:tl2br w:val="nil"/>
              <w:tr2bl w:val="nil"/>
            </w:tcBorders>
            <w:vAlign w:val="center"/>
          </w:tcPr>
          <w:p w14:paraId="30542C8C">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49" w:type="pct"/>
            <w:vMerge w:val="continue"/>
            <w:tcBorders>
              <w:tl2br w:val="nil"/>
              <w:tr2bl w:val="nil"/>
            </w:tcBorders>
            <w:vAlign w:val="center"/>
          </w:tcPr>
          <w:p w14:paraId="53F9872C">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826" w:type="pct"/>
            <w:vMerge w:val="continue"/>
            <w:tcBorders>
              <w:tl2br w:val="nil"/>
              <w:tr2bl w:val="nil"/>
            </w:tcBorders>
            <w:vAlign w:val="center"/>
          </w:tcPr>
          <w:p w14:paraId="1FEC89D7">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706" w:type="pct"/>
            <w:gridSpan w:val="2"/>
            <w:tcBorders>
              <w:tl2br w:val="nil"/>
              <w:tr2bl w:val="nil"/>
            </w:tcBorders>
            <w:vAlign w:val="center"/>
          </w:tcPr>
          <w:p w14:paraId="59F12E9E">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输送量</w:t>
            </w:r>
          </w:p>
        </w:tc>
        <w:tc>
          <w:tcPr>
            <w:tcW w:w="484" w:type="pct"/>
            <w:tcBorders>
              <w:tl2br w:val="nil"/>
              <w:tr2bl w:val="nil"/>
            </w:tcBorders>
            <w:vAlign w:val="center"/>
          </w:tcPr>
          <w:p w14:paraId="36ACA39A">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c>
          <w:tcPr>
            <w:tcW w:w="643" w:type="pct"/>
            <w:tcBorders>
              <w:tl2br w:val="nil"/>
              <w:tr2bl w:val="nil"/>
            </w:tcBorders>
            <w:vAlign w:val="center"/>
          </w:tcPr>
          <w:p w14:paraId="5757411F">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w:t>
            </w:r>
          </w:p>
        </w:tc>
      </w:tr>
      <w:tr w14:paraId="46E125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tcBorders>
              <w:tl2br w:val="nil"/>
              <w:tr2bl w:val="nil"/>
            </w:tcBorders>
            <w:vAlign w:val="center"/>
          </w:tcPr>
          <w:p w14:paraId="0791F0F2">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w:t>
            </w:r>
          </w:p>
        </w:tc>
        <w:tc>
          <w:tcPr>
            <w:tcW w:w="585" w:type="pct"/>
            <w:vMerge w:val="continue"/>
            <w:tcBorders>
              <w:tl2br w:val="nil"/>
              <w:tr2bl w:val="nil"/>
            </w:tcBorders>
            <w:vAlign w:val="center"/>
          </w:tcPr>
          <w:p w14:paraId="2E792DFB">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49" w:type="pct"/>
            <w:vMerge w:val="continue"/>
            <w:tcBorders>
              <w:tl2br w:val="nil"/>
              <w:tr2bl w:val="nil"/>
            </w:tcBorders>
            <w:vAlign w:val="center"/>
          </w:tcPr>
          <w:p w14:paraId="4C2262AA">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826" w:type="pct"/>
            <w:vMerge w:val="continue"/>
            <w:tcBorders>
              <w:tl2br w:val="nil"/>
              <w:tr2bl w:val="nil"/>
            </w:tcBorders>
            <w:vAlign w:val="center"/>
          </w:tcPr>
          <w:p w14:paraId="3BDE7105">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706" w:type="pct"/>
            <w:gridSpan w:val="2"/>
            <w:tcBorders>
              <w:tl2br w:val="nil"/>
              <w:tr2bl w:val="nil"/>
            </w:tcBorders>
            <w:vAlign w:val="center"/>
          </w:tcPr>
          <w:p w14:paraId="6ED8094C">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输送距离</w:t>
            </w:r>
          </w:p>
        </w:tc>
        <w:tc>
          <w:tcPr>
            <w:tcW w:w="484" w:type="pct"/>
            <w:tcBorders>
              <w:tl2br w:val="nil"/>
              <w:tr2bl w:val="nil"/>
            </w:tcBorders>
            <w:vAlign w:val="center"/>
          </w:tcPr>
          <w:p w14:paraId="1EB2001D">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c>
          <w:tcPr>
            <w:tcW w:w="643" w:type="pct"/>
            <w:tcBorders>
              <w:tl2br w:val="nil"/>
              <w:tr2bl w:val="nil"/>
            </w:tcBorders>
            <w:vAlign w:val="center"/>
          </w:tcPr>
          <w:p w14:paraId="499048C8">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0.75</w:t>
            </w:r>
          </w:p>
        </w:tc>
      </w:tr>
      <w:tr w14:paraId="646598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tcBorders>
              <w:tl2br w:val="nil"/>
              <w:tr2bl w:val="nil"/>
            </w:tcBorders>
            <w:vAlign w:val="center"/>
          </w:tcPr>
          <w:p w14:paraId="4677AB83">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w:t>
            </w:r>
          </w:p>
        </w:tc>
        <w:tc>
          <w:tcPr>
            <w:tcW w:w="585" w:type="pct"/>
            <w:vMerge w:val="continue"/>
            <w:tcBorders>
              <w:tl2br w:val="nil"/>
              <w:tr2bl w:val="nil"/>
            </w:tcBorders>
            <w:vAlign w:val="center"/>
          </w:tcPr>
          <w:p w14:paraId="636A40EB">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49" w:type="pct"/>
            <w:vMerge w:val="continue"/>
            <w:tcBorders>
              <w:tl2br w:val="nil"/>
              <w:tr2bl w:val="nil"/>
            </w:tcBorders>
            <w:vAlign w:val="center"/>
          </w:tcPr>
          <w:p w14:paraId="6C31D205">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826" w:type="pct"/>
            <w:vMerge w:val="restart"/>
            <w:tcBorders>
              <w:tl2br w:val="nil"/>
              <w:tr2bl w:val="nil"/>
            </w:tcBorders>
            <w:vAlign w:val="center"/>
          </w:tcPr>
          <w:p w14:paraId="2190C238">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回水</w:t>
            </w:r>
          </w:p>
        </w:tc>
        <w:tc>
          <w:tcPr>
            <w:tcW w:w="1706" w:type="pct"/>
            <w:gridSpan w:val="2"/>
            <w:tcBorders>
              <w:tl2br w:val="nil"/>
              <w:tr2bl w:val="nil"/>
            </w:tcBorders>
            <w:vAlign w:val="center"/>
          </w:tcPr>
          <w:p w14:paraId="1E1C86AC">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回水方式</w:t>
            </w:r>
          </w:p>
        </w:tc>
        <w:tc>
          <w:tcPr>
            <w:tcW w:w="484" w:type="pct"/>
            <w:tcBorders>
              <w:tl2br w:val="nil"/>
              <w:tr2bl w:val="nil"/>
            </w:tcBorders>
            <w:vAlign w:val="center"/>
          </w:tcPr>
          <w:p w14:paraId="2F922ABA">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c>
          <w:tcPr>
            <w:tcW w:w="643" w:type="pct"/>
            <w:tcBorders>
              <w:tl2br w:val="nil"/>
              <w:tr2bl w:val="nil"/>
            </w:tcBorders>
            <w:vAlign w:val="center"/>
          </w:tcPr>
          <w:p w14:paraId="205E0362">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w:t>
            </w:r>
          </w:p>
        </w:tc>
      </w:tr>
      <w:tr w14:paraId="2EAB09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tcBorders>
              <w:tl2br w:val="nil"/>
              <w:tr2bl w:val="nil"/>
            </w:tcBorders>
            <w:vAlign w:val="center"/>
          </w:tcPr>
          <w:p w14:paraId="6A7A64B8">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w:t>
            </w:r>
          </w:p>
        </w:tc>
        <w:tc>
          <w:tcPr>
            <w:tcW w:w="585" w:type="pct"/>
            <w:vMerge w:val="continue"/>
            <w:tcBorders>
              <w:tl2br w:val="nil"/>
              <w:tr2bl w:val="nil"/>
            </w:tcBorders>
            <w:vAlign w:val="center"/>
          </w:tcPr>
          <w:p w14:paraId="64812130">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49" w:type="pct"/>
            <w:vMerge w:val="continue"/>
            <w:tcBorders>
              <w:tl2br w:val="nil"/>
              <w:tr2bl w:val="nil"/>
            </w:tcBorders>
            <w:vAlign w:val="center"/>
          </w:tcPr>
          <w:p w14:paraId="5328ABF7">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826" w:type="pct"/>
            <w:vMerge w:val="continue"/>
            <w:tcBorders>
              <w:tl2br w:val="nil"/>
              <w:tr2bl w:val="nil"/>
            </w:tcBorders>
            <w:vAlign w:val="center"/>
          </w:tcPr>
          <w:p w14:paraId="2558177B">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706" w:type="pct"/>
            <w:gridSpan w:val="2"/>
            <w:tcBorders>
              <w:tl2br w:val="nil"/>
              <w:tr2bl w:val="nil"/>
            </w:tcBorders>
            <w:vAlign w:val="center"/>
          </w:tcPr>
          <w:p w14:paraId="5698033E">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回水量</w:t>
            </w:r>
          </w:p>
        </w:tc>
        <w:tc>
          <w:tcPr>
            <w:tcW w:w="484" w:type="pct"/>
            <w:tcBorders>
              <w:tl2br w:val="nil"/>
              <w:tr2bl w:val="nil"/>
            </w:tcBorders>
            <w:vAlign w:val="center"/>
          </w:tcPr>
          <w:p w14:paraId="16DF4F4A">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w:t>
            </w:r>
          </w:p>
        </w:tc>
        <w:tc>
          <w:tcPr>
            <w:tcW w:w="643" w:type="pct"/>
            <w:tcBorders>
              <w:tl2br w:val="nil"/>
              <w:tr2bl w:val="nil"/>
            </w:tcBorders>
            <w:vAlign w:val="center"/>
          </w:tcPr>
          <w:p w14:paraId="7D5526B6">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0.25</w:t>
            </w:r>
          </w:p>
        </w:tc>
      </w:tr>
      <w:tr w14:paraId="4AC89F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tcBorders>
              <w:tl2br w:val="nil"/>
              <w:tr2bl w:val="nil"/>
            </w:tcBorders>
            <w:vAlign w:val="center"/>
          </w:tcPr>
          <w:p w14:paraId="52F3787C">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w:t>
            </w:r>
          </w:p>
        </w:tc>
        <w:tc>
          <w:tcPr>
            <w:tcW w:w="585" w:type="pct"/>
            <w:vMerge w:val="continue"/>
            <w:tcBorders>
              <w:tl2br w:val="nil"/>
              <w:tr2bl w:val="nil"/>
            </w:tcBorders>
            <w:vAlign w:val="center"/>
          </w:tcPr>
          <w:p w14:paraId="5AD37A0D">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49" w:type="pct"/>
            <w:vMerge w:val="continue"/>
            <w:tcBorders>
              <w:tl2br w:val="nil"/>
              <w:tr2bl w:val="nil"/>
            </w:tcBorders>
            <w:vAlign w:val="center"/>
          </w:tcPr>
          <w:p w14:paraId="709F2D71">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826" w:type="pct"/>
            <w:vMerge w:val="continue"/>
            <w:tcBorders>
              <w:tl2br w:val="nil"/>
              <w:tr2bl w:val="nil"/>
            </w:tcBorders>
            <w:vAlign w:val="center"/>
          </w:tcPr>
          <w:p w14:paraId="0EABD10A">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706" w:type="pct"/>
            <w:gridSpan w:val="2"/>
            <w:tcBorders>
              <w:tl2br w:val="nil"/>
              <w:tr2bl w:val="nil"/>
            </w:tcBorders>
            <w:vAlign w:val="center"/>
          </w:tcPr>
          <w:p w14:paraId="7F03F4D5">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回水距离</w:t>
            </w:r>
          </w:p>
        </w:tc>
        <w:tc>
          <w:tcPr>
            <w:tcW w:w="484" w:type="pct"/>
            <w:tcBorders>
              <w:tl2br w:val="nil"/>
              <w:tr2bl w:val="nil"/>
            </w:tcBorders>
            <w:vAlign w:val="center"/>
          </w:tcPr>
          <w:p w14:paraId="3BECCE53">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c>
          <w:tcPr>
            <w:tcW w:w="643" w:type="pct"/>
            <w:tcBorders>
              <w:tl2br w:val="nil"/>
              <w:tr2bl w:val="nil"/>
            </w:tcBorders>
            <w:vAlign w:val="center"/>
          </w:tcPr>
          <w:p w14:paraId="1F114C47">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0.5</w:t>
            </w:r>
          </w:p>
        </w:tc>
      </w:tr>
      <w:tr w14:paraId="38BB2D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tcBorders>
              <w:tl2br w:val="nil"/>
              <w:tr2bl w:val="nil"/>
            </w:tcBorders>
            <w:vAlign w:val="center"/>
          </w:tcPr>
          <w:p w14:paraId="2EDE309A">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w:t>
            </w:r>
          </w:p>
        </w:tc>
        <w:tc>
          <w:tcPr>
            <w:tcW w:w="585" w:type="pct"/>
            <w:vMerge w:val="continue"/>
            <w:tcBorders>
              <w:tl2br w:val="nil"/>
              <w:tr2bl w:val="nil"/>
            </w:tcBorders>
            <w:vAlign w:val="center"/>
          </w:tcPr>
          <w:p w14:paraId="3310AE1C">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49" w:type="pct"/>
            <w:vMerge w:val="continue"/>
            <w:tcBorders>
              <w:tl2br w:val="nil"/>
              <w:tr2bl w:val="nil"/>
            </w:tcBorders>
            <w:vAlign w:val="center"/>
          </w:tcPr>
          <w:p w14:paraId="25C3E0B0">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826" w:type="pct"/>
            <w:vMerge w:val="restart"/>
            <w:tcBorders>
              <w:tl2br w:val="nil"/>
              <w:tr2bl w:val="nil"/>
            </w:tcBorders>
            <w:vAlign w:val="center"/>
          </w:tcPr>
          <w:p w14:paraId="6E264DD4">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防洪</w:t>
            </w:r>
          </w:p>
        </w:tc>
        <w:tc>
          <w:tcPr>
            <w:tcW w:w="1706" w:type="pct"/>
            <w:gridSpan w:val="2"/>
            <w:tcBorders>
              <w:tl2br w:val="nil"/>
              <w:tr2bl w:val="nil"/>
            </w:tcBorders>
            <w:vAlign w:val="center"/>
          </w:tcPr>
          <w:p w14:paraId="78DE64B5">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库外截洪设施</w:t>
            </w:r>
          </w:p>
        </w:tc>
        <w:tc>
          <w:tcPr>
            <w:tcW w:w="484" w:type="pct"/>
            <w:tcBorders>
              <w:tl2br w:val="nil"/>
              <w:tr2bl w:val="nil"/>
            </w:tcBorders>
            <w:vAlign w:val="center"/>
          </w:tcPr>
          <w:p w14:paraId="53A88D63">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w:t>
            </w:r>
          </w:p>
        </w:tc>
        <w:tc>
          <w:tcPr>
            <w:tcW w:w="643" w:type="pct"/>
            <w:tcBorders>
              <w:tl2br w:val="nil"/>
              <w:tr2bl w:val="nil"/>
            </w:tcBorders>
            <w:vAlign w:val="center"/>
          </w:tcPr>
          <w:p w14:paraId="773C7B88">
            <w:pPr>
              <w:pStyle w:val="10"/>
              <w:spacing w:after="0" w:line="360" w:lineRule="exact"/>
              <w:ind w:firstLine="0" w:firstLineChars="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val="en-US" w:eastAsia="zh-CN"/>
              </w:rPr>
              <w:t>1</w:t>
            </w:r>
          </w:p>
        </w:tc>
      </w:tr>
      <w:tr w14:paraId="5AFB68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tcBorders>
              <w:tl2br w:val="nil"/>
              <w:tr2bl w:val="nil"/>
            </w:tcBorders>
            <w:vAlign w:val="center"/>
          </w:tcPr>
          <w:p w14:paraId="3F04828A">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w:t>
            </w:r>
          </w:p>
        </w:tc>
        <w:tc>
          <w:tcPr>
            <w:tcW w:w="585" w:type="pct"/>
            <w:vMerge w:val="continue"/>
            <w:tcBorders>
              <w:tl2br w:val="nil"/>
              <w:tr2bl w:val="nil"/>
            </w:tcBorders>
            <w:vAlign w:val="center"/>
          </w:tcPr>
          <w:p w14:paraId="4640290A">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49" w:type="pct"/>
            <w:vMerge w:val="continue"/>
            <w:tcBorders>
              <w:tl2br w:val="nil"/>
              <w:tr2bl w:val="nil"/>
            </w:tcBorders>
            <w:vAlign w:val="center"/>
          </w:tcPr>
          <w:p w14:paraId="287A4B65">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826" w:type="pct"/>
            <w:vMerge w:val="continue"/>
            <w:tcBorders>
              <w:tl2br w:val="nil"/>
              <w:tr2bl w:val="nil"/>
            </w:tcBorders>
            <w:vAlign w:val="center"/>
          </w:tcPr>
          <w:p w14:paraId="1C9D4595">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706" w:type="pct"/>
            <w:gridSpan w:val="2"/>
            <w:tcBorders>
              <w:tl2br w:val="nil"/>
              <w:tr2bl w:val="nil"/>
            </w:tcBorders>
            <w:vAlign w:val="center"/>
          </w:tcPr>
          <w:p w14:paraId="0C57FBAC">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库内排洪设施</w:t>
            </w:r>
          </w:p>
        </w:tc>
        <w:tc>
          <w:tcPr>
            <w:tcW w:w="484" w:type="pct"/>
            <w:tcBorders>
              <w:tl2br w:val="nil"/>
              <w:tr2bl w:val="nil"/>
            </w:tcBorders>
            <w:vAlign w:val="center"/>
          </w:tcPr>
          <w:p w14:paraId="03F8777F">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w:t>
            </w:r>
          </w:p>
        </w:tc>
        <w:tc>
          <w:tcPr>
            <w:tcW w:w="643" w:type="pct"/>
            <w:tcBorders>
              <w:tl2br w:val="nil"/>
              <w:tr2bl w:val="nil"/>
            </w:tcBorders>
            <w:vAlign w:val="center"/>
          </w:tcPr>
          <w:p w14:paraId="70DB34F7">
            <w:pPr>
              <w:pStyle w:val="10"/>
              <w:spacing w:after="0" w:line="360" w:lineRule="exact"/>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w:t>
            </w:r>
          </w:p>
        </w:tc>
      </w:tr>
      <w:tr w14:paraId="2F955D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tcBorders>
              <w:tl2br w:val="nil"/>
              <w:tr2bl w:val="nil"/>
            </w:tcBorders>
            <w:vAlign w:val="center"/>
          </w:tcPr>
          <w:p w14:paraId="6F9FDF67">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w:t>
            </w:r>
          </w:p>
        </w:tc>
        <w:tc>
          <w:tcPr>
            <w:tcW w:w="585" w:type="pct"/>
            <w:vMerge w:val="continue"/>
            <w:tcBorders>
              <w:tl2br w:val="nil"/>
              <w:tr2bl w:val="nil"/>
            </w:tcBorders>
            <w:vAlign w:val="center"/>
          </w:tcPr>
          <w:p w14:paraId="30E1DE82">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49" w:type="pct"/>
            <w:tcBorders>
              <w:tl2br w:val="nil"/>
              <w:tr2bl w:val="nil"/>
            </w:tcBorders>
            <w:vAlign w:val="center"/>
          </w:tcPr>
          <w:p w14:paraId="11223232">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自然条件情况</w:t>
            </w:r>
          </w:p>
        </w:tc>
        <w:tc>
          <w:tcPr>
            <w:tcW w:w="2533" w:type="pct"/>
            <w:gridSpan w:val="3"/>
            <w:tcBorders>
              <w:tl2br w:val="nil"/>
              <w:tr2bl w:val="nil"/>
            </w:tcBorders>
            <w:vAlign w:val="center"/>
          </w:tcPr>
          <w:p w14:paraId="3F2155CF">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是否处于按《地质灾害危险性评估技术要求（试行）》评定为</w:t>
            </w:r>
            <w:r>
              <w:rPr>
                <w:rFonts w:hint="eastAsia" w:ascii="Times New Roman" w:hAnsi="Times New Roman" w:cs="Times New Roman"/>
                <w:bCs/>
                <w:color w:val="auto"/>
                <w:sz w:val="21"/>
                <w:szCs w:val="21"/>
                <w:highlight w:val="none"/>
                <w:lang w:eastAsia="zh-CN"/>
              </w:rPr>
              <w:t>“</w:t>
            </w:r>
            <w:r>
              <w:rPr>
                <w:rFonts w:hint="default" w:ascii="Times New Roman" w:hAnsi="Times New Roman" w:cs="Times New Roman"/>
                <w:bCs/>
                <w:color w:val="auto"/>
                <w:sz w:val="21"/>
                <w:szCs w:val="21"/>
                <w:highlight w:val="none"/>
              </w:rPr>
              <w:t>危害性中等</w:t>
            </w:r>
            <w:r>
              <w:rPr>
                <w:rFonts w:hint="eastAsia" w:ascii="Times New Roman" w:hAnsi="Times New Roman" w:cs="Times New Roman"/>
                <w:bCs/>
                <w:color w:val="auto"/>
                <w:sz w:val="21"/>
                <w:szCs w:val="21"/>
                <w:highlight w:val="none"/>
                <w:lang w:eastAsia="zh-CN"/>
              </w:rPr>
              <w:t>”</w:t>
            </w:r>
            <w:r>
              <w:rPr>
                <w:rFonts w:hint="default" w:ascii="Times New Roman" w:hAnsi="Times New Roman" w:cs="Times New Roman"/>
                <w:bCs/>
                <w:color w:val="auto"/>
                <w:sz w:val="21"/>
                <w:szCs w:val="21"/>
                <w:highlight w:val="none"/>
              </w:rPr>
              <w:t>或</w:t>
            </w:r>
            <w:r>
              <w:rPr>
                <w:rFonts w:hint="eastAsia" w:ascii="Times New Roman" w:hAnsi="Times New Roman" w:cs="Times New Roman"/>
                <w:bCs/>
                <w:color w:val="auto"/>
                <w:sz w:val="21"/>
                <w:szCs w:val="21"/>
                <w:highlight w:val="none"/>
                <w:lang w:eastAsia="zh-CN"/>
              </w:rPr>
              <w:t>“</w:t>
            </w:r>
            <w:r>
              <w:rPr>
                <w:rFonts w:hint="default" w:ascii="Times New Roman" w:hAnsi="Times New Roman" w:cs="Times New Roman"/>
                <w:bCs/>
                <w:color w:val="auto"/>
                <w:sz w:val="21"/>
                <w:szCs w:val="21"/>
                <w:highlight w:val="none"/>
              </w:rPr>
              <w:t>危害性大</w:t>
            </w:r>
            <w:r>
              <w:rPr>
                <w:rFonts w:hint="eastAsia" w:ascii="Times New Roman" w:hAnsi="Times New Roman" w:cs="Times New Roman"/>
                <w:bCs/>
                <w:color w:val="auto"/>
                <w:sz w:val="21"/>
                <w:szCs w:val="21"/>
                <w:highlight w:val="none"/>
                <w:lang w:eastAsia="zh-CN"/>
              </w:rPr>
              <w:t>”</w:t>
            </w:r>
            <w:r>
              <w:rPr>
                <w:rFonts w:hint="default" w:ascii="Times New Roman" w:hAnsi="Times New Roman" w:cs="Times New Roman"/>
                <w:bCs/>
                <w:color w:val="auto"/>
                <w:sz w:val="21"/>
                <w:szCs w:val="21"/>
                <w:highlight w:val="none"/>
              </w:rPr>
              <w:t>的区域，或者处于地质灾害易灾区、岩溶（喀斯特）地貌区</w:t>
            </w:r>
          </w:p>
        </w:tc>
        <w:tc>
          <w:tcPr>
            <w:tcW w:w="484" w:type="pct"/>
            <w:tcBorders>
              <w:tl2br w:val="nil"/>
              <w:tr2bl w:val="nil"/>
            </w:tcBorders>
            <w:vAlign w:val="center"/>
          </w:tcPr>
          <w:p w14:paraId="71E2CBCE">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9</w:t>
            </w:r>
          </w:p>
        </w:tc>
        <w:tc>
          <w:tcPr>
            <w:tcW w:w="643" w:type="pct"/>
            <w:tcBorders>
              <w:tl2br w:val="nil"/>
              <w:tr2bl w:val="nil"/>
            </w:tcBorders>
            <w:vAlign w:val="center"/>
          </w:tcPr>
          <w:p w14:paraId="54F8E750">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r>
      <w:tr w14:paraId="56ECDA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tcBorders>
              <w:tl2br w:val="nil"/>
              <w:tr2bl w:val="nil"/>
            </w:tcBorders>
            <w:vAlign w:val="center"/>
          </w:tcPr>
          <w:p w14:paraId="32A9CBC9">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13</w:t>
            </w:r>
          </w:p>
        </w:tc>
        <w:tc>
          <w:tcPr>
            <w:tcW w:w="585" w:type="pct"/>
            <w:vMerge w:val="continue"/>
            <w:tcBorders>
              <w:tl2br w:val="nil"/>
              <w:tr2bl w:val="nil"/>
            </w:tcBorders>
            <w:vAlign w:val="center"/>
          </w:tcPr>
          <w:p w14:paraId="12AC38FB">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49" w:type="pct"/>
            <w:tcBorders>
              <w:tl2br w:val="nil"/>
              <w:tr2bl w:val="nil"/>
            </w:tcBorders>
            <w:vAlign w:val="center"/>
          </w:tcPr>
          <w:p w14:paraId="5308DE89">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生产安全情况</w:t>
            </w:r>
          </w:p>
        </w:tc>
        <w:tc>
          <w:tcPr>
            <w:tcW w:w="2533" w:type="pct"/>
            <w:gridSpan w:val="3"/>
            <w:tcBorders>
              <w:tl2br w:val="nil"/>
              <w:tr2bl w:val="nil"/>
            </w:tcBorders>
            <w:vAlign w:val="center"/>
          </w:tcPr>
          <w:p w14:paraId="77423EFF">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尾矿库安全度等别</w:t>
            </w:r>
          </w:p>
        </w:tc>
        <w:tc>
          <w:tcPr>
            <w:tcW w:w="484" w:type="pct"/>
            <w:tcBorders>
              <w:tl2br w:val="nil"/>
              <w:tr2bl w:val="nil"/>
            </w:tcBorders>
            <w:vAlign w:val="center"/>
          </w:tcPr>
          <w:p w14:paraId="4E462E38">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c>
          <w:tcPr>
            <w:tcW w:w="643" w:type="pct"/>
            <w:tcBorders>
              <w:tl2br w:val="nil"/>
              <w:tr2bl w:val="nil"/>
            </w:tcBorders>
            <w:vAlign w:val="center"/>
          </w:tcPr>
          <w:p w14:paraId="3E6865F2">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r>
      <w:tr w14:paraId="2C0986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tcBorders>
              <w:tl2br w:val="nil"/>
              <w:tr2bl w:val="nil"/>
            </w:tcBorders>
            <w:vAlign w:val="center"/>
          </w:tcPr>
          <w:p w14:paraId="11735CA9">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14</w:t>
            </w:r>
          </w:p>
        </w:tc>
        <w:tc>
          <w:tcPr>
            <w:tcW w:w="585" w:type="pct"/>
            <w:vMerge w:val="continue"/>
            <w:tcBorders>
              <w:tl2br w:val="nil"/>
              <w:tr2bl w:val="nil"/>
            </w:tcBorders>
            <w:vAlign w:val="center"/>
          </w:tcPr>
          <w:p w14:paraId="75205BCB">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49" w:type="pct"/>
            <w:vMerge w:val="restart"/>
            <w:tcBorders>
              <w:tl2br w:val="nil"/>
              <w:tr2bl w:val="nil"/>
            </w:tcBorders>
            <w:vAlign w:val="center"/>
          </w:tcPr>
          <w:p w14:paraId="00E6305B">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环境保护情况</w:t>
            </w:r>
          </w:p>
        </w:tc>
        <w:tc>
          <w:tcPr>
            <w:tcW w:w="826" w:type="pct"/>
            <w:tcBorders>
              <w:tl2br w:val="nil"/>
              <w:tr2bl w:val="nil"/>
            </w:tcBorders>
            <w:vAlign w:val="center"/>
          </w:tcPr>
          <w:p w14:paraId="14B13B27">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环保审批</w:t>
            </w:r>
          </w:p>
        </w:tc>
        <w:tc>
          <w:tcPr>
            <w:tcW w:w="1706" w:type="pct"/>
            <w:gridSpan w:val="2"/>
            <w:tcBorders>
              <w:tl2br w:val="nil"/>
              <w:tr2bl w:val="nil"/>
            </w:tcBorders>
            <w:vAlign w:val="center"/>
          </w:tcPr>
          <w:p w14:paraId="059151F4">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是否通过</w:t>
            </w:r>
            <w:r>
              <w:rPr>
                <w:rFonts w:hint="eastAsia" w:ascii="Times New Roman" w:hAnsi="Times New Roman" w:cs="Times New Roman"/>
                <w:bCs/>
                <w:color w:val="auto"/>
                <w:sz w:val="21"/>
                <w:szCs w:val="21"/>
                <w:highlight w:val="none"/>
                <w:lang w:eastAsia="zh-CN"/>
              </w:rPr>
              <w:t>“</w:t>
            </w:r>
            <w:r>
              <w:rPr>
                <w:rFonts w:hint="default" w:ascii="Times New Roman" w:hAnsi="Times New Roman" w:cs="Times New Roman"/>
                <w:bCs/>
                <w:color w:val="auto"/>
                <w:sz w:val="21"/>
                <w:szCs w:val="21"/>
                <w:highlight w:val="none"/>
              </w:rPr>
              <w:t>三同时</w:t>
            </w:r>
            <w:r>
              <w:rPr>
                <w:rFonts w:hint="eastAsia" w:ascii="Times New Roman" w:hAnsi="Times New Roman" w:cs="Times New Roman"/>
                <w:bCs/>
                <w:color w:val="auto"/>
                <w:sz w:val="21"/>
                <w:szCs w:val="21"/>
                <w:highlight w:val="none"/>
                <w:lang w:eastAsia="zh-CN"/>
              </w:rPr>
              <w:t>”</w:t>
            </w:r>
            <w:r>
              <w:rPr>
                <w:rFonts w:hint="default" w:ascii="Times New Roman" w:hAnsi="Times New Roman" w:cs="Times New Roman"/>
                <w:bCs/>
                <w:color w:val="auto"/>
                <w:sz w:val="21"/>
                <w:szCs w:val="21"/>
                <w:highlight w:val="none"/>
              </w:rPr>
              <w:t>验收</w:t>
            </w:r>
          </w:p>
        </w:tc>
        <w:tc>
          <w:tcPr>
            <w:tcW w:w="484" w:type="pct"/>
            <w:tcBorders>
              <w:tl2br w:val="nil"/>
              <w:tr2bl w:val="nil"/>
            </w:tcBorders>
            <w:vAlign w:val="center"/>
          </w:tcPr>
          <w:p w14:paraId="386C3796">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w:t>
            </w:r>
          </w:p>
        </w:tc>
        <w:tc>
          <w:tcPr>
            <w:tcW w:w="643" w:type="pct"/>
            <w:tcBorders>
              <w:tl2br w:val="nil"/>
              <w:tr2bl w:val="nil"/>
            </w:tcBorders>
            <w:vAlign w:val="center"/>
          </w:tcPr>
          <w:p w14:paraId="633F1C96">
            <w:pPr>
              <w:pStyle w:val="10"/>
              <w:spacing w:after="0" w:line="360" w:lineRule="exact"/>
              <w:ind w:firstLine="0" w:firstLineChars="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val="en-US" w:eastAsia="zh-CN"/>
              </w:rPr>
              <w:t>0</w:t>
            </w:r>
          </w:p>
        </w:tc>
      </w:tr>
      <w:tr w14:paraId="517455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tcBorders>
              <w:tl2br w:val="nil"/>
              <w:tr2bl w:val="nil"/>
            </w:tcBorders>
            <w:vAlign w:val="center"/>
          </w:tcPr>
          <w:p w14:paraId="788E2D08">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c>
          <w:tcPr>
            <w:tcW w:w="585" w:type="pct"/>
            <w:vMerge w:val="continue"/>
            <w:tcBorders>
              <w:tl2br w:val="nil"/>
              <w:tr2bl w:val="nil"/>
            </w:tcBorders>
            <w:vAlign w:val="center"/>
          </w:tcPr>
          <w:p w14:paraId="5B0DCB99">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49" w:type="pct"/>
            <w:vMerge w:val="continue"/>
            <w:tcBorders>
              <w:tl2br w:val="nil"/>
              <w:tr2bl w:val="nil"/>
            </w:tcBorders>
            <w:vAlign w:val="center"/>
          </w:tcPr>
          <w:p w14:paraId="56133366">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826" w:type="pct"/>
            <w:vMerge w:val="restart"/>
            <w:tcBorders>
              <w:tl2br w:val="nil"/>
              <w:tr2bl w:val="nil"/>
            </w:tcBorders>
            <w:vAlign w:val="center"/>
          </w:tcPr>
          <w:p w14:paraId="2DC66B7B">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污染防治</w:t>
            </w:r>
          </w:p>
        </w:tc>
        <w:tc>
          <w:tcPr>
            <w:tcW w:w="1706" w:type="pct"/>
            <w:gridSpan w:val="2"/>
            <w:tcBorders>
              <w:tl2br w:val="nil"/>
              <w:tr2bl w:val="nil"/>
            </w:tcBorders>
            <w:vAlign w:val="center"/>
          </w:tcPr>
          <w:p w14:paraId="7A404017">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水排放情况</w:t>
            </w:r>
          </w:p>
        </w:tc>
        <w:tc>
          <w:tcPr>
            <w:tcW w:w="484" w:type="pct"/>
            <w:tcBorders>
              <w:tl2br w:val="nil"/>
              <w:tr2bl w:val="nil"/>
            </w:tcBorders>
            <w:vAlign w:val="center"/>
          </w:tcPr>
          <w:p w14:paraId="32A20A88">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w:t>
            </w:r>
          </w:p>
        </w:tc>
        <w:tc>
          <w:tcPr>
            <w:tcW w:w="643" w:type="pct"/>
            <w:tcBorders>
              <w:tl2br w:val="nil"/>
              <w:tr2bl w:val="nil"/>
            </w:tcBorders>
            <w:vAlign w:val="center"/>
          </w:tcPr>
          <w:p w14:paraId="034F4851">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r>
      <w:tr w14:paraId="13FEC9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tcBorders>
              <w:tl2br w:val="nil"/>
              <w:tr2bl w:val="nil"/>
            </w:tcBorders>
            <w:vAlign w:val="center"/>
          </w:tcPr>
          <w:p w14:paraId="5B619DC2">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16</w:t>
            </w:r>
          </w:p>
        </w:tc>
        <w:tc>
          <w:tcPr>
            <w:tcW w:w="585" w:type="pct"/>
            <w:vMerge w:val="continue"/>
            <w:tcBorders>
              <w:tl2br w:val="nil"/>
              <w:tr2bl w:val="nil"/>
            </w:tcBorders>
            <w:vAlign w:val="center"/>
          </w:tcPr>
          <w:p w14:paraId="33FFB96E">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49" w:type="pct"/>
            <w:vMerge w:val="continue"/>
            <w:tcBorders>
              <w:tl2br w:val="nil"/>
              <w:tr2bl w:val="nil"/>
            </w:tcBorders>
            <w:vAlign w:val="center"/>
          </w:tcPr>
          <w:p w14:paraId="15D99FFB">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826" w:type="pct"/>
            <w:vMerge w:val="continue"/>
            <w:tcBorders>
              <w:tl2br w:val="nil"/>
              <w:tr2bl w:val="nil"/>
            </w:tcBorders>
            <w:vAlign w:val="center"/>
          </w:tcPr>
          <w:p w14:paraId="15AF4D2F">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706" w:type="pct"/>
            <w:gridSpan w:val="2"/>
            <w:tcBorders>
              <w:tl2br w:val="nil"/>
              <w:tr2bl w:val="nil"/>
            </w:tcBorders>
            <w:vAlign w:val="center"/>
          </w:tcPr>
          <w:p w14:paraId="5BAFCADE">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防流失情况</w:t>
            </w:r>
          </w:p>
        </w:tc>
        <w:tc>
          <w:tcPr>
            <w:tcW w:w="484" w:type="pct"/>
            <w:tcBorders>
              <w:tl2br w:val="nil"/>
              <w:tr2bl w:val="nil"/>
            </w:tcBorders>
            <w:vAlign w:val="center"/>
          </w:tcPr>
          <w:p w14:paraId="17FC23BB">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c>
          <w:tcPr>
            <w:tcW w:w="643" w:type="pct"/>
            <w:tcBorders>
              <w:tl2br w:val="nil"/>
              <w:tr2bl w:val="nil"/>
            </w:tcBorders>
            <w:vAlign w:val="center"/>
          </w:tcPr>
          <w:p w14:paraId="5200F743">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r>
      <w:tr w14:paraId="665AF8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tcBorders>
              <w:tl2br w:val="nil"/>
              <w:tr2bl w:val="nil"/>
            </w:tcBorders>
            <w:vAlign w:val="center"/>
          </w:tcPr>
          <w:p w14:paraId="3126634A">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17</w:t>
            </w:r>
          </w:p>
        </w:tc>
        <w:tc>
          <w:tcPr>
            <w:tcW w:w="585" w:type="pct"/>
            <w:vMerge w:val="continue"/>
            <w:tcBorders>
              <w:tl2br w:val="nil"/>
              <w:tr2bl w:val="nil"/>
            </w:tcBorders>
            <w:vAlign w:val="center"/>
          </w:tcPr>
          <w:p w14:paraId="04185A59">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49" w:type="pct"/>
            <w:vMerge w:val="continue"/>
            <w:tcBorders>
              <w:tl2br w:val="nil"/>
              <w:tr2bl w:val="nil"/>
            </w:tcBorders>
            <w:vAlign w:val="center"/>
          </w:tcPr>
          <w:p w14:paraId="7320AE21">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826" w:type="pct"/>
            <w:vMerge w:val="continue"/>
            <w:tcBorders>
              <w:tl2br w:val="nil"/>
              <w:tr2bl w:val="nil"/>
            </w:tcBorders>
            <w:vAlign w:val="center"/>
          </w:tcPr>
          <w:p w14:paraId="6A13F0AD">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706" w:type="pct"/>
            <w:gridSpan w:val="2"/>
            <w:tcBorders>
              <w:tl2br w:val="nil"/>
              <w:tr2bl w:val="nil"/>
            </w:tcBorders>
            <w:vAlign w:val="center"/>
          </w:tcPr>
          <w:p w14:paraId="0068EDA6">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防渗漏情况</w:t>
            </w:r>
          </w:p>
        </w:tc>
        <w:tc>
          <w:tcPr>
            <w:tcW w:w="484" w:type="pct"/>
            <w:tcBorders>
              <w:tl2br w:val="nil"/>
              <w:tr2bl w:val="nil"/>
            </w:tcBorders>
            <w:vAlign w:val="center"/>
          </w:tcPr>
          <w:p w14:paraId="28B601E0">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2.5</w:t>
            </w:r>
          </w:p>
        </w:tc>
        <w:tc>
          <w:tcPr>
            <w:tcW w:w="643" w:type="pct"/>
            <w:tcBorders>
              <w:tl2br w:val="nil"/>
              <w:tr2bl w:val="nil"/>
            </w:tcBorders>
            <w:vAlign w:val="center"/>
          </w:tcPr>
          <w:p w14:paraId="7CDD533A">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r>
      <w:tr w14:paraId="49F3DD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tcBorders>
              <w:tl2br w:val="nil"/>
              <w:tr2bl w:val="nil"/>
            </w:tcBorders>
            <w:vAlign w:val="center"/>
          </w:tcPr>
          <w:p w14:paraId="3903CBA8">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18</w:t>
            </w:r>
          </w:p>
        </w:tc>
        <w:tc>
          <w:tcPr>
            <w:tcW w:w="585" w:type="pct"/>
            <w:vMerge w:val="continue"/>
            <w:tcBorders>
              <w:tl2br w:val="nil"/>
              <w:tr2bl w:val="nil"/>
            </w:tcBorders>
            <w:vAlign w:val="center"/>
          </w:tcPr>
          <w:p w14:paraId="3917FB81">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49" w:type="pct"/>
            <w:vMerge w:val="continue"/>
            <w:tcBorders>
              <w:tl2br w:val="nil"/>
              <w:tr2bl w:val="nil"/>
            </w:tcBorders>
            <w:vAlign w:val="center"/>
          </w:tcPr>
          <w:p w14:paraId="0C516554">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826" w:type="pct"/>
            <w:vMerge w:val="continue"/>
            <w:tcBorders>
              <w:tl2br w:val="nil"/>
              <w:tr2bl w:val="nil"/>
            </w:tcBorders>
            <w:vAlign w:val="center"/>
          </w:tcPr>
          <w:p w14:paraId="428003C5">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706" w:type="pct"/>
            <w:gridSpan w:val="2"/>
            <w:tcBorders>
              <w:tl2br w:val="nil"/>
              <w:tr2bl w:val="nil"/>
            </w:tcBorders>
            <w:vAlign w:val="center"/>
          </w:tcPr>
          <w:p w14:paraId="768BCA56">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防扬散情况</w:t>
            </w:r>
          </w:p>
        </w:tc>
        <w:tc>
          <w:tcPr>
            <w:tcW w:w="484" w:type="pct"/>
            <w:tcBorders>
              <w:tl2br w:val="nil"/>
              <w:tr2bl w:val="nil"/>
            </w:tcBorders>
            <w:vAlign w:val="center"/>
          </w:tcPr>
          <w:p w14:paraId="7288F662">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c>
          <w:tcPr>
            <w:tcW w:w="643" w:type="pct"/>
            <w:tcBorders>
              <w:tl2br w:val="nil"/>
              <w:tr2bl w:val="nil"/>
            </w:tcBorders>
            <w:vAlign w:val="center"/>
          </w:tcPr>
          <w:p w14:paraId="30EB30B0">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r>
      <w:tr w14:paraId="432175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tcBorders>
              <w:tl2br w:val="nil"/>
              <w:tr2bl w:val="nil"/>
            </w:tcBorders>
            <w:vAlign w:val="center"/>
          </w:tcPr>
          <w:p w14:paraId="3E0CE519">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19</w:t>
            </w:r>
          </w:p>
        </w:tc>
        <w:tc>
          <w:tcPr>
            <w:tcW w:w="585" w:type="pct"/>
            <w:vMerge w:val="continue"/>
            <w:tcBorders>
              <w:tl2br w:val="nil"/>
              <w:tr2bl w:val="nil"/>
            </w:tcBorders>
            <w:vAlign w:val="center"/>
          </w:tcPr>
          <w:p w14:paraId="0F979F66">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49" w:type="pct"/>
            <w:vMerge w:val="continue"/>
            <w:tcBorders>
              <w:tl2br w:val="nil"/>
              <w:tr2bl w:val="nil"/>
            </w:tcBorders>
            <w:vAlign w:val="center"/>
          </w:tcPr>
          <w:p w14:paraId="7B979CD7">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826" w:type="pct"/>
            <w:vMerge w:val="restart"/>
            <w:tcBorders>
              <w:tl2br w:val="nil"/>
              <w:tr2bl w:val="nil"/>
            </w:tcBorders>
            <w:vAlign w:val="center"/>
          </w:tcPr>
          <w:p w14:paraId="630D326E">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环境应急</w:t>
            </w:r>
          </w:p>
        </w:tc>
        <w:tc>
          <w:tcPr>
            <w:tcW w:w="769" w:type="pct"/>
            <w:vMerge w:val="restart"/>
            <w:tcBorders>
              <w:tl2br w:val="nil"/>
              <w:tr2bl w:val="nil"/>
            </w:tcBorders>
            <w:vAlign w:val="center"/>
          </w:tcPr>
          <w:p w14:paraId="134C35A6">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环境应急设施</w:t>
            </w:r>
          </w:p>
        </w:tc>
        <w:tc>
          <w:tcPr>
            <w:tcW w:w="937" w:type="pct"/>
            <w:tcBorders>
              <w:tl2br w:val="nil"/>
              <w:tr2bl w:val="nil"/>
            </w:tcBorders>
            <w:vAlign w:val="center"/>
          </w:tcPr>
          <w:p w14:paraId="0D2C956F">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事故应急池建设情况</w:t>
            </w:r>
          </w:p>
        </w:tc>
        <w:tc>
          <w:tcPr>
            <w:tcW w:w="484" w:type="pct"/>
            <w:tcBorders>
              <w:tl2br w:val="nil"/>
              <w:tr2bl w:val="nil"/>
            </w:tcBorders>
            <w:vAlign w:val="center"/>
          </w:tcPr>
          <w:p w14:paraId="7F8BCD55">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w:t>
            </w:r>
          </w:p>
        </w:tc>
        <w:tc>
          <w:tcPr>
            <w:tcW w:w="643" w:type="pct"/>
            <w:tcBorders>
              <w:tl2br w:val="nil"/>
              <w:tr2bl w:val="nil"/>
            </w:tcBorders>
            <w:vAlign w:val="center"/>
          </w:tcPr>
          <w:p w14:paraId="4E63644B">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r>
      <w:tr w14:paraId="54708F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tcBorders>
              <w:tl2br w:val="nil"/>
              <w:tr2bl w:val="nil"/>
            </w:tcBorders>
            <w:vAlign w:val="center"/>
          </w:tcPr>
          <w:p w14:paraId="72A7C75B">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w:t>
            </w:r>
          </w:p>
        </w:tc>
        <w:tc>
          <w:tcPr>
            <w:tcW w:w="585" w:type="pct"/>
            <w:vMerge w:val="continue"/>
            <w:tcBorders>
              <w:tl2br w:val="nil"/>
              <w:tr2bl w:val="nil"/>
            </w:tcBorders>
            <w:vAlign w:val="center"/>
          </w:tcPr>
          <w:p w14:paraId="40BA489D">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49" w:type="pct"/>
            <w:vMerge w:val="continue"/>
            <w:tcBorders>
              <w:tl2br w:val="nil"/>
              <w:tr2bl w:val="nil"/>
            </w:tcBorders>
            <w:vAlign w:val="center"/>
          </w:tcPr>
          <w:p w14:paraId="72B29139">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826" w:type="pct"/>
            <w:vMerge w:val="continue"/>
            <w:tcBorders>
              <w:tl2br w:val="nil"/>
              <w:tr2bl w:val="nil"/>
            </w:tcBorders>
            <w:vAlign w:val="center"/>
          </w:tcPr>
          <w:p w14:paraId="4071E64E">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769" w:type="pct"/>
            <w:vMerge w:val="continue"/>
            <w:tcBorders>
              <w:tl2br w:val="nil"/>
              <w:tr2bl w:val="nil"/>
            </w:tcBorders>
            <w:vAlign w:val="center"/>
          </w:tcPr>
          <w:p w14:paraId="434C3C43">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937" w:type="pct"/>
            <w:tcBorders>
              <w:tl2br w:val="nil"/>
              <w:tr2bl w:val="nil"/>
            </w:tcBorders>
            <w:vAlign w:val="center"/>
          </w:tcPr>
          <w:p w14:paraId="3D70D637">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输送系统环境应急设施建设情况</w:t>
            </w:r>
          </w:p>
        </w:tc>
        <w:tc>
          <w:tcPr>
            <w:tcW w:w="484" w:type="pct"/>
            <w:tcBorders>
              <w:tl2br w:val="nil"/>
              <w:tr2bl w:val="nil"/>
            </w:tcBorders>
            <w:vAlign w:val="center"/>
          </w:tcPr>
          <w:p w14:paraId="5E7D6EEE">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w:t>
            </w:r>
          </w:p>
        </w:tc>
        <w:tc>
          <w:tcPr>
            <w:tcW w:w="643" w:type="pct"/>
            <w:tcBorders>
              <w:tl2br w:val="nil"/>
              <w:tr2bl w:val="nil"/>
            </w:tcBorders>
            <w:vAlign w:val="center"/>
          </w:tcPr>
          <w:p w14:paraId="3D4A73C8">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r>
      <w:tr w14:paraId="2AC0D6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tcBorders>
              <w:tl2br w:val="nil"/>
              <w:tr2bl w:val="nil"/>
            </w:tcBorders>
            <w:vAlign w:val="center"/>
          </w:tcPr>
          <w:p w14:paraId="289BE0AD">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w:t>
            </w:r>
          </w:p>
        </w:tc>
        <w:tc>
          <w:tcPr>
            <w:tcW w:w="585" w:type="pct"/>
            <w:vMerge w:val="continue"/>
            <w:tcBorders>
              <w:tl2br w:val="nil"/>
              <w:tr2bl w:val="nil"/>
            </w:tcBorders>
            <w:vAlign w:val="center"/>
          </w:tcPr>
          <w:p w14:paraId="49196162">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49" w:type="pct"/>
            <w:vMerge w:val="continue"/>
            <w:tcBorders>
              <w:tl2br w:val="nil"/>
              <w:tr2bl w:val="nil"/>
            </w:tcBorders>
            <w:vAlign w:val="center"/>
          </w:tcPr>
          <w:p w14:paraId="56DF7D74">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826" w:type="pct"/>
            <w:vMerge w:val="continue"/>
            <w:tcBorders>
              <w:tl2br w:val="nil"/>
              <w:tr2bl w:val="nil"/>
            </w:tcBorders>
            <w:vAlign w:val="center"/>
          </w:tcPr>
          <w:p w14:paraId="58D73C45">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769" w:type="pct"/>
            <w:vMerge w:val="continue"/>
            <w:tcBorders>
              <w:tl2br w:val="nil"/>
              <w:tr2bl w:val="nil"/>
            </w:tcBorders>
            <w:vAlign w:val="center"/>
          </w:tcPr>
          <w:p w14:paraId="24D653C2">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937" w:type="pct"/>
            <w:tcBorders>
              <w:tl2br w:val="nil"/>
              <w:tr2bl w:val="nil"/>
            </w:tcBorders>
            <w:vAlign w:val="center"/>
          </w:tcPr>
          <w:p w14:paraId="7DC54C86">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回水系统环境应急设施建设情况</w:t>
            </w:r>
          </w:p>
        </w:tc>
        <w:tc>
          <w:tcPr>
            <w:tcW w:w="484" w:type="pct"/>
            <w:tcBorders>
              <w:tl2br w:val="nil"/>
              <w:tr2bl w:val="nil"/>
            </w:tcBorders>
            <w:vAlign w:val="center"/>
          </w:tcPr>
          <w:p w14:paraId="6E1D3B3D">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1.5</w:t>
            </w:r>
          </w:p>
        </w:tc>
        <w:tc>
          <w:tcPr>
            <w:tcW w:w="643" w:type="pct"/>
            <w:tcBorders>
              <w:tl2br w:val="nil"/>
              <w:tr2bl w:val="nil"/>
            </w:tcBorders>
            <w:vAlign w:val="center"/>
          </w:tcPr>
          <w:p w14:paraId="7835D464">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r>
      <w:tr w14:paraId="6E6C15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tcBorders>
              <w:tl2br w:val="nil"/>
              <w:tr2bl w:val="nil"/>
            </w:tcBorders>
            <w:vAlign w:val="center"/>
          </w:tcPr>
          <w:p w14:paraId="1A443864">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w:t>
            </w:r>
          </w:p>
        </w:tc>
        <w:tc>
          <w:tcPr>
            <w:tcW w:w="585" w:type="pct"/>
            <w:vMerge w:val="continue"/>
            <w:tcBorders>
              <w:tl2br w:val="nil"/>
              <w:tr2bl w:val="nil"/>
            </w:tcBorders>
            <w:vAlign w:val="center"/>
          </w:tcPr>
          <w:p w14:paraId="5B9294E8">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49" w:type="pct"/>
            <w:vMerge w:val="continue"/>
            <w:tcBorders>
              <w:tl2br w:val="nil"/>
              <w:tr2bl w:val="nil"/>
            </w:tcBorders>
            <w:vAlign w:val="center"/>
          </w:tcPr>
          <w:p w14:paraId="7B77535E">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826" w:type="pct"/>
            <w:vMerge w:val="continue"/>
            <w:tcBorders>
              <w:tl2br w:val="nil"/>
              <w:tr2bl w:val="nil"/>
            </w:tcBorders>
            <w:vAlign w:val="center"/>
          </w:tcPr>
          <w:p w14:paraId="588C9893">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706" w:type="pct"/>
            <w:gridSpan w:val="2"/>
            <w:tcBorders>
              <w:tl2br w:val="nil"/>
              <w:tr2bl w:val="nil"/>
            </w:tcBorders>
            <w:vAlign w:val="center"/>
          </w:tcPr>
          <w:p w14:paraId="47213D2B">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环境应急预案</w:t>
            </w:r>
          </w:p>
        </w:tc>
        <w:tc>
          <w:tcPr>
            <w:tcW w:w="484" w:type="pct"/>
            <w:tcBorders>
              <w:tl2br w:val="nil"/>
              <w:tr2bl w:val="nil"/>
            </w:tcBorders>
            <w:vAlign w:val="center"/>
          </w:tcPr>
          <w:p w14:paraId="4D573CD5">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6.5</w:t>
            </w:r>
          </w:p>
        </w:tc>
        <w:tc>
          <w:tcPr>
            <w:tcW w:w="643" w:type="pct"/>
            <w:tcBorders>
              <w:tl2br w:val="nil"/>
              <w:tr2bl w:val="nil"/>
            </w:tcBorders>
            <w:vAlign w:val="center"/>
          </w:tcPr>
          <w:p w14:paraId="5D3E30C4">
            <w:pPr>
              <w:pStyle w:val="10"/>
              <w:spacing w:after="0" w:line="360" w:lineRule="exact"/>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w:t>
            </w:r>
          </w:p>
        </w:tc>
      </w:tr>
      <w:tr w14:paraId="18487A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tcBorders>
              <w:tl2br w:val="nil"/>
              <w:tr2bl w:val="nil"/>
            </w:tcBorders>
            <w:vAlign w:val="center"/>
          </w:tcPr>
          <w:p w14:paraId="3C7A0089">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23</w:t>
            </w:r>
          </w:p>
        </w:tc>
        <w:tc>
          <w:tcPr>
            <w:tcW w:w="585" w:type="pct"/>
            <w:vMerge w:val="continue"/>
            <w:tcBorders>
              <w:tl2br w:val="nil"/>
              <w:tr2bl w:val="nil"/>
            </w:tcBorders>
            <w:vAlign w:val="center"/>
          </w:tcPr>
          <w:p w14:paraId="6C5C90B0">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49" w:type="pct"/>
            <w:vMerge w:val="continue"/>
            <w:tcBorders>
              <w:tl2br w:val="nil"/>
              <w:tr2bl w:val="nil"/>
            </w:tcBorders>
            <w:vAlign w:val="center"/>
          </w:tcPr>
          <w:p w14:paraId="1BC963A9">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826" w:type="pct"/>
            <w:vMerge w:val="continue"/>
            <w:tcBorders>
              <w:tl2br w:val="nil"/>
              <w:tr2bl w:val="nil"/>
            </w:tcBorders>
            <w:vAlign w:val="center"/>
          </w:tcPr>
          <w:p w14:paraId="3534FC34">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706" w:type="pct"/>
            <w:gridSpan w:val="2"/>
            <w:tcBorders>
              <w:tl2br w:val="nil"/>
              <w:tr2bl w:val="nil"/>
            </w:tcBorders>
            <w:vAlign w:val="center"/>
          </w:tcPr>
          <w:p w14:paraId="35384F94">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环境应急资源</w:t>
            </w:r>
          </w:p>
        </w:tc>
        <w:tc>
          <w:tcPr>
            <w:tcW w:w="484" w:type="pct"/>
            <w:tcBorders>
              <w:tl2br w:val="nil"/>
              <w:tr2bl w:val="nil"/>
            </w:tcBorders>
            <w:vAlign w:val="center"/>
          </w:tcPr>
          <w:p w14:paraId="76D5D9B2">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w:t>
            </w:r>
          </w:p>
        </w:tc>
        <w:tc>
          <w:tcPr>
            <w:tcW w:w="643" w:type="pct"/>
            <w:tcBorders>
              <w:tl2br w:val="nil"/>
              <w:tr2bl w:val="nil"/>
            </w:tcBorders>
            <w:vAlign w:val="center"/>
          </w:tcPr>
          <w:p w14:paraId="7AD90A60">
            <w:pPr>
              <w:pStyle w:val="10"/>
              <w:spacing w:after="0" w:line="360" w:lineRule="exact"/>
              <w:ind w:firstLine="0" w:firstLineChars="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val="en-US" w:eastAsia="zh-CN"/>
              </w:rPr>
              <w:t>0</w:t>
            </w:r>
          </w:p>
        </w:tc>
      </w:tr>
      <w:tr w14:paraId="476AA0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tcBorders>
              <w:tl2br w:val="nil"/>
              <w:tr2bl w:val="nil"/>
            </w:tcBorders>
            <w:vAlign w:val="center"/>
          </w:tcPr>
          <w:p w14:paraId="24AD3E7F">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24</w:t>
            </w:r>
          </w:p>
        </w:tc>
        <w:tc>
          <w:tcPr>
            <w:tcW w:w="585" w:type="pct"/>
            <w:vMerge w:val="continue"/>
            <w:tcBorders>
              <w:tl2br w:val="nil"/>
              <w:tr2bl w:val="nil"/>
            </w:tcBorders>
            <w:vAlign w:val="center"/>
          </w:tcPr>
          <w:p w14:paraId="3DF14775">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49" w:type="pct"/>
            <w:vMerge w:val="continue"/>
            <w:tcBorders>
              <w:tl2br w:val="nil"/>
              <w:tr2bl w:val="nil"/>
            </w:tcBorders>
            <w:vAlign w:val="center"/>
          </w:tcPr>
          <w:p w14:paraId="3BFDFAAC">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826" w:type="pct"/>
            <w:vMerge w:val="continue"/>
            <w:tcBorders>
              <w:tl2br w:val="nil"/>
              <w:tr2bl w:val="nil"/>
            </w:tcBorders>
            <w:vAlign w:val="center"/>
          </w:tcPr>
          <w:p w14:paraId="03489D5B">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769" w:type="pct"/>
            <w:vMerge w:val="restart"/>
            <w:tcBorders>
              <w:tl2br w:val="nil"/>
              <w:tr2bl w:val="nil"/>
            </w:tcBorders>
            <w:vAlign w:val="center"/>
          </w:tcPr>
          <w:p w14:paraId="3008DBC0">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环境监测预警与日常检查</w:t>
            </w:r>
          </w:p>
        </w:tc>
        <w:tc>
          <w:tcPr>
            <w:tcW w:w="937" w:type="pct"/>
            <w:tcBorders>
              <w:tl2br w:val="nil"/>
              <w:tr2bl w:val="nil"/>
            </w:tcBorders>
            <w:vAlign w:val="center"/>
          </w:tcPr>
          <w:p w14:paraId="6484B5EE">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监测预警</w:t>
            </w:r>
          </w:p>
        </w:tc>
        <w:tc>
          <w:tcPr>
            <w:tcW w:w="484" w:type="pct"/>
            <w:tcBorders>
              <w:tl2br w:val="nil"/>
              <w:tr2bl w:val="nil"/>
            </w:tcBorders>
            <w:vAlign w:val="center"/>
          </w:tcPr>
          <w:p w14:paraId="7EF4E73A">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w:t>
            </w:r>
          </w:p>
        </w:tc>
        <w:tc>
          <w:tcPr>
            <w:tcW w:w="643" w:type="pct"/>
            <w:tcBorders>
              <w:tl2br w:val="nil"/>
              <w:tr2bl w:val="nil"/>
            </w:tcBorders>
            <w:vAlign w:val="center"/>
          </w:tcPr>
          <w:p w14:paraId="6E204490">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r>
      <w:tr w14:paraId="7646CE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tcBorders>
              <w:tl2br w:val="nil"/>
              <w:tr2bl w:val="nil"/>
            </w:tcBorders>
            <w:vAlign w:val="center"/>
          </w:tcPr>
          <w:p w14:paraId="4FDF2CB7">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25</w:t>
            </w:r>
          </w:p>
        </w:tc>
        <w:tc>
          <w:tcPr>
            <w:tcW w:w="585" w:type="pct"/>
            <w:vMerge w:val="continue"/>
            <w:tcBorders>
              <w:tl2br w:val="nil"/>
              <w:tr2bl w:val="nil"/>
            </w:tcBorders>
            <w:vAlign w:val="center"/>
          </w:tcPr>
          <w:p w14:paraId="0A8C8BB5">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49" w:type="pct"/>
            <w:vMerge w:val="continue"/>
            <w:tcBorders>
              <w:tl2br w:val="nil"/>
              <w:tr2bl w:val="nil"/>
            </w:tcBorders>
            <w:vAlign w:val="center"/>
          </w:tcPr>
          <w:p w14:paraId="077611AE">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826" w:type="pct"/>
            <w:vMerge w:val="continue"/>
            <w:tcBorders>
              <w:tl2br w:val="nil"/>
              <w:tr2bl w:val="nil"/>
            </w:tcBorders>
            <w:vAlign w:val="center"/>
          </w:tcPr>
          <w:p w14:paraId="0017A7BD">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769" w:type="pct"/>
            <w:vMerge w:val="continue"/>
            <w:tcBorders>
              <w:tl2br w:val="nil"/>
              <w:tr2bl w:val="nil"/>
            </w:tcBorders>
            <w:vAlign w:val="center"/>
          </w:tcPr>
          <w:p w14:paraId="5620E88D">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937" w:type="pct"/>
            <w:tcBorders>
              <w:tl2br w:val="nil"/>
              <w:tr2bl w:val="nil"/>
            </w:tcBorders>
            <w:vAlign w:val="center"/>
          </w:tcPr>
          <w:p w14:paraId="67010F47">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日常检查</w:t>
            </w:r>
          </w:p>
        </w:tc>
        <w:tc>
          <w:tcPr>
            <w:tcW w:w="484" w:type="pct"/>
            <w:tcBorders>
              <w:tl2br w:val="nil"/>
              <w:tr2bl w:val="nil"/>
            </w:tcBorders>
            <w:vAlign w:val="center"/>
          </w:tcPr>
          <w:p w14:paraId="2C104247">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w:t>
            </w:r>
          </w:p>
        </w:tc>
        <w:tc>
          <w:tcPr>
            <w:tcW w:w="643" w:type="pct"/>
            <w:tcBorders>
              <w:tl2br w:val="nil"/>
              <w:tr2bl w:val="nil"/>
            </w:tcBorders>
            <w:vAlign w:val="center"/>
          </w:tcPr>
          <w:p w14:paraId="71384D93">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r>
      <w:tr w14:paraId="01924D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tcBorders>
              <w:tl2br w:val="nil"/>
              <w:tr2bl w:val="nil"/>
            </w:tcBorders>
            <w:vAlign w:val="center"/>
          </w:tcPr>
          <w:p w14:paraId="4F122E9F">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26</w:t>
            </w:r>
          </w:p>
        </w:tc>
        <w:tc>
          <w:tcPr>
            <w:tcW w:w="585" w:type="pct"/>
            <w:vMerge w:val="continue"/>
            <w:tcBorders>
              <w:tl2br w:val="nil"/>
              <w:tr2bl w:val="nil"/>
            </w:tcBorders>
            <w:vAlign w:val="center"/>
          </w:tcPr>
          <w:p w14:paraId="0E74FD59">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49" w:type="pct"/>
            <w:vMerge w:val="continue"/>
            <w:tcBorders>
              <w:tl2br w:val="nil"/>
              <w:tr2bl w:val="nil"/>
            </w:tcBorders>
            <w:vAlign w:val="center"/>
          </w:tcPr>
          <w:p w14:paraId="04F80469">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826" w:type="pct"/>
            <w:vMerge w:val="continue"/>
            <w:tcBorders>
              <w:tl2br w:val="nil"/>
              <w:tr2bl w:val="nil"/>
            </w:tcBorders>
            <w:vAlign w:val="center"/>
          </w:tcPr>
          <w:p w14:paraId="69628FE5">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769" w:type="pct"/>
            <w:vMerge w:val="restart"/>
            <w:tcBorders>
              <w:tl2br w:val="nil"/>
              <w:tr2bl w:val="nil"/>
            </w:tcBorders>
            <w:vAlign w:val="center"/>
          </w:tcPr>
          <w:p w14:paraId="3D8AFA72">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环境安全隐患排查与治理</w:t>
            </w:r>
          </w:p>
        </w:tc>
        <w:tc>
          <w:tcPr>
            <w:tcW w:w="937" w:type="pct"/>
            <w:tcBorders>
              <w:tl2br w:val="nil"/>
              <w:tr2bl w:val="nil"/>
            </w:tcBorders>
            <w:vAlign w:val="center"/>
          </w:tcPr>
          <w:p w14:paraId="208D7853">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安全隐患排查</w:t>
            </w:r>
          </w:p>
        </w:tc>
        <w:tc>
          <w:tcPr>
            <w:tcW w:w="484" w:type="pct"/>
            <w:tcBorders>
              <w:tl2br w:val="nil"/>
              <w:tr2bl w:val="nil"/>
            </w:tcBorders>
            <w:vAlign w:val="center"/>
          </w:tcPr>
          <w:p w14:paraId="26D22B1C">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w:t>
            </w:r>
          </w:p>
        </w:tc>
        <w:tc>
          <w:tcPr>
            <w:tcW w:w="643" w:type="pct"/>
            <w:tcBorders>
              <w:tl2br w:val="nil"/>
              <w:tr2bl w:val="nil"/>
            </w:tcBorders>
            <w:vAlign w:val="center"/>
          </w:tcPr>
          <w:p w14:paraId="23850499">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r>
      <w:tr w14:paraId="3E65A8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tcBorders>
              <w:tl2br w:val="nil"/>
              <w:tr2bl w:val="nil"/>
            </w:tcBorders>
            <w:vAlign w:val="center"/>
          </w:tcPr>
          <w:p w14:paraId="1D4CFCB8">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27</w:t>
            </w:r>
          </w:p>
        </w:tc>
        <w:tc>
          <w:tcPr>
            <w:tcW w:w="585" w:type="pct"/>
            <w:vMerge w:val="continue"/>
            <w:tcBorders>
              <w:tl2br w:val="nil"/>
              <w:tr2bl w:val="nil"/>
            </w:tcBorders>
            <w:vAlign w:val="center"/>
          </w:tcPr>
          <w:p w14:paraId="50F99781">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49" w:type="pct"/>
            <w:vMerge w:val="continue"/>
            <w:tcBorders>
              <w:tl2br w:val="nil"/>
              <w:tr2bl w:val="nil"/>
            </w:tcBorders>
            <w:vAlign w:val="center"/>
          </w:tcPr>
          <w:p w14:paraId="5D57481B">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826" w:type="pct"/>
            <w:vMerge w:val="continue"/>
            <w:tcBorders>
              <w:tl2br w:val="nil"/>
              <w:tr2bl w:val="nil"/>
            </w:tcBorders>
            <w:vAlign w:val="center"/>
          </w:tcPr>
          <w:p w14:paraId="0717FEA2">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769" w:type="pct"/>
            <w:vMerge w:val="continue"/>
            <w:tcBorders>
              <w:tl2br w:val="nil"/>
              <w:tr2bl w:val="nil"/>
            </w:tcBorders>
            <w:vAlign w:val="center"/>
          </w:tcPr>
          <w:p w14:paraId="0CDBC066">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937" w:type="pct"/>
            <w:tcBorders>
              <w:tl2br w:val="nil"/>
              <w:tr2bl w:val="nil"/>
            </w:tcBorders>
            <w:vAlign w:val="center"/>
          </w:tcPr>
          <w:p w14:paraId="452D286E">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环境安全隐患治理</w:t>
            </w:r>
          </w:p>
        </w:tc>
        <w:tc>
          <w:tcPr>
            <w:tcW w:w="484" w:type="pct"/>
            <w:tcBorders>
              <w:tl2br w:val="nil"/>
              <w:tr2bl w:val="nil"/>
            </w:tcBorders>
            <w:vAlign w:val="center"/>
          </w:tcPr>
          <w:p w14:paraId="2FDD1257">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2.5</w:t>
            </w:r>
          </w:p>
        </w:tc>
        <w:tc>
          <w:tcPr>
            <w:tcW w:w="643" w:type="pct"/>
            <w:tcBorders>
              <w:tl2br w:val="nil"/>
              <w:tr2bl w:val="nil"/>
            </w:tcBorders>
            <w:vAlign w:val="center"/>
          </w:tcPr>
          <w:p w14:paraId="5C09FA20">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r>
      <w:tr w14:paraId="2B0F4E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tcBorders>
              <w:tl2br w:val="nil"/>
              <w:tr2bl w:val="nil"/>
            </w:tcBorders>
            <w:vAlign w:val="center"/>
          </w:tcPr>
          <w:p w14:paraId="0BA87DFB">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28</w:t>
            </w:r>
          </w:p>
        </w:tc>
        <w:tc>
          <w:tcPr>
            <w:tcW w:w="585" w:type="pct"/>
            <w:vMerge w:val="continue"/>
            <w:tcBorders>
              <w:tl2br w:val="nil"/>
              <w:tr2bl w:val="nil"/>
            </w:tcBorders>
            <w:vAlign w:val="center"/>
          </w:tcPr>
          <w:p w14:paraId="10E6F04E">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49" w:type="pct"/>
            <w:vMerge w:val="continue"/>
            <w:tcBorders>
              <w:tl2br w:val="nil"/>
              <w:tr2bl w:val="nil"/>
            </w:tcBorders>
            <w:vAlign w:val="center"/>
          </w:tcPr>
          <w:p w14:paraId="279DF69B">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826" w:type="pct"/>
            <w:tcBorders>
              <w:tl2br w:val="nil"/>
              <w:tr2bl w:val="nil"/>
            </w:tcBorders>
            <w:vAlign w:val="center"/>
          </w:tcPr>
          <w:p w14:paraId="67D9B1AC">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环境违法与环境纠纷情况</w:t>
            </w:r>
          </w:p>
        </w:tc>
        <w:tc>
          <w:tcPr>
            <w:tcW w:w="1706" w:type="pct"/>
            <w:gridSpan w:val="2"/>
            <w:tcBorders>
              <w:tl2br w:val="nil"/>
              <w:tr2bl w:val="nil"/>
            </w:tcBorders>
            <w:vAlign w:val="center"/>
          </w:tcPr>
          <w:p w14:paraId="617DACA0">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近三年来是否存在环境违法行为或与周边存在环境纠纷</w:t>
            </w:r>
          </w:p>
        </w:tc>
        <w:tc>
          <w:tcPr>
            <w:tcW w:w="484" w:type="pct"/>
            <w:tcBorders>
              <w:tl2br w:val="nil"/>
              <w:tr2bl w:val="nil"/>
            </w:tcBorders>
            <w:vAlign w:val="center"/>
          </w:tcPr>
          <w:p w14:paraId="5E998595">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7</w:t>
            </w:r>
          </w:p>
        </w:tc>
        <w:tc>
          <w:tcPr>
            <w:tcW w:w="643" w:type="pct"/>
            <w:tcBorders>
              <w:tl2br w:val="nil"/>
              <w:tr2bl w:val="nil"/>
            </w:tcBorders>
            <w:vAlign w:val="center"/>
          </w:tcPr>
          <w:p w14:paraId="7214DE98">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r>
      <w:tr w14:paraId="283705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tcBorders>
              <w:tl2br w:val="nil"/>
              <w:tr2bl w:val="nil"/>
            </w:tcBorders>
            <w:vAlign w:val="center"/>
          </w:tcPr>
          <w:p w14:paraId="44AAA312">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29</w:t>
            </w:r>
          </w:p>
        </w:tc>
        <w:tc>
          <w:tcPr>
            <w:tcW w:w="585" w:type="pct"/>
            <w:vMerge w:val="continue"/>
            <w:tcBorders>
              <w:tl2br w:val="nil"/>
              <w:tr2bl w:val="nil"/>
            </w:tcBorders>
            <w:vAlign w:val="center"/>
          </w:tcPr>
          <w:p w14:paraId="1ADDB897">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49" w:type="pct"/>
            <w:vMerge w:val="restart"/>
            <w:tcBorders>
              <w:tl2br w:val="nil"/>
              <w:tr2bl w:val="nil"/>
            </w:tcBorders>
            <w:vAlign w:val="center"/>
          </w:tcPr>
          <w:p w14:paraId="3720F9F5">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历史事件情况</w:t>
            </w:r>
          </w:p>
        </w:tc>
        <w:tc>
          <w:tcPr>
            <w:tcW w:w="826" w:type="pct"/>
            <w:vMerge w:val="restart"/>
            <w:tcBorders>
              <w:tl2br w:val="nil"/>
              <w:tr2bl w:val="nil"/>
            </w:tcBorders>
            <w:vAlign w:val="center"/>
          </w:tcPr>
          <w:p w14:paraId="2170BB13">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近三年来发生事故或事件情况（包括安全和环境方面）</w:t>
            </w:r>
          </w:p>
        </w:tc>
        <w:tc>
          <w:tcPr>
            <w:tcW w:w="1706" w:type="pct"/>
            <w:gridSpan w:val="2"/>
            <w:tcBorders>
              <w:tl2br w:val="nil"/>
              <w:tr2bl w:val="nil"/>
            </w:tcBorders>
            <w:vAlign w:val="center"/>
          </w:tcPr>
          <w:p w14:paraId="27C80787">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事件等级</w:t>
            </w:r>
          </w:p>
        </w:tc>
        <w:tc>
          <w:tcPr>
            <w:tcW w:w="484" w:type="pct"/>
            <w:tcBorders>
              <w:tl2br w:val="nil"/>
              <w:tr2bl w:val="nil"/>
            </w:tcBorders>
            <w:vAlign w:val="center"/>
          </w:tcPr>
          <w:p w14:paraId="15D1EC25">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8</w:t>
            </w:r>
          </w:p>
        </w:tc>
        <w:tc>
          <w:tcPr>
            <w:tcW w:w="643" w:type="pct"/>
            <w:tcBorders>
              <w:tl2br w:val="nil"/>
              <w:tr2bl w:val="nil"/>
            </w:tcBorders>
            <w:vAlign w:val="center"/>
          </w:tcPr>
          <w:p w14:paraId="65FC123A">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r>
      <w:tr w14:paraId="477AC9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tcBorders>
              <w:tl2br w:val="nil"/>
              <w:tr2bl w:val="nil"/>
            </w:tcBorders>
            <w:vAlign w:val="center"/>
          </w:tcPr>
          <w:p w14:paraId="027050AF">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w:t>
            </w:r>
          </w:p>
        </w:tc>
        <w:tc>
          <w:tcPr>
            <w:tcW w:w="585" w:type="pct"/>
            <w:vMerge w:val="continue"/>
            <w:tcBorders>
              <w:tl2br w:val="nil"/>
              <w:tr2bl w:val="nil"/>
            </w:tcBorders>
            <w:vAlign w:val="center"/>
          </w:tcPr>
          <w:p w14:paraId="52BC9F11">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449" w:type="pct"/>
            <w:vMerge w:val="continue"/>
            <w:tcBorders>
              <w:tl2br w:val="nil"/>
              <w:tr2bl w:val="nil"/>
            </w:tcBorders>
            <w:vAlign w:val="center"/>
          </w:tcPr>
          <w:p w14:paraId="4B557C9D">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826" w:type="pct"/>
            <w:vMerge w:val="continue"/>
            <w:tcBorders>
              <w:tl2br w:val="nil"/>
              <w:tr2bl w:val="nil"/>
            </w:tcBorders>
            <w:vAlign w:val="center"/>
          </w:tcPr>
          <w:p w14:paraId="13DB5380">
            <w:pPr>
              <w:pStyle w:val="10"/>
              <w:spacing w:after="0" w:line="360" w:lineRule="exact"/>
              <w:ind w:firstLine="0" w:firstLineChars="0"/>
              <w:jc w:val="center"/>
              <w:rPr>
                <w:rFonts w:hint="default" w:ascii="Times New Roman" w:hAnsi="Times New Roman" w:cs="Times New Roman"/>
                <w:bCs/>
                <w:color w:val="auto"/>
                <w:sz w:val="21"/>
                <w:szCs w:val="21"/>
                <w:highlight w:val="none"/>
              </w:rPr>
            </w:pPr>
          </w:p>
        </w:tc>
        <w:tc>
          <w:tcPr>
            <w:tcW w:w="1706" w:type="pct"/>
            <w:gridSpan w:val="2"/>
            <w:tcBorders>
              <w:tl2br w:val="nil"/>
              <w:tr2bl w:val="nil"/>
            </w:tcBorders>
            <w:vAlign w:val="center"/>
          </w:tcPr>
          <w:p w14:paraId="24EC6AA3">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事件次数</w:t>
            </w:r>
          </w:p>
        </w:tc>
        <w:tc>
          <w:tcPr>
            <w:tcW w:w="484" w:type="pct"/>
            <w:tcBorders>
              <w:tl2br w:val="nil"/>
              <w:tr2bl w:val="nil"/>
            </w:tcBorders>
            <w:vAlign w:val="center"/>
          </w:tcPr>
          <w:p w14:paraId="13200B66">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w:t>
            </w:r>
          </w:p>
        </w:tc>
        <w:tc>
          <w:tcPr>
            <w:tcW w:w="643" w:type="pct"/>
            <w:tcBorders>
              <w:tl2br w:val="nil"/>
              <w:tr2bl w:val="nil"/>
            </w:tcBorders>
            <w:vAlign w:val="center"/>
          </w:tcPr>
          <w:p w14:paraId="30810F7C">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w:t>
            </w:r>
          </w:p>
        </w:tc>
      </w:tr>
      <w:tr w14:paraId="1CC108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6" w:type="pct"/>
            <w:gridSpan w:val="7"/>
            <w:tcBorders>
              <w:tl2br w:val="nil"/>
              <w:tr2bl w:val="nil"/>
            </w:tcBorders>
            <w:vAlign w:val="center"/>
          </w:tcPr>
          <w:p w14:paraId="795A0AF3">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合计</w:t>
            </w:r>
          </w:p>
        </w:tc>
        <w:tc>
          <w:tcPr>
            <w:tcW w:w="643" w:type="pct"/>
            <w:tcBorders>
              <w:tl2br w:val="nil"/>
              <w:tr2bl w:val="nil"/>
            </w:tcBorders>
            <w:vAlign w:val="center"/>
          </w:tcPr>
          <w:p w14:paraId="762831FB">
            <w:pPr>
              <w:pStyle w:val="10"/>
              <w:spacing w:after="0"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lang w:val="en-US" w:eastAsia="zh-CN"/>
              </w:rPr>
              <w:t>7</w:t>
            </w:r>
            <w:r>
              <w:rPr>
                <w:rFonts w:hint="default" w:ascii="Times New Roman" w:hAnsi="Times New Roman" w:cs="Times New Roman"/>
                <w:bCs/>
                <w:color w:val="auto"/>
                <w:sz w:val="21"/>
                <w:szCs w:val="21"/>
                <w:highlight w:val="none"/>
              </w:rPr>
              <w:t>.5</w:t>
            </w:r>
          </w:p>
        </w:tc>
      </w:tr>
    </w:tbl>
    <w:p w14:paraId="5C1E1CD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依据尾矿库控制机制可靠性等别划分表，将控制机制可靠性（R）划分为R1、R2、R3三个等别，控制机制可靠性等别划分见表5.3-10。</w:t>
      </w:r>
    </w:p>
    <w:p w14:paraId="41A9B458">
      <w:pPr>
        <w:ind w:firstLine="0" w:firstLineChars="0"/>
        <w:jc w:val="center"/>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表5.3-10    尾矿库控制机制可靠性（R）等别划分表</w:t>
      </w:r>
    </w:p>
    <w:tbl>
      <w:tblPr>
        <w:tblStyle w:val="3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571281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tcBorders>
              <w:tl2br w:val="nil"/>
              <w:tr2bl w:val="nil"/>
            </w:tcBorders>
            <w:vAlign w:val="center"/>
          </w:tcPr>
          <w:p w14:paraId="53CC16FD">
            <w:pPr>
              <w:pStyle w:val="32"/>
              <w:spacing w:after="0" w:line="360" w:lineRule="exact"/>
              <w:ind w:left="0" w:leftChars="0" w:firstLine="0" w:firstLineChars="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kern w:val="0"/>
                <w:szCs w:val="21"/>
                <w:highlight w:val="none"/>
              </w:rPr>
              <w:t>尾矿库控制机制可靠性（D</w:t>
            </w:r>
            <w:r>
              <w:rPr>
                <w:rFonts w:hint="default" w:ascii="Times New Roman" w:hAnsi="Times New Roman" w:cs="Times New Roman"/>
                <w:b/>
                <w:color w:val="auto"/>
                <w:kern w:val="0"/>
                <w:szCs w:val="21"/>
                <w:highlight w:val="none"/>
                <w:vertAlign w:val="subscript"/>
              </w:rPr>
              <w:t>R</w:t>
            </w:r>
            <w:r>
              <w:rPr>
                <w:rFonts w:hint="default" w:ascii="Times New Roman" w:hAnsi="Times New Roman" w:cs="Times New Roman"/>
                <w:b/>
                <w:color w:val="auto"/>
                <w:kern w:val="0"/>
                <w:szCs w:val="21"/>
                <w:highlight w:val="none"/>
              </w:rPr>
              <w:t>）</w:t>
            </w:r>
          </w:p>
        </w:tc>
        <w:tc>
          <w:tcPr>
            <w:tcW w:w="4261" w:type="dxa"/>
            <w:tcBorders>
              <w:tl2br w:val="nil"/>
              <w:tr2bl w:val="nil"/>
            </w:tcBorders>
            <w:vAlign w:val="center"/>
          </w:tcPr>
          <w:p w14:paraId="6E283EFA">
            <w:pPr>
              <w:pStyle w:val="32"/>
              <w:spacing w:after="0" w:line="360" w:lineRule="exact"/>
              <w:ind w:left="0" w:leftChars="0" w:firstLine="0" w:firstLineChars="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尾矿库环境危害性（R）等别代码</w:t>
            </w:r>
          </w:p>
        </w:tc>
      </w:tr>
      <w:tr w14:paraId="71186C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tcBorders>
              <w:tl2br w:val="nil"/>
              <w:tr2bl w:val="nil"/>
            </w:tcBorders>
            <w:vAlign w:val="center"/>
          </w:tcPr>
          <w:p w14:paraId="62D4E0F1">
            <w:pPr>
              <w:pStyle w:val="32"/>
              <w:spacing w:after="0" w:line="360" w:lineRule="exact"/>
              <w:ind w:left="0" w:leftChars="0" w:firstLine="0" w:firstLine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kern w:val="0"/>
                <w:szCs w:val="21"/>
                <w:highlight w:val="none"/>
              </w:rPr>
              <w:t>D</w:t>
            </w:r>
            <w:r>
              <w:rPr>
                <w:rFonts w:hint="default" w:ascii="Times New Roman" w:hAnsi="Times New Roman" w:cs="Times New Roman"/>
                <w:bCs/>
                <w:color w:val="auto"/>
                <w:kern w:val="0"/>
                <w:szCs w:val="21"/>
                <w:highlight w:val="none"/>
                <w:vertAlign w:val="subscript"/>
              </w:rPr>
              <w:t>R</w:t>
            </w:r>
            <w:r>
              <w:rPr>
                <w:rFonts w:hint="default" w:ascii="Times New Roman" w:hAnsi="Times New Roman" w:cs="Times New Roman"/>
                <w:bCs/>
                <w:color w:val="auto"/>
                <w:kern w:val="0"/>
                <w:szCs w:val="21"/>
                <w:highlight w:val="none"/>
              </w:rPr>
              <w:t>&gt;60</w:t>
            </w:r>
          </w:p>
        </w:tc>
        <w:tc>
          <w:tcPr>
            <w:tcW w:w="4261" w:type="dxa"/>
            <w:tcBorders>
              <w:tl2br w:val="nil"/>
              <w:tr2bl w:val="nil"/>
            </w:tcBorders>
            <w:vAlign w:val="center"/>
          </w:tcPr>
          <w:p w14:paraId="1004405A">
            <w:pPr>
              <w:pStyle w:val="32"/>
              <w:spacing w:after="0" w:line="360" w:lineRule="exact"/>
              <w:ind w:left="0" w:leftChars="0" w:firstLine="0" w:firstLine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R1</w:t>
            </w:r>
          </w:p>
        </w:tc>
      </w:tr>
      <w:tr w14:paraId="47BACC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tcBorders>
              <w:tl2br w:val="nil"/>
              <w:tr2bl w:val="nil"/>
            </w:tcBorders>
            <w:vAlign w:val="center"/>
          </w:tcPr>
          <w:p w14:paraId="36B0CB77">
            <w:pPr>
              <w:pStyle w:val="32"/>
              <w:spacing w:after="0" w:line="360" w:lineRule="exact"/>
              <w:ind w:left="0" w:leftChars="0" w:firstLine="0" w:firstLine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kern w:val="0"/>
                <w:szCs w:val="21"/>
                <w:highlight w:val="none"/>
              </w:rPr>
              <w:t>30&lt;D</w:t>
            </w:r>
            <w:r>
              <w:rPr>
                <w:rFonts w:hint="default" w:ascii="Times New Roman" w:hAnsi="Times New Roman" w:cs="Times New Roman"/>
                <w:bCs/>
                <w:color w:val="auto"/>
                <w:kern w:val="0"/>
                <w:szCs w:val="21"/>
                <w:highlight w:val="none"/>
                <w:vertAlign w:val="subscript"/>
              </w:rPr>
              <w:t>R</w:t>
            </w:r>
            <w:r>
              <w:rPr>
                <w:rFonts w:hint="default" w:ascii="Times New Roman" w:hAnsi="Times New Roman" w:cs="Times New Roman"/>
                <w:bCs/>
                <w:color w:val="auto"/>
                <w:kern w:val="0"/>
                <w:szCs w:val="21"/>
                <w:highlight w:val="none"/>
              </w:rPr>
              <w:t>≦60</w:t>
            </w:r>
          </w:p>
        </w:tc>
        <w:tc>
          <w:tcPr>
            <w:tcW w:w="4261" w:type="dxa"/>
            <w:tcBorders>
              <w:tl2br w:val="nil"/>
              <w:tr2bl w:val="nil"/>
            </w:tcBorders>
            <w:vAlign w:val="center"/>
          </w:tcPr>
          <w:p w14:paraId="46A80C8F">
            <w:pPr>
              <w:pStyle w:val="32"/>
              <w:spacing w:after="0" w:line="360" w:lineRule="exact"/>
              <w:ind w:left="0" w:leftChars="0" w:firstLine="0" w:firstLine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R2</w:t>
            </w:r>
          </w:p>
        </w:tc>
      </w:tr>
      <w:tr w14:paraId="31C12E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61" w:type="dxa"/>
            <w:tcBorders>
              <w:tl2br w:val="nil"/>
              <w:tr2bl w:val="nil"/>
            </w:tcBorders>
            <w:vAlign w:val="center"/>
          </w:tcPr>
          <w:p w14:paraId="0ECA0095">
            <w:pPr>
              <w:pStyle w:val="32"/>
              <w:spacing w:after="0" w:line="360" w:lineRule="exact"/>
              <w:ind w:left="0" w:leftChars="0" w:firstLine="0" w:firstLine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kern w:val="0"/>
                <w:szCs w:val="21"/>
                <w:highlight w:val="none"/>
              </w:rPr>
              <w:t>D</w:t>
            </w:r>
            <w:r>
              <w:rPr>
                <w:rFonts w:hint="default" w:ascii="Times New Roman" w:hAnsi="Times New Roman" w:cs="Times New Roman"/>
                <w:bCs/>
                <w:color w:val="auto"/>
                <w:kern w:val="0"/>
                <w:szCs w:val="21"/>
                <w:highlight w:val="none"/>
                <w:vertAlign w:val="subscript"/>
              </w:rPr>
              <w:t>R</w:t>
            </w:r>
            <w:r>
              <w:rPr>
                <w:rFonts w:hint="default" w:ascii="Times New Roman" w:hAnsi="Times New Roman" w:cs="Times New Roman"/>
                <w:bCs/>
                <w:color w:val="auto"/>
                <w:kern w:val="0"/>
                <w:szCs w:val="21"/>
                <w:highlight w:val="none"/>
              </w:rPr>
              <w:t>≦30</w:t>
            </w:r>
          </w:p>
        </w:tc>
        <w:tc>
          <w:tcPr>
            <w:tcW w:w="4261" w:type="dxa"/>
            <w:tcBorders>
              <w:tl2br w:val="nil"/>
              <w:tr2bl w:val="nil"/>
            </w:tcBorders>
            <w:vAlign w:val="center"/>
          </w:tcPr>
          <w:p w14:paraId="70EDC022">
            <w:pPr>
              <w:pStyle w:val="32"/>
              <w:spacing w:after="0" w:line="360" w:lineRule="exact"/>
              <w:ind w:left="0" w:leftChars="0" w:firstLine="0" w:firstLineChars="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R3</w:t>
            </w:r>
          </w:p>
        </w:tc>
      </w:tr>
    </w:tbl>
    <w:p w14:paraId="7BED8F6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根据《尾矿库环境风险评估技术导则（试行）》（HJ740-2015）附录D中各指标评分方法，本项目尾矿库得出总</w:t>
      </w:r>
      <w:r>
        <w:rPr>
          <w:rFonts w:hint="eastAsia" w:cs="Times New Roman"/>
          <w:color w:val="auto"/>
          <w:highlight w:val="none"/>
          <w:lang w:eastAsia="zh-CN"/>
        </w:rPr>
        <w:t>得分</w:t>
      </w:r>
      <w:r>
        <w:rPr>
          <w:rFonts w:hint="default" w:ascii="Times New Roman" w:hAnsi="Times New Roman" w:cs="Times New Roman"/>
          <w:color w:val="auto"/>
          <w:highlight w:val="none"/>
        </w:rPr>
        <w:t>为</w:t>
      </w:r>
      <w:r>
        <w:rPr>
          <w:rFonts w:hint="default" w:ascii="Times New Roman" w:hAnsi="Times New Roman" w:cs="Times New Roman"/>
          <w:color w:val="auto"/>
          <w:highlight w:val="none"/>
          <w:lang w:val="en-US" w:eastAsia="zh-CN"/>
        </w:rPr>
        <w:t>7.5</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根据表5.3-10，控制机制可靠性等别均为R3。</w:t>
      </w:r>
    </w:p>
    <w:p w14:paraId="3198ADB2">
      <w:pPr>
        <w:overflowPunct w:val="0"/>
        <w:topLinePunct/>
        <w:ind w:firstLine="480"/>
        <w:rPr>
          <w:rFonts w:hint="default" w:ascii="Times New Roman" w:hAnsi="Times New Roman" w:cs="Times New Roman"/>
          <w:color w:val="auto"/>
          <w:szCs w:val="21"/>
          <w:highlight w:val="none"/>
          <w:lang w:val="zh-CN" w:bidi="ar"/>
        </w:rPr>
      </w:pPr>
      <w:r>
        <w:rPr>
          <w:rFonts w:hint="default" w:ascii="Times New Roman" w:hAnsi="Times New Roman" w:cs="Times New Roman"/>
          <w:color w:val="auto"/>
          <w:szCs w:val="21"/>
          <w:highlight w:val="none"/>
          <w:lang w:val="zh-CN" w:bidi="ar"/>
        </w:rPr>
        <w:t>结合尾矿库环境危害性（</w:t>
      </w:r>
      <w:r>
        <w:rPr>
          <w:rFonts w:hint="default" w:ascii="Times New Roman" w:hAnsi="Times New Roman" w:cs="Times New Roman"/>
          <w:color w:val="auto"/>
          <w:szCs w:val="21"/>
          <w:highlight w:val="none"/>
          <w:lang w:bidi="ar"/>
        </w:rPr>
        <w:t>H</w:t>
      </w:r>
      <w:r>
        <w:rPr>
          <w:rFonts w:hint="default" w:ascii="Times New Roman" w:hAnsi="Times New Roman" w:cs="Times New Roman"/>
          <w:color w:val="auto"/>
          <w:szCs w:val="21"/>
          <w:highlight w:val="none"/>
          <w:lang w:val="zh-CN" w:bidi="ar"/>
        </w:rPr>
        <w:t>）、周边环境敏感性（</w:t>
      </w:r>
      <w:r>
        <w:rPr>
          <w:rFonts w:hint="default" w:ascii="Times New Roman" w:hAnsi="Times New Roman" w:cs="Times New Roman"/>
          <w:color w:val="auto"/>
          <w:szCs w:val="21"/>
          <w:highlight w:val="none"/>
          <w:lang w:bidi="ar"/>
        </w:rPr>
        <w:t>S</w:t>
      </w:r>
      <w:r>
        <w:rPr>
          <w:rFonts w:hint="default" w:ascii="Times New Roman" w:hAnsi="Times New Roman" w:cs="Times New Roman"/>
          <w:color w:val="auto"/>
          <w:szCs w:val="21"/>
          <w:highlight w:val="none"/>
          <w:lang w:val="zh-CN" w:bidi="ar"/>
        </w:rPr>
        <w:t>）、控制机制可靠性（</w:t>
      </w:r>
      <w:r>
        <w:rPr>
          <w:rFonts w:hint="default" w:ascii="Times New Roman" w:hAnsi="Times New Roman" w:cs="Times New Roman"/>
          <w:color w:val="auto"/>
          <w:szCs w:val="21"/>
          <w:highlight w:val="none"/>
          <w:lang w:bidi="ar"/>
        </w:rPr>
        <w:t>R</w:t>
      </w:r>
      <w:r>
        <w:rPr>
          <w:rFonts w:hint="default" w:ascii="Times New Roman" w:hAnsi="Times New Roman" w:cs="Times New Roman"/>
          <w:color w:val="auto"/>
          <w:szCs w:val="21"/>
          <w:highlight w:val="none"/>
          <w:lang w:val="zh-CN" w:bidi="ar"/>
        </w:rPr>
        <w:t>）三方面的等别，对照尾矿库环境风险等级划分矩阵，将尾矿库环境风险划分为重大、较大、一般三个等级，见表</w:t>
      </w:r>
      <w:r>
        <w:rPr>
          <w:rFonts w:hint="default" w:ascii="Times New Roman" w:hAnsi="Times New Roman" w:cs="Times New Roman"/>
          <w:color w:val="auto"/>
          <w:szCs w:val="21"/>
          <w:highlight w:val="none"/>
          <w:lang w:bidi="ar"/>
        </w:rPr>
        <w:t>5.3-11</w:t>
      </w:r>
      <w:r>
        <w:rPr>
          <w:rFonts w:hint="default" w:ascii="Times New Roman" w:hAnsi="Times New Roman" w:cs="Times New Roman"/>
          <w:color w:val="auto"/>
          <w:szCs w:val="21"/>
          <w:highlight w:val="none"/>
          <w:lang w:val="zh-CN" w:bidi="ar"/>
        </w:rPr>
        <w:t>。</w:t>
      </w:r>
    </w:p>
    <w:p w14:paraId="30519E4A">
      <w:pPr>
        <w:ind w:firstLine="0" w:firstLineChars="0"/>
        <w:jc w:val="center"/>
        <w:rPr>
          <w:rFonts w:hint="default" w:ascii="Times New Roman" w:hAnsi="Times New Roman" w:cs="Times New Roman"/>
          <w:color w:val="auto"/>
          <w:highlight w:val="none"/>
        </w:rPr>
      </w:pPr>
      <w:r>
        <w:rPr>
          <w:rFonts w:hint="default" w:ascii="Times New Roman" w:hAnsi="Times New Roman" w:cs="Times New Roman"/>
          <w:b/>
          <w:color w:val="auto"/>
          <w:szCs w:val="21"/>
          <w:highlight w:val="none"/>
          <w:lang w:val="zh-CN" w:bidi="ar"/>
        </w:rPr>
        <w:t>表</w:t>
      </w:r>
      <w:r>
        <w:rPr>
          <w:rFonts w:hint="default" w:ascii="Times New Roman" w:hAnsi="Times New Roman" w:cs="Times New Roman"/>
          <w:b/>
          <w:color w:val="auto"/>
          <w:szCs w:val="21"/>
          <w:highlight w:val="none"/>
          <w:lang w:bidi="ar"/>
        </w:rPr>
        <w:t>5.3-11    尾矿库环境风险等级划分矩阵</w:t>
      </w:r>
    </w:p>
    <w:tbl>
      <w:tblPr>
        <w:tblStyle w:val="33"/>
        <w:tblW w:w="8517"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Layout w:type="fixed"/>
        <w:tblCellMar>
          <w:top w:w="0" w:type="dxa"/>
          <w:left w:w="108" w:type="dxa"/>
          <w:bottom w:w="0" w:type="dxa"/>
          <w:right w:w="108" w:type="dxa"/>
        </w:tblCellMar>
      </w:tblPr>
      <w:tblGrid>
        <w:gridCol w:w="810"/>
        <w:gridCol w:w="1751"/>
        <w:gridCol w:w="2040"/>
        <w:gridCol w:w="2134"/>
        <w:gridCol w:w="1782"/>
      </w:tblGrid>
      <w:tr w14:paraId="6E136C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blHeader/>
        </w:trPr>
        <w:tc>
          <w:tcPr>
            <w:tcW w:w="810" w:type="dxa"/>
            <w:vMerge w:val="restart"/>
            <w:tcBorders>
              <w:tl2br w:val="nil"/>
              <w:tr2bl w:val="nil"/>
            </w:tcBorders>
            <w:shd w:val="clear" w:color="auto" w:fill="auto"/>
            <w:vAlign w:val="center"/>
          </w:tcPr>
          <w:p w14:paraId="695AE756">
            <w:pPr>
              <w:overflowPunct w:val="0"/>
              <w:spacing w:line="360" w:lineRule="exact"/>
              <w:ind w:firstLine="0" w:firstLineChars="0"/>
              <w:jc w:val="center"/>
              <w:rPr>
                <w:rFonts w:hint="default" w:ascii="Times New Roman" w:hAnsi="Times New Roman" w:cs="Times New Roman"/>
                <w:b/>
                <w:color w:val="auto"/>
                <w:kern w:val="18"/>
                <w:sz w:val="21"/>
                <w:szCs w:val="21"/>
                <w:highlight w:val="none"/>
              </w:rPr>
            </w:pPr>
            <w:r>
              <w:rPr>
                <w:rFonts w:hint="default" w:ascii="Times New Roman" w:hAnsi="Times New Roman" w:cs="Times New Roman"/>
                <w:b/>
                <w:color w:val="auto"/>
                <w:kern w:val="18"/>
                <w:sz w:val="21"/>
                <w:szCs w:val="21"/>
                <w:highlight w:val="none"/>
                <w:lang w:bidi="ar"/>
              </w:rPr>
              <w:t>序号</w:t>
            </w:r>
          </w:p>
        </w:tc>
        <w:tc>
          <w:tcPr>
            <w:tcW w:w="5925" w:type="dxa"/>
            <w:gridSpan w:val="3"/>
            <w:tcBorders>
              <w:tl2br w:val="nil"/>
              <w:tr2bl w:val="nil"/>
            </w:tcBorders>
            <w:shd w:val="clear" w:color="auto" w:fill="auto"/>
            <w:vAlign w:val="center"/>
          </w:tcPr>
          <w:p w14:paraId="4487833E">
            <w:pPr>
              <w:overflowPunct w:val="0"/>
              <w:spacing w:line="360" w:lineRule="exact"/>
              <w:ind w:firstLine="0" w:firstLineChars="0"/>
              <w:jc w:val="center"/>
              <w:rPr>
                <w:rFonts w:hint="default" w:ascii="Times New Roman" w:hAnsi="Times New Roman" w:cs="Times New Roman"/>
                <w:b/>
                <w:color w:val="auto"/>
                <w:kern w:val="18"/>
                <w:sz w:val="21"/>
                <w:szCs w:val="21"/>
                <w:highlight w:val="none"/>
              </w:rPr>
            </w:pPr>
            <w:r>
              <w:rPr>
                <w:rFonts w:hint="default" w:ascii="Times New Roman" w:hAnsi="Times New Roman" w:cs="Times New Roman"/>
                <w:b/>
                <w:color w:val="auto"/>
                <w:kern w:val="18"/>
                <w:sz w:val="21"/>
                <w:szCs w:val="21"/>
                <w:highlight w:val="none"/>
                <w:lang w:bidi="ar"/>
              </w:rPr>
              <w:t>情形</w:t>
            </w:r>
          </w:p>
        </w:tc>
        <w:tc>
          <w:tcPr>
            <w:tcW w:w="1782" w:type="dxa"/>
            <w:vMerge w:val="restart"/>
            <w:tcBorders>
              <w:tl2br w:val="nil"/>
              <w:tr2bl w:val="nil"/>
            </w:tcBorders>
            <w:shd w:val="clear" w:color="auto" w:fill="auto"/>
            <w:vAlign w:val="center"/>
          </w:tcPr>
          <w:p w14:paraId="7F8EF8BC">
            <w:pPr>
              <w:overflowPunct w:val="0"/>
              <w:spacing w:line="360" w:lineRule="exact"/>
              <w:ind w:firstLine="0" w:firstLineChars="0"/>
              <w:jc w:val="center"/>
              <w:rPr>
                <w:rFonts w:hint="default" w:ascii="Times New Roman" w:hAnsi="Times New Roman" w:cs="Times New Roman"/>
                <w:b/>
                <w:color w:val="auto"/>
                <w:kern w:val="18"/>
                <w:sz w:val="21"/>
                <w:szCs w:val="21"/>
                <w:highlight w:val="none"/>
              </w:rPr>
            </w:pPr>
            <w:r>
              <w:rPr>
                <w:rFonts w:hint="default" w:ascii="Times New Roman" w:hAnsi="Times New Roman" w:cs="Times New Roman"/>
                <w:b/>
                <w:color w:val="auto"/>
                <w:kern w:val="18"/>
                <w:sz w:val="21"/>
                <w:szCs w:val="21"/>
                <w:highlight w:val="none"/>
                <w:lang w:bidi="ar"/>
              </w:rPr>
              <w:t>环境风险</w:t>
            </w:r>
          </w:p>
          <w:p w14:paraId="1641E8C4">
            <w:pPr>
              <w:overflowPunct w:val="0"/>
              <w:spacing w:line="360" w:lineRule="exact"/>
              <w:ind w:firstLine="0" w:firstLineChars="0"/>
              <w:jc w:val="center"/>
              <w:rPr>
                <w:rFonts w:hint="default" w:ascii="Times New Roman" w:hAnsi="Times New Roman" w:cs="Times New Roman"/>
                <w:b/>
                <w:color w:val="auto"/>
                <w:kern w:val="18"/>
                <w:sz w:val="21"/>
                <w:szCs w:val="21"/>
                <w:highlight w:val="none"/>
              </w:rPr>
            </w:pPr>
            <w:r>
              <w:rPr>
                <w:rFonts w:hint="default" w:ascii="Times New Roman" w:hAnsi="Times New Roman" w:cs="Times New Roman"/>
                <w:b/>
                <w:color w:val="auto"/>
                <w:kern w:val="18"/>
                <w:sz w:val="21"/>
                <w:szCs w:val="21"/>
                <w:highlight w:val="none"/>
                <w:lang w:bidi="ar"/>
              </w:rPr>
              <w:t>等级</w:t>
            </w:r>
          </w:p>
        </w:tc>
      </w:tr>
      <w:tr w14:paraId="59B17F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vMerge w:val="continue"/>
            <w:tcBorders>
              <w:tl2br w:val="nil"/>
              <w:tr2bl w:val="nil"/>
            </w:tcBorders>
            <w:shd w:val="clear" w:color="auto" w:fill="auto"/>
            <w:vAlign w:val="center"/>
          </w:tcPr>
          <w:p w14:paraId="0F94A607">
            <w:pPr>
              <w:ind w:firstLine="400"/>
              <w:rPr>
                <w:rFonts w:hint="default" w:ascii="Times New Roman" w:hAnsi="Times New Roman" w:cs="Times New Roman"/>
                <w:color w:val="auto"/>
                <w:sz w:val="20"/>
                <w:szCs w:val="20"/>
                <w:highlight w:val="none"/>
              </w:rPr>
            </w:pPr>
          </w:p>
        </w:tc>
        <w:tc>
          <w:tcPr>
            <w:tcW w:w="1751" w:type="dxa"/>
            <w:tcBorders>
              <w:tl2br w:val="nil"/>
              <w:tr2bl w:val="nil"/>
            </w:tcBorders>
            <w:shd w:val="clear" w:color="auto" w:fill="auto"/>
            <w:vAlign w:val="center"/>
          </w:tcPr>
          <w:p w14:paraId="4015ACF5">
            <w:pPr>
              <w:adjustRightInd w:val="0"/>
              <w:spacing w:line="360" w:lineRule="exact"/>
              <w:ind w:firstLine="0" w:firstLineChars="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lang w:bidi="ar"/>
              </w:rPr>
              <w:t>环境危害性（H）</w:t>
            </w:r>
          </w:p>
        </w:tc>
        <w:tc>
          <w:tcPr>
            <w:tcW w:w="2040" w:type="dxa"/>
            <w:tcBorders>
              <w:tl2br w:val="nil"/>
              <w:tr2bl w:val="nil"/>
            </w:tcBorders>
            <w:shd w:val="clear" w:color="auto" w:fill="auto"/>
            <w:vAlign w:val="center"/>
          </w:tcPr>
          <w:p w14:paraId="720AB5F1">
            <w:pPr>
              <w:adjustRightInd w:val="0"/>
              <w:spacing w:line="360" w:lineRule="exact"/>
              <w:ind w:firstLine="0" w:firstLineChars="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lang w:bidi="ar"/>
              </w:rPr>
              <w:t>周边环境敏感性（S）</w:t>
            </w:r>
          </w:p>
        </w:tc>
        <w:tc>
          <w:tcPr>
            <w:tcW w:w="2134" w:type="dxa"/>
            <w:tcBorders>
              <w:tl2br w:val="nil"/>
              <w:tr2bl w:val="nil"/>
            </w:tcBorders>
            <w:shd w:val="clear" w:color="auto" w:fill="auto"/>
            <w:vAlign w:val="center"/>
          </w:tcPr>
          <w:p w14:paraId="072A8E55">
            <w:pPr>
              <w:adjustRightInd w:val="0"/>
              <w:spacing w:line="360" w:lineRule="exact"/>
              <w:ind w:firstLine="0" w:firstLineChars="0"/>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lang w:bidi="ar"/>
              </w:rPr>
              <w:t>控制机制可靠性（R）</w:t>
            </w:r>
          </w:p>
        </w:tc>
        <w:tc>
          <w:tcPr>
            <w:tcW w:w="1782" w:type="dxa"/>
            <w:vMerge w:val="continue"/>
            <w:tcBorders>
              <w:tl2br w:val="nil"/>
              <w:tr2bl w:val="nil"/>
            </w:tcBorders>
            <w:shd w:val="clear" w:color="auto" w:fill="auto"/>
            <w:vAlign w:val="center"/>
          </w:tcPr>
          <w:p w14:paraId="6D0521EB">
            <w:pPr>
              <w:ind w:firstLine="400"/>
              <w:rPr>
                <w:rFonts w:hint="default" w:ascii="Times New Roman" w:hAnsi="Times New Roman" w:cs="Times New Roman"/>
                <w:color w:val="auto"/>
                <w:sz w:val="20"/>
                <w:szCs w:val="20"/>
                <w:highlight w:val="none"/>
              </w:rPr>
            </w:pPr>
          </w:p>
        </w:tc>
      </w:tr>
      <w:tr w14:paraId="2657A3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7E7A000F">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1</w:t>
            </w:r>
          </w:p>
        </w:tc>
        <w:tc>
          <w:tcPr>
            <w:tcW w:w="1751" w:type="dxa"/>
            <w:vMerge w:val="restart"/>
            <w:tcBorders>
              <w:tl2br w:val="nil"/>
              <w:tr2bl w:val="nil"/>
            </w:tcBorders>
            <w:shd w:val="clear" w:color="auto" w:fill="auto"/>
            <w:vAlign w:val="center"/>
          </w:tcPr>
          <w:p w14:paraId="03E71902">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H1</w:t>
            </w:r>
          </w:p>
        </w:tc>
        <w:tc>
          <w:tcPr>
            <w:tcW w:w="2040" w:type="dxa"/>
            <w:vMerge w:val="restart"/>
            <w:tcBorders>
              <w:tl2br w:val="nil"/>
              <w:tr2bl w:val="nil"/>
            </w:tcBorders>
            <w:shd w:val="clear" w:color="auto" w:fill="auto"/>
            <w:vAlign w:val="center"/>
          </w:tcPr>
          <w:p w14:paraId="143D136F">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S1</w:t>
            </w:r>
          </w:p>
        </w:tc>
        <w:tc>
          <w:tcPr>
            <w:tcW w:w="2134" w:type="dxa"/>
            <w:tcBorders>
              <w:tl2br w:val="nil"/>
              <w:tr2bl w:val="nil"/>
            </w:tcBorders>
            <w:shd w:val="clear" w:color="auto" w:fill="auto"/>
            <w:vAlign w:val="center"/>
          </w:tcPr>
          <w:p w14:paraId="0334E0CD">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R1</w:t>
            </w:r>
          </w:p>
        </w:tc>
        <w:tc>
          <w:tcPr>
            <w:tcW w:w="1782" w:type="dxa"/>
            <w:tcBorders>
              <w:tl2br w:val="nil"/>
              <w:tr2bl w:val="nil"/>
            </w:tcBorders>
            <w:shd w:val="clear" w:color="auto" w:fill="auto"/>
            <w:vAlign w:val="center"/>
          </w:tcPr>
          <w:p w14:paraId="43E4997B">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重大</w:t>
            </w:r>
          </w:p>
        </w:tc>
      </w:tr>
      <w:tr w14:paraId="66059E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0A6C4579">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2</w:t>
            </w:r>
          </w:p>
        </w:tc>
        <w:tc>
          <w:tcPr>
            <w:tcW w:w="1751" w:type="dxa"/>
            <w:vMerge w:val="continue"/>
            <w:tcBorders>
              <w:tl2br w:val="nil"/>
              <w:tr2bl w:val="nil"/>
            </w:tcBorders>
            <w:shd w:val="clear" w:color="auto" w:fill="auto"/>
            <w:vAlign w:val="center"/>
          </w:tcPr>
          <w:p w14:paraId="09A86AB4">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6BF18778">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38BE0EC6">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R2</w:t>
            </w:r>
          </w:p>
        </w:tc>
        <w:tc>
          <w:tcPr>
            <w:tcW w:w="1782" w:type="dxa"/>
            <w:tcBorders>
              <w:tl2br w:val="nil"/>
              <w:tr2bl w:val="nil"/>
            </w:tcBorders>
            <w:shd w:val="clear" w:color="auto" w:fill="auto"/>
            <w:vAlign w:val="center"/>
          </w:tcPr>
          <w:p w14:paraId="12E840FF">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重大</w:t>
            </w:r>
          </w:p>
        </w:tc>
      </w:tr>
      <w:tr w14:paraId="143544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7D43DA07">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3</w:t>
            </w:r>
          </w:p>
        </w:tc>
        <w:tc>
          <w:tcPr>
            <w:tcW w:w="1751" w:type="dxa"/>
            <w:vMerge w:val="continue"/>
            <w:tcBorders>
              <w:tl2br w:val="nil"/>
              <w:tr2bl w:val="nil"/>
            </w:tcBorders>
            <w:shd w:val="clear" w:color="auto" w:fill="auto"/>
            <w:vAlign w:val="center"/>
          </w:tcPr>
          <w:p w14:paraId="5FF6AA64">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08B671A2">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140707FE">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R3</w:t>
            </w:r>
          </w:p>
        </w:tc>
        <w:tc>
          <w:tcPr>
            <w:tcW w:w="1782" w:type="dxa"/>
            <w:tcBorders>
              <w:tl2br w:val="nil"/>
              <w:tr2bl w:val="nil"/>
            </w:tcBorders>
            <w:shd w:val="clear" w:color="auto" w:fill="auto"/>
            <w:vAlign w:val="center"/>
          </w:tcPr>
          <w:p w14:paraId="051490EC">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较大</w:t>
            </w:r>
          </w:p>
        </w:tc>
      </w:tr>
      <w:tr w14:paraId="05A18C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68245C56">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4</w:t>
            </w:r>
          </w:p>
        </w:tc>
        <w:tc>
          <w:tcPr>
            <w:tcW w:w="1751" w:type="dxa"/>
            <w:vMerge w:val="continue"/>
            <w:tcBorders>
              <w:tl2br w:val="nil"/>
              <w:tr2bl w:val="nil"/>
            </w:tcBorders>
            <w:shd w:val="clear" w:color="auto" w:fill="auto"/>
            <w:vAlign w:val="center"/>
          </w:tcPr>
          <w:p w14:paraId="55774CD1">
            <w:pPr>
              <w:ind w:firstLine="400"/>
              <w:rPr>
                <w:rFonts w:hint="default" w:ascii="Times New Roman" w:hAnsi="Times New Roman" w:cs="Times New Roman"/>
                <w:color w:val="auto"/>
                <w:sz w:val="20"/>
                <w:szCs w:val="20"/>
                <w:highlight w:val="none"/>
              </w:rPr>
            </w:pPr>
          </w:p>
        </w:tc>
        <w:tc>
          <w:tcPr>
            <w:tcW w:w="2040" w:type="dxa"/>
            <w:vMerge w:val="restart"/>
            <w:tcBorders>
              <w:tl2br w:val="nil"/>
              <w:tr2bl w:val="nil"/>
            </w:tcBorders>
            <w:shd w:val="clear" w:color="auto" w:fill="auto"/>
            <w:vAlign w:val="center"/>
          </w:tcPr>
          <w:p w14:paraId="31FAB768">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S2</w:t>
            </w:r>
          </w:p>
        </w:tc>
        <w:tc>
          <w:tcPr>
            <w:tcW w:w="2134" w:type="dxa"/>
            <w:tcBorders>
              <w:tl2br w:val="nil"/>
              <w:tr2bl w:val="nil"/>
            </w:tcBorders>
            <w:shd w:val="clear" w:color="auto" w:fill="auto"/>
            <w:vAlign w:val="center"/>
          </w:tcPr>
          <w:p w14:paraId="6B3627F4">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R1</w:t>
            </w:r>
          </w:p>
        </w:tc>
        <w:tc>
          <w:tcPr>
            <w:tcW w:w="1782" w:type="dxa"/>
            <w:tcBorders>
              <w:tl2br w:val="nil"/>
              <w:tr2bl w:val="nil"/>
            </w:tcBorders>
            <w:shd w:val="clear" w:color="auto" w:fill="auto"/>
            <w:vAlign w:val="center"/>
          </w:tcPr>
          <w:p w14:paraId="212F788A">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重大</w:t>
            </w:r>
          </w:p>
        </w:tc>
      </w:tr>
      <w:tr w14:paraId="1B3F44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48E361CE">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5</w:t>
            </w:r>
          </w:p>
        </w:tc>
        <w:tc>
          <w:tcPr>
            <w:tcW w:w="1751" w:type="dxa"/>
            <w:vMerge w:val="continue"/>
            <w:tcBorders>
              <w:tl2br w:val="nil"/>
              <w:tr2bl w:val="nil"/>
            </w:tcBorders>
            <w:shd w:val="clear" w:color="auto" w:fill="auto"/>
            <w:vAlign w:val="center"/>
          </w:tcPr>
          <w:p w14:paraId="7DE16277">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2D7E8BC2">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510F0355">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R2</w:t>
            </w:r>
          </w:p>
        </w:tc>
        <w:tc>
          <w:tcPr>
            <w:tcW w:w="1782" w:type="dxa"/>
            <w:tcBorders>
              <w:tl2br w:val="nil"/>
              <w:tr2bl w:val="nil"/>
            </w:tcBorders>
            <w:shd w:val="clear" w:color="auto" w:fill="auto"/>
            <w:vAlign w:val="center"/>
          </w:tcPr>
          <w:p w14:paraId="4AC31408">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较大</w:t>
            </w:r>
          </w:p>
        </w:tc>
      </w:tr>
      <w:tr w14:paraId="2C94AC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2795B5AE">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6</w:t>
            </w:r>
          </w:p>
        </w:tc>
        <w:tc>
          <w:tcPr>
            <w:tcW w:w="1751" w:type="dxa"/>
            <w:vMerge w:val="continue"/>
            <w:tcBorders>
              <w:tl2br w:val="nil"/>
              <w:tr2bl w:val="nil"/>
            </w:tcBorders>
            <w:shd w:val="clear" w:color="auto" w:fill="auto"/>
            <w:vAlign w:val="center"/>
          </w:tcPr>
          <w:p w14:paraId="50E79437">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5AEB4A84">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671B54EE">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R3</w:t>
            </w:r>
          </w:p>
        </w:tc>
        <w:tc>
          <w:tcPr>
            <w:tcW w:w="1782" w:type="dxa"/>
            <w:tcBorders>
              <w:tl2br w:val="nil"/>
              <w:tr2bl w:val="nil"/>
            </w:tcBorders>
            <w:shd w:val="clear" w:color="auto" w:fill="auto"/>
            <w:vAlign w:val="center"/>
          </w:tcPr>
          <w:p w14:paraId="6111A001">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较大</w:t>
            </w:r>
          </w:p>
        </w:tc>
      </w:tr>
      <w:tr w14:paraId="06BBAB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090FE0FE">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7</w:t>
            </w:r>
          </w:p>
        </w:tc>
        <w:tc>
          <w:tcPr>
            <w:tcW w:w="1751" w:type="dxa"/>
            <w:vMerge w:val="continue"/>
            <w:tcBorders>
              <w:tl2br w:val="nil"/>
              <w:tr2bl w:val="nil"/>
            </w:tcBorders>
            <w:shd w:val="clear" w:color="auto" w:fill="auto"/>
            <w:vAlign w:val="center"/>
          </w:tcPr>
          <w:p w14:paraId="3FE4695A">
            <w:pPr>
              <w:ind w:firstLine="400"/>
              <w:rPr>
                <w:rFonts w:hint="default" w:ascii="Times New Roman" w:hAnsi="Times New Roman" w:cs="Times New Roman"/>
                <w:color w:val="auto"/>
                <w:sz w:val="20"/>
                <w:szCs w:val="20"/>
                <w:highlight w:val="none"/>
              </w:rPr>
            </w:pPr>
          </w:p>
        </w:tc>
        <w:tc>
          <w:tcPr>
            <w:tcW w:w="2040" w:type="dxa"/>
            <w:vMerge w:val="restart"/>
            <w:tcBorders>
              <w:tl2br w:val="nil"/>
              <w:tr2bl w:val="nil"/>
            </w:tcBorders>
            <w:shd w:val="clear" w:color="auto" w:fill="auto"/>
            <w:vAlign w:val="center"/>
          </w:tcPr>
          <w:p w14:paraId="3454FD78">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S3</w:t>
            </w:r>
          </w:p>
        </w:tc>
        <w:tc>
          <w:tcPr>
            <w:tcW w:w="2134" w:type="dxa"/>
            <w:tcBorders>
              <w:tl2br w:val="nil"/>
              <w:tr2bl w:val="nil"/>
            </w:tcBorders>
            <w:shd w:val="clear" w:color="auto" w:fill="auto"/>
            <w:vAlign w:val="center"/>
          </w:tcPr>
          <w:p w14:paraId="308E8F5F">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R1</w:t>
            </w:r>
          </w:p>
        </w:tc>
        <w:tc>
          <w:tcPr>
            <w:tcW w:w="1782" w:type="dxa"/>
            <w:tcBorders>
              <w:tl2br w:val="nil"/>
              <w:tr2bl w:val="nil"/>
            </w:tcBorders>
            <w:shd w:val="clear" w:color="auto" w:fill="auto"/>
            <w:vAlign w:val="center"/>
          </w:tcPr>
          <w:p w14:paraId="38FA5255">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重大</w:t>
            </w:r>
          </w:p>
        </w:tc>
      </w:tr>
      <w:tr w14:paraId="1BAA59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7983950A">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8</w:t>
            </w:r>
          </w:p>
        </w:tc>
        <w:tc>
          <w:tcPr>
            <w:tcW w:w="1751" w:type="dxa"/>
            <w:vMerge w:val="continue"/>
            <w:tcBorders>
              <w:tl2br w:val="nil"/>
              <w:tr2bl w:val="nil"/>
            </w:tcBorders>
            <w:shd w:val="clear" w:color="auto" w:fill="auto"/>
            <w:vAlign w:val="center"/>
          </w:tcPr>
          <w:p w14:paraId="4B1D8C00">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2698BE21">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306A64FD">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R2</w:t>
            </w:r>
          </w:p>
        </w:tc>
        <w:tc>
          <w:tcPr>
            <w:tcW w:w="1782" w:type="dxa"/>
            <w:tcBorders>
              <w:tl2br w:val="nil"/>
              <w:tr2bl w:val="nil"/>
            </w:tcBorders>
            <w:shd w:val="clear" w:color="auto" w:fill="auto"/>
            <w:vAlign w:val="center"/>
          </w:tcPr>
          <w:p w14:paraId="70EBD3FD">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较大</w:t>
            </w:r>
          </w:p>
        </w:tc>
      </w:tr>
      <w:tr w14:paraId="58ABE4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403CB194">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9</w:t>
            </w:r>
          </w:p>
        </w:tc>
        <w:tc>
          <w:tcPr>
            <w:tcW w:w="1751" w:type="dxa"/>
            <w:vMerge w:val="continue"/>
            <w:tcBorders>
              <w:tl2br w:val="nil"/>
              <w:tr2bl w:val="nil"/>
            </w:tcBorders>
            <w:shd w:val="clear" w:color="auto" w:fill="auto"/>
            <w:vAlign w:val="center"/>
          </w:tcPr>
          <w:p w14:paraId="5A27BDE9">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65572A8C">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6D9FE2AC">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R3</w:t>
            </w:r>
          </w:p>
        </w:tc>
        <w:tc>
          <w:tcPr>
            <w:tcW w:w="1782" w:type="dxa"/>
            <w:tcBorders>
              <w:tl2br w:val="nil"/>
              <w:tr2bl w:val="nil"/>
            </w:tcBorders>
            <w:shd w:val="clear" w:color="auto" w:fill="auto"/>
            <w:vAlign w:val="center"/>
          </w:tcPr>
          <w:p w14:paraId="682D767B">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一般</w:t>
            </w:r>
          </w:p>
        </w:tc>
      </w:tr>
      <w:tr w14:paraId="60B097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76466B28">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10</w:t>
            </w:r>
          </w:p>
        </w:tc>
        <w:tc>
          <w:tcPr>
            <w:tcW w:w="1751" w:type="dxa"/>
            <w:vMerge w:val="restart"/>
            <w:tcBorders>
              <w:tl2br w:val="nil"/>
              <w:tr2bl w:val="nil"/>
            </w:tcBorders>
            <w:shd w:val="clear" w:color="auto" w:fill="auto"/>
            <w:vAlign w:val="center"/>
          </w:tcPr>
          <w:p w14:paraId="394DE45A">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H2</w:t>
            </w:r>
          </w:p>
        </w:tc>
        <w:tc>
          <w:tcPr>
            <w:tcW w:w="2040" w:type="dxa"/>
            <w:vMerge w:val="restart"/>
            <w:tcBorders>
              <w:tl2br w:val="nil"/>
              <w:tr2bl w:val="nil"/>
            </w:tcBorders>
            <w:shd w:val="clear" w:color="auto" w:fill="auto"/>
            <w:vAlign w:val="center"/>
          </w:tcPr>
          <w:p w14:paraId="6184F6F7">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S1</w:t>
            </w:r>
          </w:p>
        </w:tc>
        <w:tc>
          <w:tcPr>
            <w:tcW w:w="2134" w:type="dxa"/>
            <w:tcBorders>
              <w:tl2br w:val="nil"/>
              <w:tr2bl w:val="nil"/>
            </w:tcBorders>
            <w:shd w:val="clear" w:color="auto" w:fill="auto"/>
            <w:vAlign w:val="center"/>
          </w:tcPr>
          <w:p w14:paraId="03703655">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R1</w:t>
            </w:r>
          </w:p>
        </w:tc>
        <w:tc>
          <w:tcPr>
            <w:tcW w:w="1782" w:type="dxa"/>
            <w:tcBorders>
              <w:tl2br w:val="nil"/>
              <w:tr2bl w:val="nil"/>
            </w:tcBorders>
            <w:shd w:val="clear" w:color="auto" w:fill="auto"/>
            <w:vAlign w:val="center"/>
          </w:tcPr>
          <w:p w14:paraId="7574C26C">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重大</w:t>
            </w:r>
          </w:p>
        </w:tc>
      </w:tr>
      <w:tr w14:paraId="7E94B3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535A2010">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11</w:t>
            </w:r>
          </w:p>
        </w:tc>
        <w:tc>
          <w:tcPr>
            <w:tcW w:w="1751" w:type="dxa"/>
            <w:vMerge w:val="continue"/>
            <w:tcBorders>
              <w:tl2br w:val="nil"/>
              <w:tr2bl w:val="nil"/>
            </w:tcBorders>
            <w:shd w:val="clear" w:color="auto" w:fill="auto"/>
            <w:vAlign w:val="center"/>
          </w:tcPr>
          <w:p w14:paraId="43670647">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56CDB760">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40F045CE">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R2</w:t>
            </w:r>
          </w:p>
        </w:tc>
        <w:tc>
          <w:tcPr>
            <w:tcW w:w="1782" w:type="dxa"/>
            <w:tcBorders>
              <w:tl2br w:val="nil"/>
              <w:tr2bl w:val="nil"/>
            </w:tcBorders>
            <w:shd w:val="clear" w:color="auto" w:fill="auto"/>
            <w:vAlign w:val="center"/>
          </w:tcPr>
          <w:p w14:paraId="799AC3ED">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较大</w:t>
            </w:r>
          </w:p>
        </w:tc>
      </w:tr>
      <w:tr w14:paraId="4A0E96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7C7E76A0">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12</w:t>
            </w:r>
          </w:p>
        </w:tc>
        <w:tc>
          <w:tcPr>
            <w:tcW w:w="1751" w:type="dxa"/>
            <w:vMerge w:val="continue"/>
            <w:tcBorders>
              <w:tl2br w:val="nil"/>
              <w:tr2bl w:val="nil"/>
            </w:tcBorders>
            <w:shd w:val="clear" w:color="auto" w:fill="auto"/>
            <w:vAlign w:val="center"/>
          </w:tcPr>
          <w:p w14:paraId="339AF01D">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56A5A128">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036417E2">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R3</w:t>
            </w:r>
          </w:p>
        </w:tc>
        <w:tc>
          <w:tcPr>
            <w:tcW w:w="1782" w:type="dxa"/>
            <w:tcBorders>
              <w:tl2br w:val="nil"/>
              <w:tr2bl w:val="nil"/>
            </w:tcBorders>
            <w:shd w:val="clear" w:color="auto" w:fill="auto"/>
            <w:vAlign w:val="center"/>
          </w:tcPr>
          <w:p w14:paraId="654BAFB9">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较大</w:t>
            </w:r>
          </w:p>
        </w:tc>
      </w:tr>
      <w:tr w14:paraId="2FC2AB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4C3D05AC">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13</w:t>
            </w:r>
          </w:p>
        </w:tc>
        <w:tc>
          <w:tcPr>
            <w:tcW w:w="1751" w:type="dxa"/>
            <w:vMerge w:val="continue"/>
            <w:tcBorders>
              <w:tl2br w:val="nil"/>
              <w:tr2bl w:val="nil"/>
            </w:tcBorders>
            <w:shd w:val="clear" w:color="auto" w:fill="auto"/>
            <w:vAlign w:val="center"/>
          </w:tcPr>
          <w:p w14:paraId="6EE04F97">
            <w:pPr>
              <w:ind w:firstLine="400"/>
              <w:rPr>
                <w:rFonts w:hint="default" w:ascii="Times New Roman" w:hAnsi="Times New Roman" w:cs="Times New Roman"/>
                <w:color w:val="auto"/>
                <w:sz w:val="20"/>
                <w:szCs w:val="20"/>
                <w:highlight w:val="none"/>
              </w:rPr>
            </w:pPr>
          </w:p>
        </w:tc>
        <w:tc>
          <w:tcPr>
            <w:tcW w:w="2040" w:type="dxa"/>
            <w:vMerge w:val="restart"/>
            <w:tcBorders>
              <w:tl2br w:val="nil"/>
              <w:tr2bl w:val="nil"/>
            </w:tcBorders>
            <w:shd w:val="clear" w:color="auto" w:fill="auto"/>
            <w:vAlign w:val="center"/>
          </w:tcPr>
          <w:p w14:paraId="2C736357">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S2</w:t>
            </w:r>
          </w:p>
        </w:tc>
        <w:tc>
          <w:tcPr>
            <w:tcW w:w="2134" w:type="dxa"/>
            <w:tcBorders>
              <w:tl2br w:val="nil"/>
              <w:tr2bl w:val="nil"/>
            </w:tcBorders>
            <w:shd w:val="clear" w:color="auto" w:fill="auto"/>
            <w:vAlign w:val="center"/>
          </w:tcPr>
          <w:p w14:paraId="76F2F876">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R1</w:t>
            </w:r>
          </w:p>
        </w:tc>
        <w:tc>
          <w:tcPr>
            <w:tcW w:w="1782" w:type="dxa"/>
            <w:tcBorders>
              <w:tl2br w:val="nil"/>
              <w:tr2bl w:val="nil"/>
            </w:tcBorders>
            <w:shd w:val="clear" w:color="auto" w:fill="auto"/>
            <w:vAlign w:val="center"/>
          </w:tcPr>
          <w:p w14:paraId="1B678945">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较大</w:t>
            </w:r>
          </w:p>
        </w:tc>
      </w:tr>
      <w:tr w14:paraId="08F4AC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5B15200E">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14</w:t>
            </w:r>
          </w:p>
        </w:tc>
        <w:tc>
          <w:tcPr>
            <w:tcW w:w="1751" w:type="dxa"/>
            <w:vMerge w:val="continue"/>
            <w:tcBorders>
              <w:tl2br w:val="nil"/>
              <w:tr2bl w:val="nil"/>
            </w:tcBorders>
            <w:shd w:val="clear" w:color="auto" w:fill="auto"/>
            <w:vAlign w:val="center"/>
          </w:tcPr>
          <w:p w14:paraId="4BEE20FB">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0384A173">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08699CE0">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R2</w:t>
            </w:r>
          </w:p>
        </w:tc>
        <w:tc>
          <w:tcPr>
            <w:tcW w:w="1782" w:type="dxa"/>
            <w:tcBorders>
              <w:tl2br w:val="nil"/>
              <w:tr2bl w:val="nil"/>
            </w:tcBorders>
            <w:shd w:val="clear" w:color="auto" w:fill="auto"/>
            <w:vAlign w:val="center"/>
          </w:tcPr>
          <w:p w14:paraId="2F10C173">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一般</w:t>
            </w:r>
          </w:p>
        </w:tc>
      </w:tr>
      <w:tr w14:paraId="20DAC3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59B2FA28">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15</w:t>
            </w:r>
          </w:p>
        </w:tc>
        <w:tc>
          <w:tcPr>
            <w:tcW w:w="1751" w:type="dxa"/>
            <w:vMerge w:val="continue"/>
            <w:tcBorders>
              <w:tl2br w:val="nil"/>
              <w:tr2bl w:val="nil"/>
            </w:tcBorders>
            <w:shd w:val="clear" w:color="auto" w:fill="auto"/>
            <w:vAlign w:val="center"/>
          </w:tcPr>
          <w:p w14:paraId="53A0F4DC">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545884E3">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47270BB3">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R3</w:t>
            </w:r>
          </w:p>
        </w:tc>
        <w:tc>
          <w:tcPr>
            <w:tcW w:w="1782" w:type="dxa"/>
            <w:tcBorders>
              <w:tl2br w:val="nil"/>
              <w:tr2bl w:val="nil"/>
            </w:tcBorders>
            <w:shd w:val="clear" w:color="auto" w:fill="auto"/>
            <w:vAlign w:val="center"/>
          </w:tcPr>
          <w:p w14:paraId="083CF90E">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一般</w:t>
            </w:r>
          </w:p>
        </w:tc>
      </w:tr>
      <w:tr w14:paraId="18B783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7D032E3F">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16</w:t>
            </w:r>
          </w:p>
        </w:tc>
        <w:tc>
          <w:tcPr>
            <w:tcW w:w="1751" w:type="dxa"/>
            <w:vMerge w:val="continue"/>
            <w:tcBorders>
              <w:tl2br w:val="nil"/>
              <w:tr2bl w:val="nil"/>
            </w:tcBorders>
            <w:shd w:val="clear" w:color="auto" w:fill="auto"/>
            <w:vAlign w:val="center"/>
          </w:tcPr>
          <w:p w14:paraId="0980AAE9">
            <w:pPr>
              <w:ind w:firstLine="400"/>
              <w:rPr>
                <w:rFonts w:hint="default" w:ascii="Times New Roman" w:hAnsi="Times New Roman" w:cs="Times New Roman"/>
                <w:color w:val="auto"/>
                <w:sz w:val="20"/>
                <w:szCs w:val="20"/>
                <w:highlight w:val="none"/>
              </w:rPr>
            </w:pPr>
          </w:p>
        </w:tc>
        <w:tc>
          <w:tcPr>
            <w:tcW w:w="2040" w:type="dxa"/>
            <w:vMerge w:val="restart"/>
            <w:tcBorders>
              <w:tl2br w:val="nil"/>
              <w:tr2bl w:val="nil"/>
            </w:tcBorders>
            <w:shd w:val="clear" w:color="auto" w:fill="auto"/>
            <w:vAlign w:val="center"/>
          </w:tcPr>
          <w:p w14:paraId="4DDD7A9D">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S3</w:t>
            </w:r>
          </w:p>
        </w:tc>
        <w:tc>
          <w:tcPr>
            <w:tcW w:w="2134" w:type="dxa"/>
            <w:tcBorders>
              <w:tl2br w:val="nil"/>
              <w:tr2bl w:val="nil"/>
            </w:tcBorders>
            <w:shd w:val="clear" w:color="auto" w:fill="auto"/>
            <w:vAlign w:val="center"/>
          </w:tcPr>
          <w:p w14:paraId="03E508B3">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R1</w:t>
            </w:r>
          </w:p>
        </w:tc>
        <w:tc>
          <w:tcPr>
            <w:tcW w:w="1782" w:type="dxa"/>
            <w:tcBorders>
              <w:tl2br w:val="nil"/>
              <w:tr2bl w:val="nil"/>
            </w:tcBorders>
            <w:shd w:val="clear" w:color="auto" w:fill="auto"/>
            <w:vAlign w:val="center"/>
          </w:tcPr>
          <w:p w14:paraId="5DC90FF0">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一般</w:t>
            </w:r>
          </w:p>
        </w:tc>
      </w:tr>
      <w:tr w14:paraId="4E3DCE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5FE13B23">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17</w:t>
            </w:r>
          </w:p>
        </w:tc>
        <w:tc>
          <w:tcPr>
            <w:tcW w:w="1751" w:type="dxa"/>
            <w:vMerge w:val="continue"/>
            <w:tcBorders>
              <w:tl2br w:val="nil"/>
              <w:tr2bl w:val="nil"/>
            </w:tcBorders>
            <w:shd w:val="clear" w:color="auto" w:fill="auto"/>
            <w:vAlign w:val="center"/>
          </w:tcPr>
          <w:p w14:paraId="0E9750CA">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0DA4BAB4">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1E2FCB49">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R2</w:t>
            </w:r>
          </w:p>
        </w:tc>
        <w:tc>
          <w:tcPr>
            <w:tcW w:w="1782" w:type="dxa"/>
            <w:tcBorders>
              <w:tl2br w:val="nil"/>
              <w:tr2bl w:val="nil"/>
            </w:tcBorders>
            <w:shd w:val="clear" w:color="auto" w:fill="auto"/>
            <w:vAlign w:val="center"/>
          </w:tcPr>
          <w:p w14:paraId="34DA502E">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一般</w:t>
            </w:r>
          </w:p>
        </w:tc>
      </w:tr>
      <w:tr w14:paraId="0615D1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2E76E5C5">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18</w:t>
            </w:r>
          </w:p>
        </w:tc>
        <w:tc>
          <w:tcPr>
            <w:tcW w:w="1751" w:type="dxa"/>
            <w:vMerge w:val="continue"/>
            <w:tcBorders>
              <w:tl2br w:val="nil"/>
              <w:tr2bl w:val="nil"/>
            </w:tcBorders>
            <w:shd w:val="clear" w:color="auto" w:fill="auto"/>
            <w:vAlign w:val="center"/>
          </w:tcPr>
          <w:p w14:paraId="300E1653">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5A9C73B8">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0B6E35F0">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R3</w:t>
            </w:r>
          </w:p>
        </w:tc>
        <w:tc>
          <w:tcPr>
            <w:tcW w:w="1782" w:type="dxa"/>
            <w:tcBorders>
              <w:tl2br w:val="nil"/>
              <w:tr2bl w:val="nil"/>
            </w:tcBorders>
            <w:shd w:val="clear" w:color="auto" w:fill="auto"/>
            <w:vAlign w:val="center"/>
          </w:tcPr>
          <w:p w14:paraId="3267A421">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一般</w:t>
            </w:r>
          </w:p>
        </w:tc>
      </w:tr>
      <w:tr w14:paraId="6A17CC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391AD928">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19</w:t>
            </w:r>
          </w:p>
        </w:tc>
        <w:tc>
          <w:tcPr>
            <w:tcW w:w="1751" w:type="dxa"/>
            <w:vMerge w:val="restart"/>
            <w:tcBorders>
              <w:tl2br w:val="nil"/>
              <w:tr2bl w:val="nil"/>
            </w:tcBorders>
            <w:shd w:val="clear" w:color="auto" w:fill="auto"/>
            <w:vAlign w:val="center"/>
          </w:tcPr>
          <w:p w14:paraId="114FE43E">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H3</w:t>
            </w:r>
          </w:p>
        </w:tc>
        <w:tc>
          <w:tcPr>
            <w:tcW w:w="2040" w:type="dxa"/>
            <w:vMerge w:val="restart"/>
            <w:tcBorders>
              <w:tl2br w:val="nil"/>
              <w:tr2bl w:val="nil"/>
            </w:tcBorders>
            <w:shd w:val="clear" w:color="auto" w:fill="auto"/>
            <w:vAlign w:val="center"/>
          </w:tcPr>
          <w:p w14:paraId="106D1166">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S1</w:t>
            </w:r>
          </w:p>
        </w:tc>
        <w:tc>
          <w:tcPr>
            <w:tcW w:w="2134" w:type="dxa"/>
            <w:tcBorders>
              <w:tl2br w:val="nil"/>
              <w:tr2bl w:val="nil"/>
            </w:tcBorders>
            <w:shd w:val="clear" w:color="auto" w:fill="auto"/>
            <w:vAlign w:val="center"/>
          </w:tcPr>
          <w:p w14:paraId="72BF2A13">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R1</w:t>
            </w:r>
          </w:p>
        </w:tc>
        <w:tc>
          <w:tcPr>
            <w:tcW w:w="1782" w:type="dxa"/>
            <w:tcBorders>
              <w:tl2br w:val="nil"/>
              <w:tr2bl w:val="nil"/>
            </w:tcBorders>
            <w:shd w:val="clear" w:color="auto" w:fill="auto"/>
            <w:vAlign w:val="center"/>
          </w:tcPr>
          <w:p w14:paraId="29469FDA">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较大</w:t>
            </w:r>
          </w:p>
        </w:tc>
      </w:tr>
      <w:tr w14:paraId="4502C4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74ED3048">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20</w:t>
            </w:r>
          </w:p>
        </w:tc>
        <w:tc>
          <w:tcPr>
            <w:tcW w:w="1751" w:type="dxa"/>
            <w:vMerge w:val="continue"/>
            <w:tcBorders>
              <w:tl2br w:val="nil"/>
              <w:tr2bl w:val="nil"/>
            </w:tcBorders>
            <w:shd w:val="clear" w:color="auto" w:fill="auto"/>
            <w:vAlign w:val="center"/>
          </w:tcPr>
          <w:p w14:paraId="59CD3E84">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3D637FF6">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40F20673">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R2</w:t>
            </w:r>
          </w:p>
        </w:tc>
        <w:tc>
          <w:tcPr>
            <w:tcW w:w="1782" w:type="dxa"/>
            <w:tcBorders>
              <w:tl2br w:val="nil"/>
              <w:tr2bl w:val="nil"/>
            </w:tcBorders>
            <w:shd w:val="clear" w:color="auto" w:fill="auto"/>
            <w:vAlign w:val="center"/>
          </w:tcPr>
          <w:p w14:paraId="11BEBC79">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较大</w:t>
            </w:r>
          </w:p>
        </w:tc>
      </w:tr>
      <w:tr w14:paraId="696A7D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340868A5">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21</w:t>
            </w:r>
          </w:p>
        </w:tc>
        <w:tc>
          <w:tcPr>
            <w:tcW w:w="1751" w:type="dxa"/>
            <w:vMerge w:val="continue"/>
            <w:tcBorders>
              <w:tl2br w:val="nil"/>
              <w:tr2bl w:val="nil"/>
            </w:tcBorders>
            <w:shd w:val="clear" w:color="auto" w:fill="auto"/>
            <w:vAlign w:val="center"/>
          </w:tcPr>
          <w:p w14:paraId="181FC36E">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7725F0A6">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581A0BB3">
            <w:pPr>
              <w:adjustRightInd w:val="0"/>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lang w:bidi="ar"/>
              </w:rPr>
              <w:t>R3</w:t>
            </w:r>
          </w:p>
        </w:tc>
        <w:tc>
          <w:tcPr>
            <w:tcW w:w="1782" w:type="dxa"/>
            <w:tcBorders>
              <w:tl2br w:val="nil"/>
              <w:tr2bl w:val="nil"/>
            </w:tcBorders>
            <w:shd w:val="clear" w:color="auto" w:fill="auto"/>
            <w:vAlign w:val="center"/>
          </w:tcPr>
          <w:p w14:paraId="73C06D4A">
            <w:pPr>
              <w:adjustRightInd w:val="0"/>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lang w:bidi="ar"/>
              </w:rPr>
              <w:t>一般</w:t>
            </w:r>
          </w:p>
        </w:tc>
      </w:tr>
      <w:tr w14:paraId="48B62E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34852069">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22</w:t>
            </w:r>
          </w:p>
        </w:tc>
        <w:tc>
          <w:tcPr>
            <w:tcW w:w="1751" w:type="dxa"/>
            <w:vMerge w:val="continue"/>
            <w:tcBorders>
              <w:tl2br w:val="nil"/>
              <w:tr2bl w:val="nil"/>
            </w:tcBorders>
            <w:shd w:val="clear" w:color="auto" w:fill="auto"/>
            <w:vAlign w:val="center"/>
          </w:tcPr>
          <w:p w14:paraId="6A6AFA70">
            <w:pPr>
              <w:ind w:firstLine="400"/>
              <w:rPr>
                <w:rFonts w:hint="default" w:ascii="Times New Roman" w:hAnsi="Times New Roman" w:cs="Times New Roman"/>
                <w:color w:val="auto"/>
                <w:sz w:val="20"/>
                <w:szCs w:val="20"/>
                <w:highlight w:val="none"/>
              </w:rPr>
            </w:pPr>
          </w:p>
        </w:tc>
        <w:tc>
          <w:tcPr>
            <w:tcW w:w="2040" w:type="dxa"/>
            <w:vMerge w:val="restart"/>
            <w:tcBorders>
              <w:tl2br w:val="nil"/>
              <w:tr2bl w:val="nil"/>
            </w:tcBorders>
            <w:shd w:val="clear" w:color="auto" w:fill="auto"/>
            <w:vAlign w:val="center"/>
          </w:tcPr>
          <w:p w14:paraId="0B5A177C">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S2</w:t>
            </w:r>
          </w:p>
        </w:tc>
        <w:tc>
          <w:tcPr>
            <w:tcW w:w="2134" w:type="dxa"/>
            <w:tcBorders>
              <w:tl2br w:val="nil"/>
              <w:tr2bl w:val="nil"/>
            </w:tcBorders>
            <w:shd w:val="clear" w:color="auto" w:fill="auto"/>
            <w:vAlign w:val="center"/>
          </w:tcPr>
          <w:p w14:paraId="3E0ACE36">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R1</w:t>
            </w:r>
          </w:p>
        </w:tc>
        <w:tc>
          <w:tcPr>
            <w:tcW w:w="1782" w:type="dxa"/>
            <w:tcBorders>
              <w:tl2br w:val="nil"/>
              <w:tr2bl w:val="nil"/>
            </w:tcBorders>
            <w:shd w:val="clear" w:color="auto" w:fill="auto"/>
            <w:vAlign w:val="center"/>
          </w:tcPr>
          <w:p w14:paraId="444C4AFD">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一般</w:t>
            </w:r>
          </w:p>
        </w:tc>
      </w:tr>
      <w:tr w14:paraId="38AFB2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4AC9F25D">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23</w:t>
            </w:r>
          </w:p>
        </w:tc>
        <w:tc>
          <w:tcPr>
            <w:tcW w:w="1751" w:type="dxa"/>
            <w:vMerge w:val="continue"/>
            <w:tcBorders>
              <w:tl2br w:val="nil"/>
              <w:tr2bl w:val="nil"/>
            </w:tcBorders>
            <w:shd w:val="clear" w:color="auto" w:fill="auto"/>
            <w:vAlign w:val="center"/>
          </w:tcPr>
          <w:p w14:paraId="46A62B05">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2EE91790">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5687EBDE">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R2</w:t>
            </w:r>
          </w:p>
        </w:tc>
        <w:tc>
          <w:tcPr>
            <w:tcW w:w="1782" w:type="dxa"/>
            <w:tcBorders>
              <w:tl2br w:val="nil"/>
              <w:tr2bl w:val="nil"/>
            </w:tcBorders>
            <w:shd w:val="clear" w:color="auto" w:fill="auto"/>
            <w:vAlign w:val="center"/>
          </w:tcPr>
          <w:p w14:paraId="62FC89FB">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一般</w:t>
            </w:r>
          </w:p>
        </w:tc>
      </w:tr>
      <w:tr w14:paraId="09FB8C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74E7ED4E">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24</w:t>
            </w:r>
          </w:p>
        </w:tc>
        <w:tc>
          <w:tcPr>
            <w:tcW w:w="1751" w:type="dxa"/>
            <w:vMerge w:val="continue"/>
            <w:tcBorders>
              <w:tl2br w:val="nil"/>
              <w:tr2bl w:val="nil"/>
            </w:tcBorders>
            <w:shd w:val="clear" w:color="auto" w:fill="auto"/>
            <w:vAlign w:val="center"/>
          </w:tcPr>
          <w:p w14:paraId="4A9738D6">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2F343047">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204D374A">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R3</w:t>
            </w:r>
          </w:p>
        </w:tc>
        <w:tc>
          <w:tcPr>
            <w:tcW w:w="1782" w:type="dxa"/>
            <w:tcBorders>
              <w:tl2br w:val="nil"/>
              <w:tr2bl w:val="nil"/>
            </w:tcBorders>
            <w:shd w:val="clear" w:color="auto" w:fill="auto"/>
            <w:vAlign w:val="center"/>
          </w:tcPr>
          <w:p w14:paraId="4BEA67E7">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一般</w:t>
            </w:r>
          </w:p>
        </w:tc>
      </w:tr>
      <w:tr w14:paraId="17A2CF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2B333C6B">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25</w:t>
            </w:r>
          </w:p>
        </w:tc>
        <w:tc>
          <w:tcPr>
            <w:tcW w:w="1751" w:type="dxa"/>
            <w:vMerge w:val="continue"/>
            <w:tcBorders>
              <w:tl2br w:val="nil"/>
              <w:tr2bl w:val="nil"/>
            </w:tcBorders>
            <w:shd w:val="clear" w:color="auto" w:fill="auto"/>
            <w:vAlign w:val="center"/>
          </w:tcPr>
          <w:p w14:paraId="726F0C0A">
            <w:pPr>
              <w:ind w:firstLine="400"/>
              <w:rPr>
                <w:rFonts w:hint="default" w:ascii="Times New Roman" w:hAnsi="Times New Roman" w:cs="Times New Roman"/>
                <w:color w:val="auto"/>
                <w:sz w:val="20"/>
                <w:szCs w:val="20"/>
                <w:highlight w:val="none"/>
              </w:rPr>
            </w:pPr>
          </w:p>
        </w:tc>
        <w:tc>
          <w:tcPr>
            <w:tcW w:w="2040" w:type="dxa"/>
            <w:vMerge w:val="restart"/>
            <w:tcBorders>
              <w:tl2br w:val="nil"/>
              <w:tr2bl w:val="nil"/>
            </w:tcBorders>
            <w:shd w:val="clear" w:color="auto" w:fill="auto"/>
            <w:vAlign w:val="center"/>
          </w:tcPr>
          <w:p w14:paraId="1196B7AF">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S3</w:t>
            </w:r>
          </w:p>
        </w:tc>
        <w:tc>
          <w:tcPr>
            <w:tcW w:w="2134" w:type="dxa"/>
            <w:tcBorders>
              <w:tl2br w:val="nil"/>
              <w:tr2bl w:val="nil"/>
            </w:tcBorders>
            <w:shd w:val="clear" w:color="auto" w:fill="auto"/>
            <w:vAlign w:val="center"/>
          </w:tcPr>
          <w:p w14:paraId="3A44BBEC">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R1</w:t>
            </w:r>
          </w:p>
        </w:tc>
        <w:tc>
          <w:tcPr>
            <w:tcW w:w="1782" w:type="dxa"/>
            <w:tcBorders>
              <w:tl2br w:val="nil"/>
              <w:tr2bl w:val="nil"/>
            </w:tcBorders>
            <w:shd w:val="clear" w:color="auto" w:fill="auto"/>
            <w:vAlign w:val="center"/>
          </w:tcPr>
          <w:p w14:paraId="577DA0EE">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一般</w:t>
            </w:r>
          </w:p>
        </w:tc>
      </w:tr>
      <w:tr w14:paraId="20A858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62EAC421">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26</w:t>
            </w:r>
          </w:p>
        </w:tc>
        <w:tc>
          <w:tcPr>
            <w:tcW w:w="1751" w:type="dxa"/>
            <w:vMerge w:val="continue"/>
            <w:tcBorders>
              <w:tl2br w:val="nil"/>
              <w:tr2bl w:val="nil"/>
            </w:tcBorders>
            <w:shd w:val="clear" w:color="auto" w:fill="auto"/>
            <w:vAlign w:val="center"/>
          </w:tcPr>
          <w:p w14:paraId="7B53EF74">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20623DD3">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4531DDF6">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R2</w:t>
            </w:r>
          </w:p>
        </w:tc>
        <w:tc>
          <w:tcPr>
            <w:tcW w:w="1782" w:type="dxa"/>
            <w:tcBorders>
              <w:tl2br w:val="nil"/>
              <w:tr2bl w:val="nil"/>
            </w:tcBorders>
            <w:shd w:val="clear" w:color="auto" w:fill="auto"/>
            <w:vAlign w:val="center"/>
          </w:tcPr>
          <w:p w14:paraId="6DD59F15">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一般</w:t>
            </w:r>
          </w:p>
        </w:tc>
      </w:tr>
      <w:tr w14:paraId="0CAE8B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08" w:type="dxa"/>
            <w:bottom w:w="0" w:type="dxa"/>
            <w:right w:w="108" w:type="dxa"/>
          </w:tblCellMar>
        </w:tblPrEx>
        <w:trPr>
          <w:trHeight w:val="340" w:hRule="atLeast"/>
        </w:trPr>
        <w:tc>
          <w:tcPr>
            <w:tcW w:w="810" w:type="dxa"/>
            <w:tcBorders>
              <w:tl2br w:val="nil"/>
              <w:tr2bl w:val="nil"/>
            </w:tcBorders>
            <w:shd w:val="clear" w:color="auto" w:fill="auto"/>
            <w:vAlign w:val="center"/>
          </w:tcPr>
          <w:p w14:paraId="0CCA89AE">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27</w:t>
            </w:r>
          </w:p>
        </w:tc>
        <w:tc>
          <w:tcPr>
            <w:tcW w:w="1751" w:type="dxa"/>
            <w:vMerge w:val="continue"/>
            <w:tcBorders>
              <w:tl2br w:val="nil"/>
              <w:tr2bl w:val="nil"/>
            </w:tcBorders>
            <w:shd w:val="clear" w:color="auto" w:fill="auto"/>
            <w:vAlign w:val="center"/>
          </w:tcPr>
          <w:p w14:paraId="433D74F6">
            <w:pPr>
              <w:ind w:firstLine="400"/>
              <w:rPr>
                <w:rFonts w:hint="default" w:ascii="Times New Roman" w:hAnsi="Times New Roman" w:cs="Times New Roman"/>
                <w:color w:val="auto"/>
                <w:sz w:val="20"/>
                <w:szCs w:val="20"/>
                <w:highlight w:val="none"/>
              </w:rPr>
            </w:pPr>
          </w:p>
        </w:tc>
        <w:tc>
          <w:tcPr>
            <w:tcW w:w="2040" w:type="dxa"/>
            <w:vMerge w:val="continue"/>
            <w:tcBorders>
              <w:tl2br w:val="nil"/>
              <w:tr2bl w:val="nil"/>
            </w:tcBorders>
            <w:shd w:val="clear" w:color="auto" w:fill="auto"/>
            <w:vAlign w:val="center"/>
          </w:tcPr>
          <w:p w14:paraId="4DF3E44C">
            <w:pPr>
              <w:ind w:firstLine="400"/>
              <w:rPr>
                <w:rFonts w:hint="default" w:ascii="Times New Roman" w:hAnsi="Times New Roman" w:cs="Times New Roman"/>
                <w:color w:val="auto"/>
                <w:sz w:val="20"/>
                <w:szCs w:val="20"/>
                <w:highlight w:val="none"/>
              </w:rPr>
            </w:pPr>
          </w:p>
        </w:tc>
        <w:tc>
          <w:tcPr>
            <w:tcW w:w="2134" w:type="dxa"/>
            <w:tcBorders>
              <w:tl2br w:val="nil"/>
              <w:tr2bl w:val="nil"/>
            </w:tcBorders>
            <w:shd w:val="clear" w:color="auto" w:fill="auto"/>
            <w:vAlign w:val="center"/>
          </w:tcPr>
          <w:p w14:paraId="5EB1E428">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R3</w:t>
            </w:r>
          </w:p>
        </w:tc>
        <w:tc>
          <w:tcPr>
            <w:tcW w:w="1782" w:type="dxa"/>
            <w:tcBorders>
              <w:tl2br w:val="nil"/>
              <w:tr2bl w:val="nil"/>
            </w:tcBorders>
            <w:shd w:val="clear" w:color="auto" w:fill="auto"/>
            <w:vAlign w:val="center"/>
          </w:tcPr>
          <w:p w14:paraId="4DAB946F">
            <w:pPr>
              <w:adjustRightInd w:val="0"/>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bidi="ar"/>
              </w:rPr>
              <w:t>一般</w:t>
            </w:r>
          </w:p>
        </w:tc>
      </w:tr>
    </w:tbl>
    <w:p w14:paraId="2007C236">
      <w:pPr>
        <w:overflowPunct w:val="0"/>
        <w:topLinePunct/>
        <w:ind w:firstLine="480"/>
        <w:rPr>
          <w:rFonts w:hint="default" w:ascii="Times New Roman" w:hAnsi="Times New Roman" w:cs="Times New Roman"/>
          <w:color w:val="auto"/>
          <w:szCs w:val="21"/>
          <w:highlight w:val="none"/>
          <w:lang w:val="zh-CN" w:bidi="ar"/>
        </w:rPr>
      </w:pPr>
      <w:r>
        <w:rPr>
          <w:rFonts w:hint="default" w:ascii="Times New Roman" w:hAnsi="Times New Roman" w:cs="Times New Roman"/>
          <w:color w:val="auto"/>
          <w:highlight w:val="none"/>
        </w:rPr>
        <w:t>根据以上判定，结合《尾矿库环境风险评估技术导则（试行）》（HJ740-2015）表7中等级划分矩阵，确定本次尾矿库环境风险等级为一般（H3S</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R3）。</w:t>
      </w:r>
    </w:p>
    <w:p w14:paraId="2368C70B">
      <w:pPr>
        <w:keepNext/>
        <w:keepLines/>
        <w:spacing w:before="60" w:after="60"/>
        <w:ind w:firstLine="0" w:firstLineChars="0"/>
        <w:outlineLvl w:val="2"/>
        <w:rPr>
          <w:rFonts w:hint="default" w:ascii="Times New Roman" w:hAnsi="Times New Roman" w:cs="Times New Roman"/>
          <w:b/>
          <w:bCs/>
          <w:color w:val="auto"/>
          <w:sz w:val="30"/>
          <w:szCs w:val="32"/>
          <w:highlight w:val="none"/>
        </w:rPr>
      </w:pPr>
      <w:r>
        <w:rPr>
          <w:rFonts w:hint="default" w:ascii="Times New Roman" w:hAnsi="Times New Roman" w:cs="Times New Roman"/>
          <w:b/>
          <w:bCs/>
          <w:color w:val="auto"/>
          <w:sz w:val="30"/>
          <w:szCs w:val="32"/>
          <w:highlight w:val="none"/>
        </w:rPr>
        <w:t>5.3.3环境风险识别</w:t>
      </w:r>
    </w:p>
    <w:p w14:paraId="4AF8F368">
      <w:pPr>
        <w:overflowPunct w:val="0"/>
        <w:topLinePunct/>
        <w:adjustRightInd w:val="0"/>
        <w:snapToGrid w:val="0"/>
        <w:ind w:firstLine="48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本项目属</w:t>
      </w:r>
      <w:r>
        <w:rPr>
          <w:rFonts w:hint="default" w:ascii="Times New Roman" w:hAnsi="Times New Roman" w:cs="Times New Roman"/>
          <w:color w:val="auto"/>
          <w:kern w:val="0"/>
          <w:szCs w:val="21"/>
          <w:highlight w:val="none"/>
          <w:lang w:eastAsia="zh-CN"/>
        </w:rPr>
        <w:t>非金属矿</w:t>
      </w:r>
      <w:r>
        <w:rPr>
          <w:rFonts w:hint="default" w:ascii="Times New Roman" w:hAnsi="Times New Roman" w:cs="Times New Roman"/>
          <w:color w:val="auto"/>
          <w:kern w:val="0"/>
          <w:szCs w:val="21"/>
          <w:highlight w:val="none"/>
        </w:rPr>
        <w:t>选矿建设项目，涉及部分易燃物质，同时涉及较多生产单元及尾矿库，各生产单元的潜在危险因素和潜在危害程度也不同。因此，对各生产单元的危险因素进行识别。</w:t>
      </w:r>
    </w:p>
    <w:p w14:paraId="29BEE382">
      <w:pPr>
        <w:tabs>
          <w:tab w:val="left" w:pos="0"/>
          <w:tab w:val="left" w:pos="993"/>
        </w:tabs>
        <w:adjustRightInd w:val="0"/>
        <w:snapToGrid w:val="0"/>
        <w:ind w:firstLine="0" w:firstLineChars="0"/>
        <w:jc w:val="center"/>
        <w:rPr>
          <w:rFonts w:hint="default" w:ascii="Times New Roman" w:hAnsi="Times New Roman" w:cs="Times New Roman"/>
          <w:b/>
          <w:color w:val="auto"/>
          <w:szCs w:val="22"/>
          <w:highlight w:val="none"/>
        </w:rPr>
      </w:pPr>
      <w:r>
        <w:rPr>
          <w:rFonts w:hint="default" w:ascii="Times New Roman" w:hAnsi="Times New Roman" w:cs="Times New Roman"/>
          <w:b/>
          <w:color w:val="auto"/>
          <w:szCs w:val="22"/>
          <w:highlight w:val="none"/>
        </w:rPr>
        <w:t>表5.3-1</w:t>
      </w:r>
      <w:r>
        <w:rPr>
          <w:rFonts w:hint="default" w:ascii="Times New Roman" w:hAnsi="Times New Roman" w:cs="Times New Roman"/>
          <w:b/>
          <w:color w:val="auto"/>
          <w:szCs w:val="22"/>
          <w:highlight w:val="none"/>
          <w:lang w:val="en-US" w:eastAsia="zh-CN"/>
        </w:rPr>
        <w:t>2</w:t>
      </w:r>
      <w:r>
        <w:rPr>
          <w:rFonts w:hint="default" w:ascii="Times New Roman" w:hAnsi="Times New Roman" w:cs="Times New Roman"/>
          <w:b/>
          <w:color w:val="auto"/>
          <w:szCs w:val="22"/>
          <w:highlight w:val="none"/>
        </w:rPr>
        <w:t xml:space="preserve">    本项目生产各作业场所的危险有害因素分布</w:t>
      </w:r>
    </w:p>
    <w:tbl>
      <w:tblPr>
        <w:tblStyle w:val="99"/>
        <w:tblW w:w="8336"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502"/>
        <w:gridCol w:w="1075"/>
        <w:gridCol w:w="1067"/>
        <w:gridCol w:w="5692"/>
      </w:tblGrid>
      <w:tr w14:paraId="3044B91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blHeader/>
          <w:jc w:val="center"/>
        </w:trPr>
        <w:tc>
          <w:tcPr>
            <w:tcW w:w="502" w:type="dxa"/>
            <w:vAlign w:val="center"/>
          </w:tcPr>
          <w:p w14:paraId="1AA670DD">
            <w:pPr>
              <w:pStyle w:val="47"/>
              <w:keepNext w:val="0"/>
              <w:keepLines w:val="0"/>
              <w:pageBreakBefore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Times New Roman" w:cs="Times New Roman"/>
                <w:b/>
                <w:color w:val="auto"/>
                <w:sz w:val="21"/>
                <w:szCs w:val="21"/>
                <w:highlight w:val="none"/>
                <w:lang w:eastAsia="en-US"/>
              </w:rPr>
            </w:pPr>
            <w:r>
              <w:rPr>
                <w:rFonts w:hint="default" w:ascii="Times New Roman" w:hAnsi="Times New Roman" w:eastAsia="Times New Roman" w:cs="Times New Roman"/>
                <w:b/>
                <w:color w:val="auto"/>
                <w:sz w:val="21"/>
                <w:szCs w:val="21"/>
                <w:highlight w:val="none"/>
                <w:lang w:eastAsia="en-US"/>
              </w:rPr>
              <w:t>序号</w:t>
            </w:r>
          </w:p>
        </w:tc>
        <w:tc>
          <w:tcPr>
            <w:tcW w:w="1075" w:type="dxa"/>
            <w:vAlign w:val="center"/>
          </w:tcPr>
          <w:p w14:paraId="51E96FC6">
            <w:pPr>
              <w:pStyle w:val="47"/>
              <w:keepNext w:val="0"/>
              <w:keepLines w:val="0"/>
              <w:pageBreakBefore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Times New Roman" w:cs="Times New Roman"/>
                <w:b/>
                <w:color w:val="auto"/>
                <w:sz w:val="21"/>
                <w:szCs w:val="21"/>
                <w:highlight w:val="none"/>
                <w:lang w:eastAsia="en-US"/>
              </w:rPr>
            </w:pPr>
            <w:r>
              <w:rPr>
                <w:rFonts w:hint="default" w:ascii="Times New Roman" w:hAnsi="Times New Roman" w:eastAsia="Times New Roman" w:cs="Times New Roman"/>
                <w:b/>
                <w:color w:val="auto"/>
                <w:sz w:val="21"/>
                <w:szCs w:val="21"/>
                <w:highlight w:val="none"/>
                <w:lang w:eastAsia="en-US"/>
              </w:rPr>
              <w:t>风险单元</w:t>
            </w:r>
          </w:p>
        </w:tc>
        <w:tc>
          <w:tcPr>
            <w:tcW w:w="1067" w:type="dxa"/>
            <w:vAlign w:val="center"/>
          </w:tcPr>
          <w:p w14:paraId="437E5D8A">
            <w:pPr>
              <w:pStyle w:val="47"/>
              <w:keepNext w:val="0"/>
              <w:keepLines w:val="0"/>
              <w:pageBreakBefore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Times New Roman" w:cs="Times New Roman"/>
                <w:b/>
                <w:color w:val="auto"/>
                <w:sz w:val="21"/>
                <w:szCs w:val="21"/>
                <w:highlight w:val="none"/>
                <w:lang w:eastAsia="en-US"/>
              </w:rPr>
            </w:pPr>
            <w:r>
              <w:rPr>
                <w:rFonts w:hint="default" w:ascii="Times New Roman" w:hAnsi="Times New Roman" w:eastAsia="Times New Roman" w:cs="Times New Roman"/>
                <w:b/>
                <w:color w:val="auto"/>
                <w:sz w:val="21"/>
                <w:szCs w:val="21"/>
                <w:highlight w:val="none"/>
                <w:lang w:eastAsia="en-US"/>
              </w:rPr>
              <w:t>事故类型</w:t>
            </w:r>
          </w:p>
        </w:tc>
        <w:tc>
          <w:tcPr>
            <w:tcW w:w="5692" w:type="dxa"/>
            <w:vAlign w:val="center"/>
          </w:tcPr>
          <w:p w14:paraId="32EDDBFF">
            <w:pPr>
              <w:pStyle w:val="47"/>
              <w:keepNext w:val="0"/>
              <w:keepLines w:val="0"/>
              <w:pageBreakBefore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Times New Roman" w:cs="Times New Roman"/>
                <w:b/>
                <w:color w:val="auto"/>
                <w:sz w:val="21"/>
                <w:szCs w:val="21"/>
                <w:highlight w:val="none"/>
                <w:lang w:eastAsia="zh-CN"/>
              </w:rPr>
            </w:pPr>
            <w:r>
              <w:rPr>
                <w:rFonts w:hint="default" w:ascii="Times New Roman" w:hAnsi="Times New Roman" w:eastAsia="Times New Roman" w:cs="Times New Roman"/>
                <w:b/>
                <w:color w:val="auto"/>
                <w:sz w:val="21"/>
                <w:szCs w:val="21"/>
                <w:highlight w:val="none"/>
                <w:lang w:eastAsia="zh-CN"/>
              </w:rPr>
              <w:t>次生、衍生厂外环境污染</w:t>
            </w:r>
          </w:p>
        </w:tc>
      </w:tr>
      <w:tr w14:paraId="070E588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02" w:type="dxa"/>
            <w:vMerge w:val="restart"/>
            <w:vAlign w:val="center"/>
          </w:tcPr>
          <w:p w14:paraId="29201FCC">
            <w:pPr>
              <w:pStyle w:val="47"/>
              <w:keepNext w:val="0"/>
              <w:keepLines w:val="0"/>
              <w:pageBreakBefore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Times New Roman" w:cs="Times New Roman"/>
                <w:color w:val="auto"/>
                <w:sz w:val="21"/>
                <w:szCs w:val="21"/>
                <w:highlight w:val="none"/>
                <w:lang w:eastAsia="en-US"/>
              </w:rPr>
            </w:pPr>
            <w:r>
              <w:rPr>
                <w:rFonts w:hint="default" w:ascii="Times New Roman" w:hAnsi="Times New Roman" w:eastAsia="Times New Roman" w:cs="Times New Roman"/>
                <w:color w:val="auto"/>
                <w:sz w:val="21"/>
                <w:highlight w:val="none"/>
                <w:lang w:eastAsia="en-US"/>
              </w:rPr>
              <w:t>1</w:t>
            </w:r>
          </w:p>
        </w:tc>
        <w:tc>
          <w:tcPr>
            <w:tcW w:w="1075" w:type="dxa"/>
            <w:vMerge w:val="restart"/>
            <w:vAlign w:val="center"/>
          </w:tcPr>
          <w:p w14:paraId="78AB7A06">
            <w:pPr>
              <w:pStyle w:val="47"/>
              <w:keepNext w:val="0"/>
              <w:keepLines w:val="0"/>
              <w:pageBreakBefore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Times New Roman" w:cs="Times New Roman"/>
                <w:color w:val="auto"/>
                <w:sz w:val="21"/>
                <w:szCs w:val="21"/>
                <w:highlight w:val="none"/>
                <w:lang w:eastAsia="en-US"/>
              </w:rPr>
            </w:pPr>
            <w:r>
              <w:rPr>
                <w:rFonts w:hint="default" w:ascii="Times New Roman" w:hAnsi="Times New Roman" w:eastAsia="Times New Roman" w:cs="Times New Roman"/>
                <w:color w:val="auto"/>
                <w:sz w:val="21"/>
                <w:szCs w:val="21"/>
                <w:highlight w:val="none"/>
                <w:lang w:eastAsia="en-US"/>
              </w:rPr>
              <w:t>化学品贮存场所</w:t>
            </w:r>
          </w:p>
        </w:tc>
        <w:tc>
          <w:tcPr>
            <w:tcW w:w="1067" w:type="dxa"/>
            <w:vAlign w:val="center"/>
          </w:tcPr>
          <w:p w14:paraId="1A7D3110">
            <w:pPr>
              <w:pStyle w:val="47"/>
              <w:keepNext w:val="0"/>
              <w:keepLines w:val="0"/>
              <w:pageBreakBefore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Times New Roman" w:cs="Times New Roman"/>
                <w:color w:val="auto"/>
                <w:sz w:val="21"/>
                <w:szCs w:val="21"/>
                <w:highlight w:val="none"/>
                <w:lang w:eastAsia="en-US"/>
              </w:rPr>
            </w:pPr>
            <w:r>
              <w:rPr>
                <w:rFonts w:hint="default" w:ascii="Times New Roman" w:hAnsi="Times New Roman" w:eastAsia="Times New Roman" w:cs="Times New Roman"/>
                <w:color w:val="auto"/>
                <w:sz w:val="21"/>
                <w:szCs w:val="21"/>
                <w:highlight w:val="none"/>
                <w:lang w:eastAsia="en-US"/>
              </w:rPr>
              <w:t>泄漏</w:t>
            </w:r>
          </w:p>
        </w:tc>
        <w:tc>
          <w:tcPr>
            <w:tcW w:w="5692" w:type="dxa"/>
            <w:vAlign w:val="center"/>
          </w:tcPr>
          <w:p w14:paraId="3BCDDD72">
            <w:pPr>
              <w:pStyle w:val="47"/>
              <w:keepNext w:val="0"/>
              <w:keepLines w:val="0"/>
              <w:pageBreakBefore w:val="0"/>
              <w:kinsoku/>
              <w:wordWrap/>
              <w:overflowPunct/>
              <w:topLinePunct w:val="0"/>
              <w:autoSpaceDE/>
              <w:autoSpaceDN/>
              <w:bidi w:val="0"/>
              <w:adjustRightInd/>
              <w:snapToGrid/>
              <w:spacing w:before="0" w:beforeAutospacing="0" w:line="360" w:lineRule="exact"/>
              <w:ind w:firstLine="0" w:firstLineChars="0"/>
              <w:jc w:val="both"/>
              <w:textAlignment w:val="auto"/>
              <w:rPr>
                <w:rFonts w:hint="default" w:ascii="Times New Roman" w:hAnsi="Times New Roman" w:eastAsia="Times New Roman" w:cs="Times New Roman"/>
                <w:color w:val="auto"/>
                <w:sz w:val="21"/>
                <w:szCs w:val="21"/>
                <w:highlight w:val="none"/>
                <w:lang w:eastAsia="zh-CN"/>
              </w:rPr>
            </w:pPr>
            <w:r>
              <w:rPr>
                <w:rFonts w:hint="default" w:ascii="Times New Roman" w:hAnsi="Times New Roman" w:eastAsia="Times New Roman" w:cs="Times New Roman"/>
                <w:color w:val="auto"/>
                <w:sz w:val="21"/>
                <w:szCs w:val="21"/>
                <w:highlight w:val="none"/>
                <w:lang w:eastAsia="zh-CN"/>
              </w:rPr>
              <w:t>泄漏化学品收集处置措施不当，直接外排，污染地表水；泄漏化学品收集处置措施不当，流入土壤，污染土壤及地下水；用于收集吸附泄漏化学品的吸收吸附材料后期处理处置不当，污染环境；洗消被泄漏化学品污染的地面过程中产生的洗消废水直接外排，污染地表水；洗消被泄漏化学品污染的地面过程中产生的洗消废水流入土壤，污染土壤及地下水。</w:t>
            </w:r>
          </w:p>
        </w:tc>
      </w:tr>
      <w:tr w14:paraId="63A3E74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02" w:type="dxa"/>
            <w:vMerge w:val="continue"/>
            <w:vAlign w:val="center"/>
          </w:tcPr>
          <w:p w14:paraId="6F0B08F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Times New Roman" w:cs="Times New Roman"/>
                <w:color w:val="auto"/>
                <w:sz w:val="21"/>
                <w:szCs w:val="21"/>
                <w:highlight w:val="none"/>
                <w:lang w:eastAsia="zh-CN"/>
              </w:rPr>
            </w:pPr>
          </w:p>
        </w:tc>
        <w:tc>
          <w:tcPr>
            <w:tcW w:w="1075" w:type="dxa"/>
            <w:vMerge w:val="continue"/>
            <w:vAlign w:val="center"/>
          </w:tcPr>
          <w:p w14:paraId="7C4B8A0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Times New Roman" w:cs="Times New Roman"/>
                <w:color w:val="auto"/>
                <w:sz w:val="21"/>
                <w:szCs w:val="21"/>
                <w:highlight w:val="none"/>
                <w:lang w:eastAsia="zh-CN"/>
              </w:rPr>
            </w:pPr>
          </w:p>
        </w:tc>
        <w:tc>
          <w:tcPr>
            <w:tcW w:w="1067" w:type="dxa"/>
            <w:vAlign w:val="center"/>
          </w:tcPr>
          <w:p w14:paraId="4DE32144">
            <w:pPr>
              <w:pStyle w:val="47"/>
              <w:keepNext w:val="0"/>
              <w:keepLines w:val="0"/>
              <w:pageBreakBefore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Times New Roman" w:cs="Times New Roman"/>
                <w:color w:val="auto"/>
                <w:sz w:val="21"/>
                <w:szCs w:val="21"/>
                <w:highlight w:val="none"/>
                <w:lang w:eastAsia="en-US"/>
              </w:rPr>
            </w:pPr>
            <w:r>
              <w:rPr>
                <w:rFonts w:hint="default" w:ascii="Times New Roman" w:hAnsi="Times New Roman" w:eastAsia="Times New Roman" w:cs="Times New Roman"/>
                <w:color w:val="auto"/>
                <w:sz w:val="21"/>
                <w:szCs w:val="21"/>
                <w:highlight w:val="none"/>
                <w:lang w:eastAsia="en-US"/>
              </w:rPr>
              <w:t>火灾</w:t>
            </w:r>
          </w:p>
        </w:tc>
        <w:tc>
          <w:tcPr>
            <w:tcW w:w="5692" w:type="dxa"/>
            <w:vAlign w:val="center"/>
          </w:tcPr>
          <w:p w14:paraId="3EA02F7A">
            <w:pPr>
              <w:pStyle w:val="47"/>
              <w:keepNext w:val="0"/>
              <w:keepLines w:val="0"/>
              <w:pageBreakBefore w:val="0"/>
              <w:kinsoku/>
              <w:wordWrap/>
              <w:overflowPunct/>
              <w:topLinePunct w:val="0"/>
              <w:autoSpaceDE/>
              <w:autoSpaceDN/>
              <w:bidi w:val="0"/>
              <w:adjustRightInd/>
              <w:snapToGrid/>
              <w:spacing w:before="0" w:beforeAutospacing="0" w:line="360" w:lineRule="exact"/>
              <w:ind w:firstLine="0" w:firstLineChars="0"/>
              <w:jc w:val="both"/>
              <w:textAlignment w:val="auto"/>
              <w:rPr>
                <w:rFonts w:hint="default" w:ascii="Times New Roman" w:hAnsi="Times New Roman" w:eastAsia="Times New Roman" w:cs="Times New Roman"/>
                <w:color w:val="auto"/>
                <w:sz w:val="21"/>
                <w:szCs w:val="21"/>
                <w:highlight w:val="none"/>
                <w:lang w:eastAsia="zh-CN"/>
              </w:rPr>
            </w:pPr>
            <w:r>
              <w:rPr>
                <w:rFonts w:hint="default" w:ascii="Times New Roman" w:hAnsi="Times New Roman" w:eastAsia="Times New Roman" w:cs="Times New Roman"/>
                <w:color w:val="auto"/>
                <w:sz w:val="21"/>
                <w:szCs w:val="21"/>
                <w:highlight w:val="none"/>
                <w:lang w:eastAsia="zh-CN"/>
              </w:rPr>
              <w:t>可燃物质燃烧产生的烟尘、一氧化碳等污染物污染周围大气环境；可燃物质燃烧消防过程中产生的消防废水处置不当，直接外排，污染地表水；可燃物质燃烧消防过程中产生的消防废水处置不当，流入土壤，污染土壤及地下水。</w:t>
            </w:r>
          </w:p>
        </w:tc>
      </w:tr>
      <w:tr w14:paraId="1775EA0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02" w:type="dxa"/>
            <w:vMerge w:val="continue"/>
            <w:vAlign w:val="center"/>
          </w:tcPr>
          <w:p w14:paraId="13A9597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Times New Roman" w:cs="Times New Roman"/>
                <w:color w:val="auto"/>
                <w:sz w:val="21"/>
                <w:szCs w:val="21"/>
                <w:highlight w:val="none"/>
                <w:lang w:eastAsia="zh-CN"/>
              </w:rPr>
            </w:pPr>
          </w:p>
        </w:tc>
        <w:tc>
          <w:tcPr>
            <w:tcW w:w="1075" w:type="dxa"/>
            <w:vMerge w:val="continue"/>
            <w:vAlign w:val="center"/>
          </w:tcPr>
          <w:p w14:paraId="5C51BEA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Times New Roman" w:cs="Times New Roman"/>
                <w:color w:val="auto"/>
                <w:sz w:val="21"/>
                <w:szCs w:val="21"/>
                <w:highlight w:val="none"/>
                <w:lang w:eastAsia="zh-CN"/>
              </w:rPr>
            </w:pPr>
          </w:p>
        </w:tc>
        <w:tc>
          <w:tcPr>
            <w:tcW w:w="1067" w:type="dxa"/>
            <w:vAlign w:val="center"/>
          </w:tcPr>
          <w:p w14:paraId="7ABC4C28">
            <w:pPr>
              <w:pStyle w:val="47"/>
              <w:keepNext w:val="0"/>
              <w:keepLines w:val="0"/>
              <w:pageBreakBefore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Times New Roman" w:cs="Times New Roman"/>
                <w:color w:val="auto"/>
                <w:sz w:val="21"/>
                <w:szCs w:val="21"/>
                <w:highlight w:val="none"/>
                <w:lang w:eastAsia="en-US"/>
              </w:rPr>
            </w:pPr>
            <w:r>
              <w:rPr>
                <w:rFonts w:hint="default" w:ascii="Times New Roman" w:hAnsi="Times New Roman" w:eastAsia="Times New Roman" w:cs="Times New Roman"/>
                <w:color w:val="auto"/>
                <w:sz w:val="21"/>
                <w:szCs w:val="21"/>
                <w:highlight w:val="none"/>
                <w:lang w:eastAsia="en-US"/>
              </w:rPr>
              <w:t>爆炸</w:t>
            </w:r>
          </w:p>
        </w:tc>
        <w:tc>
          <w:tcPr>
            <w:tcW w:w="5692" w:type="dxa"/>
            <w:vAlign w:val="center"/>
          </w:tcPr>
          <w:p w14:paraId="0258E8FF">
            <w:pPr>
              <w:pStyle w:val="47"/>
              <w:keepNext w:val="0"/>
              <w:keepLines w:val="0"/>
              <w:pageBreakBefore w:val="0"/>
              <w:kinsoku/>
              <w:wordWrap/>
              <w:overflowPunct/>
              <w:topLinePunct w:val="0"/>
              <w:autoSpaceDE/>
              <w:autoSpaceDN/>
              <w:bidi w:val="0"/>
              <w:adjustRightInd/>
              <w:snapToGrid/>
              <w:spacing w:before="0" w:beforeAutospacing="0" w:line="360" w:lineRule="exact"/>
              <w:ind w:firstLine="0" w:firstLineChars="0"/>
              <w:jc w:val="both"/>
              <w:textAlignment w:val="auto"/>
              <w:rPr>
                <w:rFonts w:hint="default" w:ascii="Times New Roman" w:hAnsi="Times New Roman" w:eastAsia="Times New Roman" w:cs="Times New Roman"/>
                <w:color w:val="auto"/>
                <w:sz w:val="21"/>
                <w:szCs w:val="21"/>
                <w:highlight w:val="none"/>
                <w:lang w:eastAsia="zh-CN"/>
              </w:rPr>
            </w:pPr>
            <w:r>
              <w:rPr>
                <w:rFonts w:hint="default" w:ascii="Times New Roman" w:hAnsi="Times New Roman" w:eastAsia="Times New Roman" w:cs="Times New Roman"/>
                <w:color w:val="auto"/>
                <w:sz w:val="21"/>
                <w:szCs w:val="21"/>
                <w:highlight w:val="none"/>
                <w:lang w:eastAsia="zh-CN"/>
              </w:rPr>
              <w:t>可燃物质爆炸后化学品燃烧产生的烟尘、一氧化碳等污染物污染周围大气环境；可燃物质爆炸后泄漏化学品直接外排，污染地表水；可燃物质爆炸后泄漏化学品流入土壤，污染土壤及地下水。</w:t>
            </w:r>
          </w:p>
        </w:tc>
      </w:tr>
      <w:tr w14:paraId="772C6F0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02" w:type="dxa"/>
            <w:vMerge w:val="restart"/>
            <w:vAlign w:val="center"/>
          </w:tcPr>
          <w:p w14:paraId="1CB08E10">
            <w:pPr>
              <w:pStyle w:val="47"/>
              <w:keepNext w:val="0"/>
              <w:keepLines w:val="0"/>
              <w:pageBreakBefore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Times New Roman" w:cs="Times New Roman"/>
                <w:color w:val="auto"/>
                <w:sz w:val="21"/>
                <w:szCs w:val="21"/>
                <w:highlight w:val="none"/>
                <w:lang w:eastAsia="en-US"/>
              </w:rPr>
            </w:pPr>
            <w:r>
              <w:rPr>
                <w:rFonts w:hint="default" w:ascii="Times New Roman" w:hAnsi="Times New Roman" w:eastAsia="Times New Roman" w:cs="Times New Roman"/>
                <w:color w:val="auto"/>
                <w:sz w:val="21"/>
                <w:highlight w:val="none"/>
                <w:lang w:eastAsia="en-US"/>
              </w:rPr>
              <w:t>2</w:t>
            </w:r>
          </w:p>
        </w:tc>
        <w:tc>
          <w:tcPr>
            <w:tcW w:w="1075" w:type="dxa"/>
            <w:vMerge w:val="restart"/>
            <w:vAlign w:val="center"/>
          </w:tcPr>
          <w:p w14:paraId="29599F50">
            <w:pPr>
              <w:pStyle w:val="47"/>
              <w:keepNext w:val="0"/>
              <w:keepLines w:val="0"/>
              <w:pageBreakBefore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危废贮存点</w:t>
            </w:r>
          </w:p>
        </w:tc>
        <w:tc>
          <w:tcPr>
            <w:tcW w:w="1067" w:type="dxa"/>
            <w:vAlign w:val="center"/>
          </w:tcPr>
          <w:p w14:paraId="3FF22D43">
            <w:pPr>
              <w:pStyle w:val="47"/>
              <w:keepNext w:val="0"/>
              <w:keepLines w:val="0"/>
              <w:pageBreakBefore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Times New Roman" w:cs="Times New Roman"/>
                <w:color w:val="auto"/>
                <w:sz w:val="21"/>
                <w:szCs w:val="21"/>
                <w:highlight w:val="none"/>
                <w:lang w:eastAsia="en-US"/>
              </w:rPr>
            </w:pPr>
            <w:r>
              <w:rPr>
                <w:rFonts w:hint="default" w:ascii="Times New Roman" w:hAnsi="Times New Roman" w:eastAsia="Times New Roman" w:cs="Times New Roman"/>
                <w:color w:val="auto"/>
                <w:sz w:val="21"/>
                <w:szCs w:val="21"/>
                <w:highlight w:val="none"/>
                <w:lang w:eastAsia="en-US"/>
              </w:rPr>
              <w:t>泄漏</w:t>
            </w:r>
          </w:p>
        </w:tc>
        <w:tc>
          <w:tcPr>
            <w:tcW w:w="5692" w:type="dxa"/>
            <w:vAlign w:val="center"/>
          </w:tcPr>
          <w:p w14:paraId="7EC42642">
            <w:pPr>
              <w:pStyle w:val="47"/>
              <w:keepNext w:val="0"/>
              <w:keepLines w:val="0"/>
              <w:pageBreakBefore w:val="0"/>
              <w:kinsoku/>
              <w:wordWrap/>
              <w:overflowPunct/>
              <w:topLinePunct w:val="0"/>
              <w:autoSpaceDE/>
              <w:autoSpaceDN/>
              <w:bidi w:val="0"/>
              <w:adjustRightInd/>
              <w:snapToGrid/>
              <w:spacing w:before="0" w:beforeAutospacing="0" w:line="360" w:lineRule="exact"/>
              <w:ind w:firstLine="0" w:firstLineChars="0"/>
              <w:jc w:val="both"/>
              <w:textAlignment w:val="auto"/>
              <w:rPr>
                <w:rFonts w:hint="default" w:ascii="Times New Roman" w:hAnsi="Times New Roman" w:eastAsia="Times New Roman" w:cs="Times New Roman"/>
                <w:color w:val="auto"/>
                <w:sz w:val="21"/>
                <w:szCs w:val="21"/>
                <w:highlight w:val="none"/>
                <w:lang w:eastAsia="zh-CN"/>
              </w:rPr>
            </w:pPr>
            <w:r>
              <w:rPr>
                <w:rFonts w:hint="default" w:ascii="Times New Roman" w:hAnsi="Times New Roman" w:eastAsia="Times New Roman" w:cs="Times New Roman"/>
                <w:color w:val="auto"/>
                <w:sz w:val="21"/>
                <w:szCs w:val="21"/>
                <w:highlight w:val="none"/>
                <w:lang w:eastAsia="zh-CN"/>
              </w:rPr>
              <w:t>泄漏/撒漏危险废物收集处置措施不当，直接外排，污染地表水；泄漏/撒漏危险废物收集处置措施不当，流入土壤，污染土壤及地下水；用于收集吸附泄漏/撒漏危险废物的吸收吸附材料后期处理处置不当，污染环境；洗消被泄漏/撒漏危险废物污染的地面过程中产生的洗消废水直接外排，污染地表水；洗消被泄漏/撒漏危险废物污染的地面过程中产生的洗消废水流入土壤，污染土壤及地下水。</w:t>
            </w:r>
          </w:p>
        </w:tc>
      </w:tr>
      <w:tr w14:paraId="50ED063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02" w:type="dxa"/>
            <w:vMerge w:val="continue"/>
            <w:vAlign w:val="center"/>
          </w:tcPr>
          <w:p w14:paraId="2691FFB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Times New Roman" w:cs="Times New Roman"/>
                <w:color w:val="auto"/>
                <w:sz w:val="21"/>
                <w:szCs w:val="21"/>
                <w:highlight w:val="none"/>
                <w:lang w:eastAsia="zh-CN"/>
              </w:rPr>
            </w:pPr>
          </w:p>
        </w:tc>
        <w:tc>
          <w:tcPr>
            <w:tcW w:w="1075" w:type="dxa"/>
            <w:vMerge w:val="continue"/>
            <w:vAlign w:val="center"/>
          </w:tcPr>
          <w:p w14:paraId="0874D48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Times New Roman" w:cs="Times New Roman"/>
                <w:color w:val="auto"/>
                <w:sz w:val="21"/>
                <w:szCs w:val="21"/>
                <w:highlight w:val="none"/>
                <w:lang w:eastAsia="zh-CN"/>
              </w:rPr>
            </w:pPr>
          </w:p>
        </w:tc>
        <w:tc>
          <w:tcPr>
            <w:tcW w:w="1067" w:type="dxa"/>
            <w:vAlign w:val="center"/>
          </w:tcPr>
          <w:p w14:paraId="21B749BA">
            <w:pPr>
              <w:pStyle w:val="47"/>
              <w:keepNext w:val="0"/>
              <w:keepLines w:val="0"/>
              <w:pageBreakBefore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Times New Roman" w:cs="Times New Roman"/>
                <w:color w:val="auto"/>
                <w:sz w:val="21"/>
                <w:szCs w:val="21"/>
                <w:highlight w:val="none"/>
                <w:lang w:eastAsia="en-US"/>
              </w:rPr>
            </w:pPr>
            <w:r>
              <w:rPr>
                <w:rFonts w:hint="default" w:ascii="Times New Roman" w:hAnsi="Times New Roman" w:eastAsia="Times New Roman" w:cs="Times New Roman"/>
                <w:color w:val="auto"/>
                <w:sz w:val="21"/>
                <w:szCs w:val="21"/>
                <w:highlight w:val="none"/>
                <w:lang w:eastAsia="en-US"/>
              </w:rPr>
              <w:t>火灾</w:t>
            </w:r>
          </w:p>
        </w:tc>
        <w:tc>
          <w:tcPr>
            <w:tcW w:w="5692" w:type="dxa"/>
            <w:vAlign w:val="center"/>
          </w:tcPr>
          <w:p w14:paraId="646A6486">
            <w:pPr>
              <w:pStyle w:val="47"/>
              <w:keepNext w:val="0"/>
              <w:keepLines w:val="0"/>
              <w:pageBreakBefore w:val="0"/>
              <w:kinsoku/>
              <w:wordWrap/>
              <w:overflowPunct/>
              <w:topLinePunct w:val="0"/>
              <w:autoSpaceDE/>
              <w:autoSpaceDN/>
              <w:bidi w:val="0"/>
              <w:adjustRightInd/>
              <w:snapToGrid/>
              <w:spacing w:before="0" w:beforeAutospacing="0" w:line="360" w:lineRule="exact"/>
              <w:ind w:firstLine="0" w:firstLineChars="0"/>
              <w:jc w:val="both"/>
              <w:textAlignment w:val="auto"/>
              <w:rPr>
                <w:rFonts w:hint="default" w:ascii="Times New Roman" w:hAnsi="Times New Roman" w:eastAsia="Times New Roman" w:cs="Times New Roman"/>
                <w:color w:val="auto"/>
                <w:sz w:val="21"/>
                <w:szCs w:val="21"/>
                <w:highlight w:val="none"/>
                <w:lang w:eastAsia="zh-CN"/>
              </w:rPr>
            </w:pPr>
            <w:r>
              <w:rPr>
                <w:rFonts w:hint="default" w:ascii="Times New Roman" w:hAnsi="Times New Roman" w:eastAsia="Times New Roman" w:cs="Times New Roman"/>
                <w:color w:val="auto"/>
                <w:sz w:val="21"/>
                <w:szCs w:val="21"/>
                <w:highlight w:val="none"/>
                <w:lang w:eastAsia="zh-CN"/>
              </w:rPr>
              <w:t>危废燃烧产生的烟尘、一氧化碳等污染物污染周围大气环境； 危废燃烧消防过程中产生的消防废水处置不当，直接外排，污染地表水；危废燃烧消防过程中产生的消防废水处置不当，流入土壤，污染土壤及地下水。</w:t>
            </w:r>
          </w:p>
        </w:tc>
      </w:tr>
      <w:tr w14:paraId="3A86627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02" w:type="dxa"/>
            <w:vMerge w:val="continue"/>
            <w:vAlign w:val="center"/>
          </w:tcPr>
          <w:p w14:paraId="456F3A27">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Times New Roman" w:cs="Times New Roman"/>
                <w:color w:val="auto"/>
                <w:sz w:val="21"/>
                <w:highlight w:val="none"/>
                <w:lang w:eastAsia="zh-CN"/>
              </w:rPr>
            </w:pPr>
          </w:p>
        </w:tc>
        <w:tc>
          <w:tcPr>
            <w:tcW w:w="1075" w:type="dxa"/>
            <w:vMerge w:val="continue"/>
            <w:vAlign w:val="center"/>
          </w:tcPr>
          <w:p w14:paraId="4C7D7E11">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Times New Roman" w:cs="Times New Roman"/>
                <w:color w:val="auto"/>
                <w:sz w:val="21"/>
                <w:highlight w:val="none"/>
                <w:lang w:eastAsia="zh-CN"/>
              </w:rPr>
            </w:pPr>
          </w:p>
        </w:tc>
        <w:tc>
          <w:tcPr>
            <w:tcW w:w="1067" w:type="dxa"/>
            <w:vAlign w:val="center"/>
          </w:tcPr>
          <w:p w14:paraId="3445DEFF">
            <w:pPr>
              <w:pStyle w:val="47"/>
              <w:keepNext w:val="0"/>
              <w:keepLines w:val="0"/>
              <w:pageBreakBefore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Times New Roman" w:cs="Times New Roman"/>
                <w:color w:val="auto"/>
                <w:sz w:val="21"/>
                <w:szCs w:val="21"/>
                <w:highlight w:val="none"/>
                <w:lang w:eastAsia="en-US"/>
              </w:rPr>
            </w:pPr>
            <w:r>
              <w:rPr>
                <w:rFonts w:hint="default" w:ascii="Times New Roman" w:hAnsi="Times New Roman" w:eastAsia="Times New Roman" w:cs="Times New Roman"/>
                <w:color w:val="auto"/>
                <w:sz w:val="21"/>
                <w:szCs w:val="21"/>
                <w:highlight w:val="none"/>
                <w:lang w:eastAsia="en-US"/>
              </w:rPr>
              <w:t>爆炸</w:t>
            </w:r>
          </w:p>
        </w:tc>
        <w:tc>
          <w:tcPr>
            <w:tcW w:w="5692" w:type="dxa"/>
            <w:vAlign w:val="center"/>
          </w:tcPr>
          <w:p w14:paraId="5B9C0C12">
            <w:pPr>
              <w:pStyle w:val="47"/>
              <w:keepNext w:val="0"/>
              <w:keepLines w:val="0"/>
              <w:pageBreakBefore w:val="0"/>
              <w:kinsoku/>
              <w:wordWrap/>
              <w:overflowPunct/>
              <w:topLinePunct w:val="0"/>
              <w:autoSpaceDE/>
              <w:autoSpaceDN/>
              <w:bidi w:val="0"/>
              <w:adjustRightInd/>
              <w:snapToGrid/>
              <w:spacing w:before="0" w:beforeAutospacing="0" w:line="360" w:lineRule="exact"/>
              <w:ind w:firstLine="0" w:firstLineChars="0"/>
              <w:jc w:val="both"/>
              <w:textAlignment w:val="auto"/>
              <w:rPr>
                <w:rFonts w:hint="default" w:ascii="Times New Roman" w:hAnsi="Times New Roman" w:eastAsia="Times New Roman" w:cs="Times New Roman"/>
                <w:color w:val="auto"/>
                <w:sz w:val="21"/>
                <w:szCs w:val="21"/>
                <w:highlight w:val="none"/>
                <w:lang w:eastAsia="zh-CN"/>
              </w:rPr>
            </w:pPr>
            <w:r>
              <w:rPr>
                <w:rFonts w:hint="eastAsia" w:eastAsia="Times New Roman" w:cs="Times New Roman"/>
                <w:color w:val="auto"/>
                <w:sz w:val="21"/>
                <w:szCs w:val="21"/>
                <w:highlight w:val="none"/>
                <w:lang w:eastAsia="zh-CN"/>
              </w:rPr>
              <w:t>危废贮存点</w:t>
            </w:r>
            <w:r>
              <w:rPr>
                <w:rFonts w:hint="default" w:ascii="Times New Roman" w:hAnsi="Times New Roman" w:eastAsia="Times New Roman" w:cs="Times New Roman"/>
                <w:color w:val="auto"/>
                <w:sz w:val="21"/>
                <w:szCs w:val="21"/>
                <w:highlight w:val="none"/>
                <w:lang w:eastAsia="zh-CN"/>
              </w:rPr>
              <w:t>爆炸后危废燃烧产生的烟尘、一氧化碳等污染物污染周围大气环境；</w:t>
            </w:r>
            <w:r>
              <w:rPr>
                <w:rFonts w:hint="eastAsia" w:eastAsia="Times New Roman" w:cs="Times New Roman"/>
                <w:color w:val="auto"/>
                <w:sz w:val="21"/>
                <w:szCs w:val="21"/>
                <w:highlight w:val="none"/>
                <w:lang w:eastAsia="zh-CN"/>
              </w:rPr>
              <w:t>危废贮存点</w:t>
            </w:r>
            <w:r>
              <w:rPr>
                <w:rFonts w:hint="default" w:ascii="Times New Roman" w:hAnsi="Times New Roman" w:eastAsia="Times New Roman" w:cs="Times New Roman"/>
                <w:color w:val="auto"/>
                <w:sz w:val="21"/>
                <w:szCs w:val="21"/>
                <w:highlight w:val="none"/>
                <w:lang w:eastAsia="zh-CN"/>
              </w:rPr>
              <w:t>爆炸后泄漏危废直接外排，污染地表水；</w:t>
            </w:r>
            <w:r>
              <w:rPr>
                <w:rFonts w:hint="eastAsia" w:eastAsia="Times New Roman" w:cs="Times New Roman"/>
                <w:color w:val="auto"/>
                <w:sz w:val="21"/>
                <w:szCs w:val="21"/>
                <w:highlight w:val="none"/>
                <w:lang w:eastAsia="zh-CN"/>
              </w:rPr>
              <w:t>危废贮存点</w:t>
            </w:r>
            <w:r>
              <w:rPr>
                <w:rFonts w:hint="default" w:ascii="Times New Roman" w:hAnsi="Times New Roman" w:eastAsia="Times New Roman" w:cs="Times New Roman"/>
                <w:color w:val="auto"/>
                <w:sz w:val="21"/>
                <w:szCs w:val="21"/>
                <w:highlight w:val="none"/>
                <w:lang w:eastAsia="zh-CN"/>
              </w:rPr>
              <w:t>爆炸后泄漏危废流入土壤，污染土壤及地下水。</w:t>
            </w:r>
          </w:p>
        </w:tc>
      </w:tr>
      <w:tr w14:paraId="5B93F6A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02" w:type="dxa"/>
            <w:vAlign w:val="center"/>
          </w:tcPr>
          <w:p w14:paraId="4345B0DC">
            <w:pPr>
              <w:pStyle w:val="47"/>
              <w:keepNext w:val="0"/>
              <w:keepLines w:val="0"/>
              <w:pageBreakBefore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Times New Roman" w:cs="Times New Roman"/>
                <w:color w:val="auto"/>
                <w:sz w:val="21"/>
                <w:szCs w:val="21"/>
                <w:highlight w:val="none"/>
                <w:lang w:eastAsia="en-US"/>
              </w:rPr>
            </w:pPr>
            <w:r>
              <w:rPr>
                <w:rFonts w:hint="default" w:ascii="Times New Roman" w:hAnsi="Times New Roman" w:eastAsia="Times New Roman" w:cs="Times New Roman"/>
                <w:color w:val="auto"/>
                <w:sz w:val="21"/>
                <w:highlight w:val="none"/>
                <w:lang w:eastAsia="en-US"/>
              </w:rPr>
              <w:t>3</w:t>
            </w:r>
          </w:p>
        </w:tc>
        <w:tc>
          <w:tcPr>
            <w:tcW w:w="1075" w:type="dxa"/>
            <w:vAlign w:val="center"/>
          </w:tcPr>
          <w:p w14:paraId="7E803494">
            <w:pPr>
              <w:pStyle w:val="47"/>
              <w:keepNext w:val="0"/>
              <w:keepLines w:val="0"/>
              <w:pageBreakBefore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Times New Roman" w:cs="Times New Roman"/>
                <w:color w:val="auto"/>
                <w:sz w:val="21"/>
                <w:szCs w:val="21"/>
                <w:highlight w:val="none"/>
                <w:lang w:eastAsia="en-US"/>
              </w:rPr>
            </w:pPr>
            <w:r>
              <w:rPr>
                <w:rFonts w:hint="default" w:ascii="Times New Roman" w:hAnsi="Times New Roman" w:eastAsia="Times New Roman" w:cs="Times New Roman"/>
                <w:color w:val="auto"/>
                <w:sz w:val="21"/>
                <w:szCs w:val="21"/>
                <w:highlight w:val="none"/>
                <w:lang w:eastAsia="en-US"/>
              </w:rPr>
              <w:t>废水输送系统管道</w:t>
            </w:r>
          </w:p>
        </w:tc>
        <w:tc>
          <w:tcPr>
            <w:tcW w:w="1067" w:type="dxa"/>
            <w:vAlign w:val="center"/>
          </w:tcPr>
          <w:p w14:paraId="07B4BA36">
            <w:pPr>
              <w:pStyle w:val="47"/>
              <w:keepNext w:val="0"/>
              <w:keepLines w:val="0"/>
              <w:pageBreakBefore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Times New Roman" w:cs="Times New Roman"/>
                <w:color w:val="auto"/>
                <w:sz w:val="21"/>
                <w:szCs w:val="21"/>
                <w:highlight w:val="none"/>
                <w:lang w:eastAsia="en-US"/>
              </w:rPr>
            </w:pPr>
            <w:r>
              <w:rPr>
                <w:rFonts w:hint="default" w:ascii="Times New Roman" w:hAnsi="Times New Roman" w:eastAsia="Times New Roman" w:cs="Times New Roman"/>
                <w:color w:val="auto"/>
                <w:sz w:val="21"/>
                <w:szCs w:val="21"/>
                <w:highlight w:val="none"/>
                <w:lang w:eastAsia="en-US"/>
              </w:rPr>
              <w:t>泄漏</w:t>
            </w:r>
          </w:p>
        </w:tc>
        <w:tc>
          <w:tcPr>
            <w:tcW w:w="5692" w:type="dxa"/>
            <w:vAlign w:val="center"/>
          </w:tcPr>
          <w:p w14:paraId="4488602D">
            <w:pPr>
              <w:pStyle w:val="47"/>
              <w:keepNext w:val="0"/>
              <w:keepLines w:val="0"/>
              <w:pageBreakBefore w:val="0"/>
              <w:kinsoku/>
              <w:wordWrap/>
              <w:overflowPunct/>
              <w:topLinePunct w:val="0"/>
              <w:autoSpaceDE/>
              <w:autoSpaceDN/>
              <w:bidi w:val="0"/>
              <w:adjustRightInd/>
              <w:snapToGrid/>
              <w:spacing w:before="0" w:beforeAutospacing="0" w:line="360" w:lineRule="exact"/>
              <w:ind w:firstLine="0" w:firstLineChars="0"/>
              <w:jc w:val="both"/>
              <w:textAlignment w:val="auto"/>
              <w:rPr>
                <w:rFonts w:hint="default" w:ascii="Times New Roman" w:hAnsi="Times New Roman" w:eastAsia="Times New Roman" w:cs="Times New Roman"/>
                <w:color w:val="auto"/>
                <w:sz w:val="21"/>
                <w:szCs w:val="21"/>
                <w:highlight w:val="none"/>
                <w:lang w:eastAsia="zh-CN"/>
              </w:rPr>
            </w:pPr>
            <w:r>
              <w:rPr>
                <w:rFonts w:hint="default" w:ascii="Times New Roman" w:hAnsi="Times New Roman" w:eastAsia="Times New Roman" w:cs="Times New Roman"/>
                <w:color w:val="auto"/>
                <w:sz w:val="21"/>
                <w:szCs w:val="21"/>
                <w:highlight w:val="none"/>
                <w:lang w:eastAsia="zh-CN"/>
              </w:rPr>
              <w:t>废水输送系统管道破裂、接头和阀门损坏易导致污水外溢，污染地表水及地下水。</w:t>
            </w:r>
          </w:p>
        </w:tc>
      </w:tr>
      <w:tr w14:paraId="65E89B5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02" w:type="dxa"/>
            <w:vAlign w:val="center"/>
          </w:tcPr>
          <w:p w14:paraId="77E99A5D">
            <w:pPr>
              <w:pStyle w:val="47"/>
              <w:keepNext w:val="0"/>
              <w:keepLines w:val="0"/>
              <w:pageBreakBefore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Times New Roman" w:cs="Times New Roman"/>
                <w:color w:val="auto"/>
                <w:sz w:val="21"/>
                <w:szCs w:val="21"/>
                <w:highlight w:val="none"/>
                <w:lang w:eastAsia="en-US"/>
              </w:rPr>
            </w:pPr>
            <w:r>
              <w:rPr>
                <w:rFonts w:hint="default" w:ascii="Times New Roman" w:hAnsi="Times New Roman" w:eastAsia="Times New Roman" w:cs="Times New Roman"/>
                <w:color w:val="auto"/>
                <w:sz w:val="21"/>
                <w:highlight w:val="none"/>
                <w:lang w:eastAsia="en-US"/>
              </w:rPr>
              <w:t>4</w:t>
            </w:r>
          </w:p>
        </w:tc>
        <w:tc>
          <w:tcPr>
            <w:tcW w:w="1075" w:type="dxa"/>
            <w:vAlign w:val="center"/>
          </w:tcPr>
          <w:p w14:paraId="02BBC973">
            <w:pPr>
              <w:pStyle w:val="47"/>
              <w:keepNext w:val="0"/>
              <w:keepLines w:val="0"/>
              <w:pageBreakBefore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Times New Roman" w:cs="Times New Roman"/>
                <w:color w:val="auto"/>
                <w:sz w:val="21"/>
                <w:szCs w:val="21"/>
                <w:highlight w:val="none"/>
                <w:lang w:eastAsia="en-US"/>
              </w:rPr>
            </w:pPr>
            <w:r>
              <w:rPr>
                <w:rFonts w:hint="default" w:ascii="Times New Roman" w:hAnsi="Times New Roman" w:eastAsia="Times New Roman" w:cs="Times New Roman"/>
                <w:color w:val="auto"/>
                <w:sz w:val="21"/>
                <w:szCs w:val="21"/>
                <w:highlight w:val="none"/>
                <w:lang w:eastAsia="en-US"/>
              </w:rPr>
              <w:t>尾矿库</w:t>
            </w:r>
          </w:p>
        </w:tc>
        <w:tc>
          <w:tcPr>
            <w:tcW w:w="1067" w:type="dxa"/>
            <w:vAlign w:val="center"/>
          </w:tcPr>
          <w:p w14:paraId="19F5FBC8">
            <w:pPr>
              <w:pStyle w:val="47"/>
              <w:keepNext w:val="0"/>
              <w:keepLines w:val="0"/>
              <w:pageBreakBefore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Times New Roman" w:cs="Times New Roman"/>
                <w:color w:val="auto"/>
                <w:sz w:val="21"/>
                <w:szCs w:val="21"/>
                <w:highlight w:val="none"/>
                <w:lang w:eastAsia="en-US"/>
              </w:rPr>
            </w:pPr>
            <w:r>
              <w:rPr>
                <w:rFonts w:hint="default" w:ascii="Times New Roman" w:hAnsi="Times New Roman" w:eastAsia="Times New Roman" w:cs="Times New Roman"/>
                <w:color w:val="auto"/>
                <w:sz w:val="21"/>
                <w:szCs w:val="21"/>
                <w:highlight w:val="none"/>
                <w:lang w:eastAsia="en-US"/>
              </w:rPr>
              <w:t>溃坝</w:t>
            </w:r>
          </w:p>
        </w:tc>
        <w:tc>
          <w:tcPr>
            <w:tcW w:w="5692" w:type="dxa"/>
            <w:vAlign w:val="center"/>
          </w:tcPr>
          <w:p w14:paraId="61EBDAEC">
            <w:pPr>
              <w:pStyle w:val="47"/>
              <w:keepNext w:val="0"/>
              <w:keepLines w:val="0"/>
              <w:pageBreakBefore w:val="0"/>
              <w:kinsoku/>
              <w:wordWrap/>
              <w:overflowPunct/>
              <w:topLinePunct w:val="0"/>
              <w:autoSpaceDE/>
              <w:autoSpaceDN/>
              <w:bidi w:val="0"/>
              <w:adjustRightInd/>
              <w:snapToGrid/>
              <w:spacing w:before="0" w:beforeAutospacing="0" w:line="360" w:lineRule="exact"/>
              <w:ind w:firstLine="0" w:firstLineChars="0"/>
              <w:jc w:val="both"/>
              <w:textAlignment w:val="auto"/>
              <w:rPr>
                <w:rFonts w:hint="default" w:ascii="Times New Roman" w:hAnsi="Times New Roman" w:eastAsia="Times New Roman" w:cs="Times New Roman"/>
                <w:color w:val="auto"/>
                <w:sz w:val="21"/>
                <w:szCs w:val="21"/>
                <w:highlight w:val="none"/>
                <w:lang w:eastAsia="zh-CN"/>
              </w:rPr>
            </w:pPr>
            <w:r>
              <w:rPr>
                <w:rFonts w:hint="default" w:ascii="Times New Roman" w:hAnsi="Times New Roman" w:eastAsia="Times New Roman" w:cs="Times New Roman"/>
                <w:color w:val="auto"/>
                <w:sz w:val="21"/>
                <w:szCs w:val="21"/>
                <w:highlight w:val="none"/>
                <w:lang w:eastAsia="zh-CN"/>
              </w:rPr>
              <w:t>排水设施堵塞或损坏、坝体裂缝、滑坡、洪水漫顶等导致的溃坝事故，污染土壤及地下水，破坏生态环境。</w:t>
            </w:r>
          </w:p>
        </w:tc>
      </w:tr>
      <w:tr w14:paraId="3263931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02" w:type="dxa"/>
            <w:vMerge w:val="restart"/>
            <w:vAlign w:val="center"/>
          </w:tcPr>
          <w:p w14:paraId="29029293">
            <w:pPr>
              <w:pStyle w:val="47"/>
              <w:keepNext w:val="0"/>
              <w:keepLines w:val="0"/>
              <w:pageBreakBefore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5</w:t>
            </w:r>
          </w:p>
        </w:tc>
        <w:tc>
          <w:tcPr>
            <w:tcW w:w="1075" w:type="dxa"/>
            <w:vMerge w:val="restart"/>
            <w:vAlign w:val="center"/>
          </w:tcPr>
          <w:p w14:paraId="1AE501AD">
            <w:pPr>
              <w:pStyle w:val="47"/>
              <w:keepNext w:val="0"/>
              <w:keepLines w:val="0"/>
              <w:pageBreakBefore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应急柴油发电</w:t>
            </w:r>
            <w:r>
              <w:rPr>
                <w:rFonts w:hint="default" w:ascii="Times New Roman" w:hAnsi="Times New Roman" w:cs="Times New Roman"/>
                <w:color w:val="auto"/>
                <w:sz w:val="21"/>
                <w:szCs w:val="21"/>
                <w:highlight w:val="none"/>
                <w:lang w:eastAsia="zh-CN"/>
              </w:rPr>
              <w:t>机</w:t>
            </w:r>
          </w:p>
        </w:tc>
        <w:tc>
          <w:tcPr>
            <w:tcW w:w="1067" w:type="dxa"/>
            <w:vAlign w:val="center"/>
          </w:tcPr>
          <w:p w14:paraId="0BC42764">
            <w:pPr>
              <w:pStyle w:val="47"/>
              <w:keepNext w:val="0"/>
              <w:keepLines w:val="0"/>
              <w:pageBreakBefore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Times New Roman" w:cs="Times New Roman"/>
                <w:color w:val="auto"/>
                <w:sz w:val="21"/>
                <w:szCs w:val="21"/>
                <w:highlight w:val="none"/>
                <w:lang w:eastAsia="en-US"/>
              </w:rPr>
            </w:pPr>
            <w:r>
              <w:rPr>
                <w:rFonts w:hint="default" w:ascii="Times New Roman" w:hAnsi="Times New Roman" w:eastAsia="Times New Roman" w:cs="Times New Roman"/>
                <w:color w:val="auto"/>
                <w:sz w:val="21"/>
                <w:szCs w:val="21"/>
                <w:highlight w:val="none"/>
                <w:lang w:eastAsia="en-US"/>
              </w:rPr>
              <w:t>泄漏</w:t>
            </w:r>
          </w:p>
        </w:tc>
        <w:tc>
          <w:tcPr>
            <w:tcW w:w="5692" w:type="dxa"/>
            <w:vAlign w:val="center"/>
          </w:tcPr>
          <w:p w14:paraId="3433657A">
            <w:pPr>
              <w:pStyle w:val="47"/>
              <w:keepNext w:val="0"/>
              <w:keepLines w:val="0"/>
              <w:pageBreakBefore w:val="0"/>
              <w:kinsoku/>
              <w:wordWrap/>
              <w:overflowPunct/>
              <w:topLinePunct w:val="0"/>
              <w:autoSpaceDE/>
              <w:autoSpaceDN/>
              <w:bidi w:val="0"/>
              <w:adjustRightInd/>
              <w:snapToGrid/>
              <w:spacing w:before="0" w:beforeAutospacing="0" w:line="360" w:lineRule="exact"/>
              <w:ind w:firstLine="0" w:firstLineChars="0"/>
              <w:jc w:val="both"/>
              <w:textAlignment w:val="auto"/>
              <w:rPr>
                <w:rFonts w:hint="default" w:ascii="Times New Roman" w:hAnsi="Times New Roman" w:eastAsia="Times New Roman" w:cs="Times New Roman"/>
                <w:color w:val="auto"/>
                <w:sz w:val="21"/>
                <w:szCs w:val="21"/>
                <w:highlight w:val="none"/>
                <w:lang w:eastAsia="zh-CN"/>
              </w:rPr>
            </w:pPr>
            <w:r>
              <w:rPr>
                <w:rFonts w:hint="default" w:ascii="Times New Roman" w:hAnsi="Times New Roman" w:eastAsia="Times New Roman" w:cs="Times New Roman"/>
                <w:color w:val="auto"/>
                <w:sz w:val="21"/>
                <w:szCs w:val="21"/>
                <w:highlight w:val="none"/>
                <w:lang w:eastAsia="zh-CN"/>
              </w:rPr>
              <w:t>泄漏柴油收集处置措施不当，直接外排，污染地表水；泄漏柴油收集处置措施不当，流入土壤，污染土壤及地下水；用于收集吸附泄漏柴油的吸收吸附材料后期处理处置不当，污染环境；洗消被泄漏柴油污染的地面过程中产生的洗消废水直接外排，污染地表水；洗消被泄漏柴油污染的地面过程中产生的洗消废水流入土壤，污染土壤及地下水。</w:t>
            </w:r>
          </w:p>
        </w:tc>
      </w:tr>
      <w:tr w14:paraId="47A5DF5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02" w:type="dxa"/>
            <w:vMerge w:val="continue"/>
            <w:vAlign w:val="center"/>
          </w:tcPr>
          <w:p w14:paraId="66AE4F15">
            <w:pPr>
              <w:pStyle w:val="47"/>
              <w:keepNext w:val="0"/>
              <w:keepLines w:val="0"/>
              <w:pageBreakBefore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sz w:val="21"/>
                <w:highlight w:val="none"/>
                <w:lang w:val="en-US" w:eastAsia="zh-CN"/>
              </w:rPr>
            </w:pPr>
          </w:p>
        </w:tc>
        <w:tc>
          <w:tcPr>
            <w:tcW w:w="1075" w:type="dxa"/>
            <w:vMerge w:val="continue"/>
            <w:vAlign w:val="center"/>
          </w:tcPr>
          <w:p w14:paraId="2E56005A">
            <w:pPr>
              <w:pStyle w:val="47"/>
              <w:keepNext w:val="0"/>
              <w:keepLines w:val="0"/>
              <w:pageBreakBefore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067" w:type="dxa"/>
            <w:vAlign w:val="center"/>
          </w:tcPr>
          <w:p w14:paraId="3DC5FFFE">
            <w:pPr>
              <w:pStyle w:val="47"/>
              <w:keepNext w:val="0"/>
              <w:keepLines w:val="0"/>
              <w:pageBreakBefore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Times New Roman" w:cs="Times New Roman"/>
                <w:color w:val="auto"/>
                <w:sz w:val="21"/>
                <w:szCs w:val="21"/>
                <w:highlight w:val="none"/>
                <w:lang w:eastAsia="en-US"/>
              </w:rPr>
            </w:pPr>
            <w:r>
              <w:rPr>
                <w:rFonts w:hint="default" w:ascii="Times New Roman" w:hAnsi="Times New Roman" w:eastAsia="Times New Roman" w:cs="Times New Roman"/>
                <w:color w:val="auto"/>
                <w:sz w:val="21"/>
                <w:szCs w:val="21"/>
                <w:highlight w:val="none"/>
                <w:lang w:eastAsia="en-US"/>
              </w:rPr>
              <w:t>火灾</w:t>
            </w:r>
          </w:p>
        </w:tc>
        <w:tc>
          <w:tcPr>
            <w:tcW w:w="5692" w:type="dxa"/>
            <w:vAlign w:val="center"/>
          </w:tcPr>
          <w:p w14:paraId="7F7F558A">
            <w:pPr>
              <w:pStyle w:val="47"/>
              <w:keepNext w:val="0"/>
              <w:keepLines w:val="0"/>
              <w:pageBreakBefore w:val="0"/>
              <w:kinsoku/>
              <w:wordWrap/>
              <w:overflowPunct/>
              <w:topLinePunct w:val="0"/>
              <w:autoSpaceDE/>
              <w:autoSpaceDN/>
              <w:bidi w:val="0"/>
              <w:adjustRightInd/>
              <w:snapToGrid/>
              <w:spacing w:before="0" w:beforeAutospacing="0" w:line="360" w:lineRule="exact"/>
              <w:ind w:firstLine="0" w:firstLineChars="0"/>
              <w:jc w:val="both"/>
              <w:textAlignment w:val="auto"/>
              <w:rPr>
                <w:rFonts w:hint="default" w:ascii="Times New Roman" w:hAnsi="Times New Roman" w:eastAsia="Times New Roman" w:cs="Times New Roman"/>
                <w:color w:val="auto"/>
                <w:sz w:val="21"/>
                <w:szCs w:val="21"/>
                <w:highlight w:val="none"/>
                <w:lang w:eastAsia="zh-CN"/>
              </w:rPr>
            </w:pPr>
            <w:r>
              <w:rPr>
                <w:rFonts w:hint="default" w:ascii="Times New Roman" w:hAnsi="Times New Roman" w:eastAsia="Times New Roman" w:cs="Times New Roman"/>
                <w:color w:val="auto"/>
                <w:sz w:val="21"/>
                <w:szCs w:val="21"/>
                <w:highlight w:val="none"/>
                <w:lang w:eastAsia="zh-CN"/>
              </w:rPr>
              <w:t>可燃物质燃烧产生的烟尘、一氧化碳等污染物污染周围大气环境；可燃物质燃烧消防过程中产生的消防废水处置不当，直接外排，污染地表水；可燃物质燃烧消防过程中产生的消防废水处置不当，流入土壤，污染土壤及地下水。</w:t>
            </w:r>
          </w:p>
        </w:tc>
      </w:tr>
      <w:tr w14:paraId="2C314C1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02" w:type="dxa"/>
            <w:vMerge w:val="continue"/>
            <w:vAlign w:val="center"/>
          </w:tcPr>
          <w:p w14:paraId="57966FCD">
            <w:pPr>
              <w:pStyle w:val="47"/>
              <w:keepNext w:val="0"/>
              <w:keepLines w:val="0"/>
              <w:pageBreakBefore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sz w:val="21"/>
                <w:highlight w:val="none"/>
                <w:lang w:val="en-US" w:eastAsia="zh-CN"/>
              </w:rPr>
            </w:pPr>
          </w:p>
        </w:tc>
        <w:tc>
          <w:tcPr>
            <w:tcW w:w="1075" w:type="dxa"/>
            <w:vMerge w:val="continue"/>
            <w:vAlign w:val="center"/>
          </w:tcPr>
          <w:p w14:paraId="4E5BF7FE">
            <w:pPr>
              <w:pStyle w:val="47"/>
              <w:keepNext w:val="0"/>
              <w:keepLines w:val="0"/>
              <w:pageBreakBefore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067" w:type="dxa"/>
            <w:vAlign w:val="center"/>
          </w:tcPr>
          <w:p w14:paraId="1B5A77F3">
            <w:pPr>
              <w:pStyle w:val="47"/>
              <w:keepNext w:val="0"/>
              <w:keepLines w:val="0"/>
              <w:pageBreakBefore w:val="0"/>
              <w:kinsoku/>
              <w:wordWrap/>
              <w:overflowPunct/>
              <w:topLinePunct w:val="0"/>
              <w:autoSpaceDE/>
              <w:autoSpaceDN/>
              <w:bidi w:val="0"/>
              <w:adjustRightInd/>
              <w:snapToGrid/>
              <w:spacing w:before="0" w:beforeAutospacing="0" w:line="360" w:lineRule="exact"/>
              <w:ind w:firstLine="0" w:firstLineChars="0"/>
              <w:jc w:val="center"/>
              <w:textAlignment w:val="auto"/>
              <w:rPr>
                <w:rFonts w:hint="default" w:ascii="Times New Roman" w:hAnsi="Times New Roman" w:eastAsia="Times New Roman" w:cs="Times New Roman"/>
                <w:color w:val="auto"/>
                <w:sz w:val="21"/>
                <w:szCs w:val="21"/>
                <w:highlight w:val="none"/>
                <w:lang w:eastAsia="en-US"/>
              </w:rPr>
            </w:pPr>
            <w:r>
              <w:rPr>
                <w:rFonts w:hint="default" w:ascii="Times New Roman" w:hAnsi="Times New Roman" w:eastAsia="Times New Roman" w:cs="Times New Roman"/>
                <w:color w:val="auto"/>
                <w:sz w:val="21"/>
                <w:szCs w:val="21"/>
                <w:highlight w:val="none"/>
                <w:lang w:eastAsia="en-US"/>
              </w:rPr>
              <w:t>爆炸</w:t>
            </w:r>
          </w:p>
        </w:tc>
        <w:tc>
          <w:tcPr>
            <w:tcW w:w="5692" w:type="dxa"/>
            <w:vAlign w:val="center"/>
          </w:tcPr>
          <w:p w14:paraId="3F8D8E09">
            <w:pPr>
              <w:pStyle w:val="47"/>
              <w:keepNext w:val="0"/>
              <w:keepLines w:val="0"/>
              <w:pageBreakBefore w:val="0"/>
              <w:kinsoku/>
              <w:wordWrap/>
              <w:overflowPunct/>
              <w:topLinePunct w:val="0"/>
              <w:autoSpaceDE/>
              <w:autoSpaceDN/>
              <w:bidi w:val="0"/>
              <w:adjustRightInd/>
              <w:snapToGrid/>
              <w:spacing w:before="0" w:beforeAutospacing="0" w:line="360" w:lineRule="exact"/>
              <w:ind w:firstLine="0" w:firstLineChars="0"/>
              <w:jc w:val="both"/>
              <w:textAlignment w:val="auto"/>
              <w:rPr>
                <w:rFonts w:hint="default" w:ascii="Times New Roman" w:hAnsi="Times New Roman" w:eastAsia="Times New Roman" w:cs="Times New Roman"/>
                <w:color w:val="auto"/>
                <w:sz w:val="21"/>
                <w:szCs w:val="21"/>
                <w:highlight w:val="none"/>
                <w:lang w:eastAsia="zh-CN"/>
              </w:rPr>
            </w:pPr>
            <w:r>
              <w:rPr>
                <w:rFonts w:hint="default" w:ascii="Times New Roman" w:hAnsi="Times New Roman" w:eastAsia="Times New Roman" w:cs="Times New Roman"/>
                <w:color w:val="auto"/>
                <w:sz w:val="21"/>
                <w:szCs w:val="21"/>
                <w:highlight w:val="none"/>
                <w:lang w:eastAsia="zh-CN"/>
              </w:rPr>
              <w:t>可燃物质爆炸后柴油燃烧产生的烟尘、一氧化碳等污染物污染周围大气环境；可燃物质爆炸后泄漏柴油直接外排，污染地表水；可燃物质爆炸后泄漏柴油流入土壤，污染土壤及地下水。</w:t>
            </w:r>
          </w:p>
        </w:tc>
      </w:tr>
    </w:tbl>
    <w:p w14:paraId="47C27D88">
      <w:pPr>
        <w:keepNext/>
        <w:keepLines/>
        <w:spacing w:before="60" w:after="60"/>
        <w:ind w:firstLine="0" w:firstLineChars="0"/>
        <w:outlineLvl w:val="2"/>
        <w:rPr>
          <w:rFonts w:hint="default" w:ascii="Times New Roman" w:hAnsi="Times New Roman" w:cs="Times New Roman"/>
          <w:b/>
          <w:bCs/>
          <w:color w:val="auto"/>
          <w:sz w:val="30"/>
          <w:szCs w:val="32"/>
          <w:highlight w:val="none"/>
        </w:rPr>
      </w:pPr>
      <w:r>
        <w:rPr>
          <w:rFonts w:hint="default" w:ascii="Times New Roman" w:hAnsi="Times New Roman" w:cs="Times New Roman"/>
          <w:b/>
          <w:bCs/>
          <w:color w:val="auto"/>
          <w:sz w:val="30"/>
          <w:szCs w:val="32"/>
          <w:highlight w:val="none"/>
        </w:rPr>
        <w:t>5.3.4环境风险影响评价</w:t>
      </w:r>
    </w:p>
    <w:p w14:paraId="5B9A80C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（1）火灾事故环境空气影响分析</w:t>
      </w:r>
    </w:p>
    <w:p w14:paraId="1321A61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物料发生火灾时</w:t>
      </w:r>
      <w:r>
        <w:rPr>
          <w:rFonts w:hint="eastAsia" w:cs="Times New Roman"/>
          <w:color w:val="auto"/>
          <w:highlight w:val="none"/>
          <w:lang w:eastAsia="zh-CN"/>
        </w:rPr>
        <w:t>释放</w:t>
      </w:r>
      <w:r>
        <w:rPr>
          <w:rFonts w:hint="default" w:ascii="Times New Roman" w:hAnsi="Times New Roman" w:cs="Times New Roman"/>
          <w:color w:val="auto"/>
          <w:highlight w:val="none"/>
        </w:rPr>
        <w:t>出大量辐射热，同时还散发出大量的浓烟，浓烟是由燃烧物质释放出的高温蒸汽和毒气、被分解和凝聚的未燃烧物质、被火焰加热而带入上升气流中的大量空气等多种物质组成。它不但含有大量的热量，而且含有毒气体和弥散的固体微粒。因此浓烟对火场周围人员的生命安全危害程度远超过火灾本身，并对周围的大气环境质量造成很大的污染和破坏。</w:t>
      </w:r>
    </w:p>
    <w:p w14:paraId="6E88E2E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（2）化学品运输风险影响</w:t>
      </w:r>
    </w:p>
    <w:p w14:paraId="013DD06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运输危险物品的车辆是一个流动的危险源，本项目运输</w:t>
      </w:r>
      <w:r>
        <w:rPr>
          <w:rFonts w:hint="default" w:ascii="Times New Roman" w:hAnsi="Times New Roman" w:cs="Times New Roman"/>
          <w:color w:val="auto"/>
          <w:highlight w:val="none"/>
          <w:lang w:eastAsia="zh-CN" w:bidi="ar"/>
        </w:rPr>
        <w:t>化学品</w:t>
      </w:r>
      <w:r>
        <w:rPr>
          <w:rFonts w:hint="default" w:ascii="Times New Roman" w:hAnsi="Times New Roman" w:cs="Times New Roman"/>
          <w:color w:val="auto"/>
          <w:highlight w:val="none"/>
        </w:rPr>
        <w:t>的车辆，一旦发生事故，造成危险品泄漏，可能造成事故发生地地表水体、土壤的污染。本项目危险品运输量较小，可能造成的化学品运输风险较小。</w:t>
      </w:r>
    </w:p>
    <w:p w14:paraId="561AB72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（3）风险事故水环境影响分析</w:t>
      </w:r>
    </w:p>
    <w:p w14:paraId="1920BF3E">
      <w:pPr>
        <w:overflowPunct w:val="0"/>
        <w:topLinePunct/>
        <w:ind w:firstLine="480"/>
        <w:rPr>
          <w:rFonts w:hint="default" w:ascii="Times New Roman" w:hAnsi="Times New Roman" w:cs="Times New Roman"/>
          <w:color w:val="auto"/>
          <w:highlight w:val="none"/>
        </w:rPr>
      </w:pPr>
      <w:r>
        <w:rPr>
          <w:rFonts w:hint="eastAsia" w:cs="Times New Roman"/>
          <w:color w:val="auto"/>
          <w:highlight w:val="none"/>
          <w:lang w:eastAsia="zh-CN"/>
        </w:rPr>
        <w:t>项目</w:t>
      </w:r>
      <w:r>
        <w:rPr>
          <w:rFonts w:hint="default" w:ascii="Times New Roman" w:hAnsi="Times New Roman" w:cs="Times New Roman"/>
          <w:color w:val="auto"/>
          <w:highlight w:val="none"/>
        </w:rPr>
        <w:t>区内火灾除对空气会造成一定影响外，采用雾状水作灭火剂时，消防水处理不当也会对地表水体造成影响。因此，建设单位在运营时既要充分考虑火灾对大气的影响，又要特别重视事故处理过程中消防水的收集和处理问题，防止因火灾对周围水体造成二次污染。</w:t>
      </w:r>
    </w:p>
    <w:p w14:paraId="5F0AE61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项目区不处于饮用水源保护区，地下水为</w:t>
      </w:r>
      <w:r>
        <w:rPr>
          <w:rFonts w:hint="eastAsia" w:cs="Times New Roman"/>
          <w:color w:val="auto"/>
          <w:highlight w:val="none"/>
          <w:lang w:eastAsia="zh-CN"/>
        </w:rPr>
        <w:t>Ⅲ类</w:t>
      </w:r>
      <w:r>
        <w:rPr>
          <w:rFonts w:hint="default" w:ascii="Times New Roman" w:hAnsi="Times New Roman" w:cs="Times New Roman"/>
          <w:color w:val="auto"/>
          <w:highlight w:val="none"/>
        </w:rPr>
        <w:t>，不属于敏感区，项目运行后采用公路运输。因此，只对风险事故发生后产生的水环境影响进行分析。</w:t>
      </w:r>
    </w:p>
    <w:p w14:paraId="7D94148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（4）对地下水的风险影响分析</w:t>
      </w:r>
    </w:p>
    <w:p w14:paraId="5BC6256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各</w:t>
      </w:r>
      <w:r>
        <w:rPr>
          <w:rFonts w:hint="default" w:ascii="Times New Roman" w:hAnsi="Times New Roman" w:cs="Times New Roman"/>
          <w:color w:val="auto"/>
          <w:highlight w:val="none"/>
        </w:rPr>
        <w:t>水池、选矿车间、管道等一旦发生泄漏事故，如不能收集进入回水池，选矿水可能通过下渗污染地下水。</w:t>
      </w:r>
      <w:r>
        <w:rPr>
          <w:rFonts w:hint="default" w:ascii="Times New Roman" w:hAnsi="Times New Roman" w:cs="Times New Roman"/>
          <w:color w:val="auto"/>
          <w:spacing w:val="-4"/>
          <w:highlight w:val="none"/>
        </w:rPr>
        <w:t>本项目在生产过程中，一旦发生火灾等事故，在处理过程中，消防水会携带大量粉尘形成有悬浮物的废水，由于消防用水瞬时量比较大，悬浮物含量也较高，任其漫流会导致</w:t>
      </w:r>
      <w:r>
        <w:rPr>
          <w:rFonts w:hint="default" w:ascii="Times New Roman" w:hAnsi="Times New Roman" w:cs="Times New Roman"/>
          <w:color w:val="auto"/>
          <w:spacing w:val="-85"/>
          <w:highlight w:val="none"/>
        </w:rPr>
        <w:t xml:space="preserve"> </w:t>
      </w:r>
      <w:r>
        <w:rPr>
          <w:rFonts w:hint="default" w:ascii="Times New Roman" w:hAnsi="Times New Roman" w:cs="Times New Roman"/>
          <w:color w:val="auto"/>
          <w:highlight w:val="none"/>
        </w:rPr>
        <w:t>污水污染地下水水质。项目区内事故废水统一收集至事故水池，因此，如项目区发生事故时，基本不会对地下水造成污染。</w:t>
      </w:r>
    </w:p>
    <w:p w14:paraId="041B914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（5）事故废水防控体系的风险影响分析</w:t>
      </w:r>
    </w:p>
    <w:p w14:paraId="42EC9906">
      <w:pPr>
        <w:overflowPunct w:val="0"/>
        <w:topLinePunct/>
        <w:ind w:firstLine="464"/>
        <w:rPr>
          <w:rFonts w:hint="default" w:ascii="Times New Roman" w:hAnsi="Times New Roman" w:cs="Times New Roman"/>
          <w:color w:val="auto"/>
          <w:highlight w:val="none"/>
        </w:rPr>
      </w:pPr>
      <w:r>
        <w:rPr>
          <w:rFonts w:hint="default" w:ascii="Times New Roman" w:hAnsi="Times New Roman" w:cs="Times New Roman"/>
          <w:color w:val="auto"/>
          <w:spacing w:val="-4"/>
          <w:highlight w:val="none"/>
        </w:rPr>
        <w:t>火灾等事故发生时，企业应建立完善的事故废水防控体系，确保消防废水及泄漏物料得到有效收集，防止漫流对外环境造成污染。重点在于防止废水通过地面漫流或垂直下渗污染土壤及地下水。具体措施包括：在生产储运区、危废贮存点等潜在泄漏源周围设置围堰或导流沟，确保事故状态下泄漏物料及消防废水能够被有效围堵并顺势导入厂区设置的事故池（选矿车间外240m</w:t>
      </w:r>
      <w:r>
        <w:rPr>
          <w:rFonts w:hint="eastAsia" w:cs="Times New Roman"/>
          <w:color w:val="auto"/>
          <w:spacing w:val="-4"/>
          <w:highlight w:val="none"/>
          <w:vertAlign w:val="superscript"/>
          <w:lang w:val="en-US" w:eastAsia="zh-CN"/>
        </w:rPr>
        <w:t>3</w:t>
      </w:r>
      <w:r>
        <w:rPr>
          <w:rFonts w:hint="default" w:ascii="Times New Roman" w:hAnsi="Times New Roman" w:cs="Times New Roman"/>
          <w:color w:val="auto"/>
          <w:spacing w:val="-4"/>
          <w:highlight w:val="none"/>
        </w:rPr>
        <w:t>，尾矿库区350m</w:t>
      </w:r>
      <w:r>
        <w:rPr>
          <w:rFonts w:hint="eastAsia" w:cs="Times New Roman"/>
          <w:color w:val="auto"/>
          <w:spacing w:val="-4"/>
          <w:highlight w:val="none"/>
          <w:vertAlign w:val="superscript"/>
          <w:lang w:val="en-US" w:eastAsia="zh-CN"/>
        </w:rPr>
        <w:t>3</w:t>
      </w:r>
      <w:r>
        <w:rPr>
          <w:rFonts w:hint="default" w:ascii="Times New Roman" w:hAnsi="Times New Roman" w:cs="Times New Roman"/>
          <w:color w:val="auto"/>
          <w:spacing w:val="-4"/>
          <w:highlight w:val="none"/>
        </w:rPr>
        <w:t>）暂存，严禁废水未经处理直接外排；事故结束后，应对事故池内收集的废水进行检测，根据水质情况送至选矿生产系统回用或委托有资质的单位处置。同时，企业应定期检查围堰、导流沟及事故池的完好性，将其纳入全厂突发环境事件应急预案体系，并定期组织演练，确保事故废水得到有效控制，避免对周边土壤和地下水环境造成二次污染。</w:t>
      </w:r>
    </w:p>
    <w:p w14:paraId="3B08496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（6）洪水环境风险影响分析</w:t>
      </w:r>
    </w:p>
    <w:p w14:paraId="07F1D83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库内排洪设施为溢洪道，建设在东北侧坝体坝面，溢洪道垂直坝轴线布置，在坝体填筑完成后开槽建设。共两期，随坝体分期设置，一期进口标高1178m，二期进口标高1185m。溢洪道采用钢筋混凝土结构，过水断面为矩形，B×H=2m×1m。溢洪道坝顶控制段纵向最小坡度1.0%。溢洪道出口设消力池，消力池尺寸为L×B×H=5m×3m×2m，消力池为钢筋混凝土结构。库内设浮船泵站或浮体泵，用于尾矿库回水，降低库水位。尾矿库严格按照设计方案进行建设则不存在洪水漫库的环境风险。</w:t>
      </w:r>
    </w:p>
    <w:p w14:paraId="67303C9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（7）尾矿库溃坝的风险影响分析</w:t>
      </w:r>
    </w:p>
    <w:p w14:paraId="2F55CA4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溃坝是在蠕变拉裂</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剪断复合机制下形成的，在重力和残余剪切强度作用下，自坡脚区材料强度破坏开始，缓慢累进性破坏，其过程初为坡脚蠕变，接着沿接裂扩张，然后中部剪断贯通，当贯通剪断面形成时，斜坡开始高速滑动，与此相应，溃坝过程由静止、加速并达到整体滑动的最大速度，其后滑体自后部至前锋依次减速构成，溃坝过程往往在几分钟内完成。溃坝液体下泄时一般以涌波形式运动，涌波的高度是不断变化的，同时逐渐向下游形成扇形流推进，最后流进附近地势较低处，溃坝对下游区域生态环境会造成一定影响。</w:t>
      </w:r>
    </w:p>
    <w:p w14:paraId="592323E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根据《尾矿库环境风险评估技术导则（试行）》（HJ740-2015），确定项目为一般风险源，根据附录B、附录D，确定项目环境危险因素主要为坝体的溃坝风险。</w:t>
      </w:r>
    </w:p>
    <w:p w14:paraId="048AB41B">
      <w:pPr>
        <w:overflowPunct w:val="0"/>
        <w:topLinePunct/>
        <w:ind w:firstLine="48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尾矿库溃坝影响预测</w:t>
      </w:r>
      <w:r>
        <w:rPr>
          <w:rFonts w:hint="default" w:ascii="Times New Roman" w:hAnsi="Times New Roman" w:cs="Times New Roman"/>
          <w:color w:val="auto"/>
          <w:highlight w:val="none"/>
          <w:lang w:eastAsia="zh-CN"/>
        </w:rPr>
        <w:t>：</w:t>
      </w:r>
    </w:p>
    <w:p w14:paraId="7E9A277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根据《新疆嘉西矿业有限公司哈密市伊州区雅满苏镇M1033萤石矿</w:t>
      </w:r>
      <w:r>
        <w:rPr>
          <w:rFonts w:hint="eastAsia" w:cs="Times New Roman"/>
          <w:color w:val="auto"/>
          <w:highlight w:val="none"/>
          <w:lang w:val="en-US" w:eastAsia="zh-CN"/>
        </w:rPr>
        <w:t>60</w:t>
      </w:r>
      <w:r>
        <w:rPr>
          <w:rFonts w:hint="default" w:ascii="Times New Roman" w:hAnsi="Times New Roman" w:cs="Times New Roman"/>
          <w:color w:val="auto"/>
          <w:highlight w:val="none"/>
        </w:rPr>
        <w:t>万t/a建设项目尾矿库可行性研究报告》，本项目尾矿库为平地四面筑坝型，总库容102万m</w:t>
      </w:r>
      <w:r>
        <w:rPr>
          <w:rFonts w:hint="eastAsia"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，总坝高16m，等别为四等。尾矿库溃坝情景为尾矿坝堆满时溃坝。</w:t>
      </w:r>
    </w:p>
    <w:p w14:paraId="4376305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A、溃口宽度</w:t>
      </w:r>
    </w:p>
    <w:p w14:paraId="3FD2DF2D">
      <w:pPr>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b=0.1</w:t>
      </w:r>
      <w:r>
        <w:rPr>
          <w:rFonts w:hint="eastAsia" w:ascii="Times New Roman" w:hAnsi="Times New Roman" w:cs="Times New Roman"/>
          <w:color w:val="auto"/>
          <w:highlight w:val="none"/>
          <w:lang w:eastAsia="zh-CN"/>
        </w:rPr>
        <w:t>kW</w:t>
      </w:r>
      <w:r>
        <w:rPr>
          <w:rFonts w:hint="default" w:ascii="Times New Roman" w:hAnsi="Times New Roman" w:cs="Times New Roman"/>
          <w:color w:val="auto"/>
          <w:highlight w:val="none"/>
          <w:vertAlign w:val="superscript"/>
        </w:rPr>
        <w:t>0.25</w:t>
      </w:r>
      <w:r>
        <w:rPr>
          <w:rFonts w:hint="default" w:ascii="Times New Roman" w:hAnsi="Times New Roman" w:cs="Times New Roman"/>
          <w:color w:val="auto"/>
          <w:highlight w:val="none"/>
        </w:rPr>
        <w:t>B</w:t>
      </w:r>
      <w:r>
        <w:rPr>
          <w:rFonts w:hint="default" w:ascii="Times New Roman" w:hAnsi="Times New Roman" w:cs="Times New Roman"/>
          <w:color w:val="auto"/>
          <w:highlight w:val="none"/>
          <w:vertAlign w:val="superscript"/>
        </w:rPr>
        <w:t>0.25</w:t>
      </w: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perscript"/>
        </w:rPr>
        <w:t>0.5</w:t>
      </w:r>
      <w:r>
        <w:rPr>
          <w:rFonts w:hint="default" w:ascii="Times New Roman" w:hAnsi="Times New Roman" w:cs="Times New Roman"/>
          <w:color w:val="auto"/>
          <w:highlight w:val="none"/>
        </w:rPr>
        <w:t>（黄河水利委员会经验公式）</w:t>
      </w:r>
    </w:p>
    <w:p w14:paraId="0A288D00">
      <w:pPr>
        <w:adjustRightInd w:val="0"/>
        <w:snapToGrid w:val="0"/>
        <w:spacing w:line="460" w:lineRule="atLeast"/>
        <w:ind w:firstLine="48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上式中，W—下泄尾砂量，取有效库容的50%。</w:t>
      </w:r>
    </w:p>
    <w:p w14:paraId="07B3FBDA">
      <w:pPr>
        <w:adjustRightInd w:val="0"/>
        <w:snapToGrid w:val="0"/>
        <w:spacing w:line="460" w:lineRule="atLeast"/>
        <w:ind w:firstLine="1440" w:firstLineChars="60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B—坝顶长度，取下游主坝长度400m（根据总轴线长1446.6m及地形估算）；</w:t>
      </w:r>
    </w:p>
    <w:p w14:paraId="58F9CC83">
      <w:pPr>
        <w:adjustRightInd w:val="0"/>
        <w:snapToGrid w:val="0"/>
        <w:spacing w:line="460" w:lineRule="atLeast"/>
        <w:ind w:firstLine="1440" w:firstLineChars="60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H—坝高，取16m。</w:t>
      </w:r>
    </w:p>
    <w:p w14:paraId="38B5E79C">
      <w:pPr>
        <w:adjustRightInd w:val="0"/>
        <w:snapToGrid w:val="0"/>
        <w:spacing w:line="460" w:lineRule="atLeast"/>
        <w:ind w:firstLine="1440" w:firstLineChars="60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K—与坝体土质有关的经验系数，粘土取0.65。</w:t>
      </w:r>
    </w:p>
    <w:p w14:paraId="7E1B0551">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经计算，b=</w:t>
      </w:r>
      <w:r>
        <w:rPr>
          <w:rFonts w:hint="eastAsia" w:ascii="Times New Roman" w:hAnsi="Times New Roman" w:cs="Times New Roman"/>
          <w:color w:val="auto"/>
          <w:highlight w:val="none"/>
          <w:lang w:val="en-US" w:eastAsia="zh-CN"/>
        </w:rPr>
        <w:t>29.5</w:t>
      </w:r>
      <w:r>
        <w:rPr>
          <w:rFonts w:hint="default" w:ascii="Times New Roman" w:hAnsi="Times New Roman" w:cs="Times New Roman"/>
          <w:color w:val="auto"/>
          <w:highlight w:val="none"/>
        </w:rPr>
        <w:t>m。即极端天气下，尾矿库瞬间溃坝口宽度为</w:t>
      </w:r>
      <w:r>
        <w:rPr>
          <w:rFonts w:hint="eastAsia" w:ascii="Times New Roman" w:hAnsi="Times New Roman" w:cs="Times New Roman"/>
          <w:color w:val="auto"/>
          <w:highlight w:val="none"/>
          <w:lang w:val="en-US" w:eastAsia="zh-CN"/>
        </w:rPr>
        <w:t>29.5</w:t>
      </w:r>
      <w:r>
        <w:rPr>
          <w:rFonts w:hint="default" w:ascii="Times New Roman" w:hAnsi="Times New Roman" w:cs="Times New Roman"/>
          <w:color w:val="auto"/>
          <w:highlight w:val="none"/>
        </w:rPr>
        <w:t>m。</w:t>
      </w:r>
    </w:p>
    <w:p w14:paraId="2567CA6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B、最大下泄流量</w:t>
      </w:r>
    </w:p>
    <w:p w14:paraId="4ABD6E3A">
      <w:pPr>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position w:val="-28"/>
          <w:highlight w:val="none"/>
        </w:rPr>
        <w:object>
          <v:shape id="_x0000_i1032" o:spt="75" type="#_x0000_t75" style="height:36pt;width:128.55pt;" o:ole="t" filled="f" o:preferrelative="t" stroked="f" coordsize="21600,21600">
            <v:path/>
            <v:fill on="f" focussize="0,0"/>
            <v:stroke on="f" joinstyle="miter"/>
            <v:imagedata r:id="rId55" o:title=""/>
            <o:lock v:ext="edit" aspectratio="t"/>
            <w10:wrap type="none"/>
            <w10:anchorlock/>
          </v:shape>
          <o:OLEObject Type="Embed" ProgID="Equation.3" ShapeID="_x0000_i1032" DrawAspect="Content" ObjectID="_1468075734" r:id="rId54">
            <o:LockedField>false</o:LockedField>
          </o:OLEObject>
        </w:object>
      </w:r>
    </w:p>
    <w:p w14:paraId="3FBFB88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式中：b——溃口宽度，</w:t>
      </w:r>
      <w:r>
        <w:rPr>
          <w:rFonts w:hint="default" w:ascii="Times New Roman" w:hAnsi="Times New Roman" w:cs="Times New Roman" w:eastAsiaTheme="minorEastAsia"/>
          <w:color w:val="auto"/>
          <w:highlight w:val="none"/>
        </w:rPr>
        <w:t>尾矿库为</w:t>
      </w:r>
      <w:r>
        <w:rPr>
          <w:rFonts w:hint="eastAsia" w:ascii="Times New Roman" w:hAnsi="Times New Roman" w:cs="Times New Roman"/>
          <w:color w:val="auto"/>
          <w:highlight w:val="none"/>
          <w:lang w:val="en-US" w:eastAsia="zh-CN"/>
        </w:rPr>
        <w:t>29.5</w:t>
      </w:r>
      <w:r>
        <w:rPr>
          <w:rFonts w:hint="default" w:ascii="Times New Roman" w:hAnsi="Times New Roman" w:cs="Times New Roman"/>
          <w:color w:val="auto"/>
          <w:highlight w:val="none"/>
        </w:rPr>
        <w:t>m</w:t>
      </w:r>
      <w:r>
        <w:rPr>
          <w:rFonts w:hint="default" w:ascii="Times New Roman" w:hAnsi="Times New Roman" w:cs="Times New Roman" w:eastAsiaTheme="minorEastAsia"/>
          <w:color w:val="auto"/>
          <w:highlight w:val="none"/>
        </w:rPr>
        <w:t>；</w:t>
      </w:r>
    </w:p>
    <w:p w14:paraId="112E29C4">
      <w:pPr>
        <w:overflowPunct w:val="0"/>
        <w:topLinePunct/>
        <w:ind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t>B——尾矿库主坝长度，</w:t>
      </w:r>
      <w:r>
        <w:rPr>
          <w:rFonts w:hint="eastAsia" w:ascii="Times New Roman" w:hAnsi="Times New Roman" w:cs="Times New Roman" w:eastAsiaTheme="minorEastAsia"/>
          <w:color w:val="auto"/>
          <w:highlight w:val="none"/>
          <w:lang w:val="en-US" w:eastAsia="zh-CN"/>
        </w:rPr>
        <w:t>取400</w:t>
      </w:r>
      <w:r>
        <w:rPr>
          <w:rFonts w:hint="default" w:ascii="Times New Roman" w:hAnsi="Times New Roman" w:cs="Times New Roman" w:eastAsiaTheme="minorEastAsia"/>
          <w:color w:val="auto"/>
          <w:highlight w:val="none"/>
        </w:rPr>
        <w:t>m</w:t>
      </w:r>
      <w:r>
        <w:rPr>
          <w:rFonts w:hint="default" w:ascii="Times New Roman" w:hAnsi="Times New Roman" w:cs="Times New Roman"/>
          <w:color w:val="auto"/>
          <w:highlight w:val="none"/>
        </w:rPr>
        <w:t>；</w:t>
      </w:r>
    </w:p>
    <w:p w14:paraId="6EC777B0">
      <w:pPr>
        <w:overflowPunct w:val="0"/>
        <w:topLinePunct/>
        <w:ind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t>G——重力加速度，9.8</w:t>
      </w:r>
      <w:r>
        <w:rPr>
          <w:rFonts w:hint="default" w:ascii="Times New Roman" w:hAnsi="Times New Roman" w:cs="Times New Roman" w:eastAsiaTheme="minorEastAsia"/>
          <w:color w:val="auto"/>
          <w:highlight w:val="none"/>
        </w:rPr>
        <w:t>m/s</w:t>
      </w:r>
      <w:r>
        <w:rPr>
          <w:rFonts w:hint="default" w:ascii="Times New Roman" w:hAnsi="Times New Roman" w:cs="Times New Roman" w:eastAsiaTheme="minorEastAsia"/>
          <w:color w:val="auto"/>
          <w:highlight w:val="none"/>
          <w:vertAlign w:val="superscript"/>
        </w:rPr>
        <w:t>2</w:t>
      </w:r>
      <w:r>
        <w:rPr>
          <w:rFonts w:hint="default" w:ascii="Times New Roman" w:hAnsi="Times New Roman" w:cs="Times New Roman"/>
          <w:color w:val="auto"/>
          <w:highlight w:val="none"/>
        </w:rPr>
        <w:t>；</w:t>
      </w:r>
    </w:p>
    <w:p w14:paraId="178BEC98">
      <w:pPr>
        <w:overflowPunct w:val="0"/>
        <w:topLinePunct/>
        <w:ind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0</w:t>
      </w:r>
      <w:r>
        <w:rPr>
          <w:rFonts w:hint="default" w:ascii="Times New Roman" w:hAnsi="Times New Roman" w:cs="Times New Roman"/>
          <w:color w:val="auto"/>
          <w:highlight w:val="none"/>
        </w:rPr>
        <w:t>——坝前上游水深，取1.5m。</w:t>
      </w:r>
    </w:p>
    <w:p w14:paraId="581F604A">
      <w:pPr>
        <w:overflowPunct w:val="0"/>
        <w:topLinePunct/>
        <w:ind w:firstLine="48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通过计算可得，最大下泄流量尾矿库为</w:t>
      </w:r>
      <w:r>
        <w:rPr>
          <w:rFonts w:hint="eastAsia" w:ascii="Times New Roman" w:hAnsi="Times New Roman" w:cs="Times New Roman"/>
          <w:color w:val="auto"/>
          <w:highlight w:val="none"/>
          <w:lang w:val="en-US" w:eastAsia="zh-CN"/>
        </w:rPr>
        <w:t>97.6</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/s</w:t>
      </w:r>
      <w:r>
        <w:rPr>
          <w:rFonts w:hint="default" w:ascii="Times New Roman" w:hAnsi="Times New Roman" w:cs="Times New Roman"/>
          <w:color w:val="auto"/>
          <w:highlight w:val="none"/>
          <w:lang w:eastAsia="zh-CN"/>
        </w:rPr>
        <w:t>。</w:t>
      </w:r>
    </w:p>
    <w:p w14:paraId="3D7FC35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C、溃坝尾砂流到达时间</w:t>
      </w:r>
    </w:p>
    <w:p w14:paraId="22A7515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eastAsiaTheme="minorEastAsia"/>
          <w:bCs/>
          <w:color w:val="auto"/>
          <w:highlight w:val="none"/>
        </w:rPr>
        <w:t>根据尾矿泄漏量和最大泄砂流量可以计算，溃坝尾矿下泄最小总历时，计算公式如下：</w:t>
      </w:r>
    </w:p>
    <w:p w14:paraId="20BB65F6">
      <w:pPr>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eastAsiaTheme="minorEastAsia"/>
          <w:bCs/>
          <w:color w:val="auto"/>
          <w:highlight w:val="none"/>
        </w:rPr>
        <w:drawing>
          <wp:inline distT="0" distB="0" distL="0" distR="0">
            <wp:extent cx="541020" cy="438785"/>
            <wp:effectExtent l="0" t="0" r="0" b="18415"/>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41020" cy="438785"/>
                    </a:xfrm>
                    <a:prstGeom prst="rect">
                      <a:avLst/>
                    </a:prstGeom>
                    <a:noFill/>
                    <a:ln>
                      <a:noFill/>
                    </a:ln>
                  </pic:spPr>
                </pic:pic>
              </a:graphicData>
            </a:graphic>
          </wp:inline>
        </w:drawing>
      </w:r>
    </w:p>
    <w:p w14:paraId="06A521F4">
      <w:pPr>
        <w:adjustRightInd w:val="0"/>
        <w:snapToGrid w:val="0"/>
        <w:spacing w:line="460" w:lineRule="atLeast"/>
        <w:ind w:firstLine="480"/>
        <w:rPr>
          <w:rFonts w:hint="default" w:ascii="Times New Roman" w:hAnsi="Times New Roman" w:cs="Times New Roman" w:eastAsiaTheme="minorEastAsia"/>
          <w:bCs/>
          <w:color w:val="auto"/>
          <w:highlight w:val="none"/>
        </w:rPr>
      </w:pPr>
      <w:r>
        <w:rPr>
          <w:rFonts w:hint="default" w:ascii="Times New Roman" w:hAnsi="Times New Roman" w:cs="Times New Roman" w:eastAsiaTheme="minorEastAsia"/>
          <w:bCs/>
          <w:color w:val="auto"/>
          <w:highlight w:val="none"/>
        </w:rPr>
        <w:t>式中：V－尾矿最大下泄量，</w:t>
      </w:r>
      <w:r>
        <w:rPr>
          <w:rFonts w:hint="default" w:ascii="Times New Roman" w:hAnsi="Times New Roman" w:cs="Times New Roman" w:eastAsiaTheme="minorEastAsia"/>
          <w:color w:val="auto"/>
          <w:highlight w:val="none"/>
        </w:rPr>
        <w:t>415000</w:t>
      </w:r>
      <w:r>
        <w:rPr>
          <w:rFonts w:hint="eastAsia" w:ascii="Times New Roman" w:hAnsi="Times New Roman" w:cs="Times New Roman" w:eastAsiaTheme="minorEastAsia"/>
          <w:color w:val="auto"/>
          <w:highlight w:val="none"/>
          <w:lang w:val="en-US" w:eastAsia="zh-CN"/>
        </w:rPr>
        <w:t>m</w:t>
      </w:r>
      <w:r>
        <w:rPr>
          <w:rFonts w:hint="eastAsia" w:ascii="Times New Roman" w:hAnsi="Times New Roman" w:cs="Times New Roman" w:eastAsiaTheme="minorEastAsia"/>
          <w:color w:val="auto"/>
          <w:highlight w:val="none"/>
          <w:vertAlign w:val="superscript"/>
          <w:lang w:val="en-US" w:eastAsia="zh-CN"/>
        </w:rPr>
        <w:t>3</w:t>
      </w:r>
      <w:r>
        <w:rPr>
          <w:rFonts w:hint="default" w:ascii="Times New Roman" w:hAnsi="Times New Roman" w:cs="Times New Roman" w:eastAsiaTheme="minorEastAsia"/>
          <w:bCs/>
          <w:color w:val="auto"/>
          <w:highlight w:val="none"/>
        </w:rPr>
        <w:t>。</w:t>
      </w:r>
    </w:p>
    <w:p w14:paraId="11BC45C1">
      <w:pPr>
        <w:adjustRightInd w:val="0"/>
        <w:snapToGrid w:val="0"/>
        <w:spacing w:line="460" w:lineRule="atLeast"/>
        <w:ind w:firstLine="1200" w:firstLineChars="500"/>
        <w:rPr>
          <w:rFonts w:hint="default" w:ascii="Times New Roman" w:hAnsi="Times New Roman" w:cs="Times New Roman" w:eastAsiaTheme="minorEastAsia"/>
          <w:bCs/>
          <w:color w:val="auto"/>
          <w:highlight w:val="none"/>
        </w:rPr>
      </w:pPr>
      <w:r>
        <w:rPr>
          <w:rFonts w:hint="default" w:ascii="Times New Roman" w:hAnsi="Times New Roman" w:cs="Times New Roman" w:eastAsiaTheme="minorEastAsia"/>
          <w:bCs/>
          <w:color w:val="auto"/>
          <w:highlight w:val="none"/>
        </w:rPr>
        <w:t>Q</w:t>
      </w:r>
      <w:r>
        <w:rPr>
          <w:rFonts w:hint="default" w:ascii="Times New Roman" w:hAnsi="Times New Roman" w:cs="Times New Roman" w:eastAsiaTheme="minorEastAsia"/>
          <w:bCs/>
          <w:color w:val="auto"/>
          <w:highlight w:val="none"/>
          <w:vertAlign w:val="subscript"/>
        </w:rPr>
        <w:t>max</w:t>
      </w:r>
      <w:r>
        <w:rPr>
          <w:rFonts w:hint="default" w:ascii="Times New Roman" w:hAnsi="Times New Roman" w:cs="Times New Roman" w:eastAsiaTheme="minorEastAsia"/>
          <w:bCs/>
          <w:color w:val="auto"/>
          <w:highlight w:val="none"/>
        </w:rPr>
        <w:t>－最大泄砂流量，</w:t>
      </w:r>
      <w:r>
        <w:rPr>
          <w:rFonts w:hint="default" w:ascii="Times New Roman" w:hAnsi="Times New Roman" w:cs="Times New Roman"/>
          <w:color w:val="auto"/>
          <w:highlight w:val="none"/>
        </w:rPr>
        <w:t>尾矿库为</w:t>
      </w:r>
      <w:r>
        <w:rPr>
          <w:rFonts w:hint="eastAsia" w:ascii="Times New Roman" w:hAnsi="Times New Roman" w:cs="Times New Roman"/>
          <w:color w:val="auto"/>
          <w:highlight w:val="none"/>
          <w:lang w:val="en-US" w:eastAsia="zh-CN"/>
        </w:rPr>
        <w:t>97.6</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/s</w:t>
      </w:r>
      <w:r>
        <w:rPr>
          <w:rFonts w:hint="default" w:ascii="Times New Roman" w:hAnsi="Times New Roman" w:cs="Times New Roman" w:eastAsiaTheme="minorEastAsia"/>
          <w:bCs/>
          <w:color w:val="auto"/>
          <w:highlight w:val="none"/>
        </w:rPr>
        <w:t>。</w:t>
      </w:r>
    </w:p>
    <w:p w14:paraId="02CFF73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eastAsiaTheme="minorEastAsia"/>
          <w:bCs/>
          <w:color w:val="auto"/>
          <w:highlight w:val="none"/>
        </w:rPr>
        <w:t>经计算，尾矿下泄最小总历时尾矿库为</w:t>
      </w:r>
      <w:r>
        <w:rPr>
          <w:rFonts w:hint="eastAsia" w:ascii="Times New Roman" w:hAnsi="Times New Roman" w:cs="Times New Roman" w:eastAsiaTheme="minorEastAsia"/>
          <w:bCs/>
          <w:color w:val="auto"/>
          <w:highlight w:val="none"/>
          <w:lang w:val="en-US" w:eastAsia="zh-CN"/>
        </w:rPr>
        <w:t>1.8h</w:t>
      </w:r>
      <w:r>
        <w:rPr>
          <w:rFonts w:hint="default" w:ascii="Times New Roman" w:hAnsi="Times New Roman" w:cs="Times New Roman" w:eastAsiaTheme="minorEastAsia"/>
          <w:bCs/>
          <w:color w:val="auto"/>
          <w:highlight w:val="none"/>
        </w:rPr>
        <w:t>。</w:t>
      </w:r>
    </w:p>
    <w:p w14:paraId="08761280">
      <w:pPr>
        <w:adjustRightInd w:val="0"/>
        <w:snapToGrid w:val="0"/>
        <w:spacing w:line="460" w:lineRule="atLeast"/>
        <w:ind w:firstLine="480"/>
        <w:rPr>
          <w:rFonts w:hint="default" w:ascii="Times New Roman" w:hAnsi="Times New Roman" w:cs="Times New Roman" w:eastAsiaTheme="minorEastAsia"/>
          <w:color w:val="auto"/>
          <w:highlight w:val="none"/>
        </w:rPr>
      </w:pPr>
      <w:r>
        <w:rPr>
          <w:rFonts w:hint="default" w:ascii="Times New Roman" w:hAnsi="Times New Roman" w:cs="Times New Roman"/>
          <w:color w:val="auto"/>
          <w:highlight w:val="none"/>
        </w:rPr>
        <w:t>D、</w:t>
      </w:r>
      <w:r>
        <w:rPr>
          <w:rFonts w:hint="default" w:ascii="Times New Roman" w:hAnsi="Times New Roman" w:cs="Times New Roman" w:eastAsiaTheme="minorEastAsia"/>
          <w:color w:val="auto"/>
          <w:highlight w:val="none"/>
        </w:rPr>
        <w:t>环境影响范围</w:t>
      </w:r>
    </w:p>
    <w:p w14:paraId="0602309D">
      <w:pPr>
        <w:adjustRightInd w:val="0"/>
        <w:snapToGrid w:val="0"/>
        <w:spacing w:line="460" w:lineRule="atLeast"/>
        <w:ind w:firstLine="48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根据国内外溃坝实例统计，溃坝影响范围与坝高和下游坡度相关，一般取坝高的10~50倍。本项目尾矿库下游地形平缓，平均坡度约0.29%，但为保守估计，取50倍坝高：</w:t>
      </w:r>
    </w:p>
    <w:p w14:paraId="43D52D3F">
      <w:pPr>
        <w:adjustRightInd w:val="0"/>
        <w:snapToGrid w:val="0"/>
        <w:spacing w:line="460" w:lineRule="atLeast"/>
        <w:ind w:firstLine="48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影响范围</w:t>
      </w:r>
      <w:r>
        <w:rPr>
          <w:rFonts w:hint="eastAsia" w:ascii="Times New Roman" w:hAnsi="Times New Roman" w:cs="Times New Roman" w:eastAsiaTheme="minorEastAsia"/>
          <w:color w:val="auto"/>
          <w:highlight w:val="none"/>
          <w:lang w:val="en-US" w:eastAsia="zh-CN"/>
        </w:rPr>
        <w:t>为</w:t>
      </w:r>
      <w:r>
        <w:rPr>
          <w:rFonts w:hint="default" w:ascii="Times New Roman" w:hAnsi="Times New Roman" w:cs="Times New Roman" w:eastAsiaTheme="minorEastAsia"/>
          <w:color w:val="auto"/>
          <w:highlight w:val="none"/>
        </w:rPr>
        <w:t>50×H=50×16=800m。</w:t>
      </w:r>
    </w:p>
    <w:p w14:paraId="3376FF0A">
      <w:pPr>
        <w:adjustRightInd w:val="0"/>
        <w:snapToGrid w:val="0"/>
        <w:spacing w:line="460" w:lineRule="atLeast"/>
        <w:ind w:firstLine="48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即主坝下游800m范围内为溃坝主要影响区。结合</w:t>
      </w:r>
      <w:r>
        <w:rPr>
          <w:rFonts w:hint="eastAsia" w:ascii="Times New Roman" w:hAnsi="Times New Roman" w:cs="Times New Roman" w:eastAsiaTheme="minorEastAsia"/>
          <w:color w:val="auto"/>
          <w:highlight w:val="none"/>
          <w:lang w:val="en-US" w:eastAsia="zh-CN"/>
        </w:rPr>
        <w:t>项目实际情况</w:t>
      </w:r>
      <w:r>
        <w:rPr>
          <w:rFonts w:hint="default" w:ascii="Times New Roman" w:hAnsi="Times New Roman" w:cs="Times New Roman" w:eastAsiaTheme="minorEastAsia"/>
          <w:color w:val="auto"/>
          <w:highlight w:val="none"/>
        </w:rPr>
        <w:t>，该范围内无居民区、工矿企业、水源地等敏感目标，主要为</w:t>
      </w:r>
      <w:r>
        <w:rPr>
          <w:rFonts w:hint="eastAsia" w:ascii="Times New Roman" w:hAnsi="Times New Roman" w:cs="Times New Roman" w:eastAsiaTheme="minorEastAsia"/>
          <w:color w:val="auto"/>
          <w:highlight w:val="none"/>
          <w:lang w:val="en-US" w:eastAsia="zh-CN"/>
        </w:rPr>
        <w:t>裸岩石砾</w:t>
      </w:r>
      <w:r>
        <w:rPr>
          <w:rFonts w:hint="default" w:ascii="Times New Roman" w:hAnsi="Times New Roman" w:cs="Times New Roman" w:eastAsiaTheme="minorEastAsia"/>
          <w:color w:val="auto"/>
          <w:highlight w:val="none"/>
        </w:rPr>
        <w:t>地。</w:t>
      </w:r>
    </w:p>
    <w:p w14:paraId="75A9F69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本项目的尾矿砂属于</w:t>
      </w:r>
      <w:r>
        <w:rPr>
          <w:rFonts w:hint="default" w:ascii="Times New Roman" w:hAnsi="Times New Roman" w:cs="Times New Roman"/>
          <w:color w:val="auto"/>
          <w:highlight w:val="none"/>
          <w:lang w:eastAsia="zh-CN"/>
        </w:rPr>
        <w:t>I</w:t>
      </w:r>
      <w:r>
        <w:rPr>
          <w:rFonts w:hint="default" w:ascii="Times New Roman" w:hAnsi="Times New Roman" w:cs="Times New Roman"/>
          <w:color w:val="auto"/>
          <w:highlight w:val="none"/>
        </w:rPr>
        <w:t>类固体废物，不属于有毒有害物质，</w:t>
      </w:r>
      <w:r>
        <w:rPr>
          <w:rFonts w:hint="eastAsia" w:ascii="Times New Roman" w:hAnsi="Times New Roman" w:cs="Times New Roman"/>
          <w:color w:val="auto"/>
          <w:highlight w:val="none"/>
          <w:lang w:eastAsia="zh-CN"/>
        </w:rPr>
        <w:t>即使</w:t>
      </w:r>
      <w:r>
        <w:rPr>
          <w:rFonts w:hint="default" w:ascii="Times New Roman" w:hAnsi="Times New Roman" w:cs="Times New Roman"/>
          <w:color w:val="auto"/>
          <w:highlight w:val="none"/>
        </w:rPr>
        <w:t>尾矿外泄，由于尾矿砂不属于有毒有害物质的大面积扩散，不构成重大危险事故源。但根据预测结果，当尾矿库发生溃坝事件时，下泄流量将达到</w:t>
      </w:r>
      <w:r>
        <w:rPr>
          <w:rFonts w:hint="default" w:ascii="Times New Roman" w:hAnsi="Times New Roman" w:cs="Times New Roman"/>
          <w:color w:val="auto"/>
          <w:highlight w:val="none"/>
          <w:lang w:val="en-US" w:eastAsia="zh-CN"/>
        </w:rPr>
        <w:t>97.6</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/s，一旦发生溃坝事件将对尾矿库下游的生态环境产生较大的冲击</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因此本次环评要求尾矿库下游建设</w:t>
      </w:r>
      <w:r>
        <w:rPr>
          <w:rFonts w:hint="default" w:ascii="Times New Roman" w:hAnsi="Times New Roman" w:cs="Times New Roman"/>
          <w:color w:val="auto"/>
          <w:highlight w:val="none"/>
          <w:lang w:eastAsia="zh-CN"/>
        </w:rPr>
        <w:t>拦挡坝</w:t>
      </w:r>
      <w:r>
        <w:rPr>
          <w:rFonts w:hint="default" w:ascii="Times New Roman" w:hAnsi="Times New Roman" w:cs="Times New Roman"/>
          <w:color w:val="auto"/>
          <w:highlight w:val="none"/>
        </w:rPr>
        <w:t>，同时加强尾矿库的监管及隐患排查工作，避免出现尾矿库溃坝现象。</w:t>
      </w:r>
    </w:p>
    <w:p w14:paraId="24C5D690">
      <w:pPr>
        <w:overflowPunct w:val="0"/>
        <w:topLinePunct/>
        <w:ind w:firstLine="48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油品风险事故影响分析</w:t>
      </w:r>
    </w:p>
    <w:p w14:paraId="36B89B24">
      <w:pPr>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1）火灾爆炸危险性分析</w:t>
      </w:r>
    </w:p>
    <w:p w14:paraId="2240A2AB">
      <w:pPr>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①油品的易燃、易爆性</w:t>
      </w:r>
    </w:p>
    <w:p w14:paraId="55657A6B">
      <w:pPr>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油品挥发出来的蒸汽与空气混合，浓度处于爆炸浓度范围内时，遇有一定能量的着火源，容易发生爆炸，爆炸浓度（或极限）范围越宽，爆炸危险性就越大。在油品储运过程中，爆炸和燃烧经常同时出现。由于油品蒸汽具有燃烧和爆炸性，因此在生产操作过程中，应防止其可燃性蒸汽的积聚，尽可能将其浓度控制在爆炸下限以下，以防止火灾、爆炸事故的发生。</w:t>
      </w:r>
    </w:p>
    <w:p w14:paraId="4D5903E9">
      <w:pPr>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②油品有较大的蒸汽压</w:t>
      </w:r>
    </w:p>
    <w:p w14:paraId="77943F50">
      <w:pPr>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储存的柴油是蒸汽压较大的液体，它们易产生能引起燃烧所需要的最低限度的蒸汽量，蒸汽压越大，其危险性也越大。另外，温度对蒸汽压的影响很大，温度升高，其</w:t>
      </w:r>
      <w:r>
        <w:rPr>
          <w:rFonts w:hint="eastAsia" w:cs="Times New Roman"/>
          <w:color w:val="auto"/>
          <w:sz w:val="24"/>
          <w:highlight w:val="none"/>
          <w:lang w:eastAsia="zh-CN"/>
        </w:rPr>
        <w:t>蒸汽压</w:t>
      </w:r>
      <w:r>
        <w:rPr>
          <w:rFonts w:hint="default" w:ascii="Times New Roman" w:hAnsi="Times New Roman" w:eastAsia="宋体" w:cs="Times New Roman"/>
          <w:color w:val="auto"/>
          <w:sz w:val="24"/>
          <w:highlight w:val="none"/>
        </w:rPr>
        <w:t>将迅速增大。所以盛装易燃油品的容器，如储罐、槽车等，应有足够的强度，以防止容器胀裂。此外，还应使油品远离热源、火源。</w:t>
      </w:r>
    </w:p>
    <w:p w14:paraId="635EE47D">
      <w:pPr>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③油品易积聚静电</w:t>
      </w:r>
    </w:p>
    <w:p w14:paraId="21019B71">
      <w:pPr>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据资料介绍，电阻率在1010~1515Ω.cm范围内的油品容易产生和积聚静电，且不易消散。储存的油品都具有易积聚静电荷的特点，在油品储运和生产过程中，其静电的产生和积聚量的大小与管道内壁粗糙度、流速、运送距离以及储运设备的导电性能等诸多因素有关。静电放电是导致火灾爆炸事故的一个重要原因。</w:t>
      </w:r>
    </w:p>
    <w:p w14:paraId="2DAE4A6D">
      <w:pPr>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④油品的易扩散、流淌性</w:t>
      </w:r>
    </w:p>
    <w:p w14:paraId="74297CE6">
      <w:pPr>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易燃油品</w:t>
      </w:r>
      <w:r>
        <w:rPr>
          <w:rFonts w:hint="eastAsia" w:cs="Times New Roman"/>
          <w:color w:val="auto"/>
          <w:sz w:val="24"/>
          <w:highlight w:val="none"/>
          <w:lang w:eastAsia="zh-CN"/>
        </w:rPr>
        <w:t>的黏度</w:t>
      </w:r>
      <w:r>
        <w:rPr>
          <w:rFonts w:hint="default" w:ascii="Times New Roman" w:hAnsi="Times New Roman" w:eastAsia="宋体" w:cs="Times New Roman"/>
          <w:color w:val="auto"/>
          <w:sz w:val="24"/>
          <w:highlight w:val="none"/>
        </w:rPr>
        <w:t>一般较小，容易流淌扩散。同时，由于其渗透、浸润和毛细管引力等作用，而扩大其表面积，使蒸发速度加快，并向四周迅速扩散，与空气混合，遇有火源极易发生燃烧爆炸。</w:t>
      </w:r>
    </w:p>
    <w:p w14:paraId="26847E96">
      <w:pPr>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⑤油品的受热易膨胀性</w:t>
      </w:r>
    </w:p>
    <w:p w14:paraId="14ED07DD">
      <w:pPr>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油品受热后，温度升高，体积膨胀，若容器灌装过满，管道输油后不及时排空而又无泄压装置，会导致容器和管道的损坏，可能引起油渗漏和外溢。另一方面，由于温度降低，体积收缩，容器内有可能出现负压，也会使容器变形损坏。</w:t>
      </w:r>
    </w:p>
    <w:p w14:paraId="79D4C20F">
      <w:pPr>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2）设备火灾爆炸危险特性分析</w:t>
      </w:r>
    </w:p>
    <w:p w14:paraId="3E3F9690">
      <w:pPr>
        <w:ind w:firstLine="480"/>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柴油发电机</w:t>
      </w:r>
      <w:r>
        <w:rPr>
          <w:rFonts w:hint="default" w:ascii="Times New Roman" w:hAnsi="Times New Roman" w:eastAsia="宋体" w:cs="Times New Roman"/>
          <w:color w:val="auto"/>
          <w:sz w:val="24"/>
          <w:highlight w:val="none"/>
        </w:rPr>
        <w:t>等设备本身设计不合格，或制造存在缺陷，造成其耐压能力不够，发生破裂，导致油品泄漏，遇火源则发生火灾、爆炸事故；</w:t>
      </w:r>
      <w:r>
        <w:rPr>
          <w:rFonts w:hint="eastAsia" w:cs="Times New Roman"/>
          <w:color w:val="auto"/>
          <w:sz w:val="24"/>
          <w:highlight w:val="none"/>
          <w:lang w:val="en-US" w:eastAsia="zh-CN"/>
        </w:rPr>
        <w:t>柴油发电机周边</w:t>
      </w:r>
      <w:r>
        <w:rPr>
          <w:rFonts w:hint="default" w:ascii="Times New Roman" w:hAnsi="Times New Roman" w:eastAsia="宋体" w:cs="Times New Roman"/>
          <w:color w:val="auto"/>
          <w:sz w:val="24"/>
          <w:highlight w:val="none"/>
        </w:rPr>
        <w:t>违禁使用明火、检修清洗时违规操作等情况，也易诱发火灾、爆炸事故。</w:t>
      </w:r>
    </w:p>
    <w:p w14:paraId="604F756A">
      <w:pPr>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3）危废贮存点废机油的风险分析</w:t>
      </w:r>
    </w:p>
    <w:p w14:paraId="79808577">
      <w:pPr>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危废贮存点暂存的废机油（HW08 900-217-08，最大暂存量约0.3t）同样属于易燃液体，其风险特性与柴油相似但具有以下特点：①废机油中可能含有杂质和水分，长期储存可能产生酸性物质，对容器造成腐蚀，增加泄漏风险；②废机油粘度较高，泄漏后扩散速度较慢，但更容易附着在土壤和地面，清理难度大，对土壤和地下水污染更持久；③废机油</w:t>
      </w:r>
      <w:r>
        <w:rPr>
          <w:rFonts w:hint="eastAsia" w:cs="Times New Roman"/>
          <w:color w:val="auto"/>
          <w:sz w:val="24"/>
          <w:highlight w:val="none"/>
          <w:lang w:val="en-US" w:eastAsia="zh-CN"/>
        </w:rPr>
        <w:t>油桶</w:t>
      </w:r>
      <w:r>
        <w:rPr>
          <w:rFonts w:hint="default" w:ascii="Times New Roman" w:hAnsi="Times New Roman" w:eastAsia="宋体" w:cs="Times New Roman"/>
          <w:color w:val="auto"/>
          <w:sz w:val="24"/>
          <w:highlight w:val="none"/>
        </w:rPr>
        <w:t>搬运过程中易因碰撞、跌落造成破损；④若危废贮存点未按《危险废物贮存污染控制标准》（GB18597-2023）设置防渗、防雨、防流失措施，泄漏的废机油可能通过地面漫流或垂直入渗进入土壤和地下水，造成持久性有机污染；⑤废机油遇明火或高温可燃烧，燃烧产生的烟尘、CO、非甲烷总烃等有毒有害气体污染大气环境；消防废水若未收集处置，可能携带油污污染外环境。因此，危废贮存点应设置围堰或收集沟，地面进行重点防渗，配备吸油毡、灭火器等应急物资，并建立严格的出入库台账，定期委托有资质单位处置，严禁超量储存。</w:t>
      </w:r>
    </w:p>
    <w:p w14:paraId="1ECB01F6">
      <w:pPr>
        <w:ind w:firstLine="480"/>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4</w:t>
      </w:r>
      <w:r>
        <w:rPr>
          <w:rFonts w:hint="default" w:ascii="Times New Roman" w:hAnsi="Times New Roman" w:eastAsia="宋体" w:cs="Times New Roman"/>
          <w:color w:val="auto"/>
          <w:sz w:val="24"/>
          <w:highlight w:val="none"/>
        </w:rPr>
        <w:t>）次生大气污染物对环境的影响分析</w:t>
      </w:r>
    </w:p>
    <w:p w14:paraId="77DF8F8E">
      <w:pPr>
        <w:overflowPunct w:val="0"/>
        <w:topLinePunct/>
        <w:ind w:firstLine="480"/>
        <w:rPr>
          <w:rFonts w:hint="default" w:ascii="Times New Roman" w:hAnsi="Times New Roman" w:eastAsia="宋体" w:cs="Times New Roman"/>
          <w:color w:val="auto"/>
          <w:highlight w:val="none"/>
        </w:rPr>
      </w:pPr>
      <w:r>
        <w:rPr>
          <w:rFonts w:hint="eastAsia" w:cs="Times New Roman"/>
          <w:color w:val="auto"/>
          <w:sz w:val="24"/>
          <w:highlight w:val="none"/>
          <w:lang w:val="en-US" w:eastAsia="zh-CN"/>
        </w:rPr>
        <w:t>柴油发电机中柴油</w:t>
      </w:r>
      <w:r>
        <w:rPr>
          <w:rFonts w:hint="default" w:ascii="Times New Roman" w:hAnsi="Times New Roman" w:eastAsia="宋体" w:cs="Times New Roman"/>
          <w:color w:val="auto"/>
          <w:sz w:val="24"/>
          <w:highlight w:val="none"/>
        </w:rPr>
        <w:t>发生泄漏后，引发火灾、爆炸事故，次生大气污染物主要为柴油不完全燃烧产生的CO以及THC等。由于</w:t>
      </w:r>
      <w:r>
        <w:rPr>
          <w:rFonts w:hint="eastAsia" w:cs="Times New Roman"/>
          <w:color w:val="auto"/>
          <w:sz w:val="24"/>
          <w:highlight w:val="none"/>
          <w:lang w:val="en-US" w:eastAsia="zh-CN"/>
        </w:rPr>
        <w:t>柴油发电机内柴油存量</w:t>
      </w:r>
      <w:r>
        <w:rPr>
          <w:rFonts w:hint="default" w:ascii="Times New Roman" w:hAnsi="Times New Roman" w:eastAsia="宋体" w:cs="Times New Roman"/>
          <w:color w:val="auto"/>
          <w:sz w:val="24"/>
          <w:highlight w:val="none"/>
        </w:rPr>
        <w:t>较小，发生事故后可及时有效得到处置，其次生大气污染物对环境影响较小，在可控范围内。</w:t>
      </w:r>
    </w:p>
    <w:p w14:paraId="20BCE361">
      <w:pPr>
        <w:keepNext/>
        <w:keepLines/>
        <w:spacing w:before="60" w:after="60"/>
        <w:ind w:firstLine="0" w:firstLineChars="0"/>
        <w:outlineLvl w:val="2"/>
        <w:rPr>
          <w:rFonts w:hint="default" w:ascii="Times New Roman" w:hAnsi="Times New Roman" w:cs="Times New Roman"/>
          <w:b/>
          <w:bCs/>
          <w:color w:val="auto"/>
          <w:sz w:val="30"/>
          <w:szCs w:val="32"/>
          <w:highlight w:val="none"/>
        </w:rPr>
      </w:pPr>
      <w:r>
        <w:rPr>
          <w:rFonts w:hint="default" w:ascii="Times New Roman" w:hAnsi="Times New Roman" w:cs="Times New Roman"/>
          <w:b/>
          <w:bCs/>
          <w:color w:val="auto"/>
          <w:sz w:val="30"/>
          <w:szCs w:val="32"/>
          <w:highlight w:val="none"/>
        </w:rPr>
        <w:t>5.3.5环境风险防范措施</w:t>
      </w:r>
    </w:p>
    <w:p w14:paraId="217E601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（1）火灾事故防范措施</w:t>
      </w:r>
    </w:p>
    <w:p w14:paraId="7768886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①车间内配备相应品种和数量的消防器材及泄漏应急处理设备。</w:t>
      </w:r>
    </w:p>
    <w:p w14:paraId="245130D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②安排专人每周对化学品储存桶进行使用安全检查，并将检查情况记录在</w:t>
      </w:r>
      <w:r>
        <w:rPr>
          <w:rFonts w:hint="eastAsia" w:cs="Times New Roman"/>
          <w:color w:val="auto"/>
          <w:highlight w:val="none"/>
          <w:lang w:eastAsia="zh-CN"/>
        </w:rPr>
        <w:t>“</w:t>
      </w:r>
      <w:r>
        <w:rPr>
          <w:rFonts w:hint="default" w:ascii="Times New Roman" w:hAnsi="Times New Roman" w:cs="Times New Roman"/>
          <w:color w:val="auto"/>
          <w:highlight w:val="none"/>
        </w:rPr>
        <w:t>储存设备检查记录表</w:t>
      </w:r>
      <w:r>
        <w:rPr>
          <w:rFonts w:hint="eastAsia" w:cs="Times New Roman"/>
          <w:color w:val="auto"/>
          <w:highlight w:val="none"/>
          <w:lang w:eastAsia="zh-CN"/>
        </w:rPr>
        <w:t>”</w:t>
      </w:r>
      <w:r>
        <w:rPr>
          <w:rFonts w:hint="default" w:ascii="Times New Roman" w:hAnsi="Times New Roman" w:cs="Times New Roman"/>
          <w:color w:val="auto"/>
          <w:highlight w:val="none"/>
        </w:rPr>
        <w:t>上，检查内容包括：储存桶是否泄漏、是否完好、各阀门、胶管及接头是否正常、管道或阀门有无泄漏、各种</w:t>
      </w:r>
      <w:r>
        <w:rPr>
          <w:rFonts w:hint="eastAsia" w:cs="Times New Roman"/>
          <w:color w:val="auto"/>
          <w:highlight w:val="none"/>
          <w:lang w:eastAsia="zh-CN"/>
        </w:rPr>
        <w:t>警示标志</w:t>
      </w:r>
      <w:r>
        <w:rPr>
          <w:rFonts w:hint="default" w:ascii="Times New Roman" w:hAnsi="Times New Roman" w:cs="Times New Roman"/>
          <w:color w:val="auto"/>
          <w:highlight w:val="none"/>
        </w:rPr>
        <w:t>是否齐全、周边消防设施是否正常等。</w:t>
      </w:r>
    </w:p>
    <w:p w14:paraId="133344C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③操作人员必须经过专门培训，严格遵守操作规程。搬运时要轻装轻卸，防止包装及容器损坏。</w:t>
      </w:r>
    </w:p>
    <w:p w14:paraId="6A5445F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④车间内工作人员不得携带易燃易爆、易腐烂危险品或与生产无关物品。控制明火，不得在车间任何区域吸烟。</w:t>
      </w:r>
    </w:p>
    <w:p w14:paraId="3C3D26AF">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通过采取以上防范措施，可以有效降低火灾事故发生概率。</w:t>
      </w:r>
    </w:p>
    <w:p w14:paraId="447C74F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（2）化学品运输风险防范措施</w:t>
      </w:r>
    </w:p>
    <w:p w14:paraId="2E2F1A6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①运输危险物料的单位，应有资质，车辆应有危险废物运输许可证，司机、押运员有上岗证，具备运输危险品的资格，熟悉所运输的危险品的毒性及应急防范措施。包装物、容器应是定点单位生产。</w:t>
      </w:r>
    </w:p>
    <w:p w14:paraId="05D35DC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②运输途中，要平稳行车、安全驾驶。物流公司运输化学品的司机要技术精湛，并且不吸烟。驾驶中要尽量少用紧急刹车，以保持货物的稳定。</w:t>
      </w:r>
    </w:p>
    <w:p w14:paraId="79CD782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③行车途中勤检查化学品是否有</w:t>
      </w:r>
      <w:r>
        <w:rPr>
          <w:rFonts w:hint="eastAsia" w:cs="Times New Roman"/>
          <w:color w:val="auto"/>
          <w:highlight w:val="none"/>
          <w:lang w:eastAsia="zh-CN"/>
        </w:rPr>
        <w:t>泄漏</w:t>
      </w:r>
      <w:r>
        <w:rPr>
          <w:rFonts w:hint="default" w:ascii="Times New Roman" w:hAnsi="Times New Roman" w:cs="Times New Roman"/>
          <w:color w:val="auto"/>
          <w:highlight w:val="none"/>
        </w:rPr>
        <w:t>。由于行车途中车辆颠簸震动，往往容易造成包装破损从而造成化学品</w:t>
      </w:r>
      <w:r>
        <w:rPr>
          <w:rFonts w:hint="eastAsia" w:cs="Times New Roman"/>
          <w:color w:val="auto"/>
          <w:highlight w:val="none"/>
          <w:lang w:eastAsia="zh-CN"/>
        </w:rPr>
        <w:t>泄漏</w:t>
      </w:r>
      <w:r>
        <w:rPr>
          <w:rFonts w:hint="default" w:ascii="Times New Roman" w:hAnsi="Times New Roman" w:cs="Times New Roman"/>
          <w:color w:val="auto"/>
          <w:highlight w:val="none"/>
        </w:rPr>
        <w:t>。因此，物流人员要定时查看一下桶盖上有无溢出。再来检查一下桶之间的充填物有无跌落，车厢底部四周有</w:t>
      </w:r>
      <w:r>
        <w:rPr>
          <w:rFonts w:hint="eastAsia" w:cs="Times New Roman"/>
          <w:color w:val="auto"/>
          <w:highlight w:val="none"/>
          <w:lang w:eastAsia="zh-CN"/>
        </w:rPr>
        <w:t>无泄漏</w:t>
      </w:r>
      <w:r>
        <w:rPr>
          <w:rFonts w:hint="default" w:ascii="Times New Roman" w:hAnsi="Times New Roman" w:cs="Times New Roman"/>
          <w:color w:val="auto"/>
          <w:highlight w:val="none"/>
        </w:rPr>
        <w:t>液体。</w:t>
      </w:r>
    </w:p>
    <w:p w14:paraId="625B5CA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④在运输危险化学品前事先对道路、天气等进行调查，慎重选择路线，并制定相应的预防措施；严禁运输危险品的车辆在中途随意改变路线，随意停车。</w:t>
      </w:r>
    </w:p>
    <w:p w14:paraId="5512E993">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通过采取以上防范措施，可以有效降低化学品运输过程事故发生概率。</w:t>
      </w:r>
    </w:p>
    <w:p w14:paraId="70533C8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（3）地下水风险防范措施</w:t>
      </w:r>
    </w:p>
    <w:p w14:paraId="7E56FEC1">
      <w:pPr>
        <w:pStyle w:val="43"/>
        <w:overflowPunct w:val="0"/>
        <w:topLinePunct/>
        <w:spacing w:line="480" w:lineRule="exact"/>
        <w:ind w:firstLine="480"/>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rPr>
        <w:t>①源头控制措施</w:t>
      </w:r>
    </w:p>
    <w:p w14:paraId="75D0D347">
      <w:pPr>
        <w:pStyle w:val="43"/>
        <w:overflowPunct w:val="0"/>
        <w:topLinePunct/>
        <w:spacing w:line="480" w:lineRule="exact"/>
        <w:ind w:firstLine="480"/>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rPr>
        <w:t>项目建设、生产过程中，除了按照既定方案处理废水外，应严格把关工程质量：</w:t>
      </w:r>
    </w:p>
    <w:p w14:paraId="02312ADA">
      <w:pPr>
        <w:pStyle w:val="43"/>
        <w:overflowPunct w:val="0"/>
        <w:topLinePunct/>
        <w:spacing w:line="480" w:lineRule="exact"/>
        <w:ind w:firstLine="480"/>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rPr>
        <w:t>a设备采购中要按照国家相关标准严格把关设备质量；</w:t>
      </w:r>
    </w:p>
    <w:p w14:paraId="6F2B357F">
      <w:pPr>
        <w:pStyle w:val="43"/>
        <w:overflowPunct w:val="0"/>
        <w:topLinePunct/>
        <w:spacing w:line="480" w:lineRule="exact"/>
        <w:ind w:firstLine="480"/>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rPr>
        <w:t>b施工过程中要按照国家相关建设标准严格把关建设质量；</w:t>
      </w:r>
    </w:p>
    <w:p w14:paraId="3520D966">
      <w:pPr>
        <w:pStyle w:val="43"/>
        <w:overflowPunct w:val="0"/>
        <w:topLinePunct/>
        <w:spacing w:line="480" w:lineRule="exact"/>
        <w:ind w:firstLine="480"/>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rPr>
        <w:t>c施工过程中要对管道采取防腐措施，运行期间要定期进行防腐检测；</w:t>
      </w:r>
    </w:p>
    <w:p w14:paraId="240646BD">
      <w:pPr>
        <w:pStyle w:val="43"/>
        <w:overflowPunct w:val="0"/>
        <w:topLinePunct/>
        <w:spacing w:line="480" w:lineRule="exact"/>
        <w:ind w:firstLine="480"/>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rPr>
        <w:t>d投产前应按要求进行试运行，并对管道进行试压，对焊缝质量进行检验；</w:t>
      </w:r>
    </w:p>
    <w:p w14:paraId="775F7131">
      <w:pPr>
        <w:pStyle w:val="43"/>
        <w:overflowPunct w:val="0"/>
        <w:topLinePunct/>
        <w:spacing w:line="480" w:lineRule="exact"/>
        <w:ind w:firstLine="480"/>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rPr>
        <w:t>e运行期间要定期检查各设备、管线及其连接部位，确保无跑冒滴漏现象。</w:t>
      </w:r>
    </w:p>
    <w:p w14:paraId="4D7A5A6B">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②严格做好工程防渗</w:t>
      </w:r>
    </w:p>
    <w:p w14:paraId="3B7413D9">
      <w:pPr>
        <w:widowControl/>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szCs w:val="21"/>
          <w:highlight w:val="none"/>
          <w:lang w:bidi="ar"/>
        </w:rPr>
        <w:t>为防止地下水污染事故，本项目针对各生产车间、尾矿库等要求其进行分区防渗，具体分区防渗措施见</w:t>
      </w:r>
      <w:r>
        <w:rPr>
          <w:rFonts w:hint="eastAsia" w:cs="Times New Roman"/>
          <w:color w:val="auto"/>
          <w:szCs w:val="21"/>
          <w:highlight w:val="none"/>
          <w:lang w:val="en-US" w:eastAsia="zh-CN" w:bidi="ar"/>
        </w:rPr>
        <w:t>本报告书</w:t>
      </w:r>
      <w:r>
        <w:rPr>
          <w:rFonts w:hint="default" w:ascii="Times New Roman" w:hAnsi="Times New Roman" w:cs="Times New Roman"/>
          <w:color w:val="auto"/>
          <w:szCs w:val="21"/>
          <w:highlight w:val="none"/>
          <w:lang w:bidi="ar"/>
        </w:rPr>
        <w:t>第六章，采取分区防渗后可从源头控制对地下水的影响。</w:t>
      </w:r>
    </w:p>
    <w:p w14:paraId="488F9044">
      <w:pPr>
        <w:pStyle w:val="43"/>
        <w:overflowPunct w:val="0"/>
        <w:topLinePunct/>
        <w:spacing w:line="480" w:lineRule="exact"/>
        <w:ind w:firstLine="480"/>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rPr>
        <w:fldChar w:fldCharType="begin"/>
      </w:r>
      <w:r>
        <w:rPr>
          <w:rFonts w:hint="default" w:ascii="Times New Roman" w:hAnsi="Times New Roman" w:cs="Times New Roman"/>
          <w:color w:val="auto"/>
          <w:kern w:val="0"/>
          <w:szCs w:val="24"/>
          <w:highlight w:val="none"/>
        </w:rPr>
        <w:instrText xml:space="preserve"> = 3 \* GB3 \* MERGEFORMAT </w:instrText>
      </w:r>
      <w:r>
        <w:rPr>
          <w:rFonts w:hint="default" w:ascii="Times New Roman" w:hAnsi="Times New Roman" w:cs="Times New Roman"/>
          <w:color w:val="auto"/>
          <w:kern w:val="0"/>
          <w:szCs w:val="24"/>
          <w:highlight w:val="none"/>
        </w:rPr>
        <w:fldChar w:fldCharType="separate"/>
      </w:r>
      <w:r>
        <w:rPr>
          <w:rFonts w:hint="default" w:ascii="Times New Roman" w:hAnsi="Times New Roman" w:cs="Times New Roman"/>
          <w:color w:val="auto"/>
          <w:highlight w:val="none"/>
        </w:rPr>
        <w:t>③</w:t>
      </w:r>
      <w:r>
        <w:rPr>
          <w:rFonts w:hint="default" w:ascii="Times New Roman" w:hAnsi="Times New Roman" w:cs="Times New Roman"/>
          <w:color w:val="auto"/>
          <w:kern w:val="0"/>
          <w:szCs w:val="24"/>
          <w:highlight w:val="none"/>
        </w:rPr>
        <w:fldChar w:fldCharType="end"/>
      </w:r>
      <w:r>
        <w:rPr>
          <w:rFonts w:hint="default" w:ascii="Times New Roman" w:hAnsi="Times New Roman" w:cs="Times New Roman"/>
          <w:color w:val="auto"/>
          <w:kern w:val="0"/>
          <w:szCs w:val="24"/>
          <w:highlight w:val="none"/>
        </w:rPr>
        <w:t>防渗层维护</w:t>
      </w:r>
    </w:p>
    <w:p w14:paraId="7AAB2010">
      <w:pPr>
        <w:pStyle w:val="43"/>
        <w:overflowPunct w:val="0"/>
        <w:topLinePunct/>
        <w:spacing w:line="480" w:lineRule="exact"/>
        <w:ind w:firstLine="480"/>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rPr>
        <w:t>项目日常运营过</w:t>
      </w:r>
      <w:r>
        <w:rPr>
          <w:rFonts w:hint="eastAsia" w:cs="Times New Roman"/>
          <w:color w:val="auto"/>
          <w:kern w:val="0"/>
          <w:szCs w:val="24"/>
          <w:highlight w:val="none"/>
          <w:lang w:eastAsia="zh-CN"/>
        </w:rPr>
        <w:t>程中</w:t>
      </w:r>
      <w:r>
        <w:rPr>
          <w:rFonts w:hint="default" w:ascii="Times New Roman" w:hAnsi="Times New Roman" w:cs="Times New Roman"/>
          <w:color w:val="auto"/>
          <w:kern w:val="0"/>
          <w:szCs w:val="24"/>
          <w:highlight w:val="none"/>
        </w:rPr>
        <w:t>，要定期对防渗措施进行检查和维护，确保防渗层的防渗效果，一旦发现防渗层有开裂、腐蚀等问题，应及时修补，避免事故状态下对项目区地下水造成污染。</w:t>
      </w:r>
    </w:p>
    <w:p w14:paraId="6F348B11">
      <w:pPr>
        <w:pStyle w:val="43"/>
        <w:overflowPunct w:val="0"/>
        <w:topLinePunct/>
        <w:spacing w:line="480" w:lineRule="exact"/>
        <w:ind w:firstLine="480"/>
        <w:rPr>
          <w:rFonts w:hint="default" w:ascii="Times New Roman" w:hAnsi="Times New Roman" w:cs="Times New Roman"/>
          <w:color w:val="auto"/>
          <w:kern w:val="0"/>
          <w:szCs w:val="24"/>
          <w:highlight w:val="none"/>
        </w:rPr>
      </w:pPr>
      <w:r>
        <w:rPr>
          <w:rFonts w:hint="default" w:ascii="Times New Roman" w:hAnsi="Times New Roman" w:cs="Times New Roman"/>
          <w:color w:val="auto"/>
          <w:kern w:val="0"/>
          <w:szCs w:val="24"/>
          <w:highlight w:val="none"/>
        </w:rPr>
        <w:t>经采取上述措施后，事故状态下产生的废水对区域地下水周围环境的影响较小。</w:t>
      </w:r>
    </w:p>
    <w:p w14:paraId="5B13452A">
      <w:pPr>
        <w:pStyle w:val="43"/>
        <w:overflowPunct w:val="0"/>
        <w:topLinePunct/>
        <w:spacing w:line="480" w:lineRule="exact"/>
        <w:ind w:left="480"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（4）尾矿库环境风险防范措施</w:t>
      </w:r>
    </w:p>
    <w:p w14:paraId="22E92F65">
      <w:pPr>
        <w:pStyle w:val="43"/>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本尾矿库必须严格按照《选矿安全规程</w:t>
      </w:r>
      <w:r>
        <w:rPr>
          <w:rFonts w:hint="eastAsia" w:cs="Times New Roman"/>
          <w:color w:val="auto"/>
          <w:highlight w:val="none"/>
          <w:lang w:eastAsia="zh-CN"/>
        </w:rPr>
        <w:t>》《</w:t>
      </w:r>
      <w:r>
        <w:rPr>
          <w:rFonts w:hint="default" w:ascii="Times New Roman" w:hAnsi="Times New Roman" w:cs="Times New Roman"/>
          <w:color w:val="auto"/>
          <w:highlight w:val="none"/>
        </w:rPr>
        <w:t>选矿厂尾矿库设施设计规范》及《尾矿库安全监督管理规定</w:t>
      </w:r>
      <w:r>
        <w:rPr>
          <w:rFonts w:hint="eastAsia" w:cs="Times New Roman"/>
          <w:color w:val="auto"/>
          <w:highlight w:val="none"/>
          <w:lang w:eastAsia="zh-CN"/>
        </w:rPr>
        <w:t>》《</w:t>
      </w:r>
      <w:r>
        <w:rPr>
          <w:rFonts w:hint="default" w:ascii="Times New Roman" w:hAnsi="Times New Roman" w:cs="Times New Roman"/>
          <w:color w:val="auto"/>
          <w:highlight w:val="none"/>
        </w:rPr>
        <w:t>尾矿库安全规程》等相关规范对尾矿库进行设计、施工、生产运行、关闭及安全监督管理与维护，以防止发生溃坝等严重事故，并按《建筑抗震设计规范》进行抗震验算，同时环评要求本尾矿库在未闭库之前其安全管理必须严格按有关规范执行。尾矿库主要风险防范措施如下：</w:t>
      </w:r>
    </w:p>
    <w:p w14:paraId="7F9915D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1）尾矿库溃坝的防范措施</w:t>
      </w:r>
    </w:p>
    <w:p w14:paraId="7420266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A.要坚持对尾矿坝的定期观测，包括坝体变形、坝内浸润线观测；通过坝体的渗透流量观测等，以保证能够及时发现问题，及时解决，防患于未然。</w:t>
      </w:r>
    </w:p>
    <w:p w14:paraId="7610E6B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B.本项目修建有初期坝、排水管等排水设施。应对尾矿库进行管理和维护，随时检查尾矿库排水、排洪等构筑物的排洪情况，特别是在雨季、汛期，要坚持24小时值班，以保证遇到险情及时报告</w:t>
      </w:r>
      <w:r>
        <w:rPr>
          <w:rFonts w:hint="eastAsia" w:cs="Times New Roman"/>
          <w:color w:val="auto"/>
          <w:highlight w:val="none"/>
          <w:lang w:eastAsia="zh-CN"/>
        </w:rPr>
        <w:t>及</w:t>
      </w:r>
      <w:r>
        <w:rPr>
          <w:rFonts w:hint="default" w:ascii="Times New Roman" w:hAnsi="Times New Roman" w:cs="Times New Roman"/>
          <w:color w:val="auto"/>
          <w:highlight w:val="none"/>
        </w:rPr>
        <w:t>时排除。</w:t>
      </w:r>
    </w:p>
    <w:p w14:paraId="49BFE5B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C.项目设置位移监测设施，包括位移监测点及监测基点。定期对坝体变形、坝内浸润线进行观测；通过坝体的渗透流量观测及变形观测等，以保证能够及时发现问题，及时解决，防患于未然。</w:t>
      </w:r>
    </w:p>
    <w:p w14:paraId="770F894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D.服务期满后要在试验研究的基础上及时制定覆土、植被或复田的实施方案，并对坝体的稳定性进行检验，确保尾矿坝的安全。同时应做到及时封场并恢复植被，禁止尾矿库排入尾矿量超过设计指标。</w:t>
      </w:r>
    </w:p>
    <w:p w14:paraId="1F9FD957">
      <w:pPr>
        <w:pStyle w:val="43"/>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E.根据国内外尾矿库的建设与运行实践，只要在尾矿库的设计、施工和运行过程中严格执行《选矿厂尾矿设施设计规程》和《尾矿设施管理规程》，保证施工质量，尾矿库垮坝的事故是可以避免的。</w:t>
      </w:r>
    </w:p>
    <w:p w14:paraId="2173D81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2）尾矿库维护管理</w:t>
      </w:r>
    </w:p>
    <w:p w14:paraId="1727E23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A.尾矿库运行过程中，必须按照设计和有关技术规定，认真做好作业平台、待作业平台的维护管理工作。</w:t>
      </w:r>
    </w:p>
    <w:p w14:paraId="76CA8AC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B.建立健全巡坝护坝工作责任制度，安排专人巡视尾矿坝和整个尾矿库区，保护好尾矿库内相关观测设施，做好坝体安全监测工作。</w:t>
      </w:r>
    </w:p>
    <w:p w14:paraId="6224BA5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C.发现尾矿坝外坡出现局部隆起、坍塌、流沙（土）、管涌等异常现象，应立即分析研究原因，制定处理措施并及时实施处理方案，同时加密观测次数并报告有关部门。</w:t>
      </w:r>
    </w:p>
    <w:p w14:paraId="2AD81AF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D.针对尾矿库实际情况，制定尾矿库管理维护和运行细则。安排专人定期检查维护排洪设施、排渗设施等。</w:t>
      </w:r>
    </w:p>
    <w:p w14:paraId="74BF797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F.当接到震情预报时，根据实际情况作出防震计划和安排。</w:t>
      </w:r>
    </w:p>
    <w:p w14:paraId="520C0E9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G.在库区内严禁爆破、采石、挖土、滥挖尾矿等危害尾矿库安全的活动。如企业需要回采或综合利用库区尾矿时，必须做开发工程设计并经上级主管部门批准后方可进行。</w:t>
      </w:r>
    </w:p>
    <w:p w14:paraId="7E115E0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H.坝面覆土，不能用碎石护坡；坝面不得种植乔木和农作物。</w:t>
      </w:r>
    </w:p>
    <w:p w14:paraId="62D7635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I.每级子坝堆筑完毕，应进行质量检验，检验记录与报告需经技术人员签字后存档。</w:t>
      </w:r>
    </w:p>
    <w:p w14:paraId="7084944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3）尾矿库</w:t>
      </w:r>
      <w:r>
        <w:rPr>
          <w:rFonts w:hint="eastAsia" w:cs="Times New Roman"/>
          <w:color w:val="auto"/>
          <w:highlight w:val="none"/>
          <w:lang w:eastAsia="zh-CN"/>
        </w:rPr>
        <w:t>度汛</w:t>
      </w:r>
    </w:p>
    <w:p w14:paraId="1C50FBB7">
      <w:pPr>
        <w:overflowPunct w:val="0"/>
        <w:topLinePunct/>
        <w:ind w:firstLine="48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A.汛前应按下列要求制定</w:t>
      </w:r>
      <w:r>
        <w:rPr>
          <w:rFonts w:hint="eastAsia" w:cs="Times New Roman"/>
          <w:color w:val="auto"/>
          <w:highlight w:val="none"/>
          <w:lang w:eastAsia="zh-CN"/>
        </w:rPr>
        <w:t>度汛</w:t>
      </w:r>
      <w:r>
        <w:rPr>
          <w:rFonts w:hint="default" w:ascii="Times New Roman" w:hAnsi="Times New Roman" w:cs="Times New Roman"/>
          <w:color w:val="auto"/>
          <w:highlight w:val="none"/>
        </w:rPr>
        <w:t>方案</w:t>
      </w:r>
      <w:r>
        <w:rPr>
          <w:rFonts w:hint="default" w:ascii="Times New Roman" w:hAnsi="Times New Roman" w:cs="Times New Roman"/>
          <w:color w:val="auto"/>
          <w:highlight w:val="none"/>
          <w:lang w:eastAsia="zh-CN"/>
        </w:rPr>
        <w:t>。</w:t>
      </w:r>
    </w:p>
    <w:p w14:paraId="1535493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B.对坝体必须进行详细检查和可靠的维护，确保排洪通道畅通。</w:t>
      </w:r>
    </w:p>
    <w:p w14:paraId="64D5B77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C.应准备好必要的抢险、交通、通讯、供电及照明器材或设施，维护整修上坝道路，并确保安全畅通。</w:t>
      </w:r>
    </w:p>
    <w:p w14:paraId="6D3B996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D.应了解掌握汛期水情和气象预报。</w:t>
      </w:r>
    </w:p>
    <w:p w14:paraId="4D02FF2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4）尾矿库渗流控制</w:t>
      </w:r>
    </w:p>
    <w:p w14:paraId="435ECCA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A.应防止坝肩、坝体及坝基出现渗透破坏。</w:t>
      </w:r>
    </w:p>
    <w:p w14:paraId="07520D2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B.当发现坝体裂缝、坍塌、管涌、渗水量增大或渗透水浑浊等异常情况时，应立即采取处理措施，同时加强观察并报告有关部门。</w:t>
      </w:r>
    </w:p>
    <w:p w14:paraId="463DB2E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5）检查和观测</w:t>
      </w:r>
    </w:p>
    <w:p w14:paraId="78AD8E1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A.尾矿库检查</w:t>
      </w:r>
    </w:p>
    <w:p w14:paraId="2A325FE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尾矿库的检查工作可分为经常检查、定期检查、特别检查和安全鉴定：</w:t>
      </w:r>
    </w:p>
    <w:p w14:paraId="0B706FA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a.经常检查由基层管理机构组织进行，检查项目可根据各尾矿库的具体情况自行决定。</w:t>
      </w:r>
    </w:p>
    <w:p w14:paraId="3A5DBCE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b.定期检查由上级管理机构组织进行，每年汛前、汛后，应对尾矿库进行全面检查。</w:t>
      </w:r>
    </w:p>
    <w:p w14:paraId="6593E5D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c.特别检查，当发生特大洪水、暴雨、强烈地震及重大事故等非常情况后，基层管理单位应及时组织检查，必要时报上级有关单位会同检查。</w:t>
      </w:r>
    </w:p>
    <w:p w14:paraId="654834C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d.安全鉴定：应根据具体情况按现行规范进行一至两次以抗洪、稳定为重点的安全鉴定，以指导后期尾矿库的管理工作。</w:t>
      </w:r>
    </w:p>
    <w:p w14:paraId="0B8253F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通过检查尾矿库的实际运行情况可及时掌握</w:t>
      </w:r>
      <w:r>
        <w:rPr>
          <w:rFonts w:hint="default" w:ascii="Times New Roman" w:hAnsi="Times New Roman" w:cs="Times New Roman"/>
          <w:color w:val="auto"/>
          <w:highlight w:val="none"/>
          <w:lang w:eastAsia="zh-CN"/>
        </w:rPr>
        <w:t>拦挡</w:t>
      </w:r>
      <w:r>
        <w:rPr>
          <w:rFonts w:hint="default" w:ascii="Times New Roman" w:hAnsi="Times New Roman" w:cs="Times New Roman"/>
          <w:color w:val="auto"/>
          <w:highlight w:val="none"/>
        </w:rPr>
        <w:t>坝的工作状态，为正确管理、处理事故、维修等提供依据；及时发现不正常的迹象，可分析原因、采取措施，从而防止事故发生。</w:t>
      </w:r>
    </w:p>
    <w:p w14:paraId="485BAD3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对尾矿库的检查应按照以下要求具体执行：</w:t>
      </w:r>
    </w:p>
    <w:p w14:paraId="0C9A317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当尾矿设施遇到特殊运行情况或遭受严重外界影响时，例如排矿初期，暴风雨、温度聚变或地震等，对工程的薄弱部位和重要部位，应特别仔细检查，如发现对工程安全有严重威胁的情况，必须昼夜连续监视，并采取有效控制措施。</w:t>
      </w:r>
    </w:p>
    <w:p w14:paraId="0DAB29D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b.对</w:t>
      </w:r>
      <w:r>
        <w:rPr>
          <w:rFonts w:hint="default" w:ascii="Times New Roman" w:hAnsi="Times New Roman" w:cs="Times New Roman"/>
          <w:color w:val="auto"/>
          <w:highlight w:val="none"/>
          <w:lang w:eastAsia="zh-CN"/>
        </w:rPr>
        <w:t>拦挡</w:t>
      </w:r>
      <w:r>
        <w:rPr>
          <w:rFonts w:hint="default" w:ascii="Times New Roman" w:hAnsi="Times New Roman" w:cs="Times New Roman"/>
          <w:color w:val="auto"/>
          <w:highlight w:val="none"/>
        </w:rPr>
        <w:t>坝和其他土工构筑物的检查应注意它们有无裂缝、塌陷、隆起、流土、管涌、滑裂或滑落等现象，坝坡有无冲刷破坏，导渗降压设施是否完好等。</w:t>
      </w:r>
    </w:p>
    <w:p w14:paraId="5D4C7FC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c.对于混凝土构筑物应针对不同工程的结构特点，注意检查结构有无裂缝，表面</w:t>
      </w:r>
      <w:r>
        <w:rPr>
          <w:rFonts w:hint="eastAsia" w:cs="Times New Roman"/>
          <w:color w:val="auto"/>
          <w:highlight w:val="none"/>
          <w:lang w:eastAsia="zh-CN"/>
        </w:rPr>
        <w:t>有无</w:t>
      </w:r>
      <w:r>
        <w:rPr>
          <w:rFonts w:hint="default" w:ascii="Times New Roman" w:hAnsi="Times New Roman" w:cs="Times New Roman"/>
          <w:color w:val="auto"/>
          <w:highlight w:val="none"/>
        </w:rPr>
        <w:t>剥蚀、脱落，有无冲刷、渗漏等。</w:t>
      </w:r>
    </w:p>
    <w:p w14:paraId="5AFAC18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B.尾矿库观测</w:t>
      </w:r>
    </w:p>
    <w:p w14:paraId="7628DBF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尾矿库观测应满足下列基本要求：</w:t>
      </w:r>
    </w:p>
    <w:p w14:paraId="42D4389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a.尾矿库工程观测必须按设计和管理规定的内容和时间进行全面、系统和连续的观测，相关的观测项目应配合进行。</w:t>
      </w:r>
    </w:p>
    <w:p w14:paraId="743EF08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b.必须保证观测结果准确。</w:t>
      </w:r>
    </w:p>
    <w:p w14:paraId="3664526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c.专业技术人员应对观测成果及时进行整编分析、绘制图表，如有异常现象时应进行复测，并根据复测结果提出处理意见。</w:t>
      </w:r>
    </w:p>
    <w:p w14:paraId="319E896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d.尾矿设施的观测项目应根据运行要求、结构物特点、工程规模和技术水平等实际情况确定。</w:t>
      </w:r>
    </w:p>
    <w:p w14:paraId="480779B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e.检查观测都应详细记录，交给专业技术人员审阅分析后存档。</w:t>
      </w:r>
    </w:p>
    <w:p w14:paraId="4A58284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f.定期检查、特别检查和安全鉴定的技术文件，观测结果的分析意见和主要参数，都应形成书面报告，除本单位存档外，同时报上级主管部门和监督站。</w:t>
      </w:r>
    </w:p>
    <w:p w14:paraId="4582DA7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6）抗震</w:t>
      </w:r>
    </w:p>
    <w:p w14:paraId="09293C1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抗震工作应贯彻预防为主的方针。当接到震情预防时，应根据实际情况做出防震、抗震技术和安排，其内容应包括：</w:t>
      </w:r>
    </w:p>
    <w:p w14:paraId="551CA3F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A.按照设计文件的要求进行尾矿库抗震检查，根据检查结果，采取预防措施。</w:t>
      </w:r>
    </w:p>
    <w:p w14:paraId="5FA8B82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B.做好人员组织、物资、交通、通讯、照明、报警、抢险和救护等各项抗震准备工作，同时加强震前值班、巡坝工作。</w:t>
      </w:r>
    </w:p>
    <w:p w14:paraId="0E3F3E6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项目在实际运行的过程中应同时加强尾矿输送过程的管理，定期对管道进行检查，发现问题及时解决，防止由于管道磨损或破裂造成尾矿泄漏。</w:t>
      </w:r>
    </w:p>
    <w:p w14:paraId="1E4655C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7）</w:t>
      </w:r>
      <w:r>
        <w:rPr>
          <w:rFonts w:hint="default" w:ascii="Times New Roman" w:hAnsi="Times New Roman" w:cs="Times New Roman"/>
          <w:color w:val="auto"/>
          <w:highlight w:val="none"/>
          <w:lang w:eastAsia="zh-CN"/>
        </w:rPr>
        <w:t>管道</w:t>
      </w:r>
      <w:r>
        <w:rPr>
          <w:rFonts w:hint="default" w:ascii="Times New Roman" w:hAnsi="Times New Roman" w:cs="Times New Roman"/>
          <w:color w:val="auto"/>
          <w:highlight w:val="none"/>
        </w:rPr>
        <w:t>堵塞的防范措施</w:t>
      </w:r>
    </w:p>
    <w:p w14:paraId="2237E9F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①加强排洪</w:t>
      </w:r>
      <w:r>
        <w:rPr>
          <w:rFonts w:hint="default" w:ascii="Times New Roman" w:hAnsi="Times New Roman" w:cs="Times New Roman"/>
          <w:color w:val="auto"/>
          <w:highlight w:val="none"/>
          <w:lang w:eastAsia="zh-CN"/>
        </w:rPr>
        <w:t>管道</w:t>
      </w:r>
      <w:r>
        <w:rPr>
          <w:rFonts w:hint="default" w:ascii="Times New Roman" w:hAnsi="Times New Roman" w:cs="Times New Roman"/>
          <w:color w:val="auto"/>
          <w:highlight w:val="none"/>
        </w:rPr>
        <w:t>的日常巡查，防止堵塞导致废水溢流。一旦出现废水溢流现象，立即组织抢险队伍进行抢险，并做好安全警示工作；并加强进水口杂物的清理工作，避免导流</w:t>
      </w:r>
      <w:r>
        <w:rPr>
          <w:rFonts w:hint="default" w:ascii="Times New Roman" w:hAnsi="Times New Roman" w:cs="Times New Roman"/>
          <w:color w:val="auto"/>
          <w:highlight w:val="none"/>
          <w:lang w:eastAsia="zh-CN"/>
        </w:rPr>
        <w:t>管道</w:t>
      </w:r>
      <w:r>
        <w:rPr>
          <w:rFonts w:hint="default" w:ascii="Times New Roman" w:hAnsi="Times New Roman" w:cs="Times New Roman"/>
          <w:color w:val="auto"/>
          <w:highlight w:val="none"/>
        </w:rPr>
        <w:t>入口堵塞，保证排水通畅；</w:t>
      </w:r>
    </w:p>
    <w:p w14:paraId="0B6486EF">
      <w:pPr>
        <w:overflowPunct w:val="0"/>
        <w:topLinePunct/>
        <w:ind w:firstLine="48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②定期检查水流是否正常、导流</w:t>
      </w:r>
      <w:r>
        <w:rPr>
          <w:rFonts w:hint="default" w:ascii="Times New Roman" w:hAnsi="Times New Roman" w:cs="Times New Roman"/>
          <w:color w:val="auto"/>
          <w:highlight w:val="none"/>
          <w:lang w:eastAsia="zh-CN"/>
        </w:rPr>
        <w:t>管道</w:t>
      </w:r>
      <w:r>
        <w:rPr>
          <w:rFonts w:hint="default" w:ascii="Times New Roman" w:hAnsi="Times New Roman" w:cs="Times New Roman"/>
          <w:color w:val="auto"/>
          <w:highlight w:val="none"/>
        </w:rPr>
        <w:t>上是否有过重荷载、是否有违章</w:t>
      </w:r>
      <w:r>
        <w:rPr>
          <w:rFonts w:hint="eastAsia" w:cs="Times New Roman"/>
          <w:color w:val="auto"/>
          <w:highlight w:val="none"/>
          <w:lang w:eastAsia="zh-CN"/>
        </w:rPr>
        <w:t>接入</w:t>
      </w:r>
      <w:r>
        <w:rPr>
          <w:rFonts w:hint="default" w:ascii="Times New Roman" w:hAnsi="Times New Roman" w:cs="Times New Roman"/>
          <w:color w:val="auto"/>
          <w:highlight w:val="none"/>
        </w:rPr>
        <w:t>管线等情况</w:t>
      </w:r>
      <w:r>
        <w:rPr>
          <w:rFonts w:hint="default" w:ascii="Times New Roman" w:hAnsi="Times New Roman" w:cs="Times New Roman"/>
          <w:color w:val="auto"/>
          <w:highlight w:val="none"/>
          <w:lang w:eastAsia="zh-CN"/>
        </w:rPr>
        <w:t>。</w:t>
      </w:r>
    </w:p>
    <w:p w14:paraId="7446A7B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8）尾矿库服务期满</w:t>
      </w:r>
    </w:p>
    <w:p w14:paraId="41527FA7">
      <w:pPr>
        <w:pStyle w:val="43"/>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建设单位在尾矿库停止使用后必须进行处置，保证不污染环境，消除污染事故隐患。对尾矿库的环境污染防治设施、生态保护工程进行闭库验收，验收时应对尾矿库中的尾砂进行环境达标监测。关闭尾矿环保设施必须经企业主管部门报</w:t>
      </w:r>
      <w:r>
        <w:rPr>
          <w:rFonts w:hint="default" w:ascii="Times New Roman" w:hAnsi="Times New Roman" w:cs="Times New Roman"/>
          <w:color w:val="auto"/>
          <w:highlight w:val="none"/>
          <w:lang w:eastAsia="zh-CN"/>
        </w:rPr>
        <w:t>生态环境</w:t>
      </w:r>
      <w:r>
        <w:rPr>
          <w:rFonts w:hint="default" w:ascii="Times New Roman" w:hAnsi="Times New Roman" w:cs="Times New Roman"/>
          <w:color w:val="auto"/>
          <w:highlight w:val="none"/>
        </w:rPr>
        <w:t>行政</w:t>
      </w:r>
      <w:r>
        <w:rPr>
          <w:rFonts w:hint="default" w:ascii="Times New Roman" w:hAnsi="Times New Roman" w:cs="Times New Roman"/>
          <w:color w:val="auto"/>
          <w:highlight w:val="none"/>
          <w:lang w:eastAsia="zh-CN"/>
        </w:rPr>
        <w:t>主管</w:t>
      </w:r>
      <w:r>
        <w:rPr>
          <w:rFonts w:hint="default" w:ascii="Times New Roman" w:hAnsi="Times New Roman" w:cs="Times New Roman"/>
          <w:color w:val="auto"/>
          <w:highlight w:val="none"/>
        </w:rPr>
        <w:t>部门验收、批准。经验收移交后的尾矿设施其污染防治由接收单位负责。利用处置过的环保设施，需经</w:t>
      </w:r>
      <w:r>
        <w:rPr>
          <w:rFonts w:hint="default" w:ascii="Times New Roman" w:hAnsi="Times New Roman" w:cs="Times New Roman"/>
          <w:color w:val="auto"/>
          <w:highlight w:val="none"/>
          <w:lang w:val="en-US" w:eastAsia="zh-CN"/>
        </w:rPr>
        <w:t>市</w:t>
      </w:r>
      <w:r>
        <w:rPr>
          <w:rFonts w:hint="default" w:ascii="Times New Roman" w:hAnsi="Times New Roman" w:cs="Times New Roman"/>
          <w:color w:val="auto"/>
          <w:highlight w:val="none"/>
        </w:rPr>
        <w:t>生态环境行政部门批准，并报</w:t>
      </w:r>
      <w:r>
        <w:rPr>
          <w:rFonts w:hint="default" w:ascii="Times New Roman" w:hAnsi="Times New Roman" w:cs="Times New Roman"/>
          <w:color w:val="auto"/>
          <w:highlight w:val="none"/>
          <w:lang w:eastAsia="zh-CN"/>
        </w:rPr>
        <w:t>自治区</w:t>
      </w:r>
      <w:r>
        <w:rPr>
          <w:rFonts w:hint="default" w:ascii="Times New Roman" w:hAnsi="Times New Roman" w:cs="Times New Roman"/>
          <w:color w:val="auto"/>
          <w:highlight w:val="none"/>
        </w:rPr>
        <w:t>生态环境行政部门备案。</w:t>
      </w:r>
    </w:p>
    <w:p w14:paraId="585755B1">
      <w:pPr>
        <w:pStyle w:val="43"/>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尾矿库使用到最终设计高程时，选矿厂应停止生产并进行闭库设计，做好闭库后尾矿库的管理工作。建设单位应当根据尾矿库设计资料，在尾矿库闭库前1年，委托具有相应资质的设计单位进行尾矿库闭库设计。</w:t>
      </w:r>
    </w:p>
    <w:p w14:paraId="6295C613">
      <w:pPr>
        <w:pStyle w:val="43"/>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（4）地表水环境突发环境事件处置措施</w:t>
      </w:r>
    </w:p>
    <w:p w14:paraId="357AF4BE">
      <w:pPr>
        <w:pStyle w:val="43"/>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若尾矿浆或尾矿砂、尾矿渗滤水少量泄漏进入地表水体，环境监测组联系当地环境监测站迅速在河道上下游及河流汇合处设置应急监测点进行监测，按照相应应急预案采取应急治理措施，在下游河道适宜位置设计并建造拦截吸附坝基础工程，对水体中污染物进行治理。</w:t>
      </w:r>
    </w:p>
    <w:p w14:paraId="7D29BCC3">
      <w:pPr>
        <w:pStyle w:val="43"/>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（5）地下水环境及土壤突发环境事件处置措施</w:t>
      </w:r>
    </w:p>
    <w:p w14:paraId="168819C2">
      <w:pPr>
        <w:pStyle w:val="43"/>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若尾矿浆或尾矿砂、尾矿渗滤水大量泄漏，由于地下水及土壤的污染与地表水的表现相比行程比较漫长，因此突发事件发生后，环境监测组</w:t>
      </w:r>
      <w:r>
        <w:rPr>
          <w:rFonts w:hint="eastAsia" w:cs="Times New Roman"/>
          <w:color w:val="auto"/>
          <w:highlight w:val="none"/>
          <w:lang w:eastAsia="zh-CN"/>
        </w:rPr>
        <w:t>协调</w:t>
      </w:r>
      <w:r>
        <w:rPr>
          <w:rFonts w:hint="default" w:ascii="Times New Roman" w:hAnsi="Times New Roman" w:cs="Times New Roman"/>
          <w:color w:val="auto"/>
          <w:highlight w:val="none"/>
        </w:rPr>
        <w:t>当地环境监测站在项目周围设置地下水及土壤的监测点，监测项目根据突发事件泄漏的物料决定，地下水主要监测因子为pH、总硬度、溶解性总固体、硫酸盐、铁、锰、铜、高锰酸盐指数、氨氮、氟化物、铜、汞、砷、铅；土壤主要监测因子为</w:t>
      </w:r>
      <w:r>
        <w:rPr>
          <w:rFonts w:hint="eastAsia" w:cs="Times New Roman"/>
          <w:color w:val="auto"/>
          <w:highlight w:val="none"/>
          <w:lang w:val="en-US" w:eastAsia="zh-CN"/>
        </w:rPr>
        <w:t>汞及氟化物</w:t>
      </w:r>
      <w:r>
        <w:rPr>
          <w:rFonts w:hint="default" w:ascii="Times New Roman" w:hAnsi="Times New Roman" w:cs="Times New Roman"/>
          <w:color w:val="auto"/>
          <w:highlight w:val="none"/>
        </w:rPr>
        <w:t>。</w:t>
      </w:r>
    </w:p>
    <w:p w14:paraId="3CBBE6E4">
      <w:pPr>
        <w:pStyle w:val="43"/>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监测周期需要从突发事件发生到突发事件处理结束，恢复正常生产，污水出水水质恢复正常。定期监测地下水和土壤相关污染物含量，了解突发事件对地下水及土壤的污染情况。根据污染情况，及时委托专业部门制定治理措施，防止污染的扩散。</w:t>
      </w:r>
    </w:p>
    <w:p w14:paraId="382F2353">
      <w:pPr>
        <w:pStyle w:val="43"/>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（6）自然灾害引发突发环境事件应急处置措施</w:t>
      </w:r>
    </w:p>
    <w:p w14:paraId="7F39E6B0">
      <w:pPr>
        <w:pStyle w:val="43"/>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因地震、洪涝、滑坡、山洪泥石流等自然灾害原因引发突发环境事件时，采取以下处置措施：</w:t>
      </w:r>
    </w:p>
    <w:p w14:paraId="754E62B0">
      <w:pPr>
        <w:pStyle w:val="43"/>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①当有地震、洪涝、滑坡、山洪泥石流等自然灾害预警信息发布时，建设单位应急指挥中心提前协助上级政府部门做好下游可能受影响区域人员的转移工作，并妥善安置。</w:t>
      </w:r>
    </w:p>
    <w:p w14:paraId="73C8078C">
      <w:pPr>
        <w:pStyle w:val="43"/>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②一旦发生尾矿库溃坝事故后，抢修救援组立即到达事故现场实施救援，警戒疏散组根据事故安全范围，建立警戒区，疏散与抢险无关人员至安全区域。</w:t>
      </w:r>
    </w:p>
    <w:p w14:paraId="4F05E279">
      <w:pPr>
        <w:pStyle w:val="43"/>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③若可能对地表水、地下水造成污染，则环境监测组组织人员对可能污染的地表水、地下水、土壤等实施应急监测。</w:t>
      </w:r>
    </w:p>
    <w:p w14:paraId="08D46199">
      <w:pPr>
        <w:pStyle w:val="43"/>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④后勤保障组及时调剂物资及动力设施的供应。</w:t>
      </w:r>
    </w:p>
    <w:p w14:paraId="6D821616">
      <w:pPr>
        <w:pStyle w:val="43"/>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⑤信息联络组负责救援行动中的信息收集和内部信息传递。</w:t>
      </w:r>
    </w:p>
    <w:p w14:paraId="20AB1365">
      <w:pPr>
        <w:pStyle w:val="43"/>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cs="Times New Roman"/>
          <w:color w:val="auto"/>
          <w:highlight w:val="none"/>
          <w:lang w:val="en-US" w:eastAsia="zh-CN"/>
        </w:rPr>
        <w:t>7</w:t>
      </w:r>
      <w:r>
        <w:rPr>
          <w:rFonts w:hint="default" w:ascii="Times New Roman" w:hAnsi="Times New Roman" w:cs="Times New Roman"/>
          <w:color w:val="auto"/>
          <w:highlight w:val="none"/>
        </w:rPr>
        <w:t>）</w:t>
      </w:r>
      <w:r>
        <w:rPr>
          <w:rFonts w:hint="default" w:ascii="Times New Roman" w:hAnsi="Times New Roman" w:eastAsia="宋体" w:cs="Times New Roman"/>
          <w:color w:val="auto"/>
          <w:kern w:val="0"/>
          <w:sz w:val="24"/>
          <w:szCs w:val="24"/>
          <w:highlight w:val="none"/>
          <w:lang w:val="en-US" w:eastAsia="zh-CN"/>
        </w:rPr>
        <w:t>废机油暂存污染防控和管理措施</w:t>
      </w:r>
    </w:p>
    <w:p w14:paraId="53CC10C9">
      <w:pPr>
        <w:keepNext w:val="0"/>
        <w:keepLines w:val="0"/>
        <w:pageBreakBefore w:val="0"/>
        <w:tabs>
          <w:tab w:val="left" w:pos="195"/>
        </w:tabs>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1）危险废物的产生与收集</w:t>
      </w:r>
    </w:p>
    <w:p w14:paraId="23F951EF">
      <w:pPr>
        <w:keepNext w:val="0"/>
        <w:keepLines w:val="0"/>
        <w:pageBreakBefore w:val="0"/>
        <w:tabs>
          <w:tab w:val="left" w:pos="195"/>
        </w:tabs>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危险废物在收集时，按《危险废物收集贮存运输技术规范》（HJ2025-2012）要求，根据危险废物的性质和形态，采用相应材质、容器进行安全包装，并在包装的明显位置附上危险废物标签。通过严格检查，严防在装载、搬迁或运输中出现渗漏、溢出、抛洒或挥发等不利情况。危险废物的收集过程应该以无害化的方式运行，收集过</w:t>
      </w:r>
      <w:r>
        <w:rPr>
          <w:rFonts w:hint="eastAsia" w:cs="Times New Roman"/>
          <w:color w:val="auto"/>
          <w:sz w:val="24"/>
          <w:szCs w:val="32"/>
          <w:highlight w:val="none"/>
          <w:lang w:eastAsia="zh-CN"/>
        </w:rPr>
        <w:t>程中</w:t>
      </w:r>
      <w:r>
        <w:rPr>
          <w:rFonts w:hint="default" w:ascii="Times New Roman" w:hAnsi="Times New Roman" w:eastAsia="宋体" w:cs="Times New Roman"/>
          <w:color w:val="auto"/>
          <w:sz w:val="24"/>
          <w:szCs w:val="32"/>
          <w:highlight w:val="none"/>
        </w:rPr>
        <w:t>采取以下防治措施，避免可能引起人身和环境危害事故的发生：</w:t>
      </w:r>
    </w:p>
    <w:p w14:paraId="27B2E0BF">
      <w:pPr>
        <w:keepNext w:val="0"/>
        <w:keepLines w:val="0"/>
        <w:pageBreakBefore w:val="0"/>
        <w:tabs>
          <w:tab w:val="left" w:pos="195"/>
        </w:tabs>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①危险废物收集和运输人员应配备必要的个人防护装备，如手套、防护镜、防护服、防毒面具或口罩等，防止收集和运输过程对人体健康可能存在的潜在影响；</w:t>
      </w:r>
    </w:p>
    <w:p w14:paraId="2380DA10">
      <w:pPr>
        <w:keepNext w:val="0"/>
        <w:keepLines w:val="0"/>
        <w:pageBreakBefore w:val="0"/>
        <w:tabs>
          <w:tab w:val="left" w:pos="195"/>
        </w:tabs>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②危险废物运输前，应进行合理包装，防止运输过</w:t>
      </w:r>
      <w:r>
        <w:rPr>
          <w:rFonts w:hint="eastAsia" w:cs="Times New Roman"/>
          <w:color w:val="auto"/>
          <w:sz w:val="24"/>
          <w:szCs w:val="32"/>
          <w:highlight w:val="none"/>
          <w:lang w:eastAsia="zh-CN"/>
        </w:rPr>
        <w:t>程中</w:t>
      </w:r>
      <w:r>
        <w:rPr>
          <w:rFonts w:hint="default" w:ascii="Times New Roman" w:hAnsi="Times New Roman" w:eastAsia="宋体" w:cs="Times New Roman"/>
          <w:color w:val="auto"/>
          <w:sz w:val="24"/>
          <w:szCs w:val="32"/>
          <w:highlight w:val="none"/>
        </w:rPr>
        <w:t>出现泄漏；</w:t>
      </w:r>
    </w:p>
    <w:p w14:paraId="402FF01E">
      <w:pPr>
        <w:keepNext w:val="0"/>
        <w:keepLines w:val="0"/>
        <w:pageBreakBefore w:val="0"/>
        <w:tabs>
          <w:tab w:val="left" w:pos="195"/>
        </w:tabs>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③废变压器油有渗漏或泄漏的，其渗漏或泄漏液应储存在密闭的、与危废相容的容器中。</w:t>
      </w:r>
    </w:p>
    <w:p w14:paraId="279FB145">
      <w:pPr>
        <w:pStyle w:val="59"/>
        <w:keepNext w:val="0"/>
        <w:keepLines w:val="0"/>
        <w:pageBreakBefore w:val="0"/>
        <w:kinsoku/>
        <w:wordWrap/>
        <w:overflowPunct/>
        <w:topLinePunct w:val="0"/>
        <w:autoSpaceDE/>
        <w:autoSpaceDN/>
        <w:bidi w:val="0"/>
        <w:adjustRightInd/>
        <w:snapToGrid/>
        <w:spacing w:line="480" w:lineRule="exact"/>
        <w:ind w:firstLine="480"/>
        <w:textAlignment w:val="auto"/>
        <w:outlineLvl w:val="9"/>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32"/>
          <w:highlight w:val="none"/>
        </w:rPr>
        <w:t>危废在堆存期间必须严格按照《危险废物贮存污染控制标准》（</w:t>
      </w:r>
      <w:r>
        <w:rPr>
          <w:rFonts w:hint="default" w:ascii="Times New Roman" w:hAnsi="Times New Roman" w:cs="Times New Roman"/>
          <w:color w:val="auto"/>
          <w:szCs w:val="32"/>
          <w:highlight w:val="none"/>
          <w:lang w:eastAsia="zh-CN"/>
        </w:rPr>
        <w:t>GB18597-2023</w:t>
      </w:r>
      <w:r>
        <w:rPr>
          <w:rFonts w:hint="default" w:ascii="Times New Roman" w:hAnsi="Times New Roman" w:eastAsia="宋体" w:cs="Times New Roman"/>
          <w:color w:val="auto"/>
          <w:szCs w:val="32"/>
          <w:highlight w:val="none"/>
        </w:rPr>
        <w:t>）有关规定执行，将危险废物通过专用容器分类收集，贴上危险废物的标签，于项目所设置的</w:t>
      </w:r>
      <w:r>
        <w:rPr>
          <w:rFonts w:hint="eastAsia" w:ascii="Times New Roman" w:hAnsi="Times New Roman" w:cs="Times New Roman"/>
          <w:color w:val="auto"/>
          <w:szCs w:val="32"/>
          <w:highlight w:val="none"/>
          <w:lang w:eastAsia="zh-CN"/>
        </w:rPr>
        <w:t>危废贮存点</w:t>
      </w:r>
      <w:r>
        <w:rPr>
          <w:rFonts w:hint="default" w:ascii="Times New Roman" w:hAnsi="Times New Roman" w:eastAsia="宋体" w:cs="Times New Roman"/>
          <w:color w:val="auto"/>
          <w:szCs w:val="32"/>
          <w:highlight w:val="none"/>
        </w:rPr>
        <w:t>内独立存放。危险废物收集容器材质和衬里必须与危险废物相容，危废应填写《危险废弃物贮存环节记录表》，严格按照《危险废物贮存污染控制标准》（</w:t>
      </w:r>
      <w:r>
        <w:rPr>
          <w:rFonts w:hint="default" w:ascii="Times New Roman" w:hAnsi="Times New Roman" w:cs="Times New Roman"/>
          <w:color w:val="auto"/>
          <w:szCs w:val="32"/>
          <w:highlight w:val="none"/>
          <w:lang w:eastAsia="zh-CN"/>
        </w:rPr>
        <w:t>GB18597-2023</w:t>
      </w:r>
      <w:r>
        <w:rPr>
          <w:rFonts w:hint="default" w:ascii="Times New Roman" w:hAnsi="Times New Roman" w:eastAsia="宋体" w:cs="Times New Roman"/>
          <w:color w:val="auto"/>
          <w:szCs w:val="32"/>
          <w:highlight w:val="none"/>
        </w:rPr>
        <w:t>）中要求执行。按照危险废物特性分类进行收集，按种类分别存放。</w:t>
      </w:r>
    </w:p>
    <w:p w14:paraId="487F74CC">
      <w:pPr>
        <w:pStyle w:val="59"/>
        <w:keepNext w:val="0"/>
        <w:keepLines w:val="0"/>
        <w:pageBreakBefore w:val="0"/>
        <w:kinsoku/>
        <w:wordWrap/>
        <w:overflowPunct/>
        <w:topLinePunct w:val="0"/>
        <w:autoSpaceDE/>
        <w:autoSpaceDN/>
        <w:bidi w:val="0"/>
        <w:adjustRightInd/>
        <w:snapToGrid/>
        <w:spacing w:line="480" w:lineRule="exact"/>
        <w:ind w:firstLine="480"/>
        <w:textAlignment w:val="auto"/>
        <w:outlineLvl w:val="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2）危险废物的贮存</w:t>
      </w:r>
    </w:p>
    <w:p w14:paraId="6E63AC2D">
      <w:pPr>
        <w:keepNext w:val="0"/>
        <w:keepLines w:val="0"/>
        <w:pageBreakBefore w:val="0"/>
        <w:tabs>
          <w:tab w:val="left" w:pos="195"/>
        </w:tabs>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①危险废物单独分类收集、存放管理。废变压器油用专用标准铁桶贮存；对危险废物的容器或包装物以及收集、贮存、运输危险废物的设施、场所，必须设置危险废物醒目的警示标志。危险废物盛装容器上粘贴清晰易辨的标签，储罐上应粘贴危险废物标识标签，并注明危险废物的来源、数量等。</w:t>
      </w:r>
    </w:p>
    <w:p w14:paraId="3CBD2117">
      <w:pPr>
        <w:keepNext w:val="0"/>
        <w:keepLines w:val="0"/>
        <w:pageBreakBefore w:val="0"/>
        <w:tabs>
          <w:tab w:val="left" w:pos="195"/>
        </w:tabs>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②对危险废物的出入流动做好记录；</w:t>
      </w:r>
    </w:p>
    <w:p w14:paraId="2999C012">
      <w:pPr>
        <w:keepNext w:val="0"/>
        <w:keepLines w:val="0"/>
        <w:pageBreakBefore w:val="0"/>
        <w:tabs>
          <w:tab w:val="left" w:pos="195"/>
        </w:tabs>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③危险废物容器之间留有间隔和搬运通道；</w:t>
      </w:r>
    </w:p>
    <w:p w14:paraId="7E47C48C">
      <w:pPr>
        <w:keepNext w:val="0"/>
        <w:keepLines w:val="0"/>
        <w:pageBreakBefore w:val="0"/>
        <w:tabs>
          <w:tab w:val="left" w:pos="195"/>
        </w:tabs>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④配备消防设备和报警装置。</w:t>
      </w:r>
    </w:p>
    <w:p w14:paraId="6F3AB836">
      <w:pPr>
        <w:keepNext w:val="0"/>
        <w:keepLines w:val="0"/>
        <w:pageBreakBefore w:val="0"/>
        <w:tabs>
          <w:tab w:val="left" w:pos="195"/>
        </w:tabs>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3）危险废物的转移及运输</w:t>
      </w:r>
    </w:p>
    <w:p w14:paraId="21BF95E3">
      <w:pPr>
        <w:keepNext w:val="0"/>
        <w:keepLines w:val="0"/>
        <w:pageBreakBefore w:val="0"/>
        <w:tabs>
          <w:tab w:val="left" w:pos="195"/>
        </w:tabs>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危险废物自</w:t>
      </w:r>
      <w:r>
        <w:rPr>
          <w:rFonts w:hint="default" w:ascii="Times New Roman" w:hAnsi="Times New Roman" w:cs="Times New Roman"/>
          <w:color w:val="auto"/>
          <w:sz w:val="24"/>
          <w:szCs w:val="32"/>
          <w:highlight w:val="none"/>
          <w:lang w:val="en-US" w:eastAsia="zh-CN"/>
        </w:rPr>
        <w:t>贮存库</w:t>
      </w:r>
      <w:r>
        <w:rPr>
          <w:rFonts w:hint="default" w:ascii="Times New Roman" w:hAnsi="Times New Roman" w:eastAsia="宋体" w:cs="Times New Roman"/>
          <w:color w:val="auto"/>
          <w:sz w:val="24"/>
          <w:szCs w:val="32"/>
          <w:highlight w:val="none"/>
        </w:rPr>
        <w:t>外运</w:t>
      </w:r>
      <w:r>
        <w:rPr>
          <w:rFonts w:hint="eastAsia" w:cs="Times New Roman"/>
          <w:color w:val="auto"/>
          <w:sz w:val="24"/>
          <w:szCs w:val="32"/>
          <w:highlight w:val="none"/>
          <w:lang w:eastAsia="zh-CN"/>
        </w:rPr>
        <w:t>至</w:t>
      </w:r>
      <w:r>
        <w:rPr>
          <w:rFonts w:hint="default" w:ascii="Times New Roman" w:hAnsi="Times New Roman" w:eastAsia="宋体" w:cs="Times New Roman"/>
          <w:color w:val="auto"/>
          <w:sz w:val="24"/>
          <w:szCs w:val="32"/>
          <w:highlight w:val="none"/>
        </w:rPr>
        <w:t>有危废处置资质的单位进行处置，整个运输过程由具备危险废物运输资质的运输单位承担，危废转运过程对环境影响不大。</w:t>
      </w:r>
    </w:p>
    <w:p w14:paraId="097029B7">
      <w:pPr>
        <w:keepNext w:val="0"/>
        <w:keepLines w:val="0"/>
        <w:pageBreakBefore w:val="0"/>
        <w:tabs>
          <w:tab w:val="left" w:pos="195"/>
        </w:tabs>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危险废物转移严格按照《危险废物收集贮存运输技术规范》（HJ2025-2012）及《危险废物转移管理办法》（部令第23号）执行。危险废物厂区内部转运应综合考虑厂区情况避开办公区，采用专用的工具，内部转运结束</w:t>
      </w:r>
      <w:r>
        <w:rPr>
          <w:rFonts w:hint="eastAsia" w:cs="Times New Roman"/>
          <w:color w:val="auto"/>
          <w:sz w:val="24"/>
          <w:szCs w:val="32"/>
          <w:highlight w:val="none"/>
          <w:lang w:eastAsia="zh-CN"/>
        </w:rPr>
        <w:t>后</w:t>
      </w:r>
      <w:r>
        <w:rPr>
          <w:rFonts w:hint="default" w:ascii="Times New Roman" w:hAnsi="Times New Roman" w:eastAsia="宋体" w:cs="Times New Roman"/>
          <w:color w:val="auto"/>
          <w:sz w:val="24"/>
          <w:szCs w:val="32"/>
          <w:highlight w:val="none"/>
        </w:rPr>
        <w:t>应对转运路线进行检查和清理确保无危险废物遗失在转运路线并进行记录。危险废物公路运输应按照《道路危险货物运输管理规定》（交通运输部令2023年第13号）执行。</w:t>
      </w:r>
    </w:p>
    <w:p w14:paraId="57EE6CE0">
      <w:pPr>
        <w:keepNext w:val="0"/>
        <w:keepLines w:val="0"/>
        <w:pageBreakBefore w:val="0"/>
        <w:tabs>
          <w:tab w:val="left" w:pos="195"/>
        </w:tabs>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szCs w:val="32"/>
          <w:highlight w:val="none"/>
        </w:rPr>
      </w:pPr>
      <w:r>
        <w:rPr>
          <w:rFonts w:hint="eastAsia" w:cs="Times New Roman"/>
          <w:color w:val="auto"/>
          <w:sz w:val="24"/>
          <w:szCs w:val="32"/>
          <w:highlight w:val="none"/>
          <w:lang w:eastAsia="zh-CN"/>
        </w:rPr>
        <w:t>对</w:t>
      </w:r>
      <w:r>
        <w:rPr>
          <w:rFonts w:hint="default" w:ascii="Times New Roman" w:hAnsi="Times New Roman" w:eastAsia="宋体" w:cs="Times New Roman"/>
          <w:color w:val="auto"/>
          <w:sz w:val="24"/>
          <w:szCs w:val="32"/>
          <w:highlight w:val="none"/>
        </w:rPr>
        <w:t>危险废物的运输要求如下：</w:t>
      </w:r>
    </w:p>
    <w:p w14:paraId="24102044">
      <w:pPr>
        <w:keepNext w:val="0"/>
        <w:keepLines w:val="0"/>
        <w:pageBreakBefore w:val="0"/>
        <w:tabs>
          <w:tab w:val="left" w:pos="195"/>
        </w:tabs>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①运输危险废物的运输车辆应按《道路运输危险货物车辆标志》（GB13392</w:t>
      </w:r>
      <w:r>
        <w:rPr>
          <w:rFonts w:hint="default" w:ascii="Times New Roman" w:hAnsi="Times New Roman" w:cs="Times New Roman"/>
          <w:color w:val="auto"/>
          <w:sz w:val="24"/>
          <w:szCs w:val="32"/>
          <w:highlight w:val="none"/>
          <w:lang w:val="en-US" w:eastAsia="zh-CN"/>
        </w:rPr>
        <w:t>-</w:t>
      </w:r>
      <w:r>
        <w:rPr>
          <w:rFonts w:hint="default" w:ascii="Times New Roman" w:hAnsi="Times New Roman" w:eastAsia="宋体" w:cs="Times New Roman"/>
          <w:color w:val="auto"/>
          <w:sz w:val="24"/>
          <w:szCs w:val="32"/>
          <w:highlight w:val="none"/>
        </w:rPr>
        <w:t>2023）的规定悬挂相应标志。</w:t>
      </w:r>
    </w:p>
    <w:p w14:paraId="6B477DF9">
      <w:pPr>
        <w:keepNext w:val="0"/>
        <w:keepLines w:val="0"/>
        <w:pageBreakBefore w:val="0"/>
        <w:tabs>
          <w:tab w:val="left" w:pos="195"/>
        </w:tabs>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②专用车辆应当配备符合有关国家标准以及与所载运的危险货物相适应的应急处理器材和安全防护设备。</w:t>
      </w:r>
    </w:p>
    <w:p w14:paraId="61039CA0">
      <w:pPr>
        <w:keepNext w:val="0"/>
        <w:keepLines w:val="0"/>
        <w:pageBreakBefore w:val="0"/>
        <w:tabs>
          <w:tab w:val="left" w:pos="195"/>
        </w:tabs>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③运输车辆在公路上行驶应持有通行证。其上应证明废物的来源、性质、运往地点，必要时须有单位人员负责押运工作。</w:t>
      </w:r>
    </w:p>
    <w:p w14:paraId="1AEE77ED">
      <w:pPr>
        <w:keepNext w:val="0"/>
        <w:keepLines w:val="0"/>
        <w:pageBreakBefore w:val="0"/>
        <w:tabs>
          <w:tab w:val="left" w:pos="195"/>
        </w:tabs>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④运输公司应制定详细的运输方案及路线，并制定事故应急预案，配备事故应急及个人防护设备，以保证在收集、运输过程中发生事故时能有效地减少</w:t>
      </w:r>
      <w:r>
        <w:rPr>
          <w:rFonts w:hint="eastAsia" w:cs="Times New Roman"/>
          <w:color w:val="auto"/>
          <w:sz w:val="24"/>
          <w:szCs w:val="32"/>
          <w:highlight w:val="none"/>
          <w:lang w:eastAsia="zh-CN"/>
        </w:rPr>
        <w:t>以致</w:t>
      </w:r>
      <w:r>
        <w:rPr>
          <w:rFonts w:hint="default" w:ascii="Times New Roman" w:hAnsi="Times New Roman" w:eastAsia="宋体" w:cs="Times New Roman"/>
          <w:color w:val="auto"/>
          <w:sz w:val="24"/>
          <w:szCs w:val="32"/>
          <w:highlight w:val="none"/>
        </w:rPr>
        <w:t>防止对环境的污染。</w:t>
      </w:r>
    </w:p>
    <w:p w14:paraId="7682061D">
      <w:pPr>
        <w:keepNext w:val="0"/>
        <w:keepLines w:val="0"/>
        <w:pageBreakBefore w:val="0"/>
        <w:tabs>
          <w:tab w:val="left" w:pos="195"/>
        </w:tabs>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⑤运输时应采取有效的包装措施，以防止有害成分的泄漏污染。</w:t>
      </w:r>
    </w:p>
    <w:p w14:paraId="26FC3148">
      <w:pPr>
        <w:keepNext w:val="0"/>
        <w:keepLines w:val="0"/>
        <w:pageBreakBefore w:val="0"/>
        <w:tabs>
          <w:tab w:val="left" w:pos="195"/>
        </w:tabs>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⑥运输车辆驾驶员和押运人员需持有</w:t>
      </w:r>
      <w:r>
        <w:rPr>
          <w:rFonts w:hint="eastAsia"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道路危险货物运输资格证</w:t>
      </w:r>
      <w:r>
        <w:rPr>
          <w:rFonts w:hint="eastAsia"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，必须经过危险废物和应急救援方面的培训，包括防火、防泄漏以及应急联络等。</w:t>
      </w:r>
    </w:p>
    <w:p w14:paraId="05B2A481">
      <w:pPr>
        <w:keepNext w:val="0"/>
        <w:keepLines w:val="0"/>
        <w:pageBreakBefore w:val="0"/>
        <w:tabs>
          <w:tab w:val="left" w:pos="195"/>
        </w:tabs>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⑦危险废物禁止混入非危险废物中贮存，禁止与乘客在同一运输工具上载运。</w:t>
      </w:r>
    </w:p>
    <w:p w14:paraId="6E4D6F2C">
      <w:pPr>
        <w:keepNext w:val="0"/>
        <w:keepLines w:val="0"/>
        <w:pageBreakBefore w:val="0"/>
        <w:tabs>
          <w:tab w:val="left" w:pos="195"/>
        </w:tabs>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⑧运输路线尽量避开特殊敏感区。</w:t>
      </w:r>
    </w:p>
    <w:p w14:paraId="5B1B178A">
      <w:pPr>
        <w:keepNext w:val="0"/>
        <w:keepLines w:val="0"/>
        <w:pageBreakBefore w:val="0"/>
        <w:tabs>
          <w:tab w:val="left" w:pos="195"/>
        </w:tabs>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4）联单制度</w:t>
      </w:r>
    </w:p>
    <w:p w14:paraId="5DDD8836">
      <w:pPr>
        <w:keepNext w:val="0"/>
        <w:keepLines w:val="0"/>
        <w:pageBreakBefore w:val="0"/>
        <w:tabs>
          <w:tab w:val="left" w:pos="195"/>
        </w:tabs>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建设单位必须建立危险废物转移联单制度，收集贮存的危险废物应严格按照《危险废物转移</w:t>
      </w:r>
      <w:r>
        <w:rPr>
          <w:rFonts w:hint="eastAsia" w:cs="Times New Roman"/>
          <w:color w:val="auto"/>
          <w:sz w:val="24"/>
          <w:szCs w:val="32"/>
          <w:highlight w:val="none"/>
          <w:lang w:eastAsia="zh-CN"/>
        </w:rPr>
        <w:t>管理办法》</w:t>
      </w:r>
      <w:r>
        <w:rPr>
          <w:rFonts w:hint="default" w:ascii="Times New Roman" w:hAnsi="Times New Roman" w:eastAsia="宋体" w:cs="Times New Roman"/>
          <w:color w:val="auto"/>
          <w:sz w:val="24"/>
          <w:szCs w:val="32"/>
          <w:highlight w:val="none"/>
        </w:rPr>
        <w:t>的有关要求管理，危险废物转移程序如下：</w:t>
      </w:r>
    </w:p>
    <w:p w14:paraId="6D6810A8">
      <w:pPr>
        <w:keepNext w:val="0"/>
        <w:keepLines w:val="0"/>
        <w:pageBreakBefore w:val="0"/>
        <w:tabs>
          <w:tab w:val="left" w:pos="195"/>
        </w:tabs>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①危险废物转移联单应当根据危险废物管理计划中填报的危险废物转移等备案信息填写、运行。</w:t>
      </w:r>
    </w:p>
    <w:p w14:paraId="7613D3C2">
      <w:pPr>
        <w:keepNext w:val="0"/>
        <w:keepLines w:val="0"/>
        <w:pageBreakBefore w:val="0"/>
        <w:tabs>
          <w:tab w:val="left" w:pos="195"/>
        </w:tabs>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②采用联运方式转移危险废物的，前一承运人和后一承运人应当明确运输交接的时间和地点。后一承运人应当核实危险废物转移联单确定的移出人信息、前一承运人信息及危险废物相关信息。</w:t>
      </w:r>
    </w:p>
    <w:p w14:paraId="0905BD6B">
      <w:pPr>
        <w:keepNext w:val="0"/>
        <w:keepLines w:val="0"/>
        <w:pageBreakBefore w:val="0"/>
        <w:tabs>
          <w:tab w:val="left" w:pos="195"/>
        </w:tabs>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③移出人每转移一车次同类危险废物，应当填写、运行一份危险废物转移联单；每车次转移多类危险废物的，可以填写、运行一份危险废物转移联单，也可以每一类危险废物填写、运行一份危险废物转移联单。</w:t>
      </w:r>
    </w:p>
    <w:p w14:paraId="3FE575F0">
      <w:pPr>
        <w:keepNext w:val="0"/>
        <w:keepLines w:val="0"/>
        <w:pageBreakBefore w:val="0"/>
        <w:tabs>
          <w:tab w:val="left" w:pos="195"/>
        </w:tabs>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④采用联运方式转移危险废物的，前一承运人和后一承运人应当明确运输交接的时间和地点。后一承运人应当核实危险废物转移联单确定的移出人信息、前一承运人信息及危险废物相关信息。</w:t>
      </w:r>
    </w:p>
    <w:p w14:paraId="6A1193F1">
      <w:pPr>
        <w:keepNext w:val="0"/>
        <w:keepLines w:val="0"/>
        <w:pageBreakBefore w:val="0"/>
        <w:tabs>
          <w:tab w:val="left" w:pos="195"/>
        </w:tabs>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转移危险废物的，须按照国家有关规定通过国家危险废物信息管理填写危险废物电子转移联单，并向危险废物移出地设区的市级以上地方人民政府生态环境行政主管部门提出申请。移出地设区的市级以上地方人民政府生态环境行政主管部门应当经</w:t>
      </w:r>
      <w:r>
        <w:rPr>
          <w:rFonts w:hint="eastAsia" w:cs="Times New Roman"/>
          <w:color w:val="auto"/>
          <w:sz w:val="24"/>
          <w:szCs w:val="32"/>
          <w:highlight w:val="none"/>
          <w:lang w:eastAsia="zh-CN"/>
        </w:rPr>
        <w:t>接收</w:t>
      </w:r>
      <w:r>
        <w:rPr>
          <w:rFonts w:hint="default" w:ascii="Times New Roman" w:hAnsi="Times New Roman" w:eastAsia="宋体" w:cs="Times New Roman"/>
          <w:color w:val="auto"/>
          <w:sz w:val="24"/>
          <w:szCs w:val="32"/>
          <w:highlight w:val="none"/>
        </w:rPr>
        <w:t>地设区的市级以上地方人民政府生态环境行政主管部门同意后，方可批准转移该危险废物。未经批准，不得转移。转移危险废物</w:t>
      </w:r>
      <w:r>
        <w:rPr>
          <w:rFonts w:hint="eastAsia" w:cs="Times New Roman"/>
          <w:color w:val="auto"/>
          <w:sz w:val="24"/>
          <w:szCs w:val="32"/>
          <w:highlight w:val="none"/>
          <w:lang w:eastAsia="zh-CN"/>
        </w:rPr>
        <w:t>途经</w:t>
      </w:r>
      <w:r>
        <w:rPr>
          <w:rFonts w:hint="default" w:ascii="Times New Roman" w:hAnsi="Times New Roman" w:eastAsia="宋体" w:cs="Times New Roman"/>
          <w:color w:val="auto"/>
          <w:sz w:val="24"/>
          <w:szCs w:val="32"/>
          <w:highlight w:val="none"/>
        </w:rPr>
        <w:t>移出地、</w:t>
      </w:r>
      <w:r>
        <w:rPr>
          <w:rFonts w:hint="eastAsia" w:cs="Times New Roman"/>
          <w:color w:val="auto"/>
          <w:sz w:val="24"/>
          <w:szCs w:val="32"/>
          <w:highlight w:val="none"/>
          <w:lang w:eastAsia="zh-CN"/>
        </w:rPr>
        <w:t>接收</w:t>
      </w:r>
      <w:r>
        <w:rPr>
          <w:rFonts w:hint="default" w:ascii="Times New Roman" w:hAnsi="Times New Roman" w:eastAsia="宋体" w:cs="Times New Roman"/>
          <w:color w:val="auto"/>
          <w:sz w:val="24"/>
          <w:szCs w:val="32"/>
          <w:highlight w:val="none"/>
        </w:rPr>
        <w:t>地以外行政区域的，危险废物移出地设区的市级以上地方人民政府生态环境行政主管部门应当及时通知沿途经过的设区的市级以上地方人民政府生态环境行政主管部门。</w:t>
      </w:r>
    </w:p>
    <w:p w14:paraId="28C1CBEA">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outlineLvl w:val="9"/>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5）委托处置</w:t>
      </w:r>
    </w:p>
    <w:p w14:paraId="0DBC7F45">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outlineLvl w:val="9"/>
        <w:rPr>
          <w:rFonts w:hint="default" w:ascii="Times New Roman" w:hAnsi="Times New Roman" w:eastAsia="宋体" w:cs="Times New Roman"/>
          <w:color w:val="auto"/>
          <w:sz w:val="24"/>
          <w:szCs w:val="32"/>
          <w:highlight w:val="none"/>
        </w:rPr>
      </w:pPr>
      <w:r>
        <w:rPr>
          <w:rFonts w:hint="eastAsia" w:cs="Times New Roman"/>
          <w:color w:val="auto"/>
          <w:sz w:val="24"/>
          <w:szCs w:val="32"/>
          <w:highlight w:val="none"/>
          <w:lang w:eastAsia="zh-CN"/>
        </w:rPr>
        <w:t>危废贮存点</w:t>
      </w:r>
      <w:r>
        <w:rPr>
          <w:rFonts w:hint="default" w:ascii="Times New Roman" w:hAnsi="Times New Roman" w:eastAsia="宋体" w:cs="Times New Roman"/>
          <w:color w:val="auto"/>
          <w:sz w:val="24"/>
          <w:szCs w:val="32"/>
          <w:highlight w:val="none"/>
        </w:rPr>
        <w:t>贮存的危险废物由有危废处置资质的单位进行处置，危废处置单位使用专用车辆至厂内收集、转移危险废物，建设单位不自行外运、转移。危险废物委托处置后，对环境影响不大。</w:t>
      </w:r>
    </w:p>
    <w:p w14:paraId="160E016C">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outlineLvl w:val="9"/>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6）管理措施</w:t>
      </w:r>
    </w:p>
    <w:p w14:paraId="179F130B">
      <w:pPr>
        <w:keepNext w:val="0"/>
        <w:keepLines w:val="0"/>
        <w:pageBreakBefore w:val="0"/>
        <w:widowControl/>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szCs w:val="32"/>
          <w:highlight w:val="none"/>
        </w:rPr>
      </w:pPr>
      <w:r>
        <w:rPr>
          <w:rFonts w:hint="default" w:ascii="Times New Roman" w:hAnsi="Times New Roman" w:cs="Times New Roman"/>
          <w:color w:val="auto"/>
          <w:sz w:val="24"/>
          <w:szCs w:val="32"/>
          <w:highlight w:val="none"/>
          <w:lang w:eastAsia="zh-CN"/>
        </w:rPr>
        <w:t>建设单位</w:t>
      </w:r>
      <w:r>
        <w:rPr>
          <w:rFonts w:hint="default" w:ascii="Times New Roman" w:hAnsi="Times New Roman" w:eastAsia="宋体" w:cs="Times New Roman"/>
          <w:color w:val="auto"/>
          <w:sz w:val="24"/>
          <w:szCs w:val="32"/>
          <w:highlight w:val="none"/>
        </w:rPr>
        <w:t>应结合自身实际，建立危险废物管理台账，规范危险废物情况的记录，记录上须注明危险废物的种类、来源、数量、性质、产生环节、利用处置和包装容器的类别、入库日期、存放库位、废物出库日期及接收单位名称，确保厂内所有危险废物流向清楚规范。</w:t>
      </w:r>
    </w:p>
    <w:p w14:paraId="3A226B23">
      <w:pPr>
        <w:pStyle w:val="43"/>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eastAsia="宋体" w:cs="Times New Roman"/>
          <w:color w:val="auto"/>
          <w:szCs w:val="32"/>
          <w:highlight w:val="none"/>
        </w:rPr>
        <w:t>按规定申报危险废物产生、贮存、转移、利用处置等信息，制定和落实危险废物年度管理计划，执行危险废物申报登记制度，并在</w:t>
      </w:r>
      <w:r>
        <w:rPr>
          <w:rFonts w:hint="eastAsia" w:cs="Times New Roman"/>
          <w:color w:val="auto"/>
          <w:szCs w:val="32"/>
          <w:highlight w:val="none"/>
          <w:lang w:eastAsia="zh-CN"/>
        </w:rPr>
        <w:t>“</w:t>
      </w:r>
      <w:r>
        <w:rPr>
          <w:rFonts w:hint="default" w:ascii="Times New Roman" w:hAnsi="Times New Roman" w:eastAsia="宋体" w:cs="Times New Roman"/>
          <w:color w:val="auto"/>
          <w:szCs w:val="32"/>
          <w:highlight w:val="none"/>
        </w:rPr>
        <w:t>固废管理系统</w:t>
      </w:r>
      <w:r>
        <w:rPr>
          <w:rFonts w:hint="eastAsia" w:cs="Times New Roman"/>
          <w:color w:val="auto"/>
          <w:szCs w:val="32"/>
          <w:highlight w:val="none"/>
          <w:lang w:eastAsia="zh-CN"/>
        </w:rPr>
        <w:t>”</w:t>
      </w:r>
      <w:r>
        <w:rPr>
          <w:rFonts w:hint="default" w:ascii="Times New Roman" w:hAnsi="Times New Roman" w:eastAsia="宋体" w:cs="Times New Roman"/>
          <w:color w:val="auto"/>
          <w:szCs w:val="32"/>
          <w:highlight w:val="none"/>
        </w:rPr>
        <w:t>中备案。及时向当地生态环境部门申报危险废物种类、产生量、流向、处置等资料，办理临时申报登记手续。严格执行危险废物交换转移审批制度。所有危险废物交换转移向生态环境部门提出申请，经生态环境部门预审后报上级生态环境部门批准。危险废物交换转移前到当地生态环境部门网上申请联单。绝不擅自交换、向无危险废物经营许可证单位转移。必须定期对所暂存的危险废物包装容器及暂存设施进行检查，发现破损，应及时采取措施清理更换。</w:t>
      </w:r>
    </w:p>
    <w:p w14:paraId="3544DCC2">
      <w:pPr>
        <w:keepNext/>
        <w:keepLines/>
        <w:spacing w:before="60" w:after="60"/>
        <w:ind w:firstLine="0" w:firstLineChars="0"/>
        <w:outlineLvl w:val="2"/>
        <w:rPr>
          <w:rFonts w:hint="default" w:ascii="Times New Roman" w:hAnsi="Times New Roman" w:cs="Times New Roman"/>
          <w:b/>
          <w:bCs/>
          <w:color w:val="auto"/>
          <w:sz w:val="30"/>
          <w:szCs w:val="32"/>
          <w:highlight w:val="none"/>
        </w:rPr>
      </w:pPr>
      <w:r>
        <w:rPr>
          <w:rFonts w:hint="default" w:ascii="Times New Roman" w:hAnsi="Times New Roman" w:cs="Times New Roman"/>
          <w:b/>
          <w:bCs/>
          <w:color w:val="auto"/>
          <w:sz w:val="30"/>
          <w:szCs w:val="32"/>
          <w:highlight w:val="none"/>
        </w:rPr>
        <w:t>5.3.6尾矿库环境安全隐患排查</w:t>
      </w:r>
    </w:p>
    <w:p w14:paraId="6CCA450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（1）尾矿库环境安全隐患排查治理</w:t>
      </w:r>
    </w:p>
    <w:p w14:paraId="1FB9899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根据同类型尾矿库隐患及事故分析，本项目隐患排查应当建立台账，实行</w:t>
      </w:r>
      <w:r>
        <w:rPr>
          <w:rFonts w:hint="eastAsia" w:cs="Times New Roman"/>
          <w:color w:val="auto"/>
          <w:highlight w:val="none"/>
          <w:lang w:eastAsia="zh-CN"/>
        </w:rPr>
        <w:t>“</w:t>
      </w:r>
      <w:r>
        <w:rPr>
          <w:rFonts w:hint="default" w:ascii="Times New Roman" w:hAnsi="Times New Roman" w:cs="Times New Roman"/>
          <w:color w:val="auto"/>
          <w:highlight w:val="none"/>
        </w:rPr>
        <w:t>一库一档</w:t>
      </w:r>
      <w:r>
        <w:rPr>
          <w:rFonts w:hint="eastAsia" w:cs="Times New Roman"/>
          <w:color w:val="auto"/>
          <w:highlight w:val="none"/>
          <w:lang w:eastAsia="zh-CN"/>
        </w:rPr>
        <w:t>”</w:t>
      </w:r>
      <w:r>
        <w:rPr>
          <w:rFonts w:hint="default" w:ascii="Times New Roman" w:hAnsi="Times New Roman" w:cs="Times New Roman"/>
          <w:color w:val="auto"/>
          <w:highlight w:val="none"/>
        </w:rPr>
        <w:t>档案管理，对存在的环境违法问题和安全隐患进行全面整改，有效遏制突发环境事故的发生。本项目隐患排查注意从如下几方面进行：</w:t>
      </w:r>
    </w:p>
    <w:p w14:paraId="0A45D626">
      <w:pPr>
        <w:ind w:firstLine="0" w:firstLineChars="0"/>
        <w:jc w:val="center"/>
        <w:rPr>
          <w:rFonts w:hint="default" w:ascii="Times New Roman" w:hAnsi="Times New Roman" w:cs="Times New Roman"/>
          <w:color w:val="auto"/>
          <w:highlight w:val="none"/>
        </w:rPr>
      </w:pPr>
      <w:bookmarkStart w:id="744" w:name="_Toc20886_WPSOffice_Level2"/>
      <w:r>
        <w:rPr>
          <w:rFonts w:hint="default" w:ascii="Times New Roman" w:hAnsi="Times New Roman" w:cs="Times New Roman"/>
          <w:b/>
          <w:bCs/>
          <w:color w:val="auto"/>
          <w:highlight w:val="none"/>
        </w:rPr>
        <w:t>表5.3-1</w:t>
      </w:r>
      <w:r>
        <w:rPr>
          <w:rFonts w:hint="default" w:ascii="Times New Roman" w:hAnsi="Times New Roman" w:cs="Times New Roman"/>
          <w:b/>
          <w:bCs/>
          <w:color w:val="auto"/>
          <w:highlight w:val="none"/>
          <w:lang w:val="en-US" w:eastAsia="zh-CN"/>
        </w:rPr>
        <w:t>3</w:t>
      </w:r>
      <w:r>
        <w:rPr>
          <w:rFonts w:hint="default" w:ascii="Times New Roman" w:hAnsi="Times New Roman" w:cs="Times New Roman"/>
          <w:b/>
          <w:bCs/>
          <w:color w:val="auto"/>
          <w:highlight w:val="none"/>
        </w:rPr>
        <w:t xml:space="preserve">    尾矿库隐患排查记录表</w:t>
      </w:r>
      <w:bookmarkEnd w:id="744"/>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1"/>
        <w:gridCol w:w="741"/>
        <w:gridCol w:w="3970"/>
        <w:gridCol w:w="1266"/>
        <w:gridCol w:w="2044"/>
      </w:tblGrid>
      <w:tr w14:paraId="5578BA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501" w:type="dxa"/>
            <w:tcBorders>
              <w:tl2br w:val="nil"/>
              <w:tr2bl w:val="nil"/>
            </w:tcBorders>
            <w:vAlign w:val="center"/>
          </w:tcPr>
          <w:p w14:paraId="65CBF114">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741" w:type="dxa"/>
            <w:tcBorders>
              <w:tl2br w:val="nil"/>
              <w:tr2bl w:val="nil"/>
            </w:tcBorders>
            <w:vAlign w:val="center"/>
          </w:tcPr>
          <w:p w14:paraId="1711B5F5">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检查内容</w:t>
            </w:r>
          </w:p>
        </w:tc>
        <w:tc>
          <w:tcPr>
            <w:tcW w:w="3970" w:type="dxa"/>
            <w:tcBorders>
              <w:tl2br w:val="nil"/>
              <w:tr2bl w:val="nil"/>
            </w:tcBorders>
            <w:vAlign w:val="center"/>
          </w:tcPr>
          <w:p w14:paraId="538B2103">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检查标准或依据</w:t>
            </w:r>
          </w:p>
        </w:tc>
        <w:tc>
          <w:tcPr>
            <w:tcW w:w="1266" w:type="dxa"/>
            <w:tcBorders>
              <w:tl2br w:val="nil"/>
              <w:tr2bl w:val="nil"/>
            </w:tcBorders>
            <w:vAlign w:val="center"/>
          </w:tcPr>
          <w:p w14:paraId="38F9A33D">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法规依据</w:t>
            </w:r>
          </w:p>
        </w:tc>
        <w:tc>
          <w:tcPr>
            <w:tcW w:w="2044" w:type="dxa"/>
            <w:tcBorders>
              <w:tl2br w:val="nil"/>
              <w:tr2bl w:val="nil"/>
            </w:tcBorders>
            <w:vAlign w:val="center"/>
          </w:tcPr>
          <w:p w14:paraId="44DD04B7">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检查方法</w:t>
            </w:r>
          </w:p>
        </w:tc>
      </w:tr>
      <w:tr w14:paraId="6F579A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1" w:type="dxa"/>
            <w:vMerge w:val="restart"/>
            <w:tcBorders>
              <w:tl2br w:val="nil"/>
              <w:tr2bl w:val="nil"/>
            </w:tcBorders>
            <w:vAlign w:val="center"/>
          </w:tcPr>
          <w:p w14:paraId="229C893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741" w:type="dxa"/>
            <w:vMerge w:val="restart"/>
            <w:tcBorders>
              <w:tl2br w:val="nil"/>
              <w:tr2bl w:val="nil"/>
            </w:tcBorders>
            <w:vAlign w:val="center"/>
          </w:tcPr>
          <w:p w14:paraId="481F6D8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尾矿坝</w:t>
            </w:r>
          </w:p>
        </w:tc>
        <w:tc>
          <w:tcPr>
            <w:tcW w:w="3970" w:type="dxa"/>
            <w:tcBorders>
              <w:tl2br w:val="nil"/>
              <w:tr2bl w:val="nil"/>
            </w:tcBorders>
            <w:vAlign w:val="center"/>
          </w:tcPr>
          <w:p w14:paraId="0EECD9B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初期坝上下游坡比应满足规程要求，同时不陡于设计规定的坡度</w:t>
            </w:r>
          </w:p>
        </w:tc>
        <w:tc>
          <w:tcPr>
            <w:tcW w:w="1266" w:type="dxa"/>
            <w:vMerge w:val="restart"/>
            <w:tcBorders>
              <w:tl2br w:val="nil"/>
              <w:tr2bl w:val="nil"/>
            </w:tcBorders>
            <w:vAlign w:val="center"/>
          </w:tcPr>
          <w:p w14:paraId="3BC8263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《尾矿库安全规程》（GB39496-2020）</w:t>
            </w:r>
          </w:p>
        </w:tc>
        <w:tc>
          <w:tcPr>
            <w:tcW w:w="2044" w:type="dxa"/>
            <w:tcBorders>
              <w:tl2br w:val="nil"/>
              <w:tr2bl w:val="nil"/>
            </w:tcBorders>
            <w:vAlign w:val="center"/>
          </w:tcPr>
          <w:p w14:paraId="6002C40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查阅设计资料，检查初期坝</w:t>
            </w:r>
          </w:p>
        </w:tc>
      </w:tr>
      <w:tr w14:paraId="538282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1" w:type="dxa"/>
            <w:vMerge w:val="continue"/>
            <w:tcBorders>
              <w:tl2br w:val="nil"/>
              <w:tr2bl w:val="nil"/>
            </w:tcBorders>
            <w:vAlign w:val="center"/>
          </w:tcPr>
          <w:p w14:paraId="2E944787">
            <w:pPr>
              <w:spacing w:line="360" w:lineRule="exact"/>
              <w:ind w:firstLine="0" w:firstLineChars="0"/>
              <w:jc w:val="center"/>
              <w:rPr>
                <w:rFonts w:hint="default" w:ascii="Times New Roman" w:hAnsi="Times New Roman" w:cs="Times New Roman"/>
                <w:color w:val="auto"/>
                <w:sz w:val="21"/>
                <w:szCs w:val="21"/>
                <w:highlight w:val="none"/>
              </w:rPr>
            </w:pPr>
          </w:p>
        </w:tc>
        <w:tc>
          <w:tcPr>
            <w:tcW w:w="741" w:type="dxa"/>
            <w:vMerge w:val="continue"/>
            <w:tcBorders>
              <w:tl2br w:val="nil"/>
              <w:tr2bl w:val="nil"/>
            </w:tcBorders>
            <w:vAlign w:val="center"/>
          </w:tcPr>
          <w:p w14:paraId="0EE6E284">
            <w:pPr>
              <w:spacing w:line="360" w:lineRule="exact"/>
              <w:ind w:firstLine="0" w:firstLineChars="0"/>
              <w:jc w:val="center"/>
              <w:rPr>
                <w:rFonts w:hint="default" w:ascii="Times New Roman" w:hAnsi="Times New Roman" w:cs="Times New Roman"/>
                <w:color w:val="auto"/>
                <w:sz w:val="21"/>
                <w:szCs w:val="21"/>
                <w:highlight w:val="none"/>
              </w:rPr>
            </w:pPr>
          </w:p>
        </w:tc>
        <w:tc>
          <w:tcPr>
            <w:tcW w:w="3970" w:type="dxa"/>
            <w:tcBorders>
              <w:tl2br w:val="nil"/>
              <w:tr2bl w:val="nil"/>
            </w:tcBorders>
            <w:vAlign w:val="center"/>
          </w:tcPr>
          <w:p w14:paraId="326A071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坝下渗水量正常，水质清澈，无</w:t>
            </w:r>
            <w:r>
              <w:rPr>
                <w:rFonts w:hint="eastAsia" w:cs="Times New Roman"/>
                <w:color w:val="auto"/>
                <w:sz w:val="21"/>
                <w:szCs w:val="21"/>
                <w:highlight w:val="none"/>
                <w:lang w:eastAsia="zh-CN"/>
              </w:rPr>
              <w:t>浑水</w:t>
            </w:r>
            <w:r>
              <w:rPr>
                <w:rFonts w:hint="default" w:ascii="Times New Roman" w:hAnsi="Times New Roman" w:cs="Times New Roman"/>
                <w:color w:val="auto"/>
                <w:sz w:val="21"/>
                <w:szCs w:val="21"/>
                <w:highlight w:val="none"/>
              </w:rPr>
              <w:t>渗出</w:t>
            </w:r>
          </w:p>
        </w:tc>
        <w:tc>
          <w:tcPr>
            <w:tcW w:w="1266" w:type="dxa"/>
            <w:vMerge w:val="continue"/>
            <w:tcBorders>
              <w:tl2br w:val="nil"/>
              <w:tr2bl w:val="nil"/>
            </w:tcBorders>
            <w:vAlign w:val="center"/>
          </w:tcPr>
          <w:p w14:paraId="6EB1EBBF">
            <w:pPr>
              <w:spacing w:line="360" w:lineRule="exact"/>
              <w:ind w:firstLine="0" w:firstLineChars="0"/>
              <w:jc w:val="center"/>
              <w:rPr>
                <w:rFonts w:hint="default" w:ascii="Times New Roman" w:hAnsi="Times New Roman" w:cs="Times New Roman"/>
                <w:color w:val="auto"/>
                <w:sz w:val="21"/>
                <w:szCs w:val="21"/>
                <w:highlight w:val="none"/>
              </w:rPr>
            </w:pPr>
          </w:p>
        </w:tc>
        <w:tc>
          <w:tcPr>
            <w:tcW w:w="2044" w:type="dxa"/>
            <w:tcBorders>
              <w:tl2br w:val="nil"/>
              <w:tr2bl w:val="nil"/>
            </w:tcBorders>
            <w:vAlign w:val="center"/>
          </w:tcPr>
          <w:p w14:paraId="6A07DB8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检查坝体</w:t>
            </w:r>
            <w:r>
              <w:rPr>
                <w:rFonts w:hint="eastAsia" w:cs="Times New Roman"/>
                <w:color w:val="auto"/>
                <w:sz w:val="21"/>
                <w:szCs w:val="21"/>
                <w:highlight w:val="none"/>
                <w:lang w:eastAsia="zh-CN"/>
              </w:rPr>
              <w:t>渗水量</w:t>
            </w:r>
            <w:r>
              <w:rPr>
                <w:rFonts w:hint="default" w:ascii="Times New Roman" w:hAnsi="Times New Roman" w:cs="Times New Roman"/>
                <w:color w:val="auto"/>
                <w:sz w:val="21"/>
                <w:szCs w:val="21"/>
                <w:highlight w:val="none"/>
              </w:rPr>
              <w:t>是否浑浊</w:t>
            </w:r>
          </w:p>
        </w:tc>
      </w:tr>
      <w:tr w14:paraId="03B56C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1" w:type="dxa"/>
            <w:vMerge w:val="continue"/>
            <w:tcBorders>
              <w:tl2br w:val="nil"/>
              <w:tr2bl w:val="nil"/>
            </w:tcBorders>
            <w:vAlign w:val="center"/>
          </w:tcPr>
          <w:p w14:paraId="32B8E484">
            <w:pPr>
              <w:spacing w:line="360" w:lineRule="exact"/>
              <w:ind w:firstLine="0" w:firstLineChars="0"/>
              <w:jc w:val="center"/>
              <w:rPr>
                <w:rFonts w:hint="default" w:ascii="Times New Roman" w:hAnsi="Times New Roman" w:cs="Times New Roman"/>
                <w:color w:val="auto"/>
                <w:sz w:val="21"/>
                <w:szCs w:val="21"/>
                <w:highlight w:val="none"/>
              </w:rPr>
            </w:pPr>
          </w:p>
        </w:tc>
        <w:tc>
          <w:tcPr>
            <w:tcW w:w="741" w:type="dxa"/>
            <w:vMerge w:val="continue"/>
            <w:tcBorders>
              <w:tl2br w:val="nil"/>
              <w:tr2bl w:val="nil"/>
            </w:tcBorders>
            <w:vAlign w:val="center"/>
          </w:tcPr>
          <w:p w14:paraId="1F646354">
            <w:pPr>
              <w:spacing w:line="360" w:lineRule="exact"/>
              <w:ind w:firstLine="0" w:firstLineChars="0"/>
              <w:jc w:val="center"/>
              <w:rPr>
                <w:rFonts w:hint="default" w:ascii="Times New Roman" w:hAnsi="Times New Roman" w:cs="Times New Roman"/>
                <w:color w:val="auto"/>
                <w:sz w:val="21"/>
                <w:szCs w:val="21"/>
                <w:highlight w:val="none"/>
              </w:rPr>
            </w:pPr>
          </w:p>
        </w:tc>
        <w:tc>
          <w:tcPr>
            <w:tcW w:w="3970" w:type="dxa"/>
            <w:tcBorders>
              <w:tl2br w:val="nil"/>
              <w:tr2bl w:val="nil"/>
            </w:tcBorders>
            <w:vAlign w:val="center"/>
          </w:tcPr>
          <w:p w14:paraId="683499D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堆积坡比符合设计要求，不应陡于设计规定</w:t>
            </w:r>
          </w:p>
        </w:tc>
        <w:tc>
          <w:tcPr>
            <w:tcW w:w="1266" w:type="dxa"/>
            <w:vMerge w:val="continue"/>
            <w:tcBorders>
              <w:tl2br w:val="nil"/>
              <w:tr2bl w:val="nil"/>
            </w:tcBorders>
            <w:vAlign w:val="center"/>
          </w:tcPr>
          <w:p w14:paraId="2B63CE0C">
            <w:pPr>
              <w:spacing w:line="360" w:lineRule="exact"/>
              <w:ind w:firstLine="0" w:firstLineChars="0"/>
              <w:jc w:val="center"/>
              <w:rPr>
                <w:rFonts w:hint="default" w:ascii="Times New Roman" w:hAnsi="Times New Roman" w:cs="Times New Roman"/>
                <w:color w:val="auto"/>
                <w:sz w:val="21"/>
                <w:szCs w:val="21"/>
                <w:highlight w:val="none"/>
              </w:rPr>
            </w:pPr>
          </w:p>
        </w:tc>
        <w:tc>
          <w:tcPr>
            <w:tcW w:w="2044" w:type="dxa"/>
            <w:tcBorders>
              <w:tl2br w:val="nil"/>
              <w:tr2bl w:val="nil"/>
            </w:tcBorders>
            <w:vAlign w:val="center"/>
          </w:tcPr>
          <w:p w14:paraId="11FCEE7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检查尾矿坝现场，查阅设计资料</w:t>
            </w:r>
          </w:p>
        </w:tc>
      </w:tr>
      <w:tr w14:paraId="590750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1" w:type="dxa"/>
            <w:vMerge w:val="continue"/>
            <w:tcBorders>
              <w:tl2br w:val="nil"/>
              <w:tr2bl w:val="nil"/>
            </w:tcBorders>
            <w:vAlign w:val="center"/>
          </w:tcPr>
          <w:p w14:paraId="0411CE8C">
            <w:pPr>
              <w:spacing w:line="360" w:lineRule="exact"/>
              <w:ind w:firstLine="0" w:firstLineChars="0"/>
              <w:jc w:val="center"/>
              <w:rPr>
                <w:rFonts w:hint="default" w:ascii="Times New Roman" w:hAnsi="Times New Roman" w:cs="Times New Roman"/>
                <w:color w:val="auto"/>
                <w:sz w:val="21"/>
                <w:szCs w:val="21"/>
                <w:highlight w:val="none"/>
              </w:rPr>
            </w:pPr>
          </w:p>
        </w:tc>
        <w:tc>
          <w:tcPr>
            <w:tcW w:w="741" w:type="dxa"/>
            <w:vMerge w:val="continue"/>
            <w:tcBorders>
              <w:tl2br w:val="nil"/>
              <w:tr2bl w:val="nil"/>
            </w:tcBorders>
            <w:vAlign w:val="center"/>
          </w:tcPr>
          <w:p w14:paraId="2DBA9D9F">
            <w:pPr>
              <w:spacing w:line="360" w:lineRule="exact"/>
              <w:ind w:firstLine="0" w:firstLineChars="0"/>
              <w:jc w:val="center"/>
              <w:rPr>
                <w:rFonts w:hint="default" w:ascii="Times New Roman" w:hAnsi="Times New Roman" w:cs="Times New Roman"/>
                <w:color w:val="auto"/>
                <w:sz w:val="21"/>
                <w:szCs w:val="21"/>
                <w:highlight w:val="none"/>
              </w:rPr>
            </w:pPr>
          </w:p>
        </w:tc>
        <w:tc>
          <w:tcPr>
            <w:tcW w:w="3970" w:type="dxa"/>
            <w:tcBorders>
              <w:tl2br w:val="nil"/>
              <w:tr2bl w:val="nil"/>
            </w:tcBorders>
            <w:vAlign w:val="center"/>
          </w:tcPr>
          <w:p w14:paraId="00D64AA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下游坡面无严重冲沟、裂缝、塌坑和滑坡等不良现象</w:t>
            </w:r>
          </w:p>
        </w:tc>
        <w:tc>
          <w:tcPr>
            <w:tcW w:w="1266" w:type="dxa"/>
            <w:vMerge w:val="continue"/>
            <w:tcBorders>
              <w:tl2br w:val="nil"/>
              <w:tr2bl w:val="nil"/>
            </w:tcBorders>
            <w:vAlign w:val="center"/>
          </w:tcPr>
          <w:p w14:paraId="61CA38FE">
            <w:pPr>
              <w:spacing w:line="360" w:lineRule="exact"/>
              <w:ind w:firstLine="0" w:firstLineChars="0"/>
              <w:jc w:val="center"/>
              <w:rPr>
                <w:rFonts w:hint="default" w:ascii="Times New Roman" w:hAnsi="Times New Roman" w:cs="Times New Roman"/>
                <w:color w:val="auto"/>
                <w:sz w:val="21"/>
                <w:szCs w:val="21"/>
                <w:highlight w:val="none"/>
              </w:rPr>
            </w:pPr>
          </w:p>
        </w:tc>
        <w:tc>
          <w:tcPr>
            <w:tcW w:w="2044" w:type="dxa"/>
            <w:tcBorders>
              <w:tl2br w:val="nil"/>
              <w:tr2bl w:val="nil"/>
            </w:tcBorders>
            <w:vAlign w:val="center"/>
          </w:tcPr>
          <w:p w14:paraId="3C45CBE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检查尾矿坝下游坡面</w:t>
            </w:r>
          </w:p>
        </w:tc>
      </w:tr>
      <w:tr w14:paraId="7688EA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1" w:type="dxa"/>
            <w:vMerge w:val="continue"/>
            <w:tcBorders>
              <w:tl2br w:val="nil"/>
              <w:tr2bl w:val="nil"/>
            </w:tcBorders>
            <w:vAlign w:val="center"/>
          </w:tcPr>
          <w:p w14:paraId="01FF2C24">
            <w:pPr>
              <w:spacing w:line="360" w:lineRule="exact"/>
              <w:ind w:firstLine="0" w:firstLineChars="0"/>
              <w:jc w:val="center"/>
              <w:rPr>
                <w:rFonts w:hint="default" w:ascii="Times New Roman" w:hAnsi="Times New Roman" w:cs="Times New Roman"/>
                <w:color w:val="auto"/>
                <w:sz w:val="21"/>
                <w:szCs w:val="21"/>
                <w:highlight w:val="none"/>
              </w:rPr>
            </w:pPr>
          </w:p>
        </w:tc>
        <w:tc>
          <w:tcPr>
            <w:tcW w:w="741" w:type="dxa"/>
            <w:vMerge w:val="continue"/>
            <w:tcBorders>
              <w:tl2br w:val="nil"/>
              <w:tr2bl w:val="nil"/>
            </w:tcBorders>
            <w:vAlign w:val="center"/>
          </w:tcPr>
          <w:p w14:paraId="01C78BF4">
            <w:pPr>
              <w:spacing w:line="360" w:lineRule="exact"/>
              <w:ind w:firstLine="0" w:firstLineChars="0"/>
              <w:jc w:val="center"/>
              <w:rPr>
                <w:rFonts w:hint="default" w:ascii="Times New Roman" w:hAnsi="Times New Roman" w:cs="Times New Roman"/>
                <w:color w:val="auto"/>
                <w:sz w:val="21"/>
                <w:szCs w:val="21"/>
                <w:highlight w:val="none"/>
              </w:rPr>
            </w:pPr>
          </w:p>
        </w:tc>
        <w:tc>
          <w:tcPr>
            <w:tcW w:w="3970" w:type="dxa"/>
            <w:tcBorders>
              <w:tl2br w:val="nil"/>
              <w:tr2bl w:val="nil"/>
            </w:tcBorders>
            <w:vAlign w:val="center"/>
          </w:tcPr>
          <w:p w14:paraId="3214BFF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尾矿坝下游坡面上不得有积水坑</w:t>
            </w:r>
          </w:p>
        </w:tc>
        <w:tc>
          <w:tcPr>
            <w:tcW w:w="1266" w:type="dxa"/>
            <w:vMerge w:val="continue"/>
            <w:tcBorders>
              <w:tl2br w:val="nil"/>
              <w:tr2bl w:val="nil"/>
            </w:tcBorders>
            <w:vAlign w:val="center"/>
          </w:tcPr>
          <w:p w14:paraId="6A5263BD">
            <w:pPr>
              <w:spacing w:line="360" w:lineRule="exact"/>
              <w:ind w:firstLine="0" w:firstLineChars="0"/>
              <w:jc w:val="center"/>
              <w:rPr>
                <w:rFonts w:hint="default" w:ascii="Times New Roman" w:hAnsi="Times New Roman" w:cs="Times New Roman"/>
                <w:color w:val="auto"/>
                <w:sz w:val="21"/>
                <w:szCs w:val="21"/>
                <w:highlight w:val="none"/>
              </w:rPr>
            </w:pPr>
          </w:p>
        </w:tc>
        <w:tc>
          <w:tcPr>
            <w:tcW w:w="2044" w:type="dxa"/>
            <w:tcBorders>
              <w:tl2br w:val="nil"/>
              <w:tr2bl w:val="nil"/>
            </w:tcBorders>
            <w:vAlign w:val="center"/>
          </w:tcPr>
          <w:p w14:paraId="2D2BADD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检查尾矿坝下游坡面</w:t>
            </w:r>
          </w:p>
        </w:tc>
      </w:tr>
      <w:tr w14:paraId="05A5A9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1" w:type="dxa"/>
            <w:vMerge w:val="continue"/>
            <w:tcBorders>
              <w:tl2br w:val="nil"/>
              <w:tr2bl w:val="nil"/>
            </w:tcBorders>
            <w:vAlign w:val="center"/>
          </w:tcPr>
          <w:p w14:paraId="4E47A188">
            <w:pPr>
              <w:spacing w:line="360" w:lineRule="exact"/>
              <w:ind w:firstLine="0" w:firstLineChars="0"/>
              <w:jc w:val="center"/>
              <w:rPr>
                <w:rFonts w:hint="default" w:ascii="Times New Roman" w:hAnsi="Times New Roman" w:cs="Times New Roman"/>
                <w:color w:val="auto"/>
                <w:sz w:val="21"/>
                <w:szCs w:val="21"/>
                <w:highlight w:val="none"/>
              </w:rPr>
            </w:pPr>
          </w:p>
        </w:tc>
        <w:tc>
          <w:tcPr>
            <w:tcW w:w="741" w:type="dxa"/>
            <w:vMerge w:val="continue"/>
            <w:tcBorders>
              <w:tl2br w:val="nil"/>
              <w:tr2bl w:val="nil"/>
            </w:tcBorders>
            <w:vAlign w:val="center"/>
          </w:tcPr>
          <w:p w14:paraId="04000D29">
            <w:pPr>
              <w:spacing w:line="360" w:lineRule="exact"/>
              <w:ind w:firstLine="0" w:firstLineChars="0"/>
              <w:jc w:val="center"/>
              <w:rPr>
                <w:rFonts w:hint="default" w:ascii="Times New Roman" w:hAnsi="Times New Roman" w:cs="Times New Roman"/>
                <w:color w:val="auto"/>
                <w:sz w:val="21"/>
                <w:szCs w:val="21"/>
                <w:highlight w:val="none"/>
              </w:rPr>
            </w:pPr>
          </w:p>
        </w:tc>
        <w:tc>
          <w:tcPr>
            <w:tcW w:w="3970" w:type="dxa"/>
            <w:tcBorders>
              <w:tl2br w:val="nil"/>
              <w:tr2bl w:val="nil"/>
            </w:tcBorders>
            <w:vAlign w:val="center"/>
          </w:tcPr>
          <w:p w14:paraId="7CB085D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堆积坝下游坡面上宜用土石覆盖或用其他方式植被绿化，并可结合排渗设施每隔6～10m高差设置排水沟</w:t>
            </w:r>
          </w:p>
        </w:tc>
        <w:tc>
          <w:tcPr>
            <w:tcW w:w="1266" w:type="dxa"/>
            <w:vMerge w:val="continue"/>
            <w:tcBorders>
              <w:tl2br w:val="nil"/>
              <w:tr2bl w:val="nil"/>
            </w:tcBorders>
            <w:vAlign w:val="center"/>
          </w:tcPr>
          <w:p w14:paraId="419E233E">
            <w:pPr>
              <w:spacing w:line="360" w:lineRule="exact"/>
              <w:ind w:firstLine="0" w:firstLineChars="0"/>
              <w:jc w:val="center"/>
              <w:rPr>
                <w:rFonts w:hint="default" w:ascii="Times New Roman" w:hAnsi="Times New Roman" w:cs="Times New Roman"/>
                <w:color w:val="auto"/>
                <w:sz w:val="21"/>
                <w:szCs w:val="21"/>
                <w:highlight w:val="none"/>
              </w:rPr>
            </w:pPr>
          </w:p>
        </w:tc>
        <w:tc>
          <w:tcPr>
            <w:tcW w:w="2044" w:type="dxa"/>
            <w:tcBorders>
              <w:tl2br w:val="nil"/>
              <w:tr2bl w:val="nil"/>
            </w:tcBorders>
            <w:vAlign w:val="center"/>
          </w:tcPr>
          <w:p w14:paraId="47B11E3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检查尾矿坝下游坡面有无绿化和排水沟</w:t>
            </w:r>
          </w:p>
        </w:tc>
      </w:tr>
      <w:tr w14:paraId="7BEFA8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1" w:type="dxa"/>
            <w:vMerge w:val="continue"/>
            <w:tcBorders>
              <w:tl2br w:val="nil"/>
              <w:tr2bl w:val="nil"/>
            </w:tcBorders>
            <w:vAlign w:val="center"/>
          </w:tcPr>
          <w:p w14:paraId="5F3F7609">
            <w:pPr>
              <w:spacing w:line="360" w:lineRule="exact"/>
              <w:ind w:firstLine="0" w:firstLineChars="0"/>
              <w:jc w:val="center"/>
              <w:rPr>
                <w:rFonts w:hint="default" w:ascii="Times New Roman" w:hAnsi="Times New Roman" w:cs="Times New Roman"/>
                <w:color w:val="auto"/>
                <w:sz w:val="21"/>
                <w:szCs w:val="21"/>
                <w:highlight w:val="none"/>
              </w:rPr>
            </w:pPr>
          </w:p>
        </w:tc>
        <w:tc>
          <w:tcPr>
            <w:tcW w:w="741" w:type="dxa"/>
            <w:vMerge w:val="continue"/>
            <w:tcBorders>
              <w:tl2br w:val="nil"/>
              <w:tr2bl w:val="nil"/>
            </w:tcBorders>
            <w:vAlign w:val="center"/>
          </w:tcPr>
          <w:p w14:paraId="15AF630D">
            <w:pPr>
              <w:spacing w:line="360" w:lineRule="exact"/>
              <w:ind w:firstLine="0" w:firstLineChars="0"/>
              <w:jc w:val="center"/>
              <w:rPr>
                <w:rFonts w:hint="default" w:ascii="Times New Roman" w:hAnsi="Times New Roman" w:cs="Times New Roman"/>
                <w:color w:val="auto"/>
                <w:sz w:val="21"/>
                <w:szCs w:val="21"/>
                <w:highlight w:val="none"/>
              </w:rPr>
            </w:pPr>
          </w:p>
        </w:tc>
        <w:tc>
          <w:tcPr>
            <w:tcW w:w="3970" w:type="dxa"/>
            <w:tcBorders>
              <w:tl2br w:val="nil"/>
              <w:tr2bl w:val="nil"/>
            </w:tcBorders>
            <w:vAlign w:val="center"/>
          </w:tcPr>
          <w:p w14:paraId="0828A16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尾矿堆积坝下游坡与两岸山坡结合处应设置截水沟</w:t>
            </w:r>
          </w:p>
        </w:tc>
        <w:tc>
          <w:tcPr>
            <w:tcW w:w="1266" w:type="dxa"/>
            <w:vMerge w:val="continue"/>
            <w:tcBorders>
              <w:tl2br w:val="nil"/>
              <w:tr2bl w:val="nil"/>
            </w:tcBorders>
            <w:vAlign w:val="center"/>
          </w:tcPr>
          <w:p w14:paraId="725299C6">
            <w:pPr>
              <w:spacing w:line="360" w:lineRule="exact"/>
              <w:ind w:firstLine="0" w:firstLineChars="0"/>
              <w:jc w:val="center"/>
              <w:rPr>
                <w:rFonts w:hint="default" w:ascii="Times New Roman" w:hAnsi="Times New Roman" w:cs="Times New Roman"/>
                <w:color w:val="auto"/>
                <w:sz w:val="21"/>
                <w:szCs w:val="21"/>
                <w:highlight w:val="none"/>
              </w:rPr>
            </w:pPr>
          </w:p>
        </w:tc>
        <w:tc>
          <w:tcPr>
            <w:tcW w:w="2044" w:type="dxa"/>
            <w:tcBorders>
              <w:tl2br w:val="nil"/>
              <w:tr2bl w:val="nil"/>
            </w:tcBorders>
            <w:vAlign w:val="center"/>
          </w:tcPr>
          <w:p w14:paraId="15DAE29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检查尾矿坝有无截水沟</w:t>
            </w:r>
          </w:p>
        </w:tc>
      </w:tr>
      <w:tr w14:paraId="46A6F3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1" w:type="dxa"/>
            <w:vMerge w:val="continue"/>
            <w:tcBorders>
              <w:tl2br w:val="nil"/>
              <w:tr2bl w:val="nil"/>
            </w:tcBorders>
            <w:vAlign w:val="center"/>
          </w:tcPr>
          <w:p w14:paraId="6C786256">
            <w:pPr>
              <w:spacing w:line="360" w:lineRule="exact"/>
              <w:ind w:firstLine="0" w:firstLineChars="0"/>
              <w:jc w:val="center"/>
              <w:rPr>
                <w:rFonts w:hint="default" w:ascii="Times New Roman" w:hAnsi="Times New Roman" w:cs="Times New Roman"/>
                <w:color w:val="auto"/>
                <w:sz w:val="21"/>
                <w:szCs w:val="21"/>
                <w:highlight w:val="none"/>
              </w:rPr>
            </w:pPr>
          </w:p>
        </w:tc>
        <w:tc>
          <w:tcPr>
            <w:tcW w:w="741" w:type="dxa"/>
            <w:vMerge w:val="continue"/>
            <w:tcBorders>
              <w:tl2br w:val="nil"/>
              <w:tr2bl w:val="nil"/>
            </w:tcBorders>
            <w:vAlign w:val="center"/>
          </w:tcPr>
          <w:p w14:paraId="34E1C813">
            <w:pPr>
              <w:spacing w:line="360" w:lineRule="exact"/>
              <w:ind w:firstLine="0" w:firstLineChars="0"/>
              <w:jc w:val="center"/>
              <w:rPr>
                <w:rFonts w:hint="default" w:ascii="Times New Roman" w:hAnsi="Times New Roman" w:cs="Times New Roman"/>
                <w:color w:val="auto"/>
                <w:sz w:val="21"/>
                <w:szCs w:val="21"/>
                <w:highlight w:val="none"/>
              </w:rPr>
            </w:pPr>
          </w:p>
        </w:tc>
        <w:tc>
          <w:tcPr>
            <w:tcW w:w="3970" w:type="dxa"/>
            <w:tcBorders>
              <w:tl2br w:val="nil"/>
              <w:tr2bl w:val="nil"/>
            </w:tcBorders>
            <w:vAlign w:val="center"/>
          </w:tcPr>
          <w:p w14:paraId="6931374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严格按设计要求控制坝体浸润线埋深</w:t>
            </w:r>
          </w:p>
        </w:tc>
        <w:tc>
          <w:tcPr>
            <w:tcW w:w="1266" w:type="dxa"/>
            <w:vMerge w:val="continue"/>
            <w:tcBorders>
              <w:tl2br w:val="nil"/>
              <w:tr2bl w:val="nil"/>
            </w:tcBorders>
            <w:vAlign w:val="center"/>
          </w:tcPr>
          <w:p w14:paraId="7892344A">
            <w:pPr>
              <w:spacing w:line="360" w:lineRule="exact"/>
              <w:ind w:firstLine="0" w:firstLineChars="0"/>
              <w:jc w:val="center"/>
              <w:rPr>
                <w:rFonts w:hint="default" w:ascii="Times New Roman" w:hAnsi="Times New Roman" w:cs="Times New Roman"/>
                <w:color w:val="auto"/>
                <w:sz w:val="21"/>
                <w:szCs w:val="21"/>
                <w:highlight w:val="none"/>
              </w:rPr>
            </w:pPr>
          </w:p>
        </w:tc>
        <w:tc>
          <w:tcPr>
            <w:tcW w:w="2044" w:type="dxa"/>
            <w:tcBorders>
              <w:tl2br w:val="nil"/>
              <w:tr2bl w:val="nil"/>
            </w:tcBorders>
            <w:vAlign w:val="center"/>
          </w:tcPr>
          <w:p w14:paraId="6380DD3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查阅设计资料、浸润线观测资料、现场检查</w:t>
            </w:r>
          </w:p>
        </w:tc>
      </w:tr>
      <w:tr w14:paraId="54F5F2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1" w:type="dxa"/>
            <w:vMerge w:val="continue"/>
            <w:tcBorders>
              <w:tl2br w:val="nil"/>
              <w:tr2bl w:val="nil"/>
            </w:tcBorders>
            <w:vAlign w:val="center"/>
          </w:tcPr>
          <w:p w14:paraId="76A06620">
            <w:pPr>
              <w:spacing w:line="360" w:lineRule="exact"/>
              <w:ind w:firstLine="0" w:firstLineChars="0"/>
              <w:jc w:val="center"/>
              <w:rPr>
                <w:rFonts w:hint="default" w:ascii="Times New Roman" w:hAnsi="Times New Roman" w:cs="Times New Roman"/>
                <w:color w:val="auto"/>
                <w:sz w:val="21"/>
                <w:szCs w:val="21"/>
                <w:highlight w:val="none"/>
              </w:rPr>
            </w:pPr>
          </w:p>
        </w:tc>
        <w:tc>
          <w:tcPr>
            <w:tcW w:w="741" w:type="dxa"/>
            <w:vMerge w:val="continue"/>
            <w:tcBorders>
              <w:tl2br w:val="nil"/>
              <w:tr2bl w:val="nil"/>
            </w:tcBorders>
            <w:vAlign w:val="center"/>
          </w:tcPr>
          <w:p w14:paraId="33D97D02">
            <w:pPr>
              <w:spacing w:line="360" w:lineRule="exact"/>
              <w:ind w:firstLine="0" w:firstLineChars="0"/>
              <w:jc w:val="center"/>
              <w:rPr>
                <w:rFonts w:hint="default" w:ascii="Times New Roman" w:hAnsi="Times New Roman" w:cs="Times New Roman"/>
                <w:color w:val="auto"/>
                <w:sz w:val="21"/>
                <w:szCs w:val="21"/>
                <w:highlight w:val="none"/>
              </w:rPr>
            </w:pPr>
          </w:p>
        </w:tc>
        <w:tc>
          <w:tcPr>
            <w:tcW w:w="3970" w:type="dxa"/>
            <w:tcBorders>
              <w:tl2br w:val="nil"/>
              <w:tr2bl w:val="nil"/>
            </w:tcBorders>
            <w:vAlign w:val="center"/>
          </w:tcPr>
          <w:p w14:paraId="0B40CDD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4级以上尾矿坝应设置坝体位移和坝体浸润线观测设施</w:t>
            </w:r>
          </w:p>
        </w:tc>
        <w:tc>
          <w:tcPr>
            <w:tcW w:w="1266" w:type="dxa"/>
            <w:vMerge w:val="continue"/>
            <w:tcBorders>
              <w:tl2br w:val="nil"/>
              <w:tr2bl w:val="nil"/>
            </w:tcBorders>
            <w:vAlign w:val="center"/>
          </w:tcPr>
          <w:p w14:paraId="49E08C90">
            <w:pPr>
              <w:spacing w:line="360" w:lineRule="exact"/>
              <w:ind w:firstLine="0" w:firstLineChars="0"/>
              <w:jc w:val="center"/>
              <w:rPr>
                <w:rFonts w:hint="default" w:ascii="Times New Roman" w:hAnsi="Times New Roman" w:cs="Times New Roman"/>
                <w:color w:val="auto"/>
                <w:sz w:val="21"/>
                <w:szCs w:val="21"/>
                <w:highlight w:val="none"/>
              </w:rPr>
            </w:pPr>
          </w:p>
        </w:tc>
        <w:tc>
          <w:tcPr>
            <w:tcW w:w="2044" w:type="dxa"/>
            <w:tcBorders>
              <w:tl2br w:val="nil"/>
              <w:tr2bl w:val="nil"/>
            </w:tcBorders>
            <w:vAlign w:val="center"/>
          </w:tcPr>
          <w:p w14:paraId="0933AA5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检查尾矿库现场、查阅监测资料</w:t>
            </w:r>
          </w:p>
        </w:tc>
      </w:tr>
      <w:tr w14:paraId="5EC84C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1" w:type="dxa"/>
            <w:vMerge w:val="continue"/>
            <w:tcBorders>
              <w:tl2br w:val="nil"/>
              <w:tr2bl w:val="nil"/>
            </w:tcBorders>
            <w:vAlign w:val="center"/>
          </w:tcPr>
          <w:p w14:paraId="0EBAD5F4">
            <w:pPr>
              <w:spacing w:line="360" w:lineRule="exact"/>
              <w:ind w:firstLine="0" w:firstLineChars="0"/>
              <w:jc w:val="center"/>
              <w:rPr>
                <w:rFonts w:hint="default" w:ascii="Times New Roman" w:hAnsi="Times New Roman" w:cs="Times New Roman"/>
                <w:color w:val="auto"/>
                <w:sz w:val="21"/>
                <w:szCs w:val="21"/>
                <w:highlight w:val="none"/>
              </w:rPr>
            </w:pPr>
          </w:p>
        </w:tc>
        <w:tc>
          <w:tcPr>
            <w:tcW w:w="741" w:type="dxa"/>
            <w:vMerge w:val="continue"/>
            <w:tcBorders>
              <w:tl2br w:val="nil"/>
              <w:tr2bl w:val="nil"/>
            </w:tcBorders>
            <w:vAlign w:val="center"/>
          </w:tcPr>
          <w:p w14:paraId="6D28047E">
            <w:pPr>
              <w:spacing w:line="360" w:lineRule="exact"/>
              <w:ind w:firstLine="0" w:firstLineChars="0"/>
              <w:jc w:val="center"/>
              <w:rPr>
                <w:rFonts w:hint="default" w:ascii="Times New Roman" w:hAnsi="Times New Roman" w:cs="Times New Roman"/>
                <w:color w:val="auto"/>
                <w:sz w:val="21"/>
                <w:szCs w:val="21"/>
                <w:highlight w:val="none"/>
              </w:rPr>
            </w:pPr>
          </w:p>
        </w:tc>
        <w:tc>
          <w:tcPr>
            <w:tcW w:w="3970" w:type="dxa"/>
            <w:tcBorders>
              <w:tl2br w:val="nil"/>
              <w:tr2bl w:val="nil"/>
            </w:tcBorders>
            <w:vAlign w:val="center"/>
          </w:tcPr>
          <w:p w14:paraId="7B79E66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坝高、坝型、上下游坡比应满足设计要求</w:t>
            </w:r>
          </w:p>
        </w:tc>
        <w:tc>
          <w:tcPr>
            <w:tcW w:w="1266" w:type="dxa"/>
            <w:vMerge w:val="continue"/>
            <w:tcBorders>
              <w:tl2br w:val="nil"/>
              <w:tr2bl w:val="nil"/>
            </w:tcBorders>
            <w:vAlign w:val="center"/>
          </w:tcPr>
          <w:p w14:paraId="534B0143">
            <w:pPr>
              <w:spacing w:line="360" w:lineRule="exact"/>
              <w:ind w:firstLine="0" w:firstLineChars="0"/>
              <w:jc w:val="center"/>
              <w:rPr>
                <w:rFonts w:hint="default" w:ascii="Times New Roman" w:hAnsi="Times New Roman" w:cs="Times New Roman"/>
                <w:color w:val="auto"/>
                <w:sz w:val="21"/>
                <w:szCs w:val="21"/>
                <w:highlight w:val="none"/>
              </w:rPr>
            </w:pPr>
          </w:p>
        </w:tc>
        <w:tc>
          <w:tcPr>
            <w:tcW w:w="2044" w:type="dxa"/>
            <w:tcBorders>
              <w:tl2br w:val="nil"/>
              <w:tr2bl w:val="nil"/>
            </w:tcBorders>
            <w:vAlign w:val="center"/>
          </w:tcPr>
          <w:p w14:paraId="3C2ACEF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现场检查和查看设计资料</w:t>
            </w:r>
          </w:p>
        </w:tc>
      </w:tr>
      <w:tr w14:paraId="185BD6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1" w:type="dxa"/>
            <w:vMerge w:val="continue"/>
            <w:tcBorders>
              <w:tl2br w:val="nil"/>
              <w:tr2bl w:val="nil"/>
            </w:tcBorders>
            <w:vAlign w:val="center"/>
          </w:tcPr>
          <w:p w14:paraId="0B72B947">
            <w:pPr>
              <w:spacing w:line="360" w:lineRule="exact"/>
              <w:ind w:firstLine="0" w:firstLineChars="0"/>
              <w:jc w:val="center"/>
              <w:rPr>
                <w:rFonts w:hint="default" w:ascii="Times New Roman" w:hAnsi="Times New Roman" w:cs="Times New Roman"/>
                <w:color w:val="auto"/>
                <w:sz w:val="21"/>
                <w:szCs w:val="21"/>
                <w:highlight w:val="none"/>
              </w:rPr>
            </w:pPr>
          </w:p>
        </w:tc>
        <w:tc>
          <w:tcPr>
            <w:tcW w:w="741" w:type="dxa"/>
            <w:vMerge w:val="continue"/>
            <w:tcBorders>
              <w:tl2br w:val="nil"/>
              <w:tr2bl w:val="nil"/>
            </w:tcBorders>
            <w:vAlign w:val="center"/>
          </w:tcPr>
          <w:p w14:paraId="2F1157CD">
            <w:pPr>
              <w:spacing w:line="360" w:lineRule="exact"/>
              <w:ind w:firstLine="0" w:firstLineChars="0"/>
              <w:jc w:val="center"/>
              <w:rPr>
                <w:rFonts w:hint="default" w:ascii="Times New Roman" w:hAnsi="Times New Roman" w:cs="Times New Roman"/>
                <w:color w:val="auto"/>
                <w:sz w:val="21"/>
                <w:szCs w:val="21"/>
                <w:highlight w:val="none"/>
              </w:rPr>
            </w:pPr>
          </w:p>
        </w:tc>
        <w:tc>
          <w:tcPr>
            <w:tcW w:w="3970" w:type="dxa"/>
            <w:tcBorders>
              <w:tl2br w:val="nil"/>
              <w:tr2bl w:val="nil"/>
            </w:tcBorders>
            <w:vAlign w:val="center"/>
          </w:tcPr>
          <w:p w14:paraId="62FC1E5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建设单位应组织施工、监理、设计等单位的人员组成交工验收机构，进行初期坝、观测设施等工程验收，并编写验收报告</w:t>
            </w:r>
          </w:p>
        </w:tc>
        <w:tc>
          <w:tcPr>
            <w:tcW w:w="1266" w:type="dxa"/>
            <w:tcBorders>
              <w:tl2br w:val="nil"/>
              <w:tr2bl w:val="nil"/>
            </w:tcBorders>
            <w:vAlign w:val="center"/>
          </w:tcPr>
          <w:p w14:paraId="24AB217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《尾矿设施施工及验收规程》</w:t>
            </w:r>
          </w:p>
        </w:tc>
        <w:tc>
          <w:tcPr>
            <w:tcW w:w="2044" w:type="dxa"/>
            <w:tcBorders>
              <w:tl2br w:val="nil"/>
              <w:tr2bl w:val="nil"/>
            </w:tcBorders>
            <w:vAlign w:val="center"/>
          </w:tcPr>
          <w:p w14:paraId="5E894A1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查阅验收报告资料</w:t>
            </w:r>
          </w:p>
        </w:tc>
      </w:tr>
      <w:tr w14:paraId="69DE4A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1" w:type="dxa"/>
            <w:vMerge w:val="continue"/>
            <w:tcBorders>
              <w:tl2br w:val="nil"/>
              <w:tr2bl w:val="nil"/>
            </w:tcBorders>
            <w:vAlign w:val="center"/>
          </w:tcPr>
          <w:p w14:paraId="46313ECB">
            <w:pPr>
              <w:spacing w:line="360" w:lineRule="exact"/>
              <w:ind w:firstLine="0" w:firstLineChars="0"/>
              <w:jc w:val="center"/>
              <w:rPr>
                <w:rFonts w:hint="default" w:ascii="Times New Roman" w:hAnsi="Times New Roman" w:cs="Times New Roman"/>
                <w:color w:val="auto"/>
                <w:sz w:val="21"/>
                <w:szCs w:val="21"/>
                <w:highlight w:val="none"/>
              </w:rPr>
            </w:pPr>
          </w:p>
        </w:tc>
        <w:tc>
          <w:tcPr>
            <w:tcW w:w="741" w:type="dxa"/>
            <w:vMerge w:val="continue"/>
            <w:tcBorders>
              <w:tl2br w:val="nil"/>
              <w:tr2bl w:val="nil"/>
            </w:tcBorders>
            <w:vAlign w:val="center"/>
          </w:tcPr>
          <w:p w14:paraId="1B06A92F">
            <w:pPr>
              <w:spacing w:line="360" w:lineRule="exact"/>
              <w:ind w:firstLine="0" w:firstLineChars="0"/>
              <w:jc w:val="center"/>
              <w:rPr>
                <w:rFonts w:hint="default" w:ascii="Times New Roman" w:hAnsi="Times New Roman" w:cs="Times New Roman"/>
                <w:color w:val="auto"/>
                <w:sz w:val="21"/>
                <w:szCs w:val="21"/>
                <w:highlight w:val="none"/>
              </w:rPr>
            </w:pPr>
          </w:p>
        </w:tc>
        <w:tc>
          <w:tcPr>
            <w:tcW w:w="3970" w:type="dxa"/>
            <w:tcBorders>
              <w:tl2br w:val="nil"/>
              <w:tr2bl w:val="nil"/>
            </w:tcBorders>
            <w:vAlign w:val="center"/>
          </w:tcPr>
          <w:p w14:paraId="272EDAC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尾矿初期坝与堆积坝坝坡的抗滑稳定性系数应满足规程关于抗滑稳定安全系数要求</w:t>
            </w:r>
          </w:p>
        </w:tc>
        <w:tc>
          <w:tcPr>
            <w:tcW w:w="1266" w:type="dxa"/>
            <w:tcBorders>
              <w:tl2br w:val="nil"/>
              <w:tr2bl w:val="nil"/>
            </w:tcBorders>
            <w:vAlign w:val="center"/>
          </w:tcPr>
          <w:p w14:paraId="058EB5D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《选矿厂尾矿设施设计规范》</w:t>
            </w:r>
          </w:p>
        </w:tc>
        <w:tc>
          <w:tcPr>
            <w:tcW w:w="2044" w:type="dxa"/>
            <w:tcBorders>
              <w:tl2br w:val="nil"/>
              <w:tr2bl w:val="nil"/>
            </w:tcBorders>
            <w:vAlign w:val="center"/>
          </w:tcPr>
          <w:p w14:paraId="4FD1C09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查阅有无坝体稳定性计算资料</w:t>
            </w:r>
          </w:p>
        </w:tc>
      </w:tr>
      <w:tr w14:paraId="36A58A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1" w:type="dxa"/>
            <w:vMerge w:val="restart"/>
            <w:tcBorders>
              <w:tl2br w:val="nil"/>
              <w:tr2bl w:val="nil"/>
            </w:tcBorders>
            <w:vAlign w:val="center"/>
          </w:tcPr>
          <w:p w14:paraId="3A2D885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741" w:type="dxa"/>
            <w:vMerge w:val="restart"/>
            <w:tcBorders>
              <w:tl2br w:val="nil"/>
              <w:tr2bl w:val="nil"/>
            </w:tcBorders>
            <w:vAlign w:val="center"/>
          </w:tcPr>
          <w:p w14:paraId="3A9F8A7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排洪防汛</w:t>
            </w:r>
          </w:p>
        </w:tc>
        <w:tc>
          <w:tcPr>
            <w:tcW w:w="3970" w:type="dxa"/>
            <w:tcBorders>
              <w:tl2br w:val="nil"/>
              <w:tr2bl w:val="nil"/>
            </w:tcBorders>
            <w:vAlign w:val="center"/>
          </w:tcPr>
          <w:p w14:paraId="21567CF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根据设计或尾矿库安全生产年度计划，应保证在洪水来临并达到最高洪水水位时，滩顶安全超高和干滩长度满足规程和设计要求</w:t>
            </w:r>
          </w:p>
        </w:tc>
        <w:tc>
          <w:tcPr>
            <w:tcW w:w="1266" w:type="dxa"/>
            <w:vMerge w:val="restart"/>
            <w:tcBorders>
              <w:tl2br w:val="nil"/>
              <w:tr2bl w:val="nil"/>
            </w:tcBorders>
            <w:vAlign w:val="center"/>
          </w:tcPr>
          <w:p w14:paraId="5C04CE2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《尾矿库安全规程》</w:t>
            </w:r>
          </w:p>
        </w:tc>
        <w:tc>
          <w:tcPr>
            <w:tcW w:w="2044" w:type="dxa"/>
            <w:tcBorders>
              <w:tl2br w:val="nil"/>
              <w:tr2bl w:val="nil"/>
            </w:tcBorders>
            <w:vAlign w:val="center"/>
          </w:tcPr>
          <w:p w14:paraId="16307F4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现场检查、查阅设计资料及安全生产年度计划</w:t>
            </w:r>
          </w:p>
        </w:tc>
      </w:tr>
      <w:tr w14:paraId="694FC6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1" w:type="dxa"/>
            <w:vMerge w:val="continue"/>
            <w:tcBorders>
              <w:tl2br w:val="nil"/>
              <w:tr2bl w:val="nil"/>
            </w:tcBorders>
            <w:vAlign w:val="center"/>
          </w:tcPr>
          <w:p w14:paraId="414F5C84">
            <w:pPr>
              <w:spacing w:line="360" w:lineRule="exact"/>
              <w:ind w:firstLine="0" w:firstLineChars="0"/>
              <w:jc w:val="center"/>
              <w:rPr>
                <w:rFonts w:hint="default" w:ascii="Times New Roman" w:hAnsi="Times New Roman" w:cs="Times New Roman"/>
                <w:color w:val="auto"/>
                <w:sz w:val="21"/>
                <w:szCs w:val="21"/>
                <w:highlight w:val="none"/>
              </w:rPr>
            </w:pPr>
          </w:p>
        </w:tc>
        <w:tc>
          <w:tcPr>
            <w:tcW w:w="741" w:type="dxa"/>
            <w:vMerge w:val="continue"/>
            <w:tcBorders>
              <w:tl2br w:val="nil"/>
              <w:tr2bl w:val="nil"/>
            </w:tcBorders>
            <w:vAlign w:val="center"/>
          </w:tcPr>
          <w:p w14:paraId="6AA77B67">
            <w:pPr>
              <w:spacing w:line="360" w:lineRule="exact"/>
              <w:ind w:firstLine="0" w:firstLineChars="0"/>
              <w:jc w:val="center"/>
              <w:rPr>
                <w:rFonts w:hint="default" w:ascii="Times New Roman" w:hAnsi="Times New Roman" w:cs="Times New Roman"/>
                <w:color w:val="auto"/>
                <w:sz w:val="21"/>
                <w:szCs w:val="21"/>
                <w:highlight w:val="none"/>
              </w:rPr>
            </w:pPr>
          </w:p>
        </w:tc>
        <w:tc>
          <w:tcPr>
            <w:tcW w:w="3970" w:type="dxa"/>
            <w:tcBorders>
              <w:tl2br w:val="nil"/>
              <w:tr2bl w:val="nil"/>
            </w:tcBorders>
            <w:vAlign w:val="center"/>
          </w:tcPr>
          <w:p w14:paraId="5D54BCB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防洪标准应满足规程中有关不同等别尾矿库防洪标准的要求</w:t>
            </w:r>
          </w:p>
        </w:tc>
        <w:tc>
          <w:tcPr>
            <w:tcW w:w="1266" w:type="dxa"/>
            <w:vMerge w:val="continue"/>
            <w:tcBorders>
              <w:tl2br w:val="nil"/>
              <w:tr2bl w:val="nil"/>
            </w:tcBorders>
            <w:vAlign w:val="center"/>
          </w:tcPr>
          <w:p w14:paraId="677DE0C4">
            <w:pPr>
              <w:spacing w:line="360" w:lineRule="exact"/>
              <w:ind w:firstLine="0" w:firstLineChars="0"/>
              <w:jc w:val="center"/>
              <w:rPr>
                <w:rFonts w:hint="default" w:ascii="Times New Roman" w:hAnsi="Times New Roman" w:cs="Times New Roman"/>
                <w:color w:val="auto"/>
                <w:sz w:val="21"/>
                <w:szCs w:val="21"/>
                <w:highlight w:val="none"/>
              </w:rPr>
            </w:pPr>
          </w:p>
        </w:tc>
        <w:tc>
          <w:tcPr>
            <w:tcW w:w="2044" w:type="dxa"/>
            <w:tcBorders>
              <w:tl2br w:val="nil"/>
              <w:tr2bl w:val="nil"/>
            </w:tcBorders>
            <w:vAlign w:val="center"/>
          </w:tcPr>
          <w:p w14:paraId="2E2A870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查阅设计报告</w:t>
            </w:r>
          </w:p>
        </w:tc>
      </w:tr>
      <w:tr w14:paraId="054930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1" w:type="dxa"/>
            <w:vMerge w:val="continue"/>
            <w:tcBorders>
              <w:tl2br w:val="nil"/>
              <w:tr2bl w:val="nil"/>
            </w:tcBorders>
            <w:vAlign w:val="center"/>
          </w:tcPr>
          <w:p w14:paraId="2BE4D90B">
            <w:pPr>
              <w:spacing w:line="360" w:lineRule="exact"/>
              <w:ind w:firstLine="0" w:firstLineChars="0"/>
              <w:jc w:val="center"/>
              <w:rPr>
                <w:rFonts w:hint="default" w:ascii="Times New Roman" w:hAnsi="Times New Roman" w:cs="Times New Roman"/>
                <w:color w:val="auto"/>
                <w:sz w:val="21"/>
                <w:szCs w:val="21"/>
                <w:highlight w:val="none"/>
              </w:rPr>
            </w:pPr>
          </w:p>
        </w:tc>
        <w:tc>
          <w:tcPr>
            <w:tcW w:w="741" w:type="dxa"/>
            <w:vMerge w:val="continue"/>
            <w:tcBorders>
              <w:tl2br w:val="nil"/>
              <w:tr2bl w:val="nil"/>
            </w:tcBorders>
            <w:vAlign w:val="center"/>
          </w:tcPr>
          <w:p w14:paraId="45ED5BD6">
            <w:pPr>
              <w:spacing w:line="360" w:lineRule="exact"/>
              <w:ind w:firstLine="0" w:firstLineChars="0"/>
              <w:jc w:val="center"/>
              <w:rPr>
                <w:rFonts w:hint="default" w:ascii="Times New Roman" w:hAnsi="Times New Roman" w:cs="Times New Roman"/>
                <w:color w:val="auto"/>
                <w:sz w:val="21"/>
                <w:szCs w:val="21"/>
                <w:highlight w:val="none"/>
              </w:rPr>
            </w:pPr>
          </w:p>
        </w:tc>
        <w:tc>
          <w:tcPr>
            <w:tcW w:w="3970" w:type="dxa"/>
            <w:tcBorders>
              <w:tl2br w:val="nil"/>
              <w:tr2bl w:val="nil"/>
            </w:tcBorders>
            <w:vAlign w:val="center"/>
          </w:tcPr>
          <w:p w14:paraId="257D88F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排洪系统现状能够满足设计要求的泄水能力，当24小时洪水总量小于调洪库容时，洪水排出时间不宜超过72小时</w:t>
            </w:r>
          </w:p>
        </w:tc>
        <w:tc>
          <w:tcPr>
            <w:tcW w:w="1266" w:type="dxa"/>
            <w:vMerge w:val="continue"/>
            <w:tcBorders>
              <w:tl2br w:val="nil"/>
              <w:tr2bl w:val="nil"/>
            </w:tcBorders>
            <w:vAlign w:val="center"/>
          </w:tcPr>
          <w:p w14:paraId="67323B3D">
            <w:pPr>
              <w:spacing w:line="360" w:lineRule="exact"/>
              <w:ind w:firstLine="0" w:firstLineChars="0"/>
              <w:jc w:val="center"/>
              <w:rPr>
                <w:rFonts w:hint="default" w:ascii="Times New Roman" w:hAnsi="Times New Roman" w:cs="Times New Roman"/>
                <w:color w:val="auto"/>
                <w:sz w:val="21"/>
                <w:szCs w:val="21"/>
                <w:highlight w:val="none"/>
              </w:rPr>
            </w:pPr>
          </w:p>
        </w:tc>
        <w:tc>
          <w:tcPr>
            <w:tcW w:w="2044" w:type="dxa"/>
            <w:tcBorders>
              <w:tl2br w:val="nil"/>
              <w:tr2bl w:val="nil"/>
            </w:tcBorders>
            <w:vAlign w:val="center"/>
          </w:tcPr>
          <w:p w14:paraId="1CE0734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查阅设计资料、检查排洪设施是否完好</w:t>
            </w:r>
          </w:p>
        </w:tc>
      </w:tr>
      <w:tr w14:paraId="46599D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1" w:type="dxa"/>
            <w:vMerge w:val="continue"/>
            <w:tcBorders>
              <w:tl2br w:val="nil"/>
              <w:tr2bl w:val="nil"/>
            </w:tcBorders>
            <w:vAlign w:val="center"/>
          </w:tcPr>
          <w:p w14:paraId="33FE590D">
            <w:pPr>
              <w:spacing w:line="360" w:lineRule="exact"/>
              <w:ind w:firstLine="0" w:firstLineChars="0"/>
              <w:jc w:val="center"/>
              <w:rPr>
                <w:rFonts w:hint="default" w:ascii="Times New Roman" w:hAnsi="Times New Roman" w:cs="Times New Roman"/>
                <w:color w:val="auto"/>
                <w:sz w:val="21"/>
                <w:szCs w:val="21"/>
                <w:highlight w:val="none"/>
              </w:rPr>
            </w:pPr>
          </w:p>
        </w:tc>
        <w:tc>
          <w:tcPr>
            <w:tcW w:w="741" w:type="dxa"/>
            <w:vMerge w:val="continue"/>
            <w:tcBorders>
              <w:tl2br w:val="nil"/>
              <w:tr2bl w:val="nil"/>
            </w:tcBorders>
            <w:vAlign w:val="center"/>
          </w:tcPr>
          <w:p w14:paraId="4AE4F840">
            <w:pPr>
              <w:spacing w:line="360" w:lineRule="exact"/>
              <w:ind w:firstLine="0" w:firstLineChars="0"/>
              <w:jc w:val="center"/>
              <w:rPr>
                <w:rFonts w:hint="default" w:ascii="Times New Roman" w:hAnsi="Times New Roman" w:cs="Times New Roman"/>
                <w:color w:val="auto"/>
                <w:sz w:val="21"/>
                <w:szCs w:val="21"/>
                <w:highlight w:val="none"/>
              </w:rPr>
            </w:pPr>
          </w:p>
        </w:tc>
        <w:tc>
          <w:tcPr>
            <w:tcW w:w="3970" w:type="dxa"/>
            <w:tcBorders>
              <w:tl2br w:val="nil"/>
              <w:tr2bl w:val="nil"/>
            </w:tcBorders>
            <w:vAlign w:val="center"/>
          </w:tcPr>
          <w:p w14:paraId="5600E55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在排水构筑物上或尾矿库内适当地点，应设置清晰醒目的水位标尺，标明正常运行水位和警戒水位</w:t>
            </w:r>
          </w:p>
        </w:tc>
        <w:tc>
          <w:tcPr>
            <w:tcW w:w="1266" w:type="dxa"/>
            <w:vMerge w:val="continue"/>
            <w:tcBorders>
              <w:tl2br w:val="nil"/>
              <w:tr2bl w:val="nil"/>
            </w:tcBorders>
            <w:vAlign w:val="center"/>
          </w:tcPr>
          <w:p w14:paraId="6F0598FD">
            <w:pPr>
              <w:spacing w:line="360" w:lineRule="exact"/>
              <w:ind w:firstLine="0" w:firstLineChars="0"/>
              <w:jc w:val="center"/>
              <w:rPr>
                <w:rFonts w:hint="default" w:ascii="Times New Roman" w:hAnsi="Times New Roman" w:cs="Times New Roman"/>
                <w:color w:val="auto"/>
                <w:sz w:val="21"/>
                <w:szCs w:val="21"/>
                <w:highlight w:val="none"/>
              </w:rPr>
            </w:pPr>
          </w:p>
        </w:tc>
        <w:tc>
          <w:tcPr>
            <w:tcW w:w="2044" w:type="dxa"/>
            <w:tcBorders>
              <w:tl2br w:val="nil"/>
              <w:tr2bl w:val="nil"/>
            </w:tcBorders>
            <w:vAlign w:val="center"/>
          </w:tcPr>
          <w:p w14:paraId="1B43708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检查尾矿库有无设置明显水位标尺</w:t>
            </w:r>
          </w:p>
        </w:tc>
      </w:tr>
      <w:tr w14:paraId="37C7A5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1" w:type="dxa"/>
            <w:vMerge w:val="continue"/>
            <w:tcBorders>
              <w:tl2br w:val="nil"/>
              <w:tr2bl w:val="nil"/>
            </w:tcBorders>
            <w:vAlign w:val="center"/>
          </w:tcPr>
          <w:p w14:paraId="71DA19BD">
            <w:pPr>
              <w:spacing w:line="360" w:lineRule="exact"/>
              <w:ind w:firstLine="0" w:firstLineChars="0"/>
              <w:jc w:val="center"/>
              <w:rPr>
                <w:rFonts w:hint="default" w:ascii="Times New Roman" w:hAnsi="Times New Roman" w:cs="Times New Roman"/>
                <w:color w:val="auto"/>
                <w:sz w:val="21"/>
                <w:szCs w:val="21"/>
                <w:highlight w:val="none"/>
              </w:rPr>
            </w:pPr>
          </w:p>
        </w:tc>
        <w:tc>
          <w:tcPr>
            <w:tcW w:w="741" w:type="dxa"/>
            <w:vMerge w:val="continue"/>
            <w:tcBorders>
              <w:tl2br w:val="nil"/>
              <w:tr2bl w:val="nil"/>
            </w:tcBorders>
            <w:vAlign w:val="center"/>
          </w:tcPr>
          <w:p w14:paraId="05B88F03">
            <w:pPr>
              <w:spacing w:line="360" w:lineRule="exact"/>
              <w:ind w:firstLine="0" w:firstLineChars="0"/>
              <w:jc w:val="center"/>
              <w:rPr>
                <w:rFonts w:hint="default" w:ascii="Times New Roman" w:hAnsi="Times New Roman" w:cs="Times New Roman"/>
                <w:color w:val="auto"/>
                <w:sz w:val="21"/>
                <w:szCs w:val="21"/>
                <w:highlight w:val="none"/>
              </w:rPr>
            </w:pPr>
          </w:p>
        </w:tc>
        <w:tc>
          <w:tcPr>
            <w:tcW w:w="3970" w:type="dxa"/>
            <w:tcBorders>
              <w:tl2br w:val="nil"/>
              <w:tr2bl w:val="nil"/>
            </w:tcBorders>
            <w:vAlign w:val="center"/>
          </w:tcPr>
          <w:p w14:paraId="7D56702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汛期前应对排洪设施进行检查、维修和疏浚，确保排洪设施畅通。根据确定的排洪底坎高程，将排洪底坎以上1.5倍调洪高度内的挡板全部打开，清除排洪口前水面漂浮物</w:t>
            </w:r>
          </w:p>
        </w:tc>
        <w:tc>
          <w:tcPr>
            <w:tcW w:w="1266" w:type="dxa"/>
            <w:vMerge w:val="continue"/>
            <w:tcBorders>
              <w:tl2br w:val="nil"/>
              <w:tr2bl w:val="nil"/>
            </w:tcBorders>
            <w:vAlign w:val="center"/>
          </w:tcPr>
          <w:p w14:paraId="78CC14A9">
            <w:pPr>
              <w:spacing w:line="360" w:lineRule="exact"/>
              <w:ind w:firstLine="0" w:firstLineChars="0"/>
              <w:jc w:val="center"/>
              <w:rPr>
                <w:rFonts w:hint="default" w:ascii="Times New Roman" w:hAnsi="Times New Roman" w:cs="Times New Roman"/>
                <w:color w:val="auto"/>
                <w:sz w:val="21"/>
                <w:szCs w:val="21"/>
                <w:highlight w:val="none"/>
              </w:rPr>
            </w:pPr>
          </w:p>
        </w:tc>
        <w:tc>
          <w:tcPr>
            <w:tcW w:w="2044" w:type="dxa"/>
            <w:tcBorders>
              <w:tl2br w:val="nil"/>
              <w:tr2bl w:val="nil"/>
            </w:tcBorders>
            <w:vAlign w:val="center"/>
          </w:tcPr>
          <w:p w14:paraId="3D1F56E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现场检查排洪设施和查阅记录</w:t>
            </w:r>
          </w:p>
        </w:tc>
      </w:tr>
      <w:tr w14:paraId="70EB42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1" w:type="dxa"/>
            <w:vMerge w:val="continue"/>
            <w:tcBorders>
              <w:tl2br w:val="nil"/>
              <w:tr2bl w:val="nil"/>
            </w:tcBorders>
            <w:vAlign w:val="center"/>
          </w:tcPr>
          <w:p w14:paraId="1C03731A">
            <w:pPr>
              <w:spacing w:line="360" w:lineRule="exact"/>
              <w:ind w:firstLine="0" w:firstLineChars="0"/>
              <w:jc w:val="center"/>
              <w:rPr>
                <w:rFonts w:hint="default" w:ascii="Times New Roman" w:hAnsi="Times New Roman" w:cs="Times New Roman"/>
                <w:color w:val="auto"/>
                <w:sz w:val="21"/>
                <w:szCs w:val="21"/>
                <w:highlight w:val="none"/>
              </w:rPr>
            </w:pPr>
          </w:p>
        </w:tc>
        <w:tc>
          <w:tcPr>
            <w:tcW w:w="741" w:type="dxa"/>
            <w:vMerge w:val="continue"/>
            <w:tcBorders>
              <w:tl2br w:val="nil"/>
              <w:tr2bl w:val="nil"/>
            </w:tcBorders>
            <w:vAlign w:val="center"/>
          </w:tcPr>
          <w:p w14:paraId="4C95BE82">
            <w:pPr>
              <w:spacing w:line="360" w:lineRule="exact"/>
              <w:ind w:firstLine="0" w:firstLineChars="0"/>
              <w:jc w:val="center"/>
              <w:rPr>
                <w:rFonts w:hint="default" w:ascii="Times New Roman" w:hAnsi="Times New Roman" w:cs="Times New Roman"/>
                <w:color w:val="auto"/>
                <w:sz w:val="21"/>
                <w:szCs w:val="21"/>
                <w:highlight w:val="none"/>
              </w:rPr>
            </w:pPr>
          </w:p>
        </w:tc>
        <w:tc>
          <w:tcPr>
            <w:tcW w:w="3970" w:type="dxa"/>
            <w:tcBorders>
              <w:tl2br w:val="nil"/>
              <w:tr2bl w:val="nil"/>
            </w:tcBorders>
            <w:vAlign w:val="center"/>
          </w:tcPr>
          <w:p w14:paraId="065CBEA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洪水过后应对排洪构筑物进行全面认真的检查与清理，发现问题及时修复，同时采取措施降低库水位，防止连续降雨后发生垮坝事故</w:t>
            </w:r>
          </w:p>
        </w:tc>
        <w:tc>
          <w:tcPr>
            <w:tcW w:w="1266" w:type="dxa"/>
            <w:vMerge w:val="continue"/>
            <w:tcBorders>
              <w:tl2br w:val="nil"/>
              <w:tr2bl w:val="nil"/>
            </w:tcBorders>
            <w:vAlign w:val="center"/>
          </w:tcPr>
          <w:p w14:paraId="1068C691">
            <w:pPr>
              <w:spacing w:line="360" w:lineRule="exact"/>
              <w:ind w:firstLine="0" w:firstLineChars="0"/>
              <w:jc w:val="center"/>
              <w:rPr>
                <w:rFonts w:hint="default" w:ascii="Times New Roman" w:hAnsi="Times New Roman" w:cs="Times New Roman"/>
                <w:color w:val="auto"/>
                <w:sz w:val="21"/>
                <w:szCs w:val="21"/>
                <w:highlight w:val="none"/>
              </w:rPr>
            </w:pPr>
          </w:p>
        </w:tc>
        <w:tc>
          <w:tcPr>
            <w:tcW w:w="2044" w:type="dxa"/>
            <w:tcBorders>
              <w:tl2br w:val="nil"/>
              <w:tr2bl w:val="nil"/>
            </w:tcBorders>
            <w:vAlign w:val="center"/>
          </w:tcPr>
          <w:p w14:paraId="6A9DF9C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查阅检查记录</w:t>
            </w:r>
          </w:p>
        </w:tc>
      </w:tr>
      <w:tr w14:paraId="04D8C8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1" w:type="dxa"/>
            <w:vMerge w:val="continue"/>
            <w:tcBorders>
              <w:tl2br w:val="nil"/>
              <w:tr2bl w:val="nil"/>
            </w:tcBorders>
            <w:vAlign w:val="center"/>
          </w:tcPr>
          <w:p w14:paraId="27C1747C">
            <w:pPr>
              <w:spacing w:line="360" w:lineRule="exact"/>
              <w:ind w:firstLine="0" w:firstLineChars="0"/>
              <w:jc w:val="center"/>
              <w:rPr>
                <w:rFonts w:hint="default" w:ascii="Times New Roman" w:hAnsi="Times New Roman" w:cs="Times New Roman"/>
                <w:color w:val="auto"/>
                <w:sz w:val="21"/>
                <w:szCs w:val="21"/>
                <w:highlight w:val="none"/>
              </w:rPr>
            </w:pPr>
          </w:p>
        </w:tc>
        <w:tc>
          <w:tcPr>
            <w:tcW w:w="741" w:type="dxa"/>
            <w:vMerge w:val="continue"/>
            <w:tcBorders>
              <w:tl2br w:val="nil"/>
              <w:tr2bl w:val="nil"/>
            </w:tcBorders>
            <w:vAlign w:val="center"/>
          </w:tcPr>
          <w:p w14:paraId="3E32F817">
            <w:pPr>
              <w:spacing w:line="360" w:lineRule="exact"/>
              <w:ind w:firstLine="0" w:firstLineChars="0"/>
              <w:jc w:val="center"/>
              <w:rPr>
                <w:rFonts w:hint="default" w:ascii="Times New Roman" w:hAnsi="Times New Roman" w:cs="Times New Roman"/>
                <w:color w:val="auto"/>
                <w:sz w:val="21"/>
                <w:szCs w:val="21"/>
                <w:highlight w:val="none"/>
              </w:rPr>
            </w:pPr>
          </w:p>
        </w:tc>
        <w:tc>
          <w:tcPr>
            <w:tcW w:w="3970" w:type="dxa"/>
            <w:tcBorders>
              <w:tl2br w:val="nil"/>
              <w:tr2bl w:val="nil"/>
            </w:tcBorders>
            <w:vAlign w:val="center"/>
          </w:tcPr>
          <w:p w14:paraId="4597320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尾矿库排水构筑物停用后，必须严格按设计要求及时封堵，并确保施工质量。严禁在排水井井筒顶部封堵</w:t>
            </w:r>
          </w:p>
        </w:tc>
        <w:tc>
          <w:tcPr>
            <w:tcW w:w="1266" w:type="dxa"/>
            <w:vMerge w:val="continue"/>
            <w:tcBorders>
              <w:tl2br w:val="nil"/>
              <w:tr2bl w:val="nil"/>
            </w:tcBorders>
            <w:vAlign w:val="center"/>
          </w:tcPr>
          <w:p w14:paraId="4F2B75D9">
            <w:pPr>
              <w:spacing w:line="360" w:lineRule="exact"/>
              <w:ind w:firstLine="0" w:firstLineChars="0"/>
              <w:jc w:val="center"/>
              <w:rPr>
                <w:rFonts w:hint="default" w:ascii="Times New Roman" w:hAnsi="Times New Roman" w:cs="Times New Roman"/>
                <w:color w:val="auto"/>
                <w:sz w:val="21"/>
                <w:szCs w:val="21"/>
                <w:highlight w:val="none"/>
              </w:rPr>
            </w:pPr>
          </w:p>
        </w:tc>
        <w:tc>
          <w:tcPr>
            <w:tcW w:w="2044" w:type="dxa"/>
            <w:tcBorders>
              <w:tl2br w:val="nil"/>
              <w:tr2bl w:val="nil"/>
            </w:tcBorders>
            <w:vAlign w:val="center"/>
          </w:tcPr>
          <w:p w14:paraId="62FA34D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现场检查和查阅封堵记录</w:t>
            </w:r>
          </w:p>
        </w:tc>
      </w:tr>
      <w:tr w14:paraId="73B360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1" w:type="dxa"/>
            <w:vMerge w:val="restart"/>
            <w:tcBorders>
              <w:tl2br w:val="nil"/>
              <w:tr2bl w:val="nil"/>
            </w:tcBorders>
            <w:vAlign w:val="center"/>
          </w:tcPr>
          <w:p w14:paraId="6A98ED5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741" w:type="dxa"/>
            <w:vMerge w:val="restart"/>
            <w:tcBorders>
              <w:tl2br w:val="nil"/>
              <w:tr2bl w:val="nil"/>
            </w:tcBorders>
            <w:vAlign w:val="center"/>
          </w:tcPr>
          <w:p w14:paraId="5725548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排放筑坝</w:t>
            </w:r>
          </w:p>
        </w:tc>
        <w:tc>
          <w:tcPr>
            <w:tcW w:w="3970" w:type="dxa"/>
            <w:tcBorders>
              <w:tl2br w:val="nil"/>
              <w:tr2bl w:val="nil"/>
            </w:tcBorders>
            <w:vAlign w:val="center"/>
          </w:tcPr>
          <w:p w14:paraId="4BBE388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上游式筑坝法，应于坝前均匀放矿，维持坝体均匀上升，不得任意在库后或一侧岸坡放矿</w:t>
            </w:r>
          </w:p>
        </w:tc>
        <w:tc>
          <w:tcPr>
            <w:tcW w:w="1266" w:type="dxa"/>
            <w:vMerge w:val="continue"/>
            <w:tcBorders>
              <w:tl2br w:val="nil"/>
              <w:tr2bl w:val="nil"/>
            </w:tcBorders>
            <w:vAlign w:val="center"/>
          </w:tcPr>
          <w:p w14:paraId="4742C7A8">
            <w:pPr>
              <w:spacing w:line="360" w:lineRule="exact"/>
              <w:ind w:firstLine="0" w:firstLineChars="0"/>
              <w:jc w:val="center"/>
              <w:rPr>
                <w:rFonts w:hint="default" w:ascii="Times New Roman" w:hAnsi="Times New Roman" w:cs="Times New Roman"/>
                <w:color w:val="auto"/>
                <w:sz w:val="21"/>
                <w:szCs w:val="21"/>
                <w:highlight w:val="none"/>
              </w:rPr>
            </w:pPr>
          </w:p>
        </w:tc>
        <w:tc>
          <w:tcPr>
            <w:tcW w:w="2044" w:type="dxa"/>
            <w:tcBorders>
              <w:tl2br w:val="nil"/>
              <w:tr2bl w:val="nil"/>
            </w:tcBorders>
            <w:vAlign w:val="center"/>
          </w:tcPr>
          <w:p w14:paraId="676AA30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现场检查是否均匀放矿</w:t>
            </w:r>
          </w:p>
        </w:tc>
      </w:tr>
      <w:tr w14:paraId="728020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1" w:type="dxa"/>
            <w:vMerge w:val="continue"/>
            <w:tcBorders>
              <w:tl2br w:val="nil"/>
              <w:tr2bl w:val="nil"/>
            </w:tcBorders>
            <w:vAlign w:val="center"/>
          </w:tcPr>
          <w:p w14:paraId="6D7FE653">
            <w:pPr>
              <w:spacing w:line="360" w:lineRule="exact"/>
              <w:ind w:firstLine="0" w:firstLineChars="0"/>
              <w:jc w:val="center"/>
              <w:rPr>
                <w:rFonts w:hint="default" w:ascii="Times New Roman" w:hAnsi="Times New Roman" w:cs="Times New Roman"/>
                <w:color w:val="auto"/>
                <w:sz w:val="21"/>
                <w:szCs w:val="21"/>
                <w:highlight w:val="none"/>
              </w:rPr>
            </w:pPr>
          </w:p>
        </w:tc>
        <w:tc>
          <w:tcPr>
            <w:tcW w:w="741" w:type="dxa"/>
            <w:vMerge w:val="continue"/>
            <w:tcBorders>
              <w:tl2br w:val="nil"/>
              <w:tr2bl w:val="nil"/>
            </w:tcBorders>
            <w:vAlign w:val="center"/>
          </w:tcPr>
          <w:p w14:paraId="451C9145">
            <w:pPr>
              <w:spacing w:line="360" w:lineRule="exact"/>
              <w:ind w:firstLine="0" w:firstLineChars="0"/>
              <w:jc w:val="center"/>
              <w:rPr>
                <w:rFonts w:hint="default" w:ascii="Times New Roman" w:hAnsi="Times New Roman" w:cs="Times New Roman"/>
                <w:color w:val="auto"/>
                <w:sz w:val="21"/>
                <w:szCs w:val="21"/>
                <w:highlight w:val="none"/>
              </w:rPr>
            </w:pPr>
          </w:p>
        </w:tc>
        <w:tc>
          <w:tcPr>
            <w:tcW w:w="3970" w:type="dxa"/>
            <w:tcBorders>
              <w:tl2br w:val="nil"/>
              <w:tr2bl w:val="nil"/>
            </w:tcBorders>
            <w:vAlign w:val="center"/>
          </w:tcPr>
          <w:p w14:paraId="7049FA4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坝体较长时应采用分段交替作业，使坝体均匀上升，应避免滩面出现侧坡、扇形坡或细粒尾矿大量集中沉积于某端或某侧</w:t>
            </w:r>
          </w:p>
        </w:tc>
        <w:tc>
          <w:tcPr>
            <w:tcW w:w="1266" w:type="dxa"/>
            <w:vMerge w:val="continue"/>
            <w:tcBorders>
              <w:tl2br w:val="nil"/>
              <w:tr2bl w:val="nil"/>
            </w:tcBorders>
            <w:vAlign w:val="center"/>
          </w:tcPr>
          <w:p w14:paraId="5993ED5C">
            <w:pPr>
              <w:spacing w:line="360" w:lineRule="exact"/>
              <w:ind w:firstLine="0" w:firstLineChars="0"/>
              <w:jc w:val="center"/>
              <w:rPr>
                <w:rFonts w:hint="default" w:ascii="Times New Roman" w:hAnsi="Times New Roman" w:cs="Times New Roman"/>
                <w:color w:val="auto"/>
                <w:sz w:val="21"/>
                <w:szCs w:val="21"/>
                <w:highlight w:val="none"/>
              </w:rPr>
            </w:pPr>
          </w:p>
        </w:tc>
        <w:tc>
          <w:tcPr>
            <w:tcW w:w="2044" w:type="dxa"/>
            <w:tcBorders>
              <w:tl2br w:val="nil"/>
              <w:tr2bl w:val="nil"/>
            </w:tcBorders>
            <w:vAlign w:val="center"/>
          </w:tcPr>
          <w:p w14:paraId="48BDE64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检查尾矿坝现场</w:t>
            </w:r>
          </w:p>
        </w:tc>
      </w:tr>
      <w:tr w14:paraId="583F93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1" w:type="dxa"/>
            <w:vMerge w:val="continue"/>
            <w:tcBorders>
              <w:tl2br w:val="nil"/>
              <w:tr2bl w:val="nil"/>
            </w:tcBorders>
            <w:vAlign w:val="center"/>
          </w:tcPr>
          <w:p w14:paraId="28027397">
            <w:pPr>
              <w:spacing w:line="360" w:lineRule="exact"/>
              <w:ind w:firstLine="0" w:firstLineChars="0"/>
              <w:jc w:val="center"/>
              <w:rPr>
                <w:rFonts w:hint="default" w:ascii="Times New Roman" w:hAnsi="Times New Roman" w:cs="Times New Roman"/>
                <w:color w:val="auto"/>
                <w:sz w:val="21"/>
                <w:szCs w:val="21"/>
                <w:highlight w:val="none"/>
              </w:rPr>
            </w:pPr>
          </w:p>
        </w:tc>
        <w:tc>
          <w:tcPr>
            <w:tcW w:w="741" w:type="dxa"/>
            <w:vMerge w:val="continue"/>
            <w:tcBorders>
              <w:tl2br w:val="nil"/>
              <w:tr2bl w:val="nil"/>
            </w:tcBorders>
            <w:vAlign w:val="center"/>
          </w:tcPr>
          <w:p w14:paraId="28305D7B">
            <w:pPr>
              <w:spacing w:line="360" w:lineRule="exact"/>
              <w:ind w:firstLine="0" w:firstLineChars="0"/>
              <w:jc w:val="center"/>
              <w:rPr>
                <w:rFonts w:hint="default" w:ascii="Times New Roman" w:hAnsi="Times New Roman" w:cs="Times New Roman"/>
                <w:color w:val="auto"/>
                <w:sz w:val="21"/>
                <w:szCs w:val="21"/>
                <w:highlight w:val="none"/>
              </w:rPr>
            </w:pPr>
          </w:p>
        </w:tc>
        <w:tc>
          <w:tcPr>
            <w:tcW w:w="3970" w:type="dxa"/>
            <w:tcBorders>
              <w:tl2br w:val="nil"/>
              <w:tr2bl w:val="nil"/>
            </w:tcBorders>
            <w:vAlign w:val="center"/>
          </w:tcPr>
          <w:p w14:paraId="5AD4223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每期子坝堆筑完毕，应进行质量检查，检查记录需经主管技术人员签字后存档备查</w:t>
            </w:r>
          </w:p>
        </w:tc>
        <w:tc>
          <w:tcPr>
            <w:tcW w:w="1266" w:type="dxa"/>
            <w:vMerge w:val="continue"/>
            <w:tcBorders>
              <w:tl2br w:val="nil"/>
              <w:tr2bl w:val="nil"/>
            </w:tcBorders>
            <w:vAlign w:val="center"/>
          </w:tcPr>
          <w:p w14:paraId="7101BA04">
            <w:pPr>
              <w:spacing w:line="360" w:lineRule="exact"/>
              <w:ind w:firstLine="0" w:firstLineChars="0"/>
              <w:jc w:val="center"/>
              <w:rPr>
                <w:rFonts w:hint="default" w:ascii="Times New Roman" w:hAnsi="Times New Roman" w:cs="Times New Roman"/>
                <w:color w:val="auto"/>
                <w:sz w:val="21"/>
                <w:szCs w:val="21"/>
                <w:highlight w:val="none"/>
              </w:rPr>
            </w:pPr>
          </w:p>
        </w:tc>
        <w:tc>
          <w:tcPr>
            <w:tcW w:w="2044" w:type="dxa"/>
            <w:tcBorders>
              <w:tl2br w:val="nil"/>
              <w:tr2bl w:val="nil"/>
            </w:tcBorders>
            <w:vAlign w:val="center"/>
          </w:tcPr>
          <w:p w14:paraId="00E13E5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查阅堆坝记录</w:t>
            </w:r>
          </w:p>
        </w:tc>
      </w:tr>
    </w:tbl>
    <w:p w14:paraId="7556F50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对于排查发现的问题，应及时消除环境隐患，积极整改，确保尾矿库环境风险可控。如发现重大环境风险安全隐患，应立即预警，并启动应急预案，及时报告当地生态环境部门，并邀请相关行业专家进行现场评估及出具尾矿库整改方案，积极整改到位，消除风险安全隐患。</w:t>
      </w:r>
    </w:p>
    <w:p w14:paraId="270AD0D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（2）尾矿库环境安全隐患治理计划</w:t>
      </w:r>
    </w:p>
    <w:p w14:paraId="133478E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按照</w:t>
      </w:r>
      <w:r>
        <w:rPr>
          <w:rFonts w:hint="eastAsia" w:cs="Times New Roman"/>
          <w:color w:val="auto"/>
          <w:highlight w:val="none"/>
          <w:lang w:eastAsia="zh-CN"/>
        </w:rPr>
        <w:t>“</w:t>
      </w:r>
      <w:r>
        <w:rPr>
          <w:rFonts w:hint="default" w:ascii="Times New Roman" w:hAnsi="Times New Roman" w:cs="Times New Roman"/>
          <w:color w:val="auto"/>
          <w:highlight w:val="none"/>
        </w:rPr>
        <w:t>一库一档</w:t>
      </w:r>
      <w:r>
        <w:rPr>
          <w:rFonts w:hint="eastAsia" w:cs="Times New Roman"/>
          <w:color w:val="auto"/>
          <w:highlight w:val="none"/>
          <w:lang w:eastAsia="zh-CN"/>
        </w:rPr>
        <w:t>”</w:t>
      </w:r>
      <w:r>
        <w:rPr>
          <w:rFonts w:hint="default" w:ascii="Times New Roman" w:hAnsi="Times New Roman" w:cs="Times New Roman"/>
          <w:color w:val="auto"/>
          <w:highlight w:val="none"/>
        </w:rPr>
        <w:t>的要求，对历史遗留，要落实责任，制定整改方案，加强资金、技术、保障等方面的统筹，明确整治计划和期限，采取有力措施逐步消除安全和环境隐患。重点对尾矿库履行环评审批及建设项目</w:t>
      </w:r>
      <w:r>
        <w:rPr>
          <w:rFonts w:hint="eastAsia" w:cs="Times New Roman"/>
          <w:color w:val="auto"/>
          <w:highlight w:val="none"/>
          <w:lang w:eastAsia="zh-CN"/>
        </w:rPr>
        <w:t>“</w:t>
      </w:r>
      <w:r>
        <w:rPr>
          <w:rFonts w:hint="default" w:ascii="Times New Roman" w:hAnsi="Times New Roman" w:cs="Times New Roman"/>
          <w:color w:val="auto"/>
          <w:highlight w:val="none"/>
        </w:rPr>
        <w:t>三同时</w:t>
      </w:r>
      <w:r>
        <w:rPr>
          <w:rFonts w:hint="eastAsia" w:cs="Times New Roman"/>
          <w:color w:val="auto"/>
          <w:highlight w:val="none"/>
          <w:lang w:eastAsia="zh-CN"/>
        </w:rPr>
        <w:t>”</w:t>
      </w:r>
      <w:r>
        <w:rPr>
          <w:rFonts w:hint="default" w:ascii="Times New Roman" w:hAnsi="Times New Roman" w:cs="Times New Roman"/>
          <w:color w:val="auto"/>
          <w:highlight w:val="none"/>
        </w:rPr>
        <w:t>制度，相关环保设施设计、施工建设，尾矿库</w:t>
      </w:r>
      <w:r>
        <w:rPr>
          <w:rFonts w:hint="eastAsia" w:cs="Times New Roman"/>
          <w:color w:val="auto"/>
          <w:highlight w:val="none"/>
          <w:lang w:eastAsia="zh-CN"/>
        </w:rPr>
        <w:t>“</w:t>
      </w:r>
      <w:r>
        <w:rPr>
          <w:rFonts w:hint="default" w:ascii="Times New Roman" w:hAnsi="Times New Roman" w:cs="Times New Roman"/>
          <w:color w:val="auto"/>
          <w:highlight w:val="none"/>
        </w:rPr>
        <w:t>三防措施</w:t>
      </w:r>
      <w:r>
        <w:rPr>
          <w:rFonts w:hint="eastAsia" w:cs="Times New Roman"/>
          <w:color w:val="auto"/>
          <w:highlight w:val="none"/>
          <w:lang w:eastAsia="zh-CN"/>
        </w:rPr>
        <w:t>”</w:t>
      </w:r>
      <w:r>
        <w:rPr>
          <w:rFonts w:hint="default" w:ascii="Times New Roman" w:hAnsi="Times New Roman" w:cs="Times New Roman"/>
          <w:color w:val="auto"/>
          <w:highlight w:val="none"/>
        </w:rPr>
        <w:t>落实，污染物排放，尾矿库环境风险防范和应急管理等情况进行检查。具体内容见下表：</w:t>
      </w:r>
    </w:p>
    <w:p w14:paraId="7B964518">
      <w:pPr>
        <w:ind w:firstLine="0" w:firstLineChars="0"/>
        <w:jc w:val="center"/>
        <w:rPr>
          <w:rFonts w:hint="default" w:ascii="Times New Roman" w:hAnsi="Times New Roman" w:cs="Times New Roman"/>
          <w:color w:val="auto"/>
          <w:highlight w:val="none"/>
        </w:rPr>
      </w:pPr>
      <w:bookmarkStart w:id="745" w:name="_Toc12268_WPSOffice_Level2"/>
      <w:r>
        <w:rPr>
          <w:rFonts w:hint="default" w:ascii="Times New Roman" w:hAnsi="Times New Roman" w:cs="Times New Roman"/>
          <w:b/>
          <w:bCs/>
          <w:color w:val="auto"/>
          <w:highlight w:val="none"/>
        </w:rPr>
        <w:t>表5.3-1</w:t>
      </w:r>
      <w:r>
        <w:rPr>
          <w:rFonts w:hint="default" w:ascii="Times New Roman" w:hAnsi="Times New Roman" w:cs="Times New Roman"/>
          <w:b/>
          <w:bCs/>
          <w:color w:val="auto"/>
          <w:highlight w:val="none"/>
          <w:lang w:val="en-US" w:eastAsia="zh-CN"/>
        </w:rPr>
        <w:t>4</w:t>
      </w:r>
      <w:r>
        <w:rPr>
          <w:rFonts w:hint="default" w:ascii="Times New Roman" w:hAnsi="Times New Roman" w:cs="Times New Roman"/>
          <w:b/>
          <w:bCs/>
          <w:color w:val="auto"/>
          <w:highlight w:val="none"/>
        </w:rPr>
        <w:t xml:space="preserve">    尾矿库安全隐患治理计划表</w:t>
      </w:r>
      <w:bookmarkEnd w:id="745"/>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8"/>
        <w:gridCol w:w="4702"/>
        <w:gridCol w:w="1142"/>
        <w:gridCol w:w="2040"/>
      </w:tblGrid>
      <w:tr w14:paraId="529C99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blHeader/>
          <w:jc w:val="center"/>
        </w:trPr>
        <w:tc>
          <w:tcPr>
            <w:tcW w:w="638" w:type="dxa"/>
            <w:tcBorders>
              <w:tl2br w:val="nil"/>
              <w:tr2bl w:val="nil"/>
            </w:tcBorders>
            <w:vAlign w:val="center"/>
          </w:tcPr>
          <w:p w14:paraId="3A3CE444">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4702" w:type="dxa"/>
            <w:tcBorders>
              <w:tl2br w:val="nil"/>
              <w:tr2bl w:val="nil"/>
            </w:tcBorders>
            <w:vAlign w:val="center"/>
          </w:tcPr>
          <w:p w14:paraId="185289BF">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治理内容</w:t>
            </w:r>
          </w:p>
        </w:tc>
        <w:tc>
          <w:tcPr>
            <w:tcW w:w="1142" w:type="dxa"/>
            <w:tcBorders>
              <w:tl2br w:val="nil"/>
              <w:tr2bl w:val="nil"/>
            </w:tcBorders>
            <w:vAlign w:val="center"/>
          </w:tcPr>
          <w:p w14:paraId="5E4EDFAE">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法规依据</w:t>
            </w:r>
          </w:p>
        </w:tc>
        <w:tc>
          <w:tcPr>
            <w:tcW w:w="2040" w:type="dxa"/>
            <w:tcBorders>
              <w:tl2br w:val="nil"/>
              <w:tr2bl w:val="nil"/>
            </w:tcBorders>
            <w:vAlign w:val="center"/>
          </w:tcPr>
          <w:p w14:paraId="287FCB2D">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检查方法</w:t>
            </w:r>
          </w:p>
        </w:tc>
      </w:tr>
      <w:tr w14:paraId="715B62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Borders>
              <w:tl2br w:val="nil"/>
              <w:tr2bl w:val="nil"/>
            </w:tcBorders>
            <w:vAlign w:val="center"/>
          </w:tcPr>
          <w:p w14:paraId="6BA1A21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4702" w:type="dxa"/>
            <w:tcBorders>
              <w:tl2br w:val="nil"/>
              <w:tr2bl w:val="nil"/>
            </w:tcBorders>
            <w:vAlign w:val="center"/>
          </w:tcPr>
          <w:p w14:paraId="08F9D8D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尾矿库及其相应的选矿项目，必须依法进行环境影响评价。</w:t>
            </w:r>
          </w:p>
        </w:tc>
        <w:tc>
          <w:tcPr>
            <w:tcW w:w="1142" w:type="dxa"/>
            <w:tcBorders>
              <w:tl2br w:val="nil"/>
              <w:tr2bl w:val="nil"/>
            </w:tcBorders>
            <w:vAlign w:val="center"/>
          </w:tcPr>
          <w:p w14:paraId="02B07D8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环评报告及批复</w:t>
            </w:r>
          </w:p>
        </w:tc>
        <w:tc>
          <w:tcPr>
            <w:tcW w:w="2040" w:type="dxa"/>
            <w:tcBorders>
              <w:tl2br w:val="nil"/>
              <w:tr2bl w:val="nil"/>
            </w:tcBorders>
            <w:vAlign w:val="center"/>
          </w:tcPr>
          <w:p w14:paraId="0B7E897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查阅资料</w:t>
            </w:r>
          </w:p>
        </w:tc>
      </w:tr>
      <w:tr w14:paraId="0439A2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Borders>
              <w:tl2br w:val="nil"/>
              <w:tr2bl w:val="nil"/>
            </w:tcBorders>
            <w:vAlign w:val="center"/>
          </w:tcPr>
          <w:p w14:paraId="32D3164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4702" w:type="dxa"/>
            <w:tcBorders>
              <w:tl2br w:val="nil"/>
              <w:tr2bl w:val="nil"/>
            </w:tcBorders>
            <w:vAlign w:val="center"/>
          </w:tcPr>
          <w:p w14:paraId="414CF73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按要求开展自行监测，公开排污信息。</w:t>
            </w:r>
          </w:p>
        </w:tc>
        <w:tc>
          <w:tcPr>
            <w:tcW w:w="1142" w:type="dxa"/>
            <w:vMerge w:val="restart"/>
            <w:tcBorders>
              <w:tl2br w:val="nil"/>
              <w:tr2bl w:val="nil"/>
            </w:tcBorders>
            <w:vAlign w:val="center"/>
          </w:tcPr>
          <w:p w14:paraId="5DE2F9D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排污许可证</w:t>
            </w:r>
          </w:p>
        </w:tc>
        <w:tc>
          <w:tcPr>
            <w:tcW w:w="2040" w:type="dxa"/>
            <w:tcBorders>
              <w:tl2br w:val="nil"/>
              <w:tr2bl w:val="nil"/>
            </w:tcBorders>
            <w:vAlign w:val="center"/>
          </w:tcPr>
          <w:p w14:paraId="0FD5D8D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检查排污许可及公开情况</w:t>
            </w:r>
          </w:p>
        </w:tc>
      </w:tr>
      <w:tr w14:paraId="0C774C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Borders>
              <w:tl2br w:val="nil"/>
              <w:tr2bl w:val="nil"/>
            </w:tcBorders>
            <w:vAlign w:val="center"/>
          </w:tcPr>
          <w:p w14:paraId="49748FF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4702" w:type="dxa"/>
            <w:tcBorders>
              <w:tl2br w:val="nil"/>
              <w:tr2bl w:val="nil"/>
            </w:tcBorders>
            <w:vAlign w:val="center"/>
          </w:tcPr>
          <w:p w14:paraId="421F8B1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尾矿库按规范设置监控井，加强地下水监测，封场后地下水监测系统应继续维持正常运转。</w:t>
            </w:r>
          </w:p>
        </w:tc>
        <w:tc>
          <w:tcPr>
            <w:tcW w:w="1142" w:type="dxa"/>
            <w:vMerge w:val="continue"/>
            <w:tcBorders>
              <w:tl2br w:val="nil"/>
              <w:tr2bl w:val="nil"/>
            </w:tcBorders>
            <w:vAlign w:val="center"/>
          </w:tcPr>
          <w:p w14:paraId="3FB326FF">
            <w:pPr>
              <w:spacing w:line="360" w:lineRule="exact"/>
              <w:ind w:firstLine="0" w:firstLineChars="0"/>
              <w:jc w:val="center"/>
              <w:rPr>
                <w:rFonts w:hint="default" w:ascii="Times New Roman" w:hAnsi="Times New Roman" w:cs="Times New Roman"/>
                <w:color w:val="auto"/>
                <w:sz w:val="21"/>
                <w:szCs w:val="21"/>
                <w:highlight w:val="none"/>
              </w:rPr>
            </w:pPr>
          </w:p>
        </w:tc>
        <w:tc>
          <w:tcPr>
            <w:tcW w:w="2040" w:type="dxa"/>
            <w:tcBorders>
              <w:tl2br w:val="nil"/>
              <w:tr2bl w:val="nil"/>
            </w:tcBorders>
            <w:vAlign w:val="center"/>
          </w:tcPr>
          <w:p w14:paraId="0AB2E0A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现场检查</w:t>
            </w:r>
          </w:p>
        </w:tc>
      </w:tr>
      <w:tr w14:paraId="5FA724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Borders>
              <w:tl2br w:val="nil"/>
              <w:tr2bl w:val="nil"/>
            </w:tcBorders>
            <w:vAlign w:val="center"/>
          </w:tcPr>
          <w:p w14:paraId="61591BE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4702" w:type="dxa"/>
            <w:tcBorders>
              <w:tl2br w:val="nil"/>
              <w:tr2bl w:val="nil"/>
            </w:tcBorders>
            <w:vAlign w:val="center"/>
          </w:tcPr>
          <w:p w14:paraId="532F857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加强环境质量监测，及时掌握环境质量状况及其变化趋势。</w:t>
            </w:r>
          </w:p>
        </w:tc>
        <w:tc>
          <w:tcPr>
            <w:tcW w:w="1142" w:type="dxa"/>
            <w:vMerge w:val="continue"/>
            <w:tcBorders>
              <w:tl2br w:val="nil"/>
              <w:tr2bl w:val="nil"/>
            </w:tcBorders>
            <w:vAlign w:val="center"/>
          </w:tcPr>
          <w:p w14:paraId="0F1BC203">
            <w:pPr>
              <w:spacing w:line="360" w:lineRule="exact"/>
              <w:ind w:firstLine="0" w:firstLineChars="0"/>
              <w:jc w:val="center"/>
              <w:rPr>
                <w:rFonts w:hint="default" w:ascii="Times New Roman" w:hAnsi="Times New Roman" w:cs="Times New Roman"/>
                <w:color w:val="auto"/>
                <w:sz w:val="21"/>
                <w:szCs w:val="21"/>
                <w:highlight w:val="none"/>
              </w:rPr>
            </w:pPr>
          </w:p>
        </w:tc>
        <w:tc>
          <w:tcPr>
            <w:tcW w:w="2040" w:type="dxa"/>
            <w:tcBorders>
              <w:tl2br w:val="nil"/>
              <w:tr2bl w:val="nil"/>
            </w:tcBorders>
            <w:vAlign w:val="center"/>
          </w:tcPr>
          <w:p w14:paraId="17C275F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查阅资料</w:t>
            </w:r>
          </w:p>
        </w:tc>
      </w:tr>
      <w:tr w14:paraId="4401ED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Borders>
              <w:tl2br w:val="nil"/>
              <w:tr2bl w:val="nil"/>
            </w:tcBorders>
            <w:vAlign w:val="center"/>
          </w:tcPr>
          <w:p w14:paraId="15B03F5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4702" w:type="dxa"/>
            <w:tcBorders>
              <w:tl2br w:val="nil"/>
              <w:tr2bl w:val="nil"/>
            </w:tcBorders>
            <w:vAlign w:val="center"/>
          </w:tcPr>
          <w:p w14:paraId="0B9D7F6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按照原环保部《突发环境事件应急管理办法》（环境保护部令第34号）等有关要求，落实环境隐患排查治理主体责任，开展环境隐患排查治理、环境风险评估，制定突发环境事件应急预案并报环保部门备案。</w:t>
            </w:r>
          </w:p>
        </w:tc>
        <w:tc>
          <w:tcPr>
            <w:tcW w:w="1142" w:type="dxa"/>
            <w:tcBorders>
              <w:tl2br w:val="nil"/>
              <w:tr2bl w:val="nil"/>
            </w:tcBorders>
            <w:vAlign w:val="center"/>
          </w:tcPr>
          <w:p w14:paraId="5694120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突发环境事件应急预案</w:t>
            </w:r>
          </w:p>
        </w:tc>
        <w:tc>
          <w:tcPr>
            <w:tcW w:w="2040" w:type="dxa"/>
            <w:tcBorders>
              <w:tl2br w:val="nil"/>
              <w:tr2bl w:val="nil"/>
            </w:tcBorders>
            <w:vAlign w:val="center"/>
          </w:tcPr>
          <w:p w14:paraId="33E2656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查询资料及现场核查</w:t>
            </w:r>
          </w:p>
        </w:tc>
      </w:tr>
      <w:tr w14:paraId="49F931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Borders>
              <w:tl2br w:val="nil"/>
              <w:tr2bl w:val="nil"/>
            </w:tcBorders>
            <w:vAlign w:val="center"/>
          </w:tcPr>
          <w:p w14:paraId="6829159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p>
        </w:tc>
        <w:tc>
          <w:tcPr>
            <w:tcW w:w="4702" w:type="dxa"/>
            <w:tcBorders>
              <w:tl2br w:val="nil"/>
              <w:tr2bl w:val="nil"/>
            </w:tcBorders>
            <w:vAlign w:val="center"/>
          </w:tcPr>
          <w:p w14:paraId="63A4449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库应具备完整的截排水系统，应设置收集管网、坝下收集池对尾矿库溢流水进行收集，确保溢流水处理设施正常运行，外排废水达到相应排放标准。尾矿库闭库后，渗滤液处理设施应继续维持正常运转，直至水质稳定达标。</w:t>
            </w:r>
          </w:p>
        </w:tc>
        <w:tc>
          <w:tcPr>
            <w:tcW w:w="1142" w:type="dxa"/>
            <w:tcBorders>
              <w:tl2br w:val="nil"/>
              <w:tr2bl w:val="nil"/>
            </w:tcBorders>
            <w:vAlign w:val="center"/>
          </w:tcPr>
          <w:p w14:paraId="5E225F0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环评报告及批复</w:t>
            </w:r>
          </w:p>
        </w:tc>
        <w:tc>
          <w:tcPr>
            <w:tcW w:w="2040" w:type="dxa"/>
            <w:tcBorders>
              <w:tl2br w:val="nil"/>
              <w:tr2bl w:val="nil"/>
            </w:tcBorders>
            <w:vAlign w:val="center"/>
          </w:tcPr>
          <w:p w14:paraId="3AF5E34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现场检查、查阅设计资料</w:t>
            </w:r>
          </w:p>
        </w:tc>
      </w:tr>
      <w:tr w14:paraId="22CA1F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Borders>
              <w:tl2br w:val="nil"/>
              <w:tr2bl w:val="nil"/>
            </w:tcBorders>
            <w:vAlign w:val="center"/>
          </w:tcPr>
          <w:p w14:paraId="06523B4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w:t>
            </w:r>
          </w:p>
        </w:tc>
        <w:tc>
          <w:tcPr>
            <w:tcW w:w="4702" w:type="dxa"/>
            <w:tcBorders>
              <w:tl2br w:val="nil"/>
              <w:tr2bl w:val="nil"/>
            </w:tcBorders>
            <w:vAlign w:val="center"/>
          </w:tcPr>
          <w:p w14:paraId="327D822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尾矿库禁止危险废物和生活垃圾混入，无法综合处理的尾砂应进入符合规范要求的尾矿库进行安全堆存。</w:t>
            </w:r>
          </w:p>
        </w:tc>
        <w:tc>
          <w:tcPr>
            <w:tcW w:w="1142" w:type="dxa"/>
            <w:tcBorders>
              <w:tl2br w:val="nil"/>
              <w:tr2bl w:val="nil"/>
            </w:tcBorders>
            <w:vAlign w:val="center"/>
          </w:tcPr>
          <w:p w14:paraId="746B123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环评报告及批复</w:t>
            </w:r>
          </w:p>
        </w:tc>
        <w:tc>
          <w:tcPr>
            <w:tcW w:w="2040" w:type="dxa"/>
            <w:tcBorders>
              <w:tl2br w:val="nil"/>
              <w:tr2bl w:val="nil"/>
            </w:tcBorders>
            <w:vAlign w:val="center"/>
          </w:tcPr>
          <w:p w14:paraId="11AA7E0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现场检查</w:t>
            </w:r>
          </w:p>
        </w:tc>
      </w:tr>
      <w:tr w14:paraId="1AE3C6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Borders>
              <w:tl2br w:val="nil"/>
              <w:tr2bl w:val="nil"/>
            </w:tcBorders>
            <w:vAlign w:val="center"/>
          </w:tcPr>
          <w:p w14:paraId="5AF962F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c>
          <w:tcPr>
            <w:tcW w:w="4702" w:type="dxa"/>
            <w:tcBorders>
              <w:tl2br w:val="nil"/>
              <w:tr2bl w:val="nil"/>
            </w:tcBorders>
            <w:vAlign w:val="center"/>
          </w:tcPr>
          <w:p w14:paraId="5E83553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完善覆膜、压土、排洪、堤坝加固等隐患治理和闭库措施，阻断污染扩散途径。在尾矿库停止使用后必须进行处置，保证坝体安全，不污染环境，消除污染事故隐患。</w:t>
            </w:r>
          </w:p>
          <w:p w14:paraId="3CFFCF4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关闭尾矿设施必须报上级生态环境主管部门验收、批准。利用处置过的尾矿或其设施，需经上级生态环境主管部门批准，并备案。</w:t>
            </w:r>
          </w:p>
        </w:tc>
        <w:tc>
          <w:tcPr>
            <w:tcW w:w="1142" w:type="dxa"/>
            <w:tcBorders>
              <w:tl2br w:val="nil"/>
              <w:tr2bl w:val="nil"/>
            </w:tcBorders>
            <w:vAlign w:val="center"/>
          </w:tcPr>
          <w:p w14:paraId="4543B98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环评报告及批复</w:t>
            </w:r>
          </w:p>
        </w:tc>
        <w:tc>
          <w:tcPr>
            <w:tcW w:w="2040" w:type="dxa"/>
            <w:tcBorders>
              <w:tl2br w:val="nil"/>
              <w:tr2bl w:val="nil"/>
            </w:tcBorders>
            <w:vAlign w:val="center"/>
          </w:tcPr>
          <w:p w14:paraId="3A4BE5D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查阅设计资料、现场检查</w:t>
            </w:r>
          </w:p>
        </w:tc>
      </w:tr>
    </w:tbl>
    <w:p w14:paraId="6009606A">
      <w:pPr>
        <w:keepNext/>
        <w:keepLines/>
        <w:spacing w:before="60" w:after="60"/>
        <w:ind w:firstLine="0" w:firstLineChars="0"/>
        <w:outlineLvl w:val="2"/>
        <w:rPr>
          <w:rFonts w:hint="default" w:ascii="Times New Roman" w:hAnsi="Times New Roman" w:cs="Times New Roman"/>
          <w:b/>
          <w:bCs/>
          <w:color w:val="auto"/>
          <w:sz w:val="30"/>
          <w:szCs w:val="32"/>
          <w:highlight w:val="none"/>
        </w:rPr>
      </w:pPr>
      <w:r>
        <w:rPr>
          <w:rFonts w:hint="default" w:ascii="Times New Roman" w:hAnsi="Times New Roman" w:cs="Times New Roman"/>
          <w:b/>
          <w:bCs/>
          <w:color w:val="auto"/>
          <w:sz w:val="30"/>
          <w:szCs w:val="32"/>
          <w:highlight w:val="none"/>
        </w:rPr>
        <w:t>5.3.7尾矿库环境风险三级防控体系</w:t>
      </w:r>
    </w:p>
    <w:p w14:paraId="2671D01C">
      <w:pPr>
        <w:widowControl/>
        <w:topLinePunct/>
        <w:ind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根据《尾矿库环境应急管理工作指南（试行）》（环办〔2010〕138号）要求，尾矿库企业应执行尾矿库三级防控体系进行分组防控。在车间、库区和流域三个层级设防布控，防止尾矿库企业发生污染事件。其中尾矿库企业应采取措施对车间及库区范围内可能发生的突发环境事件进行防控，地方人民政府组织企业建设流域防控措施。</w:t>
      </w:r>
    </w:p>
    <w:p w14:paraId="4254B981">
      <w:pPr>
        <w:widowControl/>
        <w:topLinePunct/>
        <w:ind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（1）第一级防控：车间级</w:t>
      </w:r>
    </w:p>
    <w:p w14:paraId="164470DE">
      <w:pPr>
        <w:widowControl/>
        <w:topLinePunct/>
        <w:ind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第一级防控主要</w:t>
      </w:r>
      <w:r>
        <w:rPr>
          <w:rFonts w:hint="eastAsia" w:cs="Times New Roman"/>
          <w:color w:val="auto"/>
          <w:szCs w:val="20"/>
          <w:highlight w:val="none"/>
          <w:lang w:eastAsia="zh-CN"/>
        </w:rPr>
        <w:t>预防</w:t>
      </w:r>
      <w:r>
        <w:rPr>
          <w:rFonts w:hint="default" w:ascii="Times New Roman" w:hAnsi="Times New Roman" w:cs="Times New Roman"/>
          <w:color w:val="auto"/>
          <w:szCs w:val="20"/>
          <w:highlight w:val="none"/>
        </w:rPr>
        <w:t>尾矿库回水泵故障造成尾矿废水溢流。</w:t>
      </w:r>
    </w:p>
    <w:p w14:paraId="52BBEE36">
      <w:pPr>
        <w:widowControl/>
        <w:topLinePunct/>
        <w:ind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第一级防控主要措施为及时检修尾矿库相关设备，发现故障立即启用备用设备。同时联系选矿厂做好尾矿输送调度安排。</w:t>
      </w:r>
    </w:p>
    <w:p w14:paraId="34453750">
      <w:pPr>
        <w:widowControl/>
        <w:topLinePunct/>
        <w:ind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（2）第二级防控：厂区级</w:t>
      </w:r>
    </w:p>
    <w:p w14:paraId="75442793">
      <w:pPr>
        <w:widowControl/>
        <w:topLinePunct/>
        <w:ind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第二级防控主要预防排水系统出现堵塞、管道破裂而发生</w:t>
      </w:r>
      <w:r>
        <w:rPr>
          <w:rFonts w:hint="eastAsia" w:cs="Times New Roman"/>
          <w:color w:val="auto"/>
          <w:szCs w:val="20"/>
          <w:highlight w:val="none"/>
          <w:lang w:eastAsia="zh-CN"/>
        </w:rPr>
        <w:t>泄漏</w:t>
      </w:r>
      <w:r>
        <w:rPr>
          <w:rFonts w:hint="default" w:ascii="Times New Roman" w:hAnsi="Times New Roman" w:cs="Times New Roman"/>
          <w:color w:val="auto"/>
          <w:szCs w:val="20"/>
          <w:highlight w:val="none"/>
        </w:rPr>
        <w:t>。</w:t>
      </w:r>
    </w:p>
    <w:p w14:paraId="31BECE4C">
      <w:pPr>
        <w:widowControl/>
        <w:topLinePunct/>
        <w:ind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第二级防控主要措施为平时加强尾矿库排水系统的维护，定期检修。尾矿排水管道破裂或堵塞时，应立即停止使用、切换到备用管道。尾矿库上游设置截水坝，两侧设置排水沟，减少坝外回水进入尾矿库。通过采取以上措施可以减少事故条件下下泄水量，有效地降低尾矿排水事故对下游的影响。</w:t>
      </w:r>
    </w:p>
    <w:p w14:paraId="1B239752">
      <w:pPr>
        <w:widowControl/>
        <w:topLinePunct/>
        <w:ind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（3）第三级防控：流域级</w:t>
      </w:r>
    </w:p>
    <w:p w14:paraId="1D49BE3E">
      <w:pPr>
        <w:widowControl/>
        <w:topLinePunct/>
        <w:ind w:firstLine="48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第三级防控主要预防尾矿库发生溃坝，滑坡等事故，发生尾矿</w:t>
      </w:r>
      <w:r>
        <w:rPr>
          <w:rFonts w:hint="eastAsia" w:cs="Times New Roman"/>
          <w:color w:val="auto"/>
          <w:szCs w:val="20"/>
          <w:highlight w:val="none"/>
          <w:lang w:eastAsia="zh-CN"/>
        </w:rPr>
        <w:t>泄漏</w:t>
      </w:r>
      <w:r>
        <w:rPr>
          <w:rFonts w:hint="default" w:ascii="Times New Roman" w:hAnsi="Times New Roman" w:cs="Times New Roman"/>
          <w:color w:val="auto"/>
          <w:szCs w:val="20"/>
          <w:highlight w:val="none"/>
        </w:rPr>
        <w:t>，一、二级防控失败条件下的防控措施。</w:t>
      </w:r>
    </w:p>
    <w:p w14:paraId="5AA1AB21">
      <w:pPr>
        <w:pStyle w:val="43"/>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评价建议当地有关部门按照《尾矿库环境应急管理工作指南（试行）》（环办〔2010〕138号）的有关要求编制流域级防治规定，并定期演练。主要措施包括在受尾矿库溃坝事故影响的流域下游设置具有拦截降解作用的设施，包括拦</w:t>
      </w:r>
      <w:r>
        <w:rPr>
          <w:rFonts w:hint="default" w:ascii="Times New Roman" w:hAnsi="Times New Roman" w:cs="Times New Roman"/>
          <w:color w:val="auto"/>
          <w:highlight w:val="none"/>
          <w:lang w:eastAsia="zh-CN"/>
        </w:rPr>
        <w:t>挡</w:t>
      </w:r>
      <w:r>
        <w:rPr>
          <w:rFonts w:hint="default" w:ascii="Times New Roman" w:hAnsi="Times New Roman" w:cs="Times New Roman"/>
          <w:color w:val="auto"/>
          <w:highlight w:val="none"/>
        </w:rPr>
        <w:t>坝等；在尾矿库上游建设</w:t>
      </w:r>
      <w:r>
        <w:rPr>
          <w:rFonts w:hint="eastAsia" w:cs="Times New Roman"/>
          <w:color w:val="auto"/>
          <w:highlight w:val="none"/>
          <w:lang w:eastAsia="zh-CN"/>
        </w:rPr>
        <w:t>应急物资</w:t>
      </w:r>
      <w:r>
        <w:rPr>
          <w:rFonts w:hint="default" w:ascii="Times New Roman" w:hAnsi="Times New Roman" w:cs="Times New Roman"/>
          <w:color w:val="auto"/>
          <w:highlight w:val="none"/>
        </w:rPr>
        <w:t>储备库，储备沙袋、水泥管等应急物资等。待当地流域级尾矿库环境应急防治规划出台后，本项目应严格履行相关规定，落实规划防治措施要求，并配合当地定期演练。</w:t>
      </w:r>
    </w:p>
    <w:p w14:paraId="765BFB5E">
      <w:pPr>
        <w:keepNext/>
        <w:keepLines/>
        <w:spacing w:before="60" w:after="60"/>
        <w:ind w:firstLine="0" w:firstLineChars="0"/>
        <w:outlineLvl w:val="2"/>
        <w:rPr>
          <w:rFonts w:hint="default" w:ascii="Times New Roman" w:hAnsi="Times New Roman" w:cs="Times New Roman"/>
          <w:b/>
          <w:bCs/>
          <w:color w:val="auto"/>
          <w:sz w:val="30"/>
          <w:szCs w:val="32"/>
          <w:highlight w:val="none"/>
        </w:rPr>
      </w:pPr>
      <w:r>
        <w:rPr>
          <w:rFonts w:hint="default" w:ascii="Times New Roman" w:hAnsi="Times New Roman" w:cs="Times New Roman"/>
          <w:b/>
          <w:bCs/>
          <w:color w:val="auto"/>
          <w:sz w:val="30"/>
          <w:szCs w:val="32"/>
          <w:highlight w:val="none"/>
        </w:rPr>
        <w:t>5.3.8应急预案</w:t>
      </w:r>
    </w:p>
    <w:p w14:paraId="36C33121">
      <w:pPr>
        <w:overflowPunct w:val="0"/>
        <w:topLinePunct/>
        <w:ind w:firstLine="480"/>
        <w:rPr>
          <w:rFonts w:hint="default" w:ascii="Times New Roman" w:hAnsi="Times New Roman" w:eastAsia="宋体" w:cs="Times New Roman"/>
          <w:b/>
          <w:bCs/>
          <w:color w:val="auto"/>
          <w:sz w:val="30"/>
          <w:szCs w:val="32"/>
          <w:highlight w:val="none"/>
          <w:lang w:eastAsia="zh-CN"/>
        </w:rPr>
      </w:pPr>
      <w:r>
        <w:rPr>
          <w:rFonts w:hint="default" w:ascii="Times New Roman" w:hAnsi="Times New Roman" w:cs="Times New Roman"/>
          <w:color w:val="auto"/>
          <w:highlight w:val="none"/>
          <w:lang w:bidi="ar"/>
        </w:rPr>
        <w:t>为应对项目可能产生的各类突发性环境污染事件以及生态破坏事故，</w:t>
      </w:r>
      <w:r>
        <w:rPr>
          <w:rFonts w:hint="default" w:ascii="Times New Roman" w:hAnsi="Times New Roman" w:cs="Times New Roman"/>
          <w:color w:val="auto"/>
          <w:highlight w:val="none"/>
          <w:lang w:eastAsia="zh-CN"/>
        </w:rPr>
        <w:t>建设单位应</w:t>
      </w:r>
      <w:r>
        <w:rPr>
          <w:rFonts w:hint="default" w:ascii="Times New Roman" w:hAnsi="Times New Roman" w:cs="Times New Roman"/>
          <w:color w:val="auto"/>
          <w:highlight w:val="none"/>
        </w:rPr>
        <w:t>制定选矿厂、尾矿库突发</w:t>
      </w:r>
      <w:r>
        <w:rPr>
          <w:rFonts w:hint="default" w:ascii="Times New Roman" w:hAnsi="Times New Roman" w:cs="Times New Roman"/>
          <w:color w:val="auto"/>
          <w:highlight w:val="none"/>
          <w:lang w:eastAsia="zh-CN"/>
        </w:rPr>
        <w:t>环境事件</w:t>
      </w:r>
      <w:r>
        <w:rPr>
          <w:rFonts w:hint="default" w:ascii="Times New Roman" w:hAnsi="Times New Roman" w:cs="Times New Roman"/>
          <w:color w:val="auto"/>
          <w:highlight w:val="none"/>
        </w:rPr>
        <w:t>应急预案</w:t>
      </w:r>
      <w:r>
        <w:rPr>
          <w:rFonts w:hint="default" w:ascii="Times New Roman" w:hAnsi="Times New Roman" w:cs="Times New Roman"/>
          <w:color w:val="auto"/>
          <w:highlight w:val="none"/>
          <w:lang w:eastAsia="zh-CN"/>
        </w:rPr>
        <w:t>。</w:t>
      </w:r>
    </w:p>
    <w:p w14:paraId="5CD5D5A8">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5.3.8.1应急计划要求</w:t>
      </w:r>
    </w:p>
    <w:p w14:paraId="3D63673A">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①明确应急计划区，确定风险源和环境保护目标。</w:t>
      </w:r>
    </w:p>
    <w:p w14:paraId="183845A9">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②应急组织要坚持</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主动预防、积极抢救</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的原则，能够处理各种突发事件，快速反应和正确处理相结合。</w:t>
      </w:r>
    </w:p>
    <w:p w14:paraId="59A97A0B">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③正确的措施</w:t>
      </w:r>
    </w:p>
    <w:p w14:paraId="7793164C">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保护和设置避难通道和安全联络设备，撤离灾区人员。采取必要措施切断风险源，防止事故扩大。</w:t>
      </w:r>
    </w:p>
    <w:p w14:paraId="62B4806D">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5.3.8.2应急组织机构和人员</w:t>
      </w:r>
    </w:p>
    <w:p w14:paraId="7F077C92">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根据应急级别不同，常备应急组织人员分别由事故应急指挥领导小组，由总经理、生产技术部、保障部、计财部、各施工单位等部门领导组成，下设应急救援办公室（设在安环部）日常工作由安环部兼管。</w:t>
      </w:r>
    </w:p>
    <w:p w14:paraId="156ED78E">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各应急机构职责为：</w:t>
      </w:r>
    </w:p>
    <w:p w14:paraId="3ED67EB3">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（1）领导小组</w:t>
      </w:r>
    </w:p>
    <w:p w14:paraId="6C20F5E2">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①负责事故应急救援预案的编制；</w:t>
      </w:r>
    </w:p>
    <w:p w14:paraId="6261A9DD">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②组建应急救援专业队伍，并组织实施和演练；</w:t>
      </w:r>
    </w:p>
    <w:p w14:paraId="471D3B74">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③检查督促做好重大事故的预防措施和应急救援的各项准备工作；</w:t>
      </w:r>
    </w:p>
    <w:p w14:paraId="27FC1B34">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④负责与上级事故救援领导小组的联络及开展相应工作。</w:t>
      </w:r>
    </w:p>
    <w:p w14:paraId="5532FAF4">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（2）指挥部</w:t>
      </w:r>
    </w:p>
    <w:p w14:paraId="24E3B34B">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①发生事故时，由指挥部发布和解除应急救援命令、信号；</w:t>
      </w:r>
    </w:p>
    <w:p w14:paraId="169760BF">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②组织指挥救援队伍实施救援行动；</w:t>
      </w:r>
    </w:p>
    <w:p w14:paraId="15091835">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③向上级汇报和向友邻单位通报事故情况，必要时向有关单位发出救援请求；</w:t>
      </w:r>
    </w:p>
    <w:p w14:paraId="0DD67963">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④组织事故调查，总结应急救援工作的经验教训。</w:t>
      </w:r>
    </w:p>
    <w:p w14:paraId="40742377">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（3）指挥部人员分工</w:t>
      </w:r>
    </w:p>
    <w:p w14:paraId="68857DA3">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总指挥：组织指挥全公司的应急救援工作；</w:t>
      </w:r>
    </w:p>
    <w:p w14:paraId="1ECD2091">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常务副总指挥：负责应急救援的具体指挥工作；</w:t>
      </w:r>
    </w:p>
    <w:p w14:paraId="513B5A1E">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副总指挥：协助常务副总指挥负责分管范围内应急救援的具体指挥与落实工作。</w:t>
      </w:r>
    </w:p>
    <w:p w14:paraId="3BDC9A65">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（4）综合办公室</w:t>
      </w:r>
    </w:p>
    <w:p w14:paraId="7CA56B50">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①协助总指挥做好事故报警，情况通报及事故的处置工作；</w:t>
      </w:r>
    </w:p>
    <w:p w14:paraId="76EE3E2F">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②负责组织控</w:t>
      </w:r>
      <w:r>
        <w:rPr>
          <w:rFonts w:hint="eastAsia" w:cs="Times New Roman"/>
          <w:color w:val="auto"/>
          <w:szCs w:val="21"/>
          <w:highlight w:val="none"/>
          <w:lang w:eastAsia="zh-CN"/>
        </w:rPr>
        <w:t>制和</w:t>
      </w:r>
      <w:r>
        <w:rPr>
          <w:rFonts w:hint="default" w:ascii="Times New Roman" w:hAnsi="Times New Roman" w:cs="Times New Roman"/>
          <w:color w:val="auto"/>
          <w:szCs w:val="21"/>
          <w:highlight w:val="none"/>
        </w:rPr>
        <w:t>消除现场隐患、警戒、治安、保卫、疏散、道路管制工作；</w:t>
      </w:r>
    </w:p>
    <w:p w14:paraId="2FBF02B1">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③负责事故现场通讯联系和对外联系；</w:t>
      </w:r>
    </w:p>
    <w:p w14:paraId="0D1A95B4">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④必要时代表指挥部对外发布有关信息。</w:t>
      </w:r>
    </w:p>
    <w:p w14:paraId="3B6E3040">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（5）公司总调度室</w:t>
      </w:r>
    </w:p>
    <w:p w14:paraId="541BFA62">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协助总指挥负责有关工程抢险，抢修的现场指挥和设备调配。</w:t>
      </w:r>
    </w:p>
    <w:p w14:paraId="78C9C842">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（6）公司保障部</w:t>
      </w:r>
    </w:p>
    <w:p w14:paraId="44116B13">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负责抢险救援物资的供应和运输工作。</w:t>
      </w:r>
    </w:p>
    <w:p w14:paraId="252947E9">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（7）安环部</w:t>
      </w:r>
    </w:p>
    <w:p w14:paraId="2EF5DD3F">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负责现场的监测和事故的分析工作。</w:t>
      </w:r>
    </w:p>
    <w:p w14:paraId="54CB2B56">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5.3.8.3预案分级及响应程序</w:t>
      </w:r>
    </w:p>
    <w:p w14:paraId="208D6B0D">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根据事故的可控性、严重程度和影响范围，将应急预案分为四级，即特别重大环境事件（</w:t>
      </w:r>
      <w:r>
        <w:rPr>
          <w:rFonts w:hint="default" w:ascii="Times New Roman" w:hAnsi="Times New Roman" w:cs="Times New Roman"/>
          <w:color w:val="auto"/>
          <w:szCs w:val="21"/>
          <w:highlight w:val="none"/>
          <w:lang w:eastAsia="zh-CN"/>
        </w:rPr>
        <w:t>I</w:t>
      </w:r>
      <w:r>
        <w:rPr>
          <w:rFonts w:hint="default" w:ascii="Times New Roman" w:hAnsi="Times New Roman" w:cs="Times New Roman"/>
          <w:color w:val="auto"/>
          <w:szCs w:val="21"/>
          <w:highlight w:val="none"/>
        </w:rPr>
        <w:t>级）、重大环境事件（Ⅱ级）、较大环境事件（</w:t>
      </w:r>
      <w:r>
        <w:rPr>
          <w:rFonts w:hint="eastAsia" w:cs="Times New Roman"/>
          <w:color w:val="auto"/>
          <w:szCs w:val="21"/>
          <w:highlight w:val="none"/>
          <w:lang w:eastAsia="zh-CN"/>
        </w:rPr>
        <w:t>Ⅲ级</w:t>
      </w:r>
      <w:r>
        <w:rPr>
          <w:rFonts w:hint="default" w:ascii="Times New Roman" w:hAnsi="Times New Roman" w:cs="Times New Roman"/>
          <w:color w:val="auto"/>
          <w:szCs w:val="21"/>
          <w:highlight w:val="none"/>
        </w:rPr>
        <w:t>）和一般环境事件（Ⅳ级）四级。</w:t>
      </w:r>
    </w:p>
    <w:p w14:paraId="1ADE7D7E">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（1）I级应急：</w:t>
      </w:r>
    </w:p>
    <w:p w14:paraId="774F732F">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1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因环境污染直接导致30人以上死亡或100人以上中毒或重伤的；</w:t>
      </w:r>
    </w:p>
    <w:p w14:paraId="571FD4E6">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2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②</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因环境污染疏散、转移人员5万人以上的；</w:t>
      </w:r>
    </w:p>
    <w:p w14:paraId="2F67F76B">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3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因环境污染造成直接经济损失1亿元以上的；</w:t>
      </w:r>
    </w:p>
    <w:p w14:paraId="19F07490">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4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因环境污染造成区域生态功能丧失或该区域国家重点保护物种灭绝的；</w:t>
      </w:r>
    </w:p>
    <w:p w14:paraId="2C9C200F">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5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因环境污染造成设区的市级以上城市集中式饮用水水源地取水中断的。</w:t>
      </w:r>
    </w:p>
    <w:p w14:paraId="0E358375">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（2）级应急：</w:t>
      </w:r>
    </w:p>
    <w:p w14:paraId="7CA52677">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1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因环境污染直接导致10人以上30人以下死亡或50人以上100人以下中毒或重伤的；</w:t>
      </w:r>
    </w:p>
    <w:p w14:paraId="52CE2E76">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2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②</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因环境污染疏散、转移人员1万人以上5万人以下的；</w:t>
      </w:r>
    </w:p>
    <w:p w14:paraId="46C5C90F">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3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因环境污染造成直接经济损失2000万元以上1亿元以下的；</w:t>
      </w:r>
    </w:p>
    <w:p w14:paraId="3610ADAD">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4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因环境污染造成区域生态功能部分丧失或该区域国家重点保护野生动植物种群大批死亡的；</w:t>
      </w:r>
    </w:p>
    <w:p w14:paraId="4270431F">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5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因环境污染造成县级城市集中式饮用水水源地取水中断的；</w:t>
      </w:r>
    </w:p>
    <w:p w14:paraId="75C394AC">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6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造成跨省级行政区域影响的突发环境事件。</w:t>
      </w:r>
    </w:p>
    <w:p w14:paraId="07E43168">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一旦发生</w:t>
      </w: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2 \* ROMAN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II</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级较大事故，应该迅速报告事故应急指挥领导小组，启动</w:t>
      </w: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2 \* ROMAN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II</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级应急预案，上报</w:t>
      </w:r>
      <w:r>
        <w:rPr>
          <w:rFonts w:hint="eastAsia" w:cs="Times New Roman"/>
          <w:color w:val="auto"/>
          <w:szCs w:val="21"/>
          <w:highlight w:val="none"/>
          <w:lang w:val="en-US" w:eastAsia="zh-CN"/>
        </w:rPr>
        <w:t>哈密市</w:t>
      </w:r>
      <w:r>
        <w:rPr>
          <w:rFonts w:hint="default" w:ascii="Times New Roman" w:hAnsi="Times New Roman" w:cs="Times New Roman"/>
          <w:color w:val="auto"/>
          <w:szCs w:val="21"/>
          <w:highlight w:val="none"/>
        </w:rPr>
        <w:t>人民政府，通知当地生态环境主管部门到现场进行事故评估。厂区主要配合应急小组处理事故现场。厂区各职能部门</w:t>
      </w:r>
      <w:r>
        <w:rPr>
          <w:rFonts w:hint="eastAsia" w:cs="Times New Roman"/>
          <w:color w:val="auto"/>
          <w:szCs w:val="21"/>
          <w:highlight w:val="none"/>
          <w:lang w:eastAsia="zh-CN"/>
        </w:rPr>
        <w:t>在</w:t>
      </w:r>
      <w:r>
        <w:rPr>
          <w:rFonts w:hint="default" w:ascii="Times New Roman" w:hAnsi="Times New Roman" w:cs="Times New Roman"/>
          <w:color w:val="auto"/>
          <w:szCs w:val="21"/>
          <w:highlight w:val="none"/>
        </w:rPr>
        <w:t>发生事故时各自履行各自职责，环境监测站到现场进行事故影响监测。</w:t>
      </w:r>
    </w:p>
    <w:p w14:paraId="2F5AB7FC">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（3）级应急：</w:t>
      </w:r>
    </w:p>
    <w:p w14:paraId="07A0F1E4">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1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因环境污染直接导致3人以上10人以下死亡或10人以上50人以下中毒或重伤的；</w:t>
      </w:r>
    </w:p>
    <w:p w14:paraId="3F8987ED">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2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②</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因环境污染疏散、转移人员5000人以上1万人以下的；</w:t>
      </w:r>
    </w:p>
    <w:p w14:paraId="53A08EEC">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3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因环境污染造成直接经济损失500万元以上2000万元以下的；</w:t>
      </w:r>
    </w:p>
    <w:p w14:paraId="007A7665">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4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因环境污染造成国家重点保护的动植物物种受到破坏的；</w:t>
      </w:r>
    </w:p>
    <w:p w14:paraId="3C6B2E55">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5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因环境污染造成乡镇集中式饮用水水源地取水中断的；</w:t>
      </w:r>
    </w:p>
    <w:p w14:paraId="37A1BD90">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6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造成跨设区的市级行政区域影响的突发环境事件。</w:t>
      </w:r>
    </w:p>
    <w:p w14:paraId="631C2941">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（4）Ⅳ级应急：</w:t>
      </w:r>
    </w:p>
    <w:p w14:paraId="0BE6C26A">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1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因环境污染直接导致3人以下死亡或10人以下中毒或重伤的；</w:t>
      </w:r>
    </w:p>
    <w:p w14:paraId="12498972">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2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②</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因环境污染疏散、转移人员5000人以下的；</w:t>
      </w:r>
    </w:p>
    <w:p w14:paraId="6B93EF34">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3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因环境污染造成直接经济损失500万元以下的；</w:t>
      </w:r>
    </w:p>
    <w:p w14:paraId="7FFB10E1">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4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因环境污染造成跨县级行政区域纠纷，引起一般性群体影响的；</w:t>
      </w:r>
    </w:p>
    <w:p w14:paraId="70616416">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5 \* GB3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对环境造成一定影响，尚未达到较大突发环境事件级别的。</w:t>
      </w:r>
    </w:p>
    <w:p w14:paraId="44B5F89C">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一般环境事故发生时，当班人员报告给车间主任，车间主任根据事故大小确定应急级别，若为一般性事故，启动</w:t>
      </w: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3 \* ROMAN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III</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级应急预案。由车间主任任指挥，现场人员组成救援和应急小组，根据提前制定的应急程序准备救援。委托第三方监测单位到现场进行监测和事故评估，</w:t>
      </w:r>
      <w:r>
        <w:rPr>
          <w:rFonts w:hint="eastAsia" w:cs="Times New Roman"/>
          <w:color w:val="auto"/>
          <w:szCs w:val="21"/>
          <w:highlight w:val="none"/>
          <w:lang w:eastAsia="zh-CN"/>
        </w:rPr>
        <w:t>待</w:t>
      </w:r>
      <w:r>
        <w:rPr>
          <w:rFonts w:hint="default" w:ascii="Times New Roman" w:hAnsi="Times New Roman" w:cs="Times New Roman"/>
          <w:color w:val="auto"/>
          <w:szCs w:val="21"/>
          <w:highlight w:val="none"/>
        </w:rPr>
        <w:t>事故处理妥当，确定危险结束时</w:t>
      </w:r>
      <w:r>
        <w:rPr>
          <w:rFonts w:hint="eastAsia" w:cs="Times New Roman"/>
          <w:color w:val="auto"/>
          <w:szCs w:val="21"/>
          <w:highlight w:val="none"/>
          <w:lang w:eastAsia="zh-CN"/>
        </w:rPr>
        <w:t>才能</w:t>
      </w:r>
      <w:r>
        <w:rPr>
          <w:rFonts w:hint="default" w:ascii="Times New Roman" w:hAnsi="Times New Roman" w:cs="Times New Roman"/>
          <w:color w:val="auto"/>
          <w:szCs w:val="21"/>
          <w:highlight w:val="none"/>
        </w:rPr>
        <w:t>开始恢复生产。</w:t>
      </w:r>
    </w:p>
    <w:p w14:paraId="2CFBE749">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5.3.8.4应急救援保障</w:t>
      </w:r>
    </w:p>
    <w:p w14:paraId="040B5623">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（1）应急救援队伍</w:t>
      </w:r>
    </w:p>
    <w:p w14:paraId="57CD9E2A">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由现场工作人员迅速组织救援小组，同时上报给车间主任和厂区事故应急指挥领导小组，发布报警信息，组织疏散和撤离。</w:t>
      </w:r>
    </w:p>
    <w:p w14:paraId="4CF6B4BF">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（2）预备应急设施、设备及器材</w:t>
      </w:r>
    </w:p>
    <w:p w14:paraId="004B57E4">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（3）交通管制</w:t>
      </w:r>
    </w:p>
    <w:p w14:paraId="42594B03">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对事故区实施交通管制，保证救援通道畅通。</w:t>
      </w:r>
    </w:p>
    <w:p w14:paraId="21C1D269">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5.3.8.5应急物资</w:t>
      </w:r>
    </w:p>
    <w:p w14:paraId="0F90318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本次环评后需根据本次建设情况对突发环境事件应急预案进行</w:t>
      </w:r>
      <w:r>
        <w:rPr>
          <w:rFonts w:hint="default" w:ascii="Times New Roman" w:hAnsi="Times New Roman" w:cs="Times New Roman"/>
          <w:color w:val="auto"/>
          <w:highlight w:val="none"/>
          <w:lang w:eastAsia="zh-CN"/>
        </w:rPr>
        <w:t>编制</w:t>
      </w:r>
      <w:r>
        <w:rPr>
          <w:rFonts w:hint="eastAsia" w:cs="Times New Roman"/>
          <w:color w:val="auto"/>
          <w:highlight w:val="none"/>
          <w:lang w:eastAsia="zh-CN"/>
        </w:rPr>
        <w:t>并</w:t>
      </w:r>
      <w:r>
        <w:rPr>
          <w:rFonts w:hint="default" w:ascii="Times New Roman" w:hAnsi="Times New Roman" w:cs="Times New Roman"/>
          <w:color w:val="auto"/>
          <w:highlight w:val="none"/>
        </w:rPr>
        <w:t>备案，同时按照要求</w:t>
      </w:r>
      <w:r>
        <w:rPr>
          <w:rFonts w:hint="default" w:ascii="Times New Roman" w:hAnsi="Times New Roman" w:cs="Times New Roman"/>
          <w:color w:val="auto"/>
          <w:highlight w:val="none"/>
          <w:lang w:eastAsia="zh-CN"/>
        </w:rPr>
        <w:t>储存</w:t>
      </w:r>
      <w:r>
        <w:rPr>
          <w:rFonts w:hint="default" w:ascii="Times New Roman" w:hAnsi="Times New Roman" w:cs="Times New Roman"/>
          <w:color w:val="auto"/>
          <w:highlight w:val="none"/>
        </w:rPr>
        <w:t>应急物资。</w:t>
      </w:r>
    </w:p>
    <w:p w14:paraId="0AC5B415">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5.3.8.6报警、通讯联络方式</w:t>
      </w:r>
    </w:p>
    <w:p w14:paraId="3B974FA6">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一旦事故发生，要迅速报警，联络各职能部门。报警器材平时必须配备好，联络方式要能快速查到。遇到大事故，事故发现者立即用对讲机通知主操作室人员，由班长安</w:t>
      </w:r>
      <w:r>
        <w:rPr>
          <w:rFonts w:hint="eastAsia" w:cs="Times New Roman"/>
          <w:color w:val="auto"/>
          <w:szCs w:val="21"/>
          <w:highlight w:val="none"/>
          <w:lang w:eastAsia="zh-CN"/>
        </w:rPr>
        <w:t>排责</w:t>
      </w:r>
      <w:r>
        <w:rPr>
          <w:rFonts w:hint="default" w:ascii="Times New Roman" w:hAnsi="Times New Roman" w:cs="Times New Roman"/>
          <w:color w:val="auto"/>
          <w:szCs w:val="21"/>
          <w:highlight w:val="none"/>
        </w:rPr>
        <w:t>任人报警和通知车间人员、调度指挥中心。发生大事故时，直接向事故应急指挥领导小组汇报。</w:t>
      </w:r>
    </w:p>
    <w:p w14:paraId="4A049BC1">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5.3.8.7抢险、救援及控制措施</w:t>
      </w:r>
    </w:p>
    <w:p w14:paraId="3171CC5C">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接到事故报警时，现场人员根据事故大小对事故现场进行侦察，如为重大事故，立即通知安环部等职能部门，对现场进行监测评估，为指挥部门提供决策依据。</w:t>
      </w:r>
    </w:p>
    <w:p w14:paraId="3789DA42">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5.3.8.8应急环境监测</w:t>
      </w:r>
    </w:p>
    <w:p w14:paraId="43E3DE55">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事故应急监测方案应与项目所在地附近环境监测部门共同</w:t>
      </w:r>
      <w:r>
        <w:rPr>
          <w:rFonts w:hint="eastAsia" w:cs="Times New Roman"/>
          <w:color w:val="auto"/>
          <w:szCs w:val="21"/>
          <w:highlight w:val="none"/>
          <w:lang w:eastAsia="zh-CN"/>
        </w:rPr>
        <w:t>制定</w:t>
      </w:r>
      <w:r>
        <w:rPr>
          <w:rFonts w:hint="default" w:ascii="Times New Roman" w:hAnsi="Times New Roman" w:cs="Times New Roman"/>
          <w:color w:val="auto"/>
          <w:szCs w:val="21"/>
          <w:highlight w:val="none"/>
        </w:rPr>
        <w:t>和实施，环境监测人员必须迅速到达事故现场，在采样24h必须报出，应急监测报告在48h内报出。根据事故发生源，污染物</w:t>
      </w:r>
      <w:r>
        <w:rPr>
          <w:rFonts w:hint="eastAsia" w:cs="Times New Roman"/>
          <w:color w:val="auto"/>
          <w:szCs w:val="21"/>
          <w:highlight w:val="none"/>
          <w:lang w:eastAsia="zh-CN"/>
        </w:rPr>
        <w:t>泄漏</w:t>
      </w:r>
      <w:r>
        <w:rPr>
          <w:rFonts w:hint="default" w:ascii="Times New Roman" w:hAnsi="Times New Roman" w:cs="Times New Roman"/>
          <w:color w:val="auto"/>
          <w:szCs w:val="21"/>
          <w:highlight w:val="none"/>
        </w:rPr>
        <w:t>种类的分析成果，检测事故的特征因子，重点监测可能受影响的区域。本项目的环境监测主要委托第三方监测单位完成。</w:t>
      </w:r>
    </w:p>
    <w:p w14:paraId="65B39AE7">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5.3.8.9事故应急救援关闭程序与恢复</w:t>
      </w:r>
    </w:p>
    <w:p w14:paraId="348E2424">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经环境监测站监测结果和事故评估组认定风险已解除时，应急状态才终止。事故结束后，应组织进行事故现场善后处理与恢复，解除区域事故警戒。</w:t>
      </w:r>
    </w:p>
    <w:p w14:paraId="705A70B5">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5.3.8.10应急培训计划</w:t>
      </w:r>
    </w:p>
    <w:p w14:paraId="439002CF">
      <w:pPr>
        <w:overflowPunct w:val="0"/>
        <w:topLinePunct/>
        <w:ind w:firstLine="48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应急计划制定后，由各车间定期安排人员培训与演练。同时，对项目影响区居民开展公众教育，培训和发布有关应急信息。项目具体事故应急预案主要内容见表5.3-1</w:t>
      </w:r>
      <w:r>
        <w:rPr>
          <w:rFonts w:hint="default"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w:t>
      </w:r>
    </w:p>
    <w:p w14:paraId="3EE47115">
      <w:pPr>
        <w:ind w:firstLine="0" w:firstLine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表5.3-1</w:t>
      </w:r>
      <w:r>
        <w:rPr>
          <w:rFonts w:hint="default" w:ascii="Times New Roman" w:hAnsi="Times New Roman" w:cs="Times New Roman"/>
          <w:b/>
          <w:bCs/>
          <w:color w:val="auto"/>
          <w:szCs w:val="21"/>
          <w:highlight w:val="none"/>
          <w:lang w:val="en-US" w:eastAsia="zh-CN"/>
        </w:rPr>
        <w:t>5</w:t>
      </w:r>
      <w:r>
        <w:rPr>
          <w:rFonts w:hint="default" w:ascii="Times New Roman" w:hAnsi="Times New Roman" w:cs="Times New Roman"/>
          <w:b/>
          <w:bCs/>
          <w:color w:val="auto"/>
          <w:szCs w:val="21"/>
          <w:highlight w:val="none"/>
        </w:rPr>
        <w:t xml:space="preserve">    事故应急预案主要内容汇总表</w:t>
      </w:r>
    </w:p>
    <w:tbl>
      <w:tblPr>
        <w:tblStyle w:val="33"/>
        <w:tblW w:w="85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7"/>
        <w:gridCol w:w="2520"/>
        <w:gridCol w:w="5355"/>
      </w:tblGrid>
      <w:tr w14:paraId="6D2D22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647" w:type="dxa"/>
            <w:vAlign w:val="center"/>
          </w:tcPr>
          <w:p w14:paraId="3306603D">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2520" w:type="dxa"/>
            <w:vAlign w:val="center"/>
          </w:tcPr>
          <w:p w14:paraId="540ED9C8">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w:t>
            </w:r>
          </w:p>
        </w:tc>
        <w:tc>
          <w:tcPr>
            <w:tcW w:w="5355" w:type="dxa"/>
            <w:vAlign w:val="center"/>
          </w:tcPr>
          <w:p w14:paraId="46128B38">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内容及要求</w:t>
            </w:r>
          </w:p>
        </w:tc>
      </w:tr>
      <w:tr w14:paraId="50AB28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vAlign w:val="center"/>
          </w:tcPr>
          <w:p w14:paraId="650BBC6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2520" w:type="dxa"/>
            <w:vAlign w:val="center"/>
          </w:tcPr>
          <w:p w14:paraId="58F764C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应急计划区</w:t>
            </w:r>
          </w:p>
        </w:tc>
        <w:tc>
          <w:tcPr>
            <w:tcW w:w="5355" w:type="dxa"/>
            <w:vAlign w:val="center"/>
          </w:tcPr>
          <w:p w14:paraId="7E6071CE">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选矿厂、尾矿库、尾矿输送系统、回</w:t>
            </w:r>
            <w:r>
              <w:rPr>
                <w:rFonts w:hint="eastAsia" w:cs="Times New Roman"/>
                <w:color w:val="auto"/>
                <w:sz w:val="21"/>
                <w:szCs w:val="21"/>
                <w:highlight w:val="none"/>
                <w:lang w:eastAsia="zh-CN"/>
              </w:rPr>
              <w:t>水利</w:t>
            </w:r>
            <w:r>
              <w:rPr>
                <w:rFonts w:hint="default" w:ascii="Times New Roman" w:hAnsi="Times New Roman" w:cs="Times New Roman"/>
                <w:color w:val="auto"/>
                <w:sz w:val="21"/>
                <w:szCs w:val="21"/>
                <w:highlight w:val="none"/>
              </w:rPr>
              <w:t>用系统。</w:t>
            </w:r>
          </w:p>
        </w:tc>
      </w:tr>
      <w:tr w14:paraId="388FD4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vAlign w:val="center"/>
          </w:tcPr>
          <w:p w14:paraId="3A12451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2520" w:type="dxa"/>
            <w:vAlign w:val="center"/>
          </w:tcPr>
          <w:p w14:paraId="6EB60E2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应急组织结构、人员</w:t>
            </w:r>
          </w:p>
        </w:tc>
        <w:tc>
          <w:tcPr>
            <w:tcW w:w="5355" w:type="dxa"/>
            <w:vAlign w:val="center"/>
          </w:tcPr>
          <w:p w14:paraId="64B7C7C4">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应急组织机构分级，各级别主要负责人为应急计划、协调第一人，应急人员必须为培训上岗熟练工；区域应急组织结构由</w:t>
            </w:r>
            <w:r>
              <w:rPr>
                <w:rFonts w:hint="default" w:ascii="Times New Roman" w:hAnsi="Times New Roman" w:cs="Times New Roman"/>
                <w:color w:val="auto"/>
                <w:sz w:val="21"/>
                <w:szCs w:val="21"/>
                <w:highlight w:val="none"/>
                <w:lang w:eastAsia="zh-CN"/>
              </w:rPr>
              <w:t>哈密市人民政府</w:t>
            </w:r>
            <w:r>
              <w:rPr>
                <w:rFonts w:hint="default" w:ascii="Times New Roman" w:hAnsi="Times New Roman" w:cs="Times New Roman"/>
                <w:color w:val="auto"/>
                <w:sz w:val="21"/>
                <w:szCs w:val="21"/>
                <w:highlight w:val="none"/>
              </w:rPr>
              <w:t>、相关行业专家、卫生安全相关单位组成，并由</w:t>
            </w:r>
            <w:r>
              <w:rPr>
                <w:rFonts w:hint="default" w:ascii="Times New Roman" w:hAnsi="Times New Roman" w:cs="Times New Roman"/>
                <w:color w:val="auto"/>
                <w:sz w:val="21"/>
                <w:szCs w:val="21"/>
                <w:highlight w:val="none"/>
                <w:lang w:eastAsia="zh-CN"/>
              </w:rPr>
              <w:t>哈密市人民政府</w:t>
            </w:r>
            <w:r>
              <w:rPr>
                <w:rFonts w:hint="default" w:ascii="Times New Roman" w:hAnsi="Times New Roman" w:cs="Times New Roman"/>
                <w:color w:val="auto"/>
                <w:sz w:val="21"/>
                <w:szCs w:val="21"/>
                <w:highlight w:val="none"/>
              </w:rPr>
              <w:t>进行统一调度。</w:t>
            </w:r>
          </w:p>
        </w:tc>
      </w:tr>
      <w:tr w14:paraId="452053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vAlign w:val="center"/>
          </w:tcPr>
          <w:p w14:paraId="4FCC959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2520" w:type="dxa"/>
            <w:vAlign w:val="center"/>
          </w:tcPr>
          <w:p w14:paraId="7D30C65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预案分级响应条件</w:t>
            </w:r>
          </w:p>
        </w:tc>
        <w:tc>
          <w:tcPr>
            <w:tcW w:w="5355" w:type="dxa"/>
            <w:vAlign w:val="center"/>
          </w:tcPr>
          <w:p w14:paraId="011A2ACE">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根据事故的严重程度制定相应级别的应急预案，以及适合相应情况的处理措施。</w:t>
            </w:r>
          </w:p>
        </w:tc>
      </w:tr>
      <w:tr w14:paraId="112926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vAlign w:val="center"/>
          </w:tcPr>
          <w:p w14:paraId="2254A0D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2520" w:type="dxa"/>
            <w:vAlign w:val="center"/>
          </w:tcPr>
          <w:p w14:paraId="030193C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应急救援保障</w:t>
            </w:r>
          </w:p>
        </w:tc>
        <w:tc>
          <w:tcPr>
            <w:tcW w:w="5355" w:type="dxa"/>
            <w:vAlign w:val="center"/>
          </w:tcPr>
          <w:p w14:paraId="1F02AA14">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应急设施、设备与器材等。</w:t>
            </w:r>
          </w:p>
        </w:tc>
      </w:tr>
      <w:tr w14:paraId="531AAC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vAlign w:val="center"/>
          </w:tcPr>
          <w:p w14:paraId="4BC63BE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2520" w:type="dxa"/>
            <w:vAlign w:val="center"/>
          </w:tcPr>
          <w:p w14:paraId="17E8E31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报警、通讯联络方式</w:t>
            </w:r>
          </w:p>
        </w:tc>
        <w:tc>
          <w:tcPr>
            <w:tcW w:w="5355" w:type="dxa"/>
            <w:vAlign w:val="center"/>
          </w:tcPr>
          <w:p w14:paraId="4F23CC62">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逐一细化应急状态下各主要负责单位的报警通讯方式、地点、电话号码以及相关配套的交通保障、管制、消防联络方法。</w:t>
            </w:r>
          </w:p>
        </w:tc>
      </w:tr>
      <w:tr w14:paraId="47BAFE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vAlign w:val="center"/>
          </w:tcPr>
          <w:p w14:paraId="12C92F1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p>
        </w:tc>
        <w:tc>
          <w:tcPr>
            <w:tcW w:w="2520" w:type="dxa"/>
            <w:vAlign w:val="center"/>
          </w:tcPr>
          <w:p w14:paraId="0991395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应急环境监测、抢险、救援控制措施</w:t>
            </w:r>
          </w:p>
        </w:tc>
        <w:tc>
          <w:tcPr>
            <w:tcW w:w="5355" w:type="dxa"/>
            <w:vAlign w:val="center"/>
          </w:tcPr>
          <w:p w14:paraId="2A2C8DA4">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组织专业队伍负责对事故现场进行侦察监测，对事故性质、参数与后果进行评估，专为指挥部门提供决策依据。</w:t>
            </w:r>
          </w:p>
        </w:tc>
      </w:tr>
      <w:tr w14:paraId="7C8379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vAlign w:val="center"/>
          </w:tcPr>
          <w:p w14:paraId="54D4E80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w:t>
            </w:r>
          </w:p>
        </w:tc>
        <w:tc>
          <w:tcPr>
            <w:tcW w:w="2520" w:type="dxa"/>
            <w:vAlign w:val="center"/>
          </w:tcPr>
          <w:p w14:paraId="166BDD7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应急监测、防护措施、清除</w:t>
            </w:r>
            <w:r>
              <w:rPr>
                <w:rFonts w:hint="eastAsia" w:cs="Times New Roman"/>
                <w:color w:val="auto"/>
                <w:sz w:val="21"/>
                <w:szCs w:val="21"/>
                <w:highlight w:val="none"/>
                <w:lang w:eastAsia="zh-CN"/>
              </w:rPr>
              <w:t>泄漏</w:t>
            </w:r>
            <w:r>
              <w:rPr>
                <w:rFonts w:hint="default" w:ascii="Times New Roman" w:hAnsi="Times New Roman" w:cs="Times New Roman"/>
                <w:color w:val="auto"/>
                <w:sz w:val="21"/>
                <w:szCs w:val="21"/>
                <w:highlight w:val="none"/>
              </w:rPr>
              <w:t>措施和器材</w:t>
            </w:r>
          </w:p>
        </w:tc>
        <w:tc>
          <w:tcPr>
            <w:tcW w:w="5355" w:type="dxa"/>
            <w:vAlign w:val="center"/>
          </w:tcPr>
          <w:p w14:paraId="38B9C05B">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严格规定事故多发区、事故现场、邻近区域、设置控制和清除污染措施及相应设备的数量、使用方法、使用人员。</w:t>
            </w:r>
          </w:p>
        </w:tc>
      </w:tr>
      <w:tr w14:paraId="7EA00E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vAlign w:val="center"/>
          </w:tcPr>
          <w:p w14:paraId="1F00185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c>
          <w:tcPr>
            <w:tcW w:w="2520" w:type="dxa"/>
            <w:vAlign w:val="center"/>
          </w:tcPr>
          <w:p w14:paraId="126F493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人员紧急撤离、疏散计划</w:t>
            </w:r>
          </w:p>
        </w:tc>
        <w:tc>
          <w:tcPr>
            <w:tcW w:w="5355" w:type="dxa"/>
            <w:vAlign w:val="center"/>
          </w:tcPr>
          <w:p w14:paraId="5A6E2EEC">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制定紧急撤离组织计划和救护，医疗救护与公众健康。</w:t>
            </w:r>
          </w:p>
        </w:tc>
      </w:tr>
      <w:tr w14:paraId="21628B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vAlign w:val="center"/>
          </w:tcPr>
          <w:p w14:paraId="4A77145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w:t>
            </w:r>
          </w:p>
        </w:tc>
        <w:tc>
          <w:tcPr>
            <w:tcW w:w="2520" w:type="dxa"/>
            <w:vAlign w:val="center"/>
          </w:tcPr>
          <w:p w14:paraId="02BA908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事故应急救援关闭程序</w:t>
            </w:r>
          </w:p>
        </w:tc>
        <w:tc>
          <w:tcPr>
            <w:tcW w:w="5355" w:type="dxa"/>
            <w:vAlign w:val="center"/>
          </w:tcPr>
          <w:p w14:paraId="371E7C2D">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制定相关应急状态终止程序，事故现场、受影响范围内的善后处理、恢复措施，邻近区域解除事故警戒及善后恢复措施。</w:t>
            </w:r>
          </w:p>
        </w:tc>
      </w:tr>
      <w:tr w14:paraId="133A6D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vAlign w:val="center"/>
          </w:tcPr>
          <w:p w14:paraId="083BE29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2520" w:type="dxa"/>
            <w:vAlign w:val="center"/>
          </w:tcPr>
          <w:p w14:paraId="242B178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事故恢复措施</w:t>
            </w:r>
          </w:p>
        </w:tc>
        <w:tc>
          <w:tcPr>
            <w:tcW w:w="5355" w:type="dxa"/>
            <w:vAlign w:val="center"/>
          </w:tcPr>
          <w:p w14:paraId="4ADFBB80">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制定有关的环境恢复措施（包括生态环境、</w:t>
            </w:r>
            <w:r>
              <w:rPr>
                <w:rFonts w:hint="default" w:ascii="Times New Roman" w:hAnsi="Times New Roman" w:cs="Times New Roman"/>
                <w:color w:val="auto"/>
                <w:sz w:val="21"/>
                <w:szCs w:val="21"/>
                <w:highlight w:val="none"/>
                <w:lang w:val="en-US" w:eastAsia="zh-CN"/>
              </w:rPr>
              <w:t>土壤</w:t>
            </w:r>
            <w:r>
              <w:rPr>
                <w:rFonts w:hint="default" w:ascii="Times New Roman" w:hAnsi="Times New Roman" w:cs="Times New Roman"/>
                <w:color w:val="auto"/>
                <w:sz w:val="21"/>
                <w:szCs w:val="21"/>
                <w:highlight w:val="none"/>
              </w:rPr>
              <w:t>），组织专业人员对事故后的环境变化进行监测，对事故应急措施的环境可行性进行后影响评价。</w:t>
            </w:r>
          </w:p>
        </w:tc>
      </w:tr>
      <w:tr w14:paraId="7DD818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8" w:hRule="atLeast"/>
          <w:jc w:val="center"/>
        </w:trPr>
        <w:tc>
          <w:tcPr>
            <w:tcW w:w="647" w:type="dxa"/>
            <w:vAlign w:val="center"/>
          </w:tcPr>
          <w:p w14:paraId="6A7F1C4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w:t>
            </w:r>
          </w:p>
        </w:tc>
        <w:tc>
          <w:tcPr>
            <w:tcW w:w="2520" w:type="dxa"/>
            <w:vAlign w:val="center"/>
          </w:tcPr>
          <w:p w14:paraId="3299DF0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应急培训计划</w:t>
            </w:r>
          </w:p>
        </w:tc>
        <w:tc>
          <w:tcPr>
            <w:tcW w:w="5355" w:type="dxa"/>
            <w:vAlign w:val="center"/>
          </w:tcPr>
          <w:p w14:paraId="6FE0B910">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定期安排有关人员进行培训与演练。</w:t>
            </w:r>
          </w:p>
        </w:tc>
      </w:tr>
      <w:tr w14:paraId="296260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7" w:type="dxa"/>
            <w:vAlign w:val="center"/>
          </w:tcPr>
          <w:p w14:paraId="4135793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w:t>
            </w:r>
          </w:p>
        </w:tc>
        <w:tc>
          <w:tcPr>
            <w:tcW w:w="2520" w:type="dxa"/>
            <w:vAlign w:val="center"/>
          </w:tcPr>
          <w:p w14:paraId="47B1211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公众教育和信息</w:t>
            </w:r>
          </w:p>
        </w:tc>
        <w:tc>
          <w:tcPr>
            <w:tcW w:w="5355" w:type="dxa"/>
            <w:vAlign w:val="center"/>
          </w:tcPr>
          <w:p w14:paraId="1E8FE57B">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对工厂邻近地区开展公众教育、培训和发布有关信息。</w:t>
            </w:r>
          </w:p>
        </w:tc>
      </w:tr>
    </w:tbl>
    <w:p w14:paraId="5B091732">
      <w:pPr>
        <w:keepNext/>
        <w:keepLines/>
        <w:spacing w:before="60" w:after="60"/>
        <w:ind w:firstLine="0" w:firstLineChars="0"/>
        <w:outlineLvl w:val="2"/>
        <w:rPr>
          <w:rFonts w:hint="default" w:ascii="Times New Roman" w:hAnsi="Times New Roman" w:cs="Times New Roman"/>
          <w:b/>
          <w:bCs/>
          <w:color w:val="auto"/>
          <w:sz w:val="30"/>
          <w:szCs w:val="32"/>
          <w:highlight w:val="none"/>
        </w:rPr>
      </w:pPr>
      <w:r>
        <w:rPr>
          <w:rFonts w:hint="default" w:ascii="Times New Roman" w:hAnsi="Times New Roman" w:cs="Times New Roman"/>
          <w:b/>
          <w:bCs/>
          <w:color w:val="auto"/>
          <w:sz w:val="30"/>
          <w:szCs w:val="32"/>
          <w:highlight w:val="none"/>
        </w:rPr>
        <w:t>5.3.9环境风险评价小结</w:t>
      </w:r>
    </w:p>
    <w:p w14:paraId="76D2AB4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企业在严格落实本次评价提出的各项环境风险防控措施的情况下，发生风险事故概率较小，项目环境风险可防可控。本次评价建议项目运营过</w:t>
      </w:r>
      <w:r>
        <w:rPr>
          <w:rFonts w:hint="eastAsia" w:cs="Times New Roman"/>
          <w:color w:val="auto"/>
          <w:highlight w:val="none"/>
          <w:lang w:eastAsia="zh-CN"/>
        </w:rPr>
        <w:t>程中</w:t>
      </w:r>
      <w:r>
        <w:rPr>
          <w:rFonts w:hint="default" w:ascii="Times New Roman" w:hAnsi="Times New Roman" w:cs="Times New Roman"/>
          <w:color w:val="auto"/>
          <w:highlight w:val="none"/>
        </w:rPr>
        <w:t>应根据生产运行工况以及各类危险物质的实际消耗量，尽可能减少危险物质在项目区内的存在量，减轻环境风险隐患；针对项目区存在的环境风险防控问题，尽快进行整改，同时应加强日常风险管理，加强员工安全培训，杜绝人为造成的环境风险隐患。</w:t>
      </w:r>
    </w:p>
    <w:p w14:paraId="693B279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建设项目环境风险简单分析</w:t>
      </w:r>
      <w:r>
        <w:rPr>
          <w:rFonts w:hint="eastAsia" w:cs="Times New Roman"/>
          <w:color w:val="auto"/>
          <w:highlight w:val="none"/>
          <w:lang w:eastAsia="zh-CN"/>
        </w:rPr>
        <w:t>内容</w:t>
      </w:r>
      <w:r>
        <w:rPr>
          <w:rFonts w:hint="default" w:ascii="Times New Roman" w:hAnsi="Times New Roman" w:cs="Times New Roman"/>
          <w:color w:val="auto"/>
          <w:highlight w:val="none"/>
        </w:rPr>
        <w:t>见下表。</w:t>
      </w:r>
    </w:p>
    <w:p w14:paraId="573C8522">
      <w:pPr>
        <w:overflowPunct w:val="0"/>
        <w:topLinePunct/>
        <w:ind w:firstLine="0" w:firstLineChars="0"/>
        <w:jc w:val="center"/>
        <w:rPr>
          <w:rFonts w:hint="default" w:ascii="Times New Roman" w:hAnsi="Times New Roman" w:cs="Times New Roman"/>
          <w:b/>
          <w:bCs/>
          <w:color w:val="auto"/>
          <w:spacing w:val="1"/>
          <w:kern w:val="0"/>
          <w:szCs w:val="21"/>
          <w:highlight w:val="none"/>
        </w:rPr>
      </w:pPr>
      <w:r>
        <w:rPr>
          <w:rFonts w:hint="default" w:ascii="Times New Roman" w:hAnsi="Times New Roman" w:cs="Times New Roman"/>
          <w:b/>
          <w:bCs/>
          <w:color w:val="auto"/>
          <w:szCs w:val="21"/>
          <w:highlight w:val="none"/>
        </w:rPr>
        <w:t>表5.3-1</w:t>
      </w:r>
      <w:r>
        <w:rPr>
          <w:rFonts w:hint="default" w:ascii="Times New Roman" w:hAnsi="Times New Roman" w:cs="Times New Roman"/>
          <w:b/>
          <w:bCs/>
          <w:color w:val="auto"/>
          <w:szCs w:val="21"/>
          <w:highlight w:val="none"/>
          <w:lang w:val="en-US" w:eastAsia="zh-CN"/>
        </w:rPr>
        <w:t>6</w:t>
      </w:r>
      <w:r>
        <w:rPr>
          <w:rFonts w:hint="default" w:ascii="Times New Roman" w:hAnsi="Times New Roman" w:cs="Times New Roman"/>
          <w:b/>
          <w:bCs/>
          <w:color w:val="auto"/>
          <w:szCs w:val="21"/>
          <w:highlight w:val="none"/>
        </w:rPr>
        <w:t xml:space="preserve">    </w:t>
      </w:r>
      <w:r>
        <w:rPr>
          <w:rFonts w:hint="default" w:ascii="Times New Roman" w:hAnsi="Times New Roman" w:cs="Times New Roman"/>
          <w:b/>
          <w:bCs/>
          <w:color w:val="auto"/>
          <w:spacing w:val="1"/>
          <w:kern w:val="0"/>
          <w:szCs w:val="21"/>
          <w:highlight w:val="none"/>
        </w:rPr>
        <w:t>简单内容分析表</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1402"/>
        <w:gridCol w:w="2032"/>
        <w:gridCol w:w="845"/>
        <w:gridCol w:w="1639"/>
        <w:gridCol w:w="1064"/>
      </w:tblGrid>
      <w:tr w14:paraId="494FD4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0" w:type="dxa"/>
            <w:tcBorders>
              <w:tl2br w:val="nil"/>
              <w:tr2bl w:val="nil"/>
            </w:tcBorders>
            <w:vAlign w:val="center"/>
          </w:tcPr>
          <w:p w14:paraId="66413733">
            <w:pPr>
              <w:keepNext w:val="0"/>
              <w:keepLines w:val="0"/>
              <w:pageBreakBefore w:val="0"/>
              <w:widowControl w:val="0"/>
              <w:kinsoku/>
              <w:wordWrap/>
              <w:autoSpaceDE/>
              <w:autoSpaceDN/>
              <w:bidi w:val="0"/>
              <w:adjustRightInd/>
              <w:snapToGrid/>
              <w:spacing w:line="360" w:lineRule="exact"/>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建设项目名称</w:t>
            </w:r>
          </w:p>
        </w:tc>
        <w:tc>
          <w:tcPr>
            <w:tcW w:w="6980" w:type="dxa"/>
            <w:gridSpan w:val="5"/>
            <w:tcBorders>
              <w:tl2br w:val="nil"/>
              <w:tr2bl w:val="nil"/>
            </w:tcBorders>
            <w:vAlign w:val="center"/>
          </w:tcPr>
          <w:p w14:paraId="03EEAB38">
            <w:pPr>
              <w:keepNext w:val="0"/>
              <w:keepLines w:val="0"/>
              <w:pageBreakBefore w:val="0"/>
              <w:widowControl w:val="0"/>
              <w:kinsoku/>
              <w:wordWrap/>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新疆嘉西矿业有限公司哈密市伊州区雅满苏镇M1033萤石选矿厂及尾矿库建设项目</w:t>
            </w:r>
          </w:p>
        </w:tc>
      </w:tr>
      <w:tr w14:paraId="472C9B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0" w:type="dxa"/>
            <w:tcBorders>
              <w:tl2br w:val="nil"/>
              <w:tr2bl w:val="nil"/>
            </w:tcBorders>
            <w:vAlign w:val="center"/>
          </w:tcPr>
          <w:p w14:paraId="64721FEC">
            <w:pPr>
              <w:keepNext w:val="0"/>
              <w:keepLines w:val="0"/>
              <w:pageBreakBefore w:val="0"/>
              <w:widowControl w:val="0"/>
              <w:kinsoku/>
              <w:wordWrap/>
              <w:autoSpaceDE/>
              <w:autoSpaceDN/>
              <w:bidi w:val="0"/>
              <w:adjustRightInd/>
              <w:snapToGrid/>
              <w:spacing w:line="360" w:lineRule="exact"/>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建设地点</w:t>
            </w:r>
          </w:p>
        </w:tc>
        <w:tc>
          <w:tcPr>
            <w:tcW w:w="1402" w:type="dxa"/>
            <w:tcBorders>
              <w:tl2br w:val="nil"/>
              <w:tr2bl w:val="nil"/>
            </w:tcBorders>
            <w:vAlign w:val="center"/>
          </w:tcPr>
          <w:p w14:paraId="5FCA5B92">
            <w:pPr>
              <w:keepNext w:val="0"/>
              <w:keepLines w:val="0"/>
              <w:pageBreakBefore w:val="0"/>
              <w:widowControl w:val="0"/>
              <w:kinsoku/>
              <w:wordWrap/>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新疆维吾尔自治区</w:t>
            </w:r>
          </w:p>
        </w:tc>
        <w:tc>
          <w:tcPr>
            <w:tcW w:w="2032" w:type="dxa"/>
            <w:tcBorders>
              <w:tl2br w:val="nil"/>
              <w:tr2bl w:val="nil"/>
            </w:tcBorders>
            <w:vAlign w:val="center"/>
          </w:tcPr>
          <w:p w14:paraId="7380C74C">
            <w:pPr>
              <w:keepNext w:val="0"/>
              <w:keepLines w:val="0"/>
              <w:pageBreakBefore w:val="0"/>
              <w:widowControl w:val="0"/>
              <w:kinsoku/>
              <w:wordWrap/>
              <w:autoSpaceDE/>
              <w:autoSpaceDN/>
              <w:bidi w:val="0"/>
              <w:adjustRightInd/>
              <w:snapToGrid/>
              <w:spacing w:line="360" w:lineRule="exact"/>
              <w:ind w:left="-120" w:leftChars="-50" w:right="-120" w:rightChars="-5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哈密市</w:t>
            </w:r>
          </w:p>
        </w:tc>
        <w:tc>
          <w:tcPr>
            <w:tcW w:w="845" w:type="dxa"/>
            <w:tcBorders>
              <w:tl2br w:val="nil"/>
              <w:tr2bl w:val="nil"/>
            </w:tcBorders>
            <w:vAlign w:val="center"/>
          </w:tcPr>
          <w:p w14:paraId="50B48FE7">
            <w:pPr>
              <w:keepNext w:val="0"/>
              <w:keepLines w:val="0"/>
              <w:pageBreakBefore w:val="0"/>
              <w:widowControl w:val="0"/>
              <w:kinsoku/>
              <w:wordWrap/>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（伊州）区</w:t>
            </w:r>
          </w:p>
        </w:tc>
        <w:tc>
          <w:tcPr>
            <w:tcW w:w="1638" w:type="dxa"/>
            <w:tcBorders>
              <w:tl2br w:val="nil"/>
              <w:tr2bl w:val="nil"/>
            </w:tcBorders>
            <w:vAlign w:val="center"/>
          </w:tcPr>
          <w:p w14:paraId="326FB193">
            <w:pPr>
              <w:keepNext w:val="0"/>
              <w:keepLines w:val="0"/>
              <w:pageBreakBefore w:val="0"/>
              <w:widowControl w:val="0"/>
              <w:kinsoku/>
              <w:wordWrap/>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）县</w:t>
            </w:r>
          </w:p>
        </w:tc>
        <w:tc>
          <w:tcPr>
            <w:tcW w:w="1063" w:type="dxa"/>
            <w:tcBorders>
              <w:tl2br w:val="nil"/>
              <w:tr2bl w:val="nil"/>
            </w:tcBorders>
            <w:vAlign w:val="center"/>
          </w:tcPr>
          <w:p w14:paraId="01D29220">
            <w:pPr>
              <w:keepNext w:val="0"/>
              <w:keepLines w:val="0"/>
              <w:pageBreakBefore w:val="0"/>
              <w:widowControl w:val="0"/>
              <w:kinsoku/>
              <w:wordWrap/>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）园区</w:t>
            </w:r>
          </w:p>
        </w:tc>
      </w:tr>
      <w:tr w14:paraId="0ED0E0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0" w:type="dxa"/>
            <w:tcBorders>
              <w:tl2br w:val="nil"/>
              <w:tr2bl w:val="nil"/>
            </w:tcBorders>
            <w:vAlign w:val="center"/>
          </w:tcPr>
          <w:p w14:paraId="4FB7AA25">
            <w:pPr>
              <w:keepNext w:val="0"/>
              <w:keepLines w:val="0"/>
              <w:pageBreakBefore w:val="0"/>
              <w:widowControl w:val="0"/>
              <w:kinsoku/>
              <w:wordWrap/>
              <w:autoSpaceDE/>
              <w:autoSpaceDN/>
              <w:bidi w:val="0"/>
              <w:adjustRightInd/>
              <w:snapToGrid/>
              <w:spacing w:line="360" w:lineRule="exact"/>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地理坐标</w:t>
            </w:r>
          </w:p>
        </w:tc>
        <w:tc>
          <w:tcPr>
            <w:tcW w:w="1402" w:type="dxa"/>
            <w:tcBorders>
              <w:tl2br w:val="nil"/>
              <w:tr2bl w:val="nil"/>
            </w:tcBorders>
            <w:vAlign w:val="center"/>
          </w:tcPr>
          <w:p w14:paraId="5BBB146E">
            <w:pPr>
              <w:keepNext w:val="0"/>
              <w:keepLines w:val="0"/>
              <w:pageBreakBefore w:val="0"/>
              <w:widowControl w:val="0"/>
              <w:kinsoku/>
              <w:wordWrap/>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经度</w:t>
            </w:r>
          </w:p>
        </w:tc>
        <w:tc>
          <w:tcPr>
            <w:tcW w:w="2032" w:type="dxa"/>
            <w:tcBorders>
              <w:tl2br w:val="nil"/>
              <w:tr2bl w:val="nil"/>
            </w:tcBorders>
            <w:vAlign w:val="center"/>
          </w:tcPr>
          <w:p w14:paraId="36E895F9">
            <w:pPr>
              <w:keepNext w:val="0"/>
              <w:keepLines w:val="0"/>
              <w:pageBreakBefore w:val="0"/>
              <w:widowControl w:val="0"/>
              <w:kinsoku/>
              <w:wordWrap/>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东经93°55′35.865"</w:t>
            </w:r>
          </w:p>
        </w:tc>
        <w:tc>
          <w:tcPr>
            <w:tcW w:w="845" w:type="dxa"/>
            <w:tcBorders>
              <w:tl2br w:val="nil"/>
              <w:tr2bl w:val="nil"/>
            </w:tcBorders>
            <w:vAlign w:val="center"/>
          </w:tcPr>
          <w:p w14:paraId="058470C0">
            <w:pPr>
              <w:keepNext w:val="0"/>
              <w:keepLines w:val="0"/>
              <w:pageBreakBefore w:val="0"/>
              <w:widowControl w:val="0"/>
              <w:kinsoku/>
              <w:wordWrap/>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纬度</w:t>
            </w:r>
          </w:p>
        </w:tc>
        <w:tc>
          <w:tcPr>
            <w:tcW w:w="2701" w:type="dxa"/>
            <w:gridSpan w:val="2"/>
            <w:tcBorders>
              <w:tl2br w:val="nil"/>
              <w:tr2bl w:val="nil"/>
            </w:tcBorders>
            <w:vAlign w:val="center"/>
          </w:tcPr>
          <w:p w14:paraId="57BDCC44">
            <w:pPr>
              <w:keepNext w:val="0"/>
              <w:keepLines w:val="0"/>
              <w:pageBreakBefore w:val="0"/>
              <w:widowControl w:val="0"/>
              <w:kinsoku/>
              <w:wordWrap/>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北纬41°12′10.511"</w:t>
            </w:r>
          </w:p>
        </w:tc>
      </w:tr>
      <w:tr w14:paraId="3F4F53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0" w:type="dxa"/>
            <w:tcBorders>
              <w:tl2br w:val="nil"/>
              <w:tr2bl w:val="nil"/>
            </w:tcBorders>
            <w:vAlign w:val="center"/>
          </w:tcPr>
          <w:p w14:paraId="600E7E26">
            <w:pPr>
              <w:keepNext w:val="0"/>
              <w:keepLines w:val="0"/>
              <w:pageBreakBefore w:val="0"/>
              <w:widowControl w:val="0"/>
              <w:kinsoku/>
              <w:wordWrap/>
              <w:autoSpaceDE/>
              <w:autoSpaceDN/>
              <w:bidi w:val="0"/>
              <w:adjustRightInd/>
              <w:snapToGrid/>
              <w:spacing w:line="360" w:lineRule="exact"/>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主要危险物质及分布</w:t>
            </w:r>
          </w:p>
        </w:tc>
        <w:tc>
          <w:tcPr>
            <w:tcW w:w="6980" w:type="dxa"/>
            <w:gridSpan w:val="5"/>
            <w:tcBorders>
              <w:tl2br w:val="nil"/>
              <w:tr2bl w:val="nil"/>
            </w:tcBorders>
            <w:vAlign w:val="center"/>
          </w:tcPr>
          <w:p w14:paraId="0A529EF0">
            <w:pPr>
              <w:keepNext w:val="0"/>
              <w:keepLines w:val="0"/>
              <w:pageBreakBefore w:val="0"/>
              <w:widowControl w:val="0"/>
              <w:kinsoku/>
              <w:wordWrap/>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废机油</w:t>
            </w:r>
            <w:r>
              <w:rPr>
                <w:rFonts w:hint="default" w:ascii="Times New Roman" w:hAnsi="Times New Roman" w:cs="Times New Roman"/>
                <w:color w:val="auto"/>
                <w:sz w:val="21"/>
                <w:szCs w:val="21"/>
                <w:highlight w:val="none"/>
              </w:rPr>
              <w:t>暂存于</w:t>
            </w:r>
            <w:r>
              <w:rPr>
                <w:rFonts w:hint="eastAsia" w:cs="Times New Roman"/>
                <w:color w:val="auto"/>
                <w:sz w:val="21"/>
                <w:szCs w:val="21"/>
                <w:highlight w:val="none"/>
                <w:lang w:val="en-US" w:eastAsia="zh-CN"/>
              </w:rPr>
              <w:t>危废贮存点；柴油存在于柴油发电机内，不单独设置油罐。</w:t>
            </w:r>
          </w:p>
        </w:tc>
      </w:tr>
      <w:tr w14:paraId="653B3D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0" w:type="dxa"/>
            <w:tcBorders>
              <w:tl2br w:val="nil"/>
              <w:tr2bl w:val="nil"/>
            </w:tcBorders>
            <w:vAlign w:val="center"/>
          </w:tcPr>
          <w:p w14:paraId="712943F8">
            <w:pPr>
              <w:keepNext w:val="0"/>
              <w:keepLines w:val="0"/>
              <w:pageBreakBefore w:val="0"/>
              <w:widowControl w:val="0"/>
              <w:kinsoku/>
              <w:wordWrap/>
              <w:autoSpaceDE/>
              <w:autoSpaceDN/>
              <w:bidi w:val="0"/>
              <w:adjustRightInd/>
              <w:snapToGrid/>
              <w:spacing w:line="360" w:lineRule="exact"/>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环境影响途径及危害后果（大气、地下水等）</w:t>
            </w:r>
          </w:p>
        </w:tc>
        <w:tc>
          <w:tcPr>
            <w:tcW w:w="6980" w:type="dxa"/>
            <w:gridSpan w:val="5"/>
            <w:tcBorders>
              <w:tl2br w:val="nil"/>
              <w:tr2bl w:val="nil"/>
            </w:tcBorders>
            <w:vAlign w:val="center"/>
          </w:tcPr>
          <w:p w14:paraId="10D2B53F">
            <w:pPr>
              <w:keepNext w:val="0"/>
              <w:keepLines w:val="0"/>
              <w:pageBreakBefore w:val="0"/>
              <w:widowControl w:val="0"/>
              <w:kinsoku/>
              <w:wordWrap/>
              <w:autoSpaceDE/>
              <w:autoSpaceDN/>
              <w:bidi w:val="0"/>
              <w:adjustRightInd/>
              <w:snapToGrid/>
              <w:spacing w:line="360" w:lineRule="exact"/>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在管理、存放、加工使用过程中会因管理和使用不当造成事故。</w:t>
            </w:r>
            <w:r>
              <w:rPr>
                <w:rFonts w:hint="default" w:ascii="Times New Roman" w:hAnsi="Times New Roman" w:cs="Times New Roman"/>
                <w:color w:val="auto"/>
                <w:sz w:val="21"/>
                <w:highlight w:val="none"/>
              </w:rPr>
              <w:t>危险品泄漏，可能造成事故发生</w:t>
            </w:r>
            <w:r>
              <w:rPr>
                <w:rFonts w:hint="default" w:ascii="Times New Roman" w:hAnsi="Times New Roman" w:cs="Times New Roman"/>
                <w:color w:val="auto"/>
                <w:sz w:val="21"/>
                <w:highlight w:val="none"/>
                <w:lang w:eastAsia="zh-CN"/>
              </w:rPr>
              <w:t>的</w:t>
            </w:r>
            <w:r>
              <w:rPr>
                <w:rFonts w:hint="eastAsia" w:cs="Times New Roman"/>
                <w:color w:val="auto"/>
                <w:sz w:val="21"/>
                <w:highlight w:val="none"/>
                <w:lang w:eastAsia="zh-CN"/>
              </w:rPr>
              <w:t>土壤</w:t>
            </w:r>
            <w:r>
              <w:rPr>
                <w:rFonts w:hint="default" w:ascii="Times New Roman" w:hAnsi="Times New Roman" w:cs="Times New Roman"/>
                <w:color w:val="auto"/>
                <w:sz w:val="21"/>
                <w:highlight w:val="none"/>
              </w:rPr>
              <w:t>污染；消防水处理不当也会对地</w:t>
            </w:r>
            <w:r>
              <w:rPr>
                <w:rFonts w:hint="default" w:ascii="Times New Roman" w:hAnsi="Times New Roman" w:cs="Times New Roman"/>
                <w:color w:val="auto"/>
                <w:sz w:val="21"/>
                <w:highlight w:val="none"/>
                <w:lang w:val="en-US" w:eastAsia="zh-CN"/>
              </w:rPr>
              <w:t>下</w:t>
            </w:r>
            <w:r>
              <w:rPr>
                <w:rFonts w:hint="default" w:ascii="Times New Roman" w:hAnsi="Times New Roman" w:cs="Times New Roman"/>
                <w:color w:val="auto"/>
                <w:sz w:val="21"/>
                <w:highlight w:val="none"/>
              </w:rPr>
              <w:t>水体造成影响；循环水系统故障造成选矿废水事故排放；尾矿库溃坝造成的人身安全、财产损失、环境污染、生态破坏等环境伤害。</w:t>
            </w:r>
          </w:p>
        </w:tc>
      </w:tr>
      <w:tr w14:paraId="22F0D0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0" w:type="dxa"/>
            <w:tcBorders>
              <w:tl2br w:val="nil"/>
              <w:tr2bl w:val="nil"/>
            </w:tcBorders>
            <w:vAlign w:val="center"/>
          </w:tcPr>
          <w:p w14:paraId="14BE22E1">
            <w:pPr>
              <w:keepNext w:val="0"/>
              <w:keepLines w:val="0"/>
              <w:pageBreakBefore w:val="0"/>
              <w:widowControl w:val="0"/>
              <w:kinsoku/>
              <w:wordWrap/>
              <w:autoSpaceDE/>
              <w:autoSpaceDN/>
              <w:bidi w:val="0"/>
              <w:adjustRightInd/>
              <w:snapToGrid/>
              <w:spacing w:line="360" w:lineRule="exact"/>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风险防范措施要求</w:t>
            </w:r>
          </w:p>
        </w:tc>
        <w:tc>
          <w:tcPr>
            <w:tcW w:w="6980" w:type="dxa"/>
            <w:gridSpan w:val="5"/>
            <w:tcBorders>
              <w:tl2br w:val="nil"/>
              <w:tr2bl w:val="nil"/>
            </w:tcBorders>
            <w:vAlign w:val="center"/>
          </w:tcPr>
          <w:p w14:paraId="00EE605F">
            <w:pPr>
              <w:keepNext w:val="0"/>
              <w:keepLines w:val="0"/>
              <w:pageBreakBefore w:val="0"/>
              <w:widowControl w:val="0"/>
              <w:kinsoku/>
              <w:wordWrap/>
              <w:autoSpaceDE/>
              <w:autoSpaceDN/>
              <w:bidi w:val="0"/>
              <w:adjustRightInd/>
              <w:snapToGrid/>
              <w:spacing w:line="360" w:lineRule="exact"/>
              <w:ind w:firstLine="0" w:firstLineChars="0"/>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（1）火灾事故防范措施：车间内配备相应品种和数量的消防器材及泄漏应急处理设备；安排专人每周对化学品储存桶进行使用安全检查；严格遵守操作规程。</w:t>
            </w:r>
          </w:p>
          <w:p w14:paraId="7B97A768">
            <w:pPr>
              <w:keepNext w:val="0"/>
              <w:keepLines w:val="0"/>
              <w:pageBreakBefore w:val="0"/>
              <w:widowControl w:val="0"/>
              <w:kinsoku/>
              <w:wordWrap/>
              <w:autoSpaceDE/>
              <w:autoSpaceDN/>
              <w:bidi w:val="0"/>
              <w:adjustRightInd/>
              <w:snapToGrid/>
              <w:spacing w:line="360" w:lineRule="exact"/>
              <w:ind w:firstLine="0" w:firstLineChars="0"/>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w:t>
            </w:r>
            <w:r>
              <w:rPr>
                <w:rFonts w:hint="default" w:ascii="Times New Roman" w:hAnsi="Times New Roman" w:cs="Times New Roman"/>
                <w:color w:val="auto"/>
                <w:sz w:val="21"/>
                <w:highlight w:val="none"/>
                <w:lang w:val="en-US" w:eastAsia="zh-CN"/>
              </w:rPr>
              <w:t>2</w:t>
            </w:r>
            <w:r>
              <w:rPr>
                <w:rFonts w:hint="default" w:ascii="Times New Roman" w:hAnsi="Times New Roman" w:cs="Times New Roman"/>
                <w:color w:val="auto"/>
                <w:sz w:val="21"/>
                <w:highlight w:val="none"/>
              </w:rPr>
              <w:t>）地下水风险防范措施：源头控制、严格做好工程防渗，定期对防渗措施进行检查和维护，确保防渗层的防渗效果，一旦发现防渗层有开裂、腐蚀等问题，应及时修补。</w:t>
            </w:r>
          </w:p>
          <w:p w14:paraId="1BCF6182">
            <w:pPr>
              <w:keepNext w:val="0"/>
              <w:keepLines w:val="0"/>
              <w:pageBreakBefore w:val="0"/>
              <w:widowControl w:val="0"/>
              <w:kinsoku/>
              <w:wordWrap/>
              <w:autoSpaceDE/>
              <w:autoSpaceDN/>
              <w:bidi w:val="0"/>
              <w:adjustRightInd/>
              <w:snapToGrid/>
              <w:spacing w:line="360" w:lineRule="exact"/>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highlight w:val="none"/>
              </w:rPr>
              <w:t>（</w:t>
            </w:r>
            <w:r>
              <w:rPr>
                <w:rFonts w:hint="default" w:ascii="Times New Roman" w:hAnsi="Times New Roman" w:cs="Times New Roman"/>
                <w:color w:val="auto"/>
                <w:sz w:val="21"/>
                <w:highlight w:val="none"/>
                <w:lang w:val="en-US" w:eastAsia="zh-CN"/>
              </w:rPr>
              <w:t>3</w:t>
            </w:r>
            <w:r>
              <w:rPr>
                <w:rFonts w:hint="default" w:ascii="Times New Roman" w:hAnsi="Times New Roman" w:cs="Times New Roman"/>
                <w:color w:val="auto"/>
                <w:sz w:val="21"/>
                <w:highlight w:val="none"/>
              </w:rPr>
              <w:t>）尾矿库溃坝风险防范措施：在尾矿坝下游设置事故池，收集尾矿库事故废水。采取库外排洪的方式，设置截洪沟，该截洪沟将尾矿库上游洪水直接排泄至尾矿库两侧，不进入库区。在尾矿库下游设置</w:t>
            </w:r>
            <w:r>
              <w:rPr>
                <w:rFonts w:hint="default" w:ascii="Times New Roman" w:hAnsi="Times New Roman" w:cs="Times New Roman"/>
                <w:color w:val="auto"/>
                <w:sz w:val="21"/>
                <w:szCs w:val="21"/>
                <w:highlight w:val="none"/>
                <w:lang w:eastAsia="zh-CN"/>
              </w:rPr>
              <w:t>拦挡</w:t>
            </w:r>
            <w:r>
              <w:rPr>
                <w:rFonts w:hint="default" w:ascii="Times New Roman" w:hAnsi="Times New Roman" w:cs="Times New Roman"/>
                <w:color w:val="auto"/>
                <w:sz w:val="21"/>
                <w:szCs w:val="21"/>
                <w:highlight w:val="none"/>
              </w:rPr>
              <w:t>坝</w:t>
            </w:r>
            <w:r>
              <w:rPr>
                <w:rFonts w:hint="default" w:ascii="Times New Roman" w:hAnsi="Times New Roman" w:cs="Times New Roman"/>
                <w:color w:val="auto"/>
                <w:sz w:val="21"/>
                <w:highlight w:val="none"/>
              </w:rPr>
              <w:t>，防止溃坝发生时尾矿砂下泄进入地表水体，对地表水体及周边生态环境产生影响。</w:t>
            </w:r>
          </w:p>
        </w:tc>
      </w:tr>
      <w:tr w14:paraId="35E0DA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0" w:type="dxa"/>
            <w:gridSpan w:val="6"/>
            <w:tcBorders>
              <w:tl2br w:val="nil"/>
              <w:tr2bl w:val="nil"/>
            </w:tcBorders>
            <w:vAlign w:val="center"/>
          </w:tcPr>
          <w:p w14:paraId="04DAD021">
            <w:pPr>
              <w:keepNext w:val="0"/>
              <w:keepLines w:val="0"/>
              <w:pageBreakBefore w:val="0"/>
              <w:widowControl w:val="0"/>
              <w:kinsoku/>
              <w:wordWrap/>
              <w:autoSpaceDE/>
              <w:autoSpaceDN/>
              <w:bidi w:val="0"/>
              <w:adjustRightInd/>
              <w:snapToGrid/>
              <w:spacing w:line="360" w:lineRule="exact"/>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填表说明（列出项目相关信息及评价说明）：</w:t>
            </w:r>
          </w:p>
          <w:p w14:paraId="555046A2">
            <w:pPr>
              <w:keepNext w:val="0"/>
              <w:keepLines w:val="0"/>
              <w:pageBreakBefore w:val="0"/>
              <w:widowControl w:val="0"/>
              <w:kinsoku/>
              <w:wordWrap/>
              <w:overflowPunct w:val="0"/>
              <w:topLinePunct/>
              <w:autoSpaceDE/>
              <w:autoSpaceDN/>
              <w:bidi w:val="0"/>
              <w:adjustRightInd/>
              <w:snapToGrid/>
              <w:spacing w:line="360" w:lineRule="exact"/>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highlight w:val="none"/>
                <w:lang w:bidi="ar"/>
              </w:rPr>
              <w:t>本项目生产过程中使用的</w:t>
            </w:r>
            <w:r>
              <w:rPr>
                <w:rFonts w:hint="default" w:ascii="Times New Roman" w:hAnsi="Times New Roman" w:cs="Times New Roman"/>
                <w:color w:val="auto"/>
                <w:sz w:val="21"/>
                <w:szCs w:val="21"/>
                <w:highlight w:val="none"/>
                <w:lang w:val="en-US" w:eastAsia="zh-CN"/>
              </w:rPr>
              <w:t>废机油</w:t>
            </w:r>
            <w:r>
              <w:rPr>
                <w:rFonts w:hint="default" w:ascii="Times New Roman" w:hAnsi="Times New Roman" w:cs="Times New Roman"/>
                <w:color w:val="auto"/>
                <w:sz w:val="21"/>
                <w:highlight w:val="none"/>
                <w:lang w:bidi="ar"/>
              </w:rPr>
              <w:t>属于</w:t>
            </w:r>
            <w:r>
              <w:rPr>
                <w:rFonts w:hint="default" w:ascii="Times New Roman" w:hAnsi="Times New Roman" w:cs="Times New Roman"/>
                <w:color w:val="auto"/>
                <w:sz w:val="21"/>
                <w:highlight w:val="none"/>
                <w:lang w:val="en-US" w:eastAsia="zh-CN" w:bidi="ar"/>
              </w:rPr>
              <w:t>危险</w:t>
            </w:r>
            <w:r>
              <w:rPr>
                <w:rFonts w:hint="default" w:ascii="Times New Roman" w:hAnsi="Times New Roman" w:cs="Times New Roman"/>
                <w:color w:val="auto"/>
                <w:sz w:val="21"/>
                <w:highlight w:val="none"/>
                <w:lang w:bidi="ar"/>
              </w:rPr>
              <w:t>物质，Q值＜1，风险潜势为I，因此本次环评仅对事故影响进行简要分析，提出防范、减缓和应急措施。根据《尾矿库环境风险评估技术导则（试行）》（HJ740-2015）从尾矿库的环境危害性（H）、周边环境敏感性（S）、控制机制可靠性（R）三个方面进行环境风险的辨识。由风险评价等级相关章节分析可知，本项目环境危险性等别为H3，周边环境敏感性等别为S</w:t>
            </w:r>
            <w:r>
              <w:rPr>
                <w:rFonts w:hint="default" w:ascii="Times New Roman" w:hAnsi="Times New Roman" w:cs="Times New Roman"/>
                <w:color w:val="auto"/>
                <w:sz w:val="21"/>
                <w:highlight w:val="none"/>
                <w:lang w:val="en-US" w:eastAsia="zh-CN" w:bidi="ar"/>
              </w:rPr>
              <w:t>1</w:t>
            </w:r>
            <w:r>
              <w:rPr>
                <w:rFonts w:hint="default" w:ascii="Times New Roman" w:hAnsi="Times New Roman" w:cs="Times New Roman"/>
                <w:color w:val="auto"/>
                <w:sz w:val="21"/>
                <w:highlight w:val="none"/>
                <w:lang w:bidi="ar"/>
              </w:rPr>
              <w:t>，控制机制可靠性等别为R</w:t>
            </w:r>
            <w:r>
              <w:rPr>
                <w:rFonts w:hint="default" w:ascii="Times New Roman" w:hAnsi="Times New Roman" w:cs="Times New Roman"/>
                <w:color w:val="auto"/>
                <w:sz w:val="21"/>
                <w:highlight w:val="none"/>
                <w:lang w:val="en-US" w:eastAsia="zh-CN" w:bidi="ar"/>
              </w:rPr>
              <w:t>3</w:t>
            </w:r>
            <w:r>
              <w:rPr>
                <w:rFonts w:hint="default" w:ascii="Times New Roman" w:hAnsi="Times New Roman" w:cs="Times New Roman"/>
                <w:color w:val="auto"/>
                <w:sz w:val="21"/>
                <w:highlight w:val="none"/>
                <w:lang w:bidi="ar"/>
              </w:rPr>
              <w:t>。根据以上判定，结合《尾矿库环境风险评估技术导则（试行）》（HJ740-2015）表7中等级划分矩阵，确定本次尾矿库风险等级为一般。最终确定环境风险可控，处于可接受水平。</w:t>
            </w:r>
          </w:p>
        </w:tc>
      </w:tr>
    </w:tbl>
    <w:p w14:paraId="6E09DC57">
      <w:pPr>
        <w:pStyle w:val="3"/>
        <w:rPr>
          <w:rFonts w:hint="default" w:ascii="Times New Roman" w:hAnsi="Times New Roman" w:cs="Times New Roman"/>
          <w:color w:val="auto"/>
          <w:highlight w:val="none"/>
        </w:rPr>
      </w:pPr>
      <w:bookmarkStart w:id="746" w:name="_Toc25110"/>
      <w:bookmarkStart w:id="747" w:name="_Toc21783"/>
      <w:bookmarkStart w:id="748" w:name="_Toc107414667"/>
      <w:bookmarkStart w:id="749" w:name="_Toc15541"/>
      <w:bookmarkStart w:id="750" w:name="_Toc107413900"/>
      <w:bookmarkStart w:id="751" w:name="_Toc8893"/>
      <w:bookmarkStart w:id="752" w:name="_Toc29060"/>
      <w:r>
        <w:rPr>
          <w:rFonts w:hint="default" w:ascii="Times New Roman" w:hAnsi="Times New Roman" w:cs="Times New Roman"/>
          <w:color w:val="auto"/>
          <w:highlight w:val="none"/>
        </w:rPr>
        <w:t>5.4退役期环境影响分析</w:t>
      </w:r>
      <w:bookmarkEnd w:id="746"/>
      <w:bookmarkEnd w:id="747"/>
      <w:bookmarkEnd w:id="748"/>
      <w:bookmarkEnd w:id="749"/>
      <w:bookmarkEnd w:id="750"/>
      <w:bookmarkEnd w:id="751"/>
      <w:bookmarkEnd w:id="752"/>
    </w:p>
    <w:p w14:paraId="4B4718F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退役期相对来说是正影响的过程，是对景观及生态的恢复过程，不会对环境继续产生破坏。退役期如不落实水土保持方案、复垦计划以及生态恢复，则对开发区域带来的环境影响是极为严重的。其主要的环境问题是植被破坏造成的水土流失、改变土地利用方式对地貌景观的破坏等问题。因此退役期的环境保护措施和生态恢复是本项目环境保护的重要环节。分析论证建设方和水土保持方案制定的可行性，为有效控制项目新增水土流失，保护和恢复项目区内植被，保障当地生态环境建设与经济协调发展，对水土保持方案设计原则与目标等进行论证。做到选矿厂、尾矿库退役的同时，水土保持工程同年完成。</w:t>
      </w:r>
    </w:p>
    <w:p w14:paraId="61EB161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本项目服务期满后应按照《尾矿库闭库安全监督管理规定》进行闭库。</w:t>
      </w:r>
    </w:p>
    <w:p w14:paraId="53967516">
      <w:pPr>
        <w:keepNext/>
        <w:keepLines/>
        <w:spacing w:before="60" w:after="60"/>
        <w:ind w:firstLine="0" w:firstLineChars="0"/>
        <w:outlineLvl w:val="2"/>
        <w:rPr>
          <w:rFonts w:hint="default" w:ascii="Times New Roman" w:hAnsi="Times New Roman" w:cs="Times New Roman"/>
          <w:b/>
          <w:bCs/>
          <w:color w:val="auto"/>
          <w:sz w:val="30"/>
          <w:szCs w:val="32"/>
          <w:highlight w:val="none"/>
        </w:rPr>
      </w:pPr>
      <w:r>
        <w:rPr>
          <w:rFonts w:hint="default" w:ascii="Times New Roman" w:hAnsi="Times New Roman" w:cs="Times New Roman"/>
          <w:b/>
          <w:bCs/>
          <w:color w:val="auto"/>
          <w:sz w:val="30"/>
          <w:szCs w:val="32"/>
          <w:highlight w:val="none"/>
        </w:rPr>
        <w:t>5.4.1退役期大气环境影响分析</w:t>
      </w:r>
    </w:p>
    <w:p w14:paraId="13B54F8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default" w:ascii="Times New Roman" w:hAnsi="Times New Roman" w:cs="Times New Roman"/>
          <w:bCs/>
          <w:color w:val="auto"/>
          <w:highlight w:val="none"/>
        </w:rPr>
        <w:t>退役期</w:t>
      </w:r>
      <w:r>
        <w:rPr>
          <w:rFonts w:hint="default" w:ascii="Times New Roman" w:hAnsi="Times New Roman" w:cs="Times New Roman"/>
          <w:color w:val="auto"/>
          <w:highlight w:val="none"/>
        </w:rPr>
        <w:t>废气主要为尾矿库内干滩扬尘。闭库期如管理不善，干滩扬尘将难以得到有效控制，对周边空气环境造成影响。故在闭库过程中应利用尾矿库内蓄积废水对干滩区域定期进行洒水保湿，以减少闭库中尾矿库干滩扬尘。闭库后应及时进行复垦，通过压实及覆盖植被等措施防止尾矿渣体大面积裸露，从而可起到抑制尾矿库干滩扬尘的作用。为减小尾矿干滩对周围环境的影响，报告提出项目建设方应在尾矿库闭库期采取以下措施：</w:t>
      </w:r>
    </w:p>
    <w:p w14:paraId="40F6C69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（1）继续利用尾矿库内蓄积废水对干滩区域定期进行洒水保湿以减少扬尘量。</w:t>
      </w:r>
    </w:p>
    <w:p w14:paraId="6E901B8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（2）尾矿库应及时闭库复垦，进行覆土、压实等措施防止尾矿渣体大面积裸露，从而可起到抑制尾矿库干滩扬尘的作用。</w:t>
      </w:r>
    </w:p>
    <w:p w14:paraId="58F46EB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综合分析，在采取以上措施后可有效减轻闭库期及之后扬尘对周边空气环境的影响。</w:t>
      </w:r>
    </w:p>
    <w:p w14:paraId="7C92CA94">
      <w:pPr>
        <w:keepNext/>
        <w:keepLines/>
        <w:spacing w:before="60" w:after="60"/>
        <w:ind w:firstLine="0" w:firstLineChars="0"/>
        <w:outlineLvl w:val="2"/>
        <w:rPr>
          <w:rFonts w:hint="default" w:ascii="Times New Roman" w:hAnsi="Times New Roman" w:cs="Times New Roman"/>
          <w:b/>
          <w:bCs/>
          <w:color w:val="auto"/>
          <w:sz w:val="30"/>
          <w:szCs w:val="32"/>
          <w:highlight w:val="none"/>
        </w:rPr>
      </w:pPr>
      <w:r>
        <w:rPr>
          <w:rFonts w:hint="default" w:ascii="Times New Roman" w:hAnsi="Times New Roman" w:cs="Times New Roman"/>
          <w:b/>
          <w:bCs/>
          <w:color w:val="auto"/>
          <w:sz w:val="30"/>
          <w:szCs w:val="32"/>
          <w:highlight w:val="none"/>
        </w:rPr>
        <w:t>5.4.2退役期水环境影响分析</w:t>
      </w:r>
    </w:p>
    <w:p w14:paraId="2F71125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退役期废水主要为尾矿库内汇入收集的大气降水形成的尾矿库内废水。这部分废水如管理不善直接外排将污染地下水及周边地表水体。</w:t>
      </w:r>
    </w:p>
    <w:p w14:paraId="058D53D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为防止退役期这部分废水外排造成对周边地下水及地表水污染，对于闭库期尾矿库内蓄积废水，应回用于尾矿库库区洒水，防止其因缺乏管理外排污染周边地下水环境。</w:t>
      </w:r>
    </w:p>
    <w:p w14:paraId="2B763343">
      <w:pPr>
        <w:keepNext/>
        <w:keepLines/>
        <w:spacing w:before="60" w:after="60"/>
        <w:ind w:firstLine="0" w:firstLineChars="0"/>
        <w:outlineLvl w:val="2"/>
        <w:rPr>
          <w:rFonts w:hint="default" w:ascii="Times New Roman" w:hAnsi="Times New Roman" w:cs="Times New Roman"/>
          <w:b/>
          <w:bCs/>
          <w:color w:val="auto"/>
          <w:sz w:val="30"/>
          <w:szCs w:val="32"/>
          <w:highlight w:val="none"/>
        </w:rPr>
      </w:pPr>
      <w:r>
        <w:rPr>
          <w:rFonts w:hint="default" w:ascii="Times New Roman" w:hAnsi="Times New Roman" w:cs="Times New Roman"/>
          <w:b/>
          <w:bCs/>
          <w:color w:val="auto"/>
          <w:sz w:val="30"/>
          <w:szCs w:val="32"/>
          <w:highlight w:val="none"/>
        </w:rPr>
        <w:t>5.4.3退役期声环境影响分析</w:t>
      </w:r>
    </w:p>
    <w:p w14:paraId="21EFD55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退役期各类机械环境</w:t>
      </w:r>
      <w:r>
        <w:rPr>
          <w:rFonts w:hint="eastAsia" w:cs="Times New Roman"/>
          <w:color w:val="auto"/>
          <w:highlight w:val="none"/>
          <w:lang w:eastAsia="zh-CN"/>
        </w:rPr>
        <w:t>噪声</w:t>
      </w:r>
      <w:r>
        <w:rPr>
          <w:rFonts w:hint="default" w:ascii="Times New Roman" w:hAnsi="Times New Roman" w:cs="Times New Roman"/>
          <w:color w:val="auto"/>
          <w:highlight w:val="none"/>
        </w:rPr>
        <w:t>、车辆产生的噪声将消失，噪声较运营期将大幅降低，并逐渐恢复到环境背景值。因此，噪声对项目区及周围环境影响较小。</w:t>
      </w:r>
    </w:p>
    <w:p w14:paraId="1A6EA428">
      <w:pPr>
        <w:keepNext/>
        <w:keepLines/>
        <w:spacing w:before="60" w:after="60"/>
        <w:ind w:firstLine="0" w:firstLineChars="0"/>
        <w:outlineLvl w:val="2"/>
        <w:rPr>
          <w:rFonts w:hint="default" w:ascii="Times New Roman" w:hAnsi="Times New Roman" w:cs="Times New Roman"/>
          <w:b/>
          <w:bCs/>
          <w:color w:val="auto"/>
          <w:sz w:val="30"/>
          <w:szCs w:val="32"/>
          <w:highlight w:val="none"/>
        </w:rPr>
      </w:pPr>
      <w:r>
        <w:rPr>
          <w:rFonts w:hint="default" w:ascii="Times New Roman" w:hAnsi="Times New Roman" w:cs="Times New Roman"/>
          <w:b/>
          <w:bCs/>
          <w:color w:val="auto"/>
          <w:sz w:val="30"/>
          <w:szCs w:val="32"/>
          <w:highlight w:val="none"/>
        </w:rPr>
        <w:t>5.4.4退役期固体废物环境影响分析</w:t>
      </w:r>
    </w:p>
    <w:p w14:paraId="1B97CFA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退役期固体废弃物主要为项目区周边废弃建筑物。对废弃建筑物应统一拆除，建筑垃圾按照当地环卫部门要求进行处理。同时尾矿库闭库要求如下：</w:t>
      </w:r>
    </w:p>
    <w:p w14:paraId="03742E3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（1）尾矿库应按《尾矿库闭库安全监督管理规定》进行闭库；</w:t>
      </w:r>
    </w:p>
    <w:p w14:paraId="4C7B94A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（2）在尾矿库闭库前1年，委托具有相应资质的评价机构进行尾矿库安全评价；</w:t>
      </w:r>
    </w:p>
    <w:p w14:paraId="3EEAEE7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（3）在尾矿库闭库前1年，委托具有相应资质的设计单位进行尾矿库闭库设计；</w:t>
      </w:r>
    </w:p>
    <w:p w14:paraId="335A3B6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（4）按照《尾矿设施施工及验收</w:t>
      </w:r>
      <w:r>
        <w:rPr>
          <w:rFonts w:hint="default" w:ascii="Times New Roman" w:hAnsi="Times New Roman" w:cs="Times New Roman"/>
          <w:color w:val="auto"/>
          <w:highlight w:val="none"/>
          <w:lang w:val="en-US" w:eastAsia="zh-CN"/>
        </w:rPr>
        <w:t>规范</w:t>
      </w:r>
      <w:r>
        <w:rPr>
          <w:rFonts w:hint="default" w:ascii="Times New Roman" w:hAnsi="Times New Roman" w:cs="Times New Roman"/>
          <w:color w:val="auto"/>
          <w:highlight w:val="none"/>
        </w:rPr>
        <w:t>》（GB50864-2013）进行闭库验收；</w:t>
      </w:r>
    </w:p>
    <w:p w14:paraId="0F3BA54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（5）尾矿库周边警示</w:t>
      </w:r>
      <w:r>
        <w:rPr>
          <w:rFonts w:hint="eastAsia" w:cs="Times New Roman"/>
          <w:color w:val="auto"/>
          <w:highlight w:val="none"/>
          <w:lang w:eastAsia="zh-CN"/>
        </w:rPr>
        <w:t>标识</w:t>
      </w:r>
      <w:r>
        <w:rPr>
          <w:rFonts w:hint="default" w:ascii="Times New Roman" w:hAnsi="Times New Roman" w:cs="Times New Roman"/>
          <w:color w:val="auto"/>
          <w:highlight w:val="none"/>
        </w:rPr>
        <w:t>及尾矿库观测点应予以保留。</w:t>
      </w:r>
    </w:p>
    <w:p w14:paraId="5348BE34">
      <w:pPr>
        <w:keepNext/>
        <w:keepLines/>
        <w:spacing w:before="60" w:after="60"/>
        <w:ind w:firstLine="0" w:firstLineChars="0"/>
        <w:outlineLvl w:val="2"/>
        <w:rPr>
          <w:rFonts w:hint="default" w:ascii="Times New Roman" w:hAnsi="Times New Roman" w:cs="Times New Roman"/>
          <w:b/>
          <w:bCs/>
          <w:color w:val="auto"/>
          <w:sz w:val="30"/>
          <w:szCs w:val="32"/>
          <w:highlight w:val="none"/>
        </w:rPr>
      </w:pPr>
      <w:r>
        <w:rPr>
          <w:rFonts w:hint="default" w:ascii="Times New Roman" w:hAnsi="Times New Roman" w:cs="Times New Roman"/>
          <w:b/>
          <w:bCs/>
          <w:color w:val="auto"/>
          <w:sz w:val="30"/>
          <w:szCs w:val="32"/>
          <w:highlight w:val="none"/>
        </w:rPr>
        <w:t>5.4.5退役期生态环境影响分析</w:t>
      </w:r>
    </w:p>
    <w:p w14:paraId="09EAFF4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退役期生态环境影响主要是遗留废弃建筑物及未按要求处置对今后周边生态环境带来的影响。</w:t>
      </w:r>
    </w:p>
    <w:p w14:paraId="4EA4AB8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尾矿库在闭库后需进行闭库设计。加强地质灾害防治工作，消除地质灾害隐患。对边坡进行稳定治理；对不稳定的岩块进行及时清理。</w:t>
      </w:r>
    </w:p>
    <w:p w14:paraId="47448C3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随着项目区土地复垦的实施及植被的恢复，项目区将会恢复到原貌，使生态系统顺向演替。</w:t>
      </w:r>
    </w:p>
    <w:p w14:paraId="1E159F4F">
      <w:pPr>
        <w:pStyle w:val="43"/>
        <w:overflowPunct w:val="0"/>
        <w:topLinePunct/>
        <w:spacing w:line="480" w:lineRule="exact"/>
        <w:ind w:firstLine="480"/>
        <w:rPr>
          <w:rFonts w:hint="default" w:ascii="Times New Roman" w:hAnsi="Times New Roman" w:cs="Times New Roman"/>
          <w:color w:val="auto"/>
          <w:szCs w:val="24"/>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56039E6">
      <w:pPr>
        <w:pStyle w:val="2"/>
        <w:spacing w:line="720" w:lineRule="exact"/>
        <w:rPr>
          <w:rFonts w:hint="default" w:ascii="Times New Roman" w:hAnsi="Times New Roman" w:cs="Times New Roman"/>
          <w:color w:val="auto"/>
          <w:highlight w:val="none"/>
        </w:rPr>
      </w:pPr>
      <w:bookmarkStart w:id="753" w:name="_Toc4011"/>
      <w:bookmarkStart w:id="754" w:name="_Toc21463"/>
      <w:bookmarkStart w:id="755" w:name="_Toc8627"/>
      <w:bookmarkStart w:id="756" w:name="_Toc4827"/>
      <w:bookmarkStart w:id="757" w:name="_Toc107413901"/>
      <w:bookmarkStart w:id="758" w:name="_Toc11617"/>
      <w:bookmarkStart w:id="759" w:name="_Toc107414668"/>
      <w:r>
        <w:rPr>
          <w:rFonts w:hint="default" w:ascii="Times New Roman" w:hAnsi="Times New Roman" w:cs="Times New Roman"/>
          <w:color w:val="auto"/>
          <w:highlight w:val="none"/>
        </w:rPr>
        <w:t>6环境保护措施及其可行性论证</w:t>
      </w:r>
      <w:bookmarkEnd w:id="753"/>
      <w:bookmarkEnd w:id="754"/>
      <w:bookmarkEnd w:id="755"/>
      <w:bookmarkEnd w:id="756"/>
      <w:bookmarkEnd w:id="757"/>
      <w:bookmarkEnd w:id="758"/>
      <w:bookmarkEnd w:id="759"/>
    </w:p>
    <w:p w14:paraId="278B4CBE">
      <w:pPr>
        <w:pStyle w:val="3"/>
        <w:rPr>
          <w:rFonts w:hint="default" w:ascii="Times New Roman" w:hAnsi="Times New Roman" w:cs="Times New Roman"/>
          <w:color w:val="auto"/>
          <w:highlight w:val="none"/>
        </w:rPr>
      </w:pPr>
      <w:bookmarkStart w:id="760" w:name="_Toc107414669"/>
      <w:bookmarkStart w:id="761" w:name="_Toc838"/>
      <w:bookmarkStart w:id="762" w:name="_Toc107413902"/>
      <w:bookmarkStart w:id="763" w:name="_Toc14461"/>
      <w:bookmarkStart w:id="764" w:name="_Toc8111"/>
      <w:bookmarkStart w:id="765" w:name="_Toc29276"/>
      <w:bookmarkStart w:id="766" w:name="_Toc20330"/>
      <w:r>
        <w:rPr>
          <w:rFonts w:hint="default" w:ascii="Times New Roman" w:hAnsi="Times New Roman" w:cs="Times New Roman"/>
          <w:color w:val="auto"/>
          <w:highlight w:val="none"/>
        </w:rPr>
        <w:t>6.1施工期环境保护措施及其可行性论证</w:t>
      </w:r>
      <w:bookmarkEnd w:id="760"/>
      <w:bookmarkEnd w:id="761"/>
      <w:bookmarkEnd w:id="762"/>
      <w:bookmarkEnd w:id="763"/>
      <w:bookmarkEnd w:id="764"/>
      <w:bookmarkEnd w:id="765"/>
      <w:bookmarkEnd w:id="766"/>
    </w:p>
    <w:p w14:paraId="5286F3BB">
      <w:pPr>
        <w:pStyle w:val="4"/>
        <w:rPr>
          <w:rFonts w:hint="default" w:ascii="Times New Roman" w:hAnsi="Times New Roman" w:cs="Times New Roman"/>
          <w:color w:val="auto"/>
          <w:highlight w:val="none"/>
        </w:rPr>
      </w:pPr>
      <w:bookmarkStart w:id="767" w:name="_Toc19579"/>
      <w:bookmarkStart w:id="768" w:name="_Toc6475"/>
      <w:bookmarkStart w:id="769" w:name="_Toc2237"/>
      <w:r>
        <w:rPr>
          <w:rFonts w:hint="default" w:ascii="Times New Roman" w:hAnsi="Times New Roman" w:cs="Times New Roman"/>
          <w:color w:val="auto"/>
          <w:highlight w:val="none"/>
        </w:rPr>
        <w:t>6.1.1大气污染防护措施</w:t>
      </w:r>
      <w:bookmarkEnd w:id="767"/>
      <w:bookmarkEnd w:id="768"/>
      <w:bookmarkEnd w:id="769"/>
    </w:p>
    <w:p w14:paraId="627899C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施工期间必须采取合理可行的控制措施，尽量减轻扬尘对附近大气环境的污染，缩小其影响范围。要求采取如下技术方案：</w:t>
      </w:r>
    </w:p>
    <w:p w14:paraId="5CBF21E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（1）土石方挖掘</w:t>
      </w:r>
      <w:r>
        <w:rPr>
          <w:rFonts w:hint="eastAsia" w:cs="Times New Roman"/>
          <w:color w:val="auto"/>
          <w:highlight w:val="none"/>
          <w:lang w:eastAsia="zh-CN"/>
        </w:rPr>
        <w:t>完成</w:t>
      </w:r>
      <w:r>
        <w:rPr>
          <w:rFonts w:hint="default" w:ascii="Times New Roman" w:hAnsi="Times New Roman" w:cs="Times New Roman"/>
          <w:color w:val="auto"/>
          <w:highlight w:val="none"/>
        </w:rPr>
        <w:t>后，要及时回填，剩余土方应及时运到需要填方的低洼处并喷水碾压，或临近堆放在施工生活区主导风向的下风向，减轻对施工生活区的影响，同时防止水土流失；</w:t>
      </w:r>
    </w:p>
    <w:p w14:paraId="758FB47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（2）易产生扬尘的建筑材料不得随意露天堆放，应设置专门的堆场，且堆场四周有围挡设施，以免产生扬尘，对周围环境造成影响；</w:t>
      </w:r>
    </w:p>
    <w:p w14:paraId="26C7369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（3）混凝土搅拌机应设在指定场地内，散落在地上的建筑材料要经常清理；</w:t>
      </w:r>
    </w:p>
    <w:p w14:paraId="474E469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（4）为防止运输过程产生的二次扬尘污染，要对施工道路定时洒水，在大风天气，停止土石方施工，对容易产生二次扬尘污染的重点施工现场进行遮盖；</w:t>
      </w:r>
    </w:p>
    <w:p w14:paraId="76C8271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（5）运输建筑材料和设备的车辆不得超载，运输颗粒物料车辆的装载高度不得超过车槽，并用</w:t>
      </w:r>
      <w:r>
        <w:rPr>
          <w:rFonts w:hint="eastAsia" w:cs="Times New Roman"/>
          <w:color w:val="auto"/>
          <w:highlight w:val="none"/>
          <w:lang w:eastAsia="zh-CN"/>
        </w:rPr>
        <w:t>篷布</w:t>
      </w:r>
      <w:r>
        <w:rPr>
          <w:rFonts w:hint="default" w:ascii="Times New Roman" w:hAnsi="Times New Roman" w:cs="Times New Roman"/>
          <w:color w:val="auto"/>
          <w:highlight w:val="none"/>
        </w:rPr>
        <w:t>蒙严盖实，不得沿路</w:t>
      </w:r>
      <w:r>
        <w:rPr>
          <w:rFonts w:hint="eastAsia" w:cs="Times New Roman"/>
          <w:color w:val="auto"/>
          <w:highlight w:val="none"/>
          <w:lang w:eastAsia="zh-CN"/>
        </w:rPr>
        <w:t>抛洒</w:t>
      </w:r>
      <w:r>
        <w:rPr>
          <w:rFonts w:hint="default" w:ascii="Times New Roman" w:hAnsi="Times New Roman" w:cs="Times New Roman"/>
          <w:color w:val="auto"/>
          <w:highlight w:val="none"/>
        </w:rPr>
        <w:t>；</w:t>
      </w:r>
    </w:p>
    <w:p w14:paraId="4B7BE79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（6）建设期规划施工车辆行驶路线，对路面进行硬化处理，指定机械停放点，设置洒水车对道路、料场等处洒水降尘。</w:t>
      </w:r>
    </w:p>
    <w:p w14:paraId="2F62E7B0">
      <w:pPr>
        <w:pStyle w:val="60"/>
        <w:overflowPunct w:val="0"/>
        <w:topLinePunct/>
        <w:spacing w:line="480" w:lineRule="exact"/>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采取以上措施后，施工期废气影响将降至最低，对周围环境影响较小，本项目施工期大气治理措施可行。</w:t>
      </w:r>
    </w:p>
    <w:p w14:paraId="1993E8B6">
      <w:pPr>
        <w:pStyle w:val="4"/>
        <w:rPr>
          <w:rFonts w:hint="default" w:ascii="Times New Roman" w:hAnsi="Times New Roman" w:cs="Times New Roman"/>
          <w:color w:val="auto"/>
          <w:highlight w:val="none"/>
        </w:rPr>
      </w:pPr>
      <w:bookmarkStart w:id="770" w:name="_Toc3718"/>
      <w:bookmarkStart w:id="771" w:name="_Toc10638"/>
      <w:bookmarkStart w:id="772" w:name="_Toc17455"/>
      <w:r>
        <w:rPr>
          <w:rFonts w:hint="default" w:ascii="Times New Roman" w:hAnsi="Times New Roman" w:cs="Times New Roman"/>
          <w:color w:val="auto"/>
          <w:highlight w:val="none"/>
        </w:rPr>
        <w:t>6.1.2废水污染防护措施</w:t>
      </w:r>
      <w:bookmarkEnd w:id="770"/>
      <w:bookmarkEnd w:id="771"/>
      <w:bookmarkEnd w:id="772"/>
    </w:p>
    <w:p w14:paraId="48B65805">
      <w:pPr>
        <w:pStyle w:val="60"/>
        <w:overflowPunct w:val="0"/>
        <w:topLinePunct/>
        <w:spacing w:line="480" w:lineRule="exact"/>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施工过程产生废水主要为生活污水、施工废水，本环评提出的处理措施如下：</w:t>
      </w:r>
    </w:p>
    <w:p w14:paraId="21240B73">
      <w:pPr>
        <w:pStyle w:val="60"/>
        <w:overflowPunct w:val="0"/>
        <w:topLinePunct/>
        <w:spacing w:line="480" w:lineRule="exact"/>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（1）施工场地设置临时隔油沉淀池，将施工废水隔油、沉淀处理后回用于施工工序，如洒水降尘等，对区域水环境影响较小。</w:t>
      </w:r>
    </w:p>
    <w:p w14:paraId="5AB7838C">
      <w:pPr>
        <w:pStyle w:val="60"/>
        <w:overflowPunct w:val="0"/>
        <w:topLinePunct/>
        <w:spacing w:line="480" w:lineRule="exact"/>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（2）施工人员生活污水排入化粪池定期清运至哈密市污水处理厂</w:t>
      </w:r>
      <w:r>
        <w:rPr>
          <w:rFonts w:hint="eastAsia" w:cs="Times New Roman"/>
          <w:color w:val="auto"/>
          <w:highlight w:val="none"/>
          <w:lang w:eastAsia="zh-CN"/>
        </w:rPr>
        <w:t>，</w:t>
      </w:r>
      <w:r>
        <w:rPr>
          <w:rFonts w:hint="default" w:ascii="Times New Roman" w:hAnsi="Times New Roman" w:cs="Times New Roman"/>
          <w:color w:val="auto"/>
          <w:highlight w:val="none"/>
        </w:rPr>
        <w:t>对区域水环境影响甚微。</w:t>
      </w:r>
    </w:p>
    <w:p w14:paraId="6228EAEA">
      <w:pPr>
        <w:pStyle w:val="4"/>
        <w:rPr>
          <w:rFonts w:hint="default" w:ascii="Times New Roman" w:hAnsi="Times New Roman" w:cs="Times New Roman"/>
          <w:color w:val="auto"/>
          <w:highlight w:val="none"/>
        </w:rPr>
      </w:pPr>
      <w:bookmarkStart w:id="773" w:name="_Toc2672"/>
      <w:bookmarkStart w:id="774" w:name="_Toc17119"/>
      <w:bookmarkStart w:id="775" w:name="_Toc8334"/>
      <w:r>
        <w:rPr>
          <w:rFonts w:hint="default" w:ascii="Times New Roman" w:hAnsi="Times New Roman" w:cs="Times New Roman"/>
          <w:color w:val="auto"/>
          <w:highlight w:val="none"/>
        </w:rPr>
        <w:t>6.1.3噪声污染防护措施</w:t>
      </w:r>
      <w:bookmarkEnd w:id="773"/>
      <w:bookmarkEnd w:id="774"/>
      <w:bookmarkEnd w:id="775"/>
    </w:p>
    <w:p w14:paraId="42948EB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为了减轻施工噪声对周围环境的影响，建设方应采取有效措施控制施工期噪声。施工期噪声污染控制对策：</w:t>
      </w:r>
    </w:p>
    <w:p w14:paraId="775E50AD">
      <w:pPr>
        <w:pStyle w:val="12"/>
        <w:overflowPunct w:val="0"/>
        <w:topLinePunct/>
        <w:adjustRightInd w:val="0"/>
        <w:spacing w:after="0"/>
        <w:ind w:left="0" w:leftChars="0" w:firstLine="480"/>
        <w:textAlignment w:val="baseline"/>
        <w:rPr>
          <w:rFonts w:hint="default" w:ascii="Times New Roman" w:hAnsi="Times New Roman" w:cs="Times New Roman"/>
          <w:color w:val="auto"/>
          <w:highlight w:val="none"/>
        </w:rPr>
      </w:pPr>
      <w:bookmarkStart w:id="776" w:name="_Toc12893_WPSOffice_Level3"/>
      <w:r>
        <w:rPr>
          <w:rFonts w:hint="default" w:ascii="Times New Roman" w:hAnsi="Times New Roman" w:cs="Times New Roman"/>
          <w:color w:val="auto"/>
          <w:highlight w:val="none"/>
        </w:rPr>
        <w:t>（1）施工机械噪声控制措施</w:t>
      </w:r>
      <w:bookmarkEnd w:id="776"/>
    </w:p>
    <w:p w14:paraId="13DC57E7">
      <w:pPr>
        <w:pStyle w:val="12"/>
        <w:overflowPunct w:val="0"/>
        <w:topLinePunct/>
        <w:adjustRightInd w:val="0"/>
        <w:spacing w:after="0"/>
        <w:ind w:left="0" w:leftChars="0" w:firstLine="48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①施工现场周围采用符合规定强度的硬质材料（夹芯彩钢板、砌体）设置不低于2.5m的密闭</w:t>
      </w:r>
      <w:r>
        <w:rPr>
          <w:rFonts w:hint="eastAsia" w:cs="Times New Roman"/>
          <w:color w:val="auto"/>
          <w:highlight w:val="none"/>
          <w:lang w:eastAsia="zh-CN"/>
        </w:rPr>
        <w:t>围挡</w:t>
      </w:r>
      <w:r>
        <w:rPr>
          <w:rFonts w:hint="default" w:ascii="Times New Roman" w:hAnsi="Times New Roman" w:cs="Times New Roman"/>
          <w:color w:val="auto"/>
          <w:highlight w:val="none"/>
        </w:rPr>
        <w:t>，确保基础牢固，表面平整和清洁。</w:t>
      </w:r>
    </w:p>
    <w:p w14:paraId="5D9FBF89">
      <w:pPr>
        <w:pStyle w:val="12"/>
        <w:overflowPunct w:val="0"/>
        <w:topLinePunct/>
        <w:adjustRightInd w:val="0"/>
        <w:spacing w:after="0"/>
        <w:ind w:left="0" w:leftChars="0" w:firstLine="48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②将易产生噪声的作业设备，尽可能设置在设有隔音功能的临房、临棚内操作，从空间布置上减少噪声污染。</w:t>
      </w:r>
    </w:p>
    <w:p w14:paraId="583BF505">
      <w:pPr>
        <w:pStyle w:val="12"/>
        <w:overflowPunct w:val="0"/>
        <w:topLinePunct/>
        <w:adjustRightInd w:val="0"/>
        <w:spacing w:after="0"/>
        <w:ind w:left="0" w:leftChars="0" w:firstLine="48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③夜间施工按规定办理夜间施工许可与备案手续并向社会公示。夜间施工不准进行</w:t>
      </w:r>
      <w:r>
        <w:rPr>
          <w:rFonts w:hint="eastAsia" w:cs="Times New Roman"/>
          <w:color w:val="auto"/>
          <w:highlight w:val="none"/>
          <w:lang w:eastAsia="zh-CN"/>
        </w:rPr>
        <w:t>锤打</w:t>
      </w:r>
      <w:r>
        <w:rPr>
          <w:rFonts w:hint="default" w:ascii="Times New Roman" w:hAnsi="Times New Roman" w:cs="Times New Roman"/>
          <w:color w:val="auto"/>
          <w:highlight w:val="none"/>
        </w:rPr>
        <w:t>、敲击和锯割等作业。</w:t>
      </w:r>
    </w:p>
    <w:p w14:paraId="5CF5287F">
      <w:pPr>
        <w:pStyle w:val="12"/>
        <w:overflowPunct w:val="0"/>
        <w:topLinePunct/>
        <w:adjustRightInd w:val="0"/>
        <w:spacing w:after="0"/>
        <w:ind w:left="0" w:leftChars="0" w:firstLine="48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④禁止使用国家明令禁止的环境噪声污染严重的设备。</w:t>
      </w:r>
    </w:p>
    <w:p w14:paraId="2D55B396">
      <w:pPr>
        <w:pStyle w:val="12"/>
        <w:overflowPunct w:val="0"/>
        <w:topLinePunct/>
        <w:adjustRightInd w:val="0"/>
        <w:spacing w:after="0"/>
        <w:ind w:left="0" w:leftChars="0" w:firstLine="480"/>
        <w:textAlignment w:val="baseline"/>
        <w:rPr>
          <w:rFonts w:hint="default" w:ascii="Times New Roman" w:hAnsi="Times New Roman" w:cs="Times New Roman"/>
          <w:color w:val="auto"/>
          <w:highlight w:val="none"/>
        </w:rPr>
      </w:pPr>
      <w:bookmarkStart w:id="777" w:name="_Toc18134_WPSOffice_Level3"/>
      <w:r>
        <w:rPr>
          <w:rFonts w:hint="default" w:ascii="Times New Roman" w:hAnsi="Times New Roman" w:cs="Times New Roman"/>
          <w:color w:val="auto"/>
          <w:highlight w:val="none"/>
        </w:rPr>
        <w:t>（2）施工运输车辆交通噪声控制措施</w:t>
      </w:r>
      <w:bookmarkEnd w:id="777"/>
    </w:p>
    <w:p w14:paraId="1E075DFC">
      <w:pPr>
        <w:pStyle w:val="12"/>
        <w:overflowPunct w:val="0"/>
        <w:topLinePunct/>
        <w:adjustRightInd w:val="0"/>
        <w:spacing w:after="0"/>
        <w:ind w:left="0" w:leftChars="0" w:firstLine="48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施工过程中各种运输车辆的运行，还将会引起公路沿线噪声级的增加。根据类比调查，重型车辆怠速行驶时噪声值约为65～80dB（A），正常行驶时约为65～90dB（A），施工期间不可避免对周边环境造成一定的影响。因此，建设方应在通道两侧设置隔声屏障，同时加强对运输车辆的管理，尽量压缩施工区汽车数量和行车密度，设置禁鸣警示牌。</w:t>
      </w:r>
    </w:p>
    <w:p w14:paraId="16DB8F94">
      <w:pPr>
        <w:pStyle w:val="12"/>
        <w:overflowPunct w:val="0"/>
        <w:topLinePunct/>
        <w:adjustRightInd w:val="0"/>
        <w:spacing w:after="0"/>
        <w:ind w:left="0" w:leftChars="0" w:firstLine="480"/>
        <w:textAlignment w:val="baseline"/>
        <w:rPr>
          <w:rFonts w:hint="default" w:ascii="Times New Roman" w:hAnsi="Times New Roman" w:cs="Times New Roman"/>
          <w:color w:val="auto"/>
          <w:highlight w:val="none"/>
        </w:rPr>
      </w:pPr>
      <w:bookmarkStart w:id="778" w:name="_Toc19315_WPSOffice_Level3"/>
      <w:r>
        <w:rPr>
          <w:rFonts w:hint="default" w:ascii="Times New Roman" w:hAnsi="Times New Roman" w:cs="Times New Roman"/>
          <w:color w:val="auto"/>
          <w:highlight w:val="none"/>
        </w:rPr>
        <w:t>（3）土方工程施工噪声控制措施</w:t>
      </w:r>
      <w:bookmarkEnd w:id="778"/>
    </w:p>
    <w:p w14:paraId="1756E70F">
      <w:pPr>
        <w:pStyle w:val="12"/>
        <w:overflowPunct w:val="0"/>
        <w:topLinePunct/>
        <w:adjustRightInd w:val="0"/>
        <w:spacing w:after="0"/>
        <w:ind w:left="0" w:leftChars="0" w:firstLine="480"/>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①挖掘机、推土机、重型运输汽车等产生噪声的施工机械进场必须先试车，确定润滑良好，各紧固件无松动，无不良噪声后方可投入使用，运行过程中应经常检查保养，不准带</w:t>
      </w:r>
      <w:r>
        <w:rPr>
          <w:rFonts w:hint="eastAsia" w:cs="Times New Roman"/>
          <w:color w:val="auto"/>
          <w:highlight w:val="none"/>
          <w:lang w:eastAsia="zh-CN"/>
        </w:rPr>
        <w:t>“</w:t>
      </w:r>
      <w:r>
        <w:rPr>
          <w:rFonts w:hint="default" w:ascii="Times New Roman" w:hAnsi="Times New Roman" w:cs="Times New Roman"/>
          <w:color w:val="auto"/>
          <w:highlight w:val="none"/>
        </w:rPr>
        <w:t>病</w:t>
      </w:r>
      <w:r>
        <w:rPr>
          <w:rFonts w:hint="eastAsia" w:cs="Times New Roman"/>
          <w:color w:val="auto"/>
          <w:highlight w:val="none"/>
          <w:lang w:eastAsia="zh-CN"/>
        </w:rPr>
        <w:t>”</w:t>
      </w:r>
      <w:r>
        <w:rPr>
          <w:rFonts w:hint="default" w:ascii="Times New Roman" w:hAnsi="Times New Roman" w:cs="Times New Roman"/>
          <w:color w:val="auto"/>
          <w:highlight w:val="none"/>
        </w:rPr>
        <w:t>运转；</w:t>
      </w:r>
    </w:p>
    <w:p w14:paraId="64A87E05">
      <w:pPr>
        <w:pStyle w:val="43"/>
        <w:overflowPunct w:val="0"/>
        <w:topLinePunct/>
        <w:spacing w:line="480" w:lineRule="exact"/>
        <w:ind w:firstLine="480"/>
        <w:rPr>
          <w:rFonts w:hint="default" w:ascii="Times New Roman" w:hAnsi="Times New Roman" w:cs="Times New Roman"/>
          <w:color w:val="auto"/>
          <w:kern w:val="0"/>
          <w:szCs w:val="24"/>
          <w:highlight w:val="none"/>
        </w:rPr>
      </w:pPr>
      <w:r>
        <w:rPr>
          <w:rFonts w:hint="default" w:ascii="Times New Roman" w:hAnsi="Times New Roman" w:cs="Times New Roman"/>
          <w:color w:val="auto"/>
          <w:highlight w:val="none"/>
        </w:rPr>
        <w:t>②尽量避免夜间施工</w:t>
      </w:r>
      <w:r>
        <w:rPr>
          <w:rFonts w:hint="default" w:ascii="Times New Roman" w:hAnsi="Times New Roman" w:cs="Times New Roman"/>
          <w:color w:val="auto"/>
          <w:szCs w:val="22"/>
          <w:highlight w:val="none"/>
        </w:rPr>
        <w:t>。</w:t>
      </w:r>
    </w:p>
    <w:p w14:paraId="01A8408C">
      <w:pPr>
        <w:pStyle w:val="4"/>
        <w:rPr>
          <w:rFonts w:hint="default" w:ascii="Times New Roman" w:hAnsi="Times New Roman" w:cs="Times New Roman"/>
          <w:color w:val="auto"/>
          <w:highlight w:val="none"/>
        </w:rPr>
      </w:pPr>
      <w:bookmarkStart w:id="779" w:name="_Toc13140"/>
      <w:bookmarkStart w:id="780" w:name="_Toc31795"/>
      <w:bookmarkStart w:id="781" w:name="_Toc25985"/>
      <w:r>
        <w:rPr>
          <w:rFonts w:hint="default" w:ascii="Times New Roman" w:hAnsi="Times New Roman" w:cs="Times New Roman"/>
          <w:color w:val="auto"/>
          <w:highlight w:val="none"/>
        </w:rPr>
        <w:t>6.1.4固体废物污染防护措施</w:t>
      </w:r>
      <w:bookmarkEnd w:id="779"/>
      <w:bookmarkEnd w:id="780"/>
      <w:bookmarkEnd w:id="781"/>
    </w:p>
    <w:p w14:paraId="018717EF">
      <w:pPr>
        <w:pStyle w:val="12"/>
        <w:overflowPunct w:val="0"/>
        <w:topLinePunct/>
        <w:spacing w:after="0"/>
        <w:ind w:left="0" w:lef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施工时由于工业场地建设平整土地、建设构筑物等过程中会产生一定量的施工弃土、弃渣和设备安装过</w:t>
      </w:r>
      <w:r>
        <w:rPr>
          <w:rFonts w:hint="eastAsia" w:cs="Times New Roman"/>
          <w:color w:val="auto"/>
          <w:highlight w:val="none"/>
          <w:lang w:eastAsia="zh-CN"/>
        </w:rPr>
        <w:t>程中</w:t>
      </w:r>
      <w:r>
        <w:rPr>
          <w:rFonts w:hint="default" w:ascii="Times New Roman" w:hAnsi="Times New Roman" w:cs="Times New Roman"/>
          <w:color w:val="auto"/>
          <w:highlight w:val="none"/>
        </w:rPr>
        <w:t>产生的金属废料等。</w:t>
      </w:r>
    </w:p>
    <w:p w14:paraId="4EA29FA9">
      <w:pPr>
        <w:widowControl/>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金属废料施工后可进行回收，施工所产生的弃土、弃渣应全部用于回填取土坑，平整。</w:t>
      </w:r>
    </w:p>
    <w:p w14:paraId="2F32317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施工区垃圾具有分散、不易收集等特点，对其处理措施有以下几方面：</w:t>
      </w:r>
    </w:p>
    <w:p w14:paraId="626DD1C6">
      <w:pPr>
        <w:overflowPunct w:val="0"/>
        <w:topLinePunct/>
        <w:ind w:firstLine="480"/>
        <w:rPr>
          <w:rFonts w:hint="default" w:ascii="Times New Roman" w:hAnsi="Times New Roman" w:cs="Times New Roman"/>
          <w:color w:val="auto"/>
          <w:highlight w:val="none"/>
        </w:rPr>
      </w:pPr>
      <w:r>
        <w:rPr>
          <w:rStyle w:val="40"/>
          <w:rFonts w:hint="default" w:ascii="Times New Roman" w:hAnsi="Times New Roman" w:cs="Times New Roman"/>
          <w:color w:val="auto"/>
          <w:sz w:val="24"/>
          <w:szCs w:val="24"/>
          <w:highlight w:val="none"/>
        </w:rPr>
        <w:t>（1）</w:t>
      </w:r>
      <w:r>
        <w:rPr>
          <w:rFonts w:hint="default" w:ascii="Times New Roman" w:hAnsi="Times New Roman" w:cs="Times New Roman"/>
          <w:color w:val="auto"/>
          <w:highlight w:val="none"/>
        </w:rPr>
        <w:t>根据施工布置，设置加盖垃圾箱</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个，向广大施工人员</w:t>
      </w:r>
      <w:r>
        <w:rPr>
          <w:rFonts w:hint="eastAsia" w:cs="Times New Roman"/>
          <w:color w:val="auto"/>
          <w:highlight w:val="none"/>
          <w:lang w:eastAsia="zh-CN"/>
        </w:rPr>
        <w:t>做好</w:t>
      </w:r>
      <w:r>
        <w:rPr>
          <w:rFonts w:hint="default" w:ascii="Times New Roman" w:hAnsi="Times New Roman" w:cs="Times New Roman"/>
          <w:color w:val="auto"/>
          <w:highlight w:val="none"/>
        </w:rPr>
        <w:t>卫生宣传工作，使他们养成向垃圾收集站投放垃圾的习惯。</w:t>
      </w:r>
    </w:p>
    <w:p w14:paraId="760BAE6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（2）配设垃圾清运员及相应工具，由专人及时进行垃圾的清运工作。</w:t>
      </w:r>
    </w:p>
    <w:p w14:paraId="356F8B8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（3）做好垃圾收集及处理的规划工作，将清运后的垃圾倒入指定的垃圾处理场中，避免由于垃圾处置不当而造成二次污染。</w:t>
      </w:r>
    </w:p>
    <w:p w14:paraId="32BCF7FB">
      <w:pPr>
        <w:pStyle w:val="43"/>
        <w:overflowPunct w:val="0"/>
        <w:topLinePunct/>
        <w:spacing w:line="480" w:lineRule="exact"/>
        <w:ind w:firstLine="480"/>
        <w:rPr>
          <w:rFonts w:hint="default" w:ascii="Times New Roman" w:hAnsi="Times New Roman" w:cs="Times New Roman"/>
          <w:color w:val="auto"/>
          <w:kern w:val="0"/>
          <w:szCs w:val="24"/>
          <w:highlight w:val="none"/>
        </w:rPr>
      </w:pPr>
      <w:r>
        <w:rPr>
          <w:rFonts w:hint="default" w:ascii="Times New Roman" w:hAnsi="Times New Roman" w:cs="Times New Roman"/>
          <w:color w:val="auto"/>
          <w:szCs w:val="24"/>
          <w:highlight w:val="none"/>
        </w:rPr>
        <w:t>各施工区作业结束后，要及时、全面地进行清场工作，不得</w:t>
      </w:r>
      <w:r>
        <w:rPr>
          <w:rFonts w:hint="eastAsia" w:cs="Times New Roman"/>
          <w:color w:val="auto"/>
          <w:szCs w:val="24"/>
          <w:highlight w:val="none"/>
          <w:lang w:eastAsia="zh-CN"/>
        </w:rPr>
        <w:t>遗留</w:t>
      </w:r>
      <w:r>
        <w:rPr>
          <w:rFonts w:hint="default" w:ascii="Times New Roman" w:hAnsi="Times New Roman" w:cs="Times New Roman"/>
          <w:color w:val="auto"/>
          <w:szCs w:val="24"/>
          <w:highlight w:val="none"/>
        </w:rPr>
        <w:t>垃圾。</w:t>
      </w:r>
    </w:p>
    <w:p w14:paraId="7F070230">
      <w:pPr>
        <w:pStyle w:val="4"/>
        <w:rPr>
          <w:rFonts w:hint="default" w:ascii="Times New Roman" w:hAnsi="Times New Roman" w:cs="Times New Roman"/>
          <w:color w:val="auto"/>
          <w:highlight w:val="none"/>
        </w:rPr>
      </w:pPr>
      <w:bookmarkStart w:id="782" w:name="_Toc29927"/>
      <w:bookmarkStart w:id="783" w:name="_Toc677"/>
      <w:bookmarkStart w:id="784" w:name="_Toc13123"/>
      <w:r>
        <w:rPr>
          <w:rFonts w:hint="default" w:ascii="Times New Roman" w:hAnsi="Times New Roman" w:cs="Times New Roman"/>
          <w:color w:val="auto"/>
          <w:highlight w:val="none"/>
        </w:rPr>
        <w:t>6.1.5生态环境保护措施</w:t>
      </w:r>
      <w:bookmarkEnd w:id="782"/>
      <w:bookmarkEnd w:id="783"/>
      <w:bookmarkEnd w:id="784"/>
    </w:p>
    <w:p w14:paraId="480428D4">
      <w:pPr>
        <w:pStyle w:val="60"/>
        <w:overflowPunct w:val="0"/>
        <w:topLinePunct/>
        <w:spacing w:line="480" w:lineRule="exact"/>
        <w:ind w:firstLine="480"/>
        <w:jc w:val="both"/>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工程</w:t>
      </w:r>
      <w:r>
        <w:rPr>
          <w:rFonts w:hint="default" w:ascii="Times New Roman" w:hAnsi="Times New Roman" w:cs="Times New Roman"/>
          <w:color w:val="auto"/>
          <w:szCs w:val="22"/>
          <w:highlight w:val="none"/>
          <w:lang w:val="zh-TW" w:eastAsia="zh-TW"/>
        </w:rPr>
        <w:t>建设</w:t>
      </w:r>
      <w:r>
        <w:rPr>
          <w:rFonts w:hint="default" w:ascii="Times New Roman" w:hAnsi="Times New Roman" w:cs="Times New Roman"/>
          <w:color w:val="auto"/>
          <w:szCs w:val="22"/>
          <w:highlight w:val="none"/>
        </w:rPr>
        <w:t>期在项目区修筑选矿场、场地道路等建设活动时，永久占地将改变现有的土地利用方式，被</w:t>
      </w:r>
      <w:r>
        <w:rPr>
          <w:rFonts w:hint="eastAsia" w:cs="Times New Roman"/>
          <w:color w:val="auto"/>
          <w:szCs w:val="22"/>
          <w:highlight w:val="none"/>
          <w:lang w:eastAsia="zh-CN"/>
        </w:rPr>
        <w:t>占用</w:t>
      </w:r>
      <w:r>
        <w:rPr>
          <w:rFonts w:hint="default" w:ascii="Times New Roman" w:hAnsi="Times New Roman" w:cs="Times New Roman"/>
          <w:color w:val="auto"/>
          <w:szCs w:val="22"/>
          <w:highlight w:val="none"/>
        </w:rPr>
        <w:t>土地的地表植被破坏，使原自然生态系统所有功能完全损失，对生态系统完整性有一定影响并导致一定程度的水土流失。要求按《非金属矿行业绿色矿山建设规范》（DZ/T0312-2018）的有关要求进行合理规划及建设，尽量减少占地</w:t>
      </w:r>
      <w:r>
        <w:rPr>
          <w:rFonts w:hint="eastAsia" w:cs="Times New Roman"/>
          <w:color w:val="auto"/>
          <w:szCs w:val="22"/>
          <w:highlight w:val="none"/>
          <w:lang w:eastAsia="zh-CN"/>
        </w:rPr>
        <w:t>；在</w:t>
      </w:r>
      <w:r>
        <w:rPr>
          <w:rFonts w:hint="default" w:ascii="Times New Roman" w:hAnsi="Times New Roman" w:cs="Times New Roman"/>
          <w:color w:val="auto"/>
          <w:szCs w:val="22"/>
          <w:highlight w:val="none"/>
        </w:rPr>
        <w:t>项目施工过程中，剥离的表土作为复垦用土；要求加强运输调度管理，禁止任意开辟施工道路，禁止车辆在非工作道路上到处碾压；科学合理地进行施工组织设计，尽量少挖方，少填方，最大限度地保持原有地貌；施工作业结束后，因地制宜地做好施工场地的恢复工作，并采取水土保持措施。主要分为以下几方面：</w:t>
      </w:r>
    </w:p>
    <w:p w14:paraId="2FBEBFFB">
      <w:pPr>
        <w:pStyle w:val="60"/>
        <w:overflowPunct w:val="0"/>
        <w:topLinePunct/>
        <w:spacing w:line="480" w:lineRule="exact"/>
        <w:ind w:firstLine="480"/>
        <w:jc w:val="both"/>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（1）生态环境保护管理</w:t>
      </w:r>
    </w:p>
    <w:p w14:paraId="257C0229">
      <w:pPr>
        <w:pStyle w:val="60"/>
        <w:overflowPunct w:val="0"/>
        <w:topLinePunct/>
        <w:spacing w:line="480" w:lineRule="exact"/>
        <w:ind w:firstLine="480"/>
        <w:jc w:val="both"/>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①设置施工期环境管理、监理机构，明确其职能，落实生态环境影响保护与恢复的监督管理措施。</w:t>
      </w:r>
    </w:p>
    <w:p w14:paraId="31CB4370">
      <w:pPr>
        <w:pStyle w:val="60"/>
        <w:overflowPunct w:val="0"/>
        <w:topLinePunct/>
        <w:spacing w:line="480" w:lineRule="exact"/>
        <w:ind w:firstLine="480"/>
        <w:jc w:val="both"/>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②加强施工人员生态环境保护意识的宣传教育，严禁在施工区域外随意乱砍滥伐树木。</w:t>
      </w:r>
    </w:p>
    <w:p w14:paraId="71DBEDB3">
      <w:pPr>
        <w:pStyle w:val="60"/>
        <w:overflowPunct w:val="0"/>
        <w:topLinePunct/>
        <w:spacing w:line="480" w:lineRule="exact"/>
        <w:ind w:firstLine="480"/>
        <w:jc w:val="both"/>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③按照施工总体布置，严格设置各施工生产、生活营地和施工临时道路。严格限制施工活动范围，禁止施工车辆在规划的道路以外超范围行驶，禁止施工机械碾压非施工区域，减少对土壤和植被的</w:t>
      </w:r>
      <w:r>
        <w:rPr>
          <w:rFonts w:hint="eastAsia" w:cs="Times New Roman"/>
          <w:color w:val="auto"/>
          <w:szCs w:val="22"/>
          <w:highlight w:val="none"/>
          <w:lang w:eastAsia="zh-CN"/>
        </w:rPr>
        <w:t>碾压</w:t>
      </w:r>
      <w:r>
        <w:rPr>
          <w:rFonts w:hint="default" w:ascii="Times New Roman" w:hAnsi="Times New Roman" w:cs="Times New Roman"/>
          <w:color w:val="auto"/>
          <w:szCs w:val="22"/>
          <w:highlight w:val="none"/>
        </w:rPr>
        <w:t>扰动，做到文明施工。</w:t>
      </w:r>
    </w:p>
    <w:p w14:paraId="4C1DFE85">
      <w:pPr>
        <w:pStyle w:val="60"/>
        <w:overflowPunct w:val="0"/>
        <w:topLinePunct/>
        <w:spacing w:line="480" w:lineRule="exact"/>
        <w:ind w:firstLine="480"/>
        <w:jc w:val="both"/>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优化施工范围，</w:t>
      </w:r>
      <w:r>
        <w:rPr>
          <w:rFonts w:hint="eastAsia" w:cs="Times New Roman"/>
          <w:color w:val="auto"/>
          <w:szCs w:val="22"/>
          <w:highlight w:val="none"/>
          <w:lang w:eastAsia="zh-CN"/>
        </w:rPr>
        <w:t>尽量减少</w:t>
      </w:r>
      <w:r>
        <w:rPr>
          <w:rFonts w:hint="default" w:ascii="Times New Roman" w:hAnsi="Times New Roman" w:cs="Times New Roman"/>
          <w:color w:val="auto"/>
          <w:szCs w:val="22"/>
          <w:highlight w:val="none"/>
        </w:rPr>
        <w:t>对区域植被的破坏，同时严格监督施工后的土地平整及植被恢复工作。</w:t>
      </w:r>
    </w:p>
    <w:p w14:paraId="5A9B1212">
      <w:pPr>
        <w:pStyle w:val="60"/>
        <w:overflowPunct w:val="0"/>
        <w:topLinePunct/>
        <w:spacing w:line="480" w:lineRule="exact"/>
        <w:ind w:firstLine="480"/>
        <w:jc w:val="both"/>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（2）土壤环境保护与恢复措施</w:t>
      </w:r>
    </w:p>
    <w:p w14:paraId="6B9546DF">
      <w:pPr>
        <w:pStyle w:val="60"/>
        <w:overflowPunct w:val="0"/>
        <w:topLinePunct/>
        <w:spacing w:line="480" w:lineRule="exact"/>
        <w:ind w:firstLine="480"/>
        <w:jc w:val="both"/>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①充分利用区域内地形地貌，尽可能减少占地面积，减小对土壤、植被的破坏面积；减少挖方、填方量，尽量做到工程自身土石方平衡。施工期应避开雨天与大风天气，减少水土流失量。</w:t>
      </w:r>
    </w:p>
    <w:p w14:paraId="79FE64FB">
      <w:pPr>
        <w:pStyle w:val="60"/>
        <w:overflowPunct w:val="0"/>
        <w:topLinePunct/>
        <w:spacing w:line="480" w:lineRule="exact"/>
        <w:ind w:firstLine="480"/>
        <w:jc w:val="both"/>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②在开挖地表、平整土地时，尽可能将表土、底土和适于植物生长的土壤进行保护堆存，及时堆放在表土临时堆场，作为矿山及各场地绿化覆土。</w:t>
      </w:r>
    </w:p>
    <w:p w14:paraId="2FF9DF40">
      <w:pPr>
        <w:pStyle w:val="60"/>
        <w:overflowPunct w:val="0"/>
        <w:topLinePunct/>
        <w:spacing w:line="480" w:lineRule="exact"/>
        <w:ind w:firstLine="480"/>
        <w:jc w:val="both"/>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③剥离表土的施工应避开雨季，减少水土流失。</w:t>
      </w:r>
    </w:p>
    <w:p w14:paraId="35D7C183">
      <w:pPr>
        <w:pStyle w:val="60"/>
        <w:overflowPunct w:val="0"/>
        <w:topLinePunct/>
        <w:spacing w:line="480" w:lineRule="exact"/>
        <w:ind w:firstLine="480"/>
        <w:jc w:val="both"/>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④剥离的表土采取集中堆放、梯形堆放方式，表土四周采用土袋进行砌护，堆土表面采用密目网进行遮盖；并在旁边立一警示牌，标明属于表土堆存地，若表土堆放时间大于1年，应在表土上播撒草籽，减少土壤养分的流失。</w:t>
      </w:r>
    </w:p>
    <w:p w14:paraId="0C55B585">
      <w:pPr>
        <w:pStyle w:val="60"/>
        <w:overflowPunct w:val="0"/>
        <w:topLinePunct/>
        <w:spacing w:line="480" w:lineRule="exact"/>
        <w:ind w:firstLine="480"/>
        <w:jc w:val="both"/>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⑤施工完毕后应尽快清理施工现场，对可以进行植被恢复的场地覆盖表土，做到及时对场地绿化。</w:t>
      </w:r>
    </w:p>
    <w:p w14:paraId="54CF42E8">
      <w:pPr>
        <w:pStyle w:val="60"/>
        <w:overflowPunct w:val="0"/>
        <w:topLinePunct/>
        <w:spacing w:line="480" w:lineRule="exact"/>
        <w:ind w:firstLine="480"/>
        <w:jc w:val="both"/>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（3）道路工程及管线工程施工生态保护措施</w:t>
      </w:r>
    </w:p>
    <w:p w14:paraId="0B7CAF82">
      <w:pPr>
        <w:pStyle w:val="60"/>
        <w:overflowPunct w:val="0"/>
        <w:topLinePunct/>
        <w:spacing w:line="480" w:lineRule="exact"/>
        <w:ind w:firstLine="480"/>
        <w:jc w:val="both"/>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①道路及管线建设中，选线尽量避开植被茂盛的地段，土壤侵蚀强度大的区域，如滑坡、坡度大、结构松散而且重力作用明显以及冲沟多的地段，一方</w:t>
      </w:r>
      <w:r>
        <w:rPr>
          <w:rFonts w:hint="eastAsia" w:cs="Times New Roman"/>
          <w:color w:val="auto"/>
          <w:szCs w:val="22"/>
          <w:highlight w:val="none"/>
          <w:lang w:eastAsia="zh-CN"/>
        </w:rPr>
        <w:t>面有</w:t>
      </w:r>
      <w:r>
        <w:rPr>
          <w:rFonts w:hint="default" w:ascii="Times New Roman" w:hAnsi="Times New Roman" w:cs="Times New Roman"/>
          <w:color w:val="auto"/>
          <w:szCs w:val="22"/>
          <w:highlight w:val="none"/>
        </w:rPr>
        <w:t>利于施工，再一方面可减少草地的破坏。施工中严格限定施工的工作范围，禁止在施工范围外加设施工营地、施工便道。为保护好的土壤层，弃土堆和便道等临时用地应设置在荒地，还应当将上层草皮和腐殖土层收集堆放起来，堆放在拟</w:t>
      </w:r>
      <w:r>
        <w:rPr>
          <w:rFonts w:hint="default" w:ascii="Times New Roman" w:hAnsi="Times New Roman" w:cs="Times New Roman"/>
          <w:color w:val="auto"/>
          <w:szCs w:val="22"/>
          <w:highlight w:val="none"/>
          <w:lang w:eastAsia="zh-CN"/>
        </w:rPr>
        <w:t>新建</w:t>
      </w:r>
      <w:r>
        <w:rPr>
          <w:rFonts w:hint="default" w:ascii="Times New Roman" w:hAnsi="Times New Roman" w:cs="Times New Roman"/>
          <w:color w:val="auto"/>
          <w:szCs w:val="22"/>
          <w:highlight w:val="none"/>
        </w:rPr>
        <w:t>道路两侧，以便公路建成后及时回填恢复好的土壤环境。</w:t>
      </w:r>
    </w:p>
    <w:p w14:paraId="44532096">
      <w:pPr>
        <w:pStyle w:val="60"/>
        <w:overflowPunct w:val="0"/>
        <w:topLinePunct/>
        <w:spacing w:line="480" w:lineRule="exact"/>
        <w:ind w:firstLine="480"/>
        <w:jc w:val="both"/>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临时征用土地，必须补报。严禁乱挖、乱弃。道路修筑时一定要将开路产生的挖方作为公路另一侧的填方，并事先修好挡土墙后，才能进行填方。在道路内侧修排水沟。路面处理所需砾石为剥离物中的砾石，不设专门料场。</w:t>
      </w:r>
    </w:p>
    <w:p w14:paraId="77247020">
      <w:pPr>
        <w:pStyle w:val="60"/>
        <w:overflowPunct w:val="0"/>
        <w:topLinePunct/>
        <w:spacing w:line="480" w:lineRule="exact"/>
        <w:ind w:firstLine="480"/>
        <w:jc w:val="both"/>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②运输过程中应加强管理：限制超载，限制车速，采取车辆加</w:t>
      </w:r>
      <w:r>
        <w:rPr>
          <w:rFonts w:hint="eastAsia" w:cs="Times New Roman"/>
          <w:color w:val="auto"/>
          <w:szCs w:val="22"/>
          <w:highlight w:val="none"/>
          <w:lang w:eastAsia="zh-CN"/>
        </w:rPr>
        <w:t>篷布</w:t>
      </w:r>
      <w:r>
        <w:rPr>
          <w:rFonts w:hint="default" w:ascii="Times New Roman" w:hAnsi="Times New Roman" w:cs="Times New Roman"/>
          <w:color w:val="auto"/>
          <w:szCs w:val="22"/>
          <w:highlight w:val="none"/>
        </w:rPr>
        <w:t>等措施，避免破坏路面、沿途洒落，减轻扬尘污染。杜绝汽车沿路抛洒，定时在路面上洒水，及时做好</w:t>
      </w:r>
      <w:r>
        <w:rPr>
          <w:rFonts w:hint="default" w:ascii="Times New Roman" w:hAnsi="Times New Roman" w:cs="Times New Roman"/>
          <w:color w:val="auto"/>
          <w:szCs w:val="22"/>
          <w:highlight w:val="none"/>
          <w:lang w:eastAsia="zh-CN"/>
        </w:rPr>
        <w:t>道</w:t>
      </w:r>
      <w:r>
        <w:rPr>
          <w:rFonts w:hint="default" w:ascii="Times New Roman" w:hAnsi="Times New Roman" w:cs="Times New Roman"/>
          <w:color w:val="auto"/>
          <w:szCs w:val="22"/>
          <w:highlight w:val="none"/>
        </w:rPr>
        <w:t>路涵洞、排水设施的清理工作，防止淤积。做好路面的维修保养，对受损路面应及时修复。保持道路良好的运营状态，在有条件的道路两侧种植本土植被，以改善景观生态环境并减缓机动车尾气污染。</w:t>
      </w:r>
    </w:p>
    <w:p w14:paraId="05E980B9">
      <w:pPr>
        <w:pStyle w:val="60"/>
        <w:overflowPunct w:val="0"/>
        <w:topLinePunct/>
        <w:spacing w:line="480" w:lineRule="exact"/>
        <w:ind w:firstLine="480"/>
        <w:jc w:val="both"/>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③在便道出入口竖立保护自然生态环境和保护自然植被的警示牌，以提醒施工作业人员。</w:t>
      </w:r>
    </w:p>
    <w:p w14:paraId="119CB063">
      <w:pPr>
        <w:pStyle w:val="60"/>
        <w:overflowPunct w:val="0"/>
        <w:topLinePunct/>
        <w:spacing w:line="480" w:lineRule="exact"/>
        <w:ind w:firstLine="480"/>
        <w:jc w:val="both"/>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④严禁在大风、大雨天气下施工，特别是路基修筑作业等。</w:t>
      </w:r>
    </w:p>
    <w:p w14:paraId="695258D1">
      <w:pPr>
        <w:pStyle w:val="60"/>
        <w:overflowPunct w:val="0"/>
        <w:topLinePunct/>
        <w:spacing w:line="480" w:lineRule="exact"/>
        <w:ind w:firstLine="480"/>
        <w:jc w:val="both"/>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⑤加强</w:t>
      </w:r>
      <w:r>
        <w:rPr>
          <w:rFonts w:hint="eastAsia" w:cs="Times New Roman"/>
          <w:color w:val="auto"/>
          <w:szCs w:val="22"/>
          <w:highlight w:val="none"/>
          <w:lang w:eastAsia="zh-CN"/>
        </w:rPr>
        <w:t>水土保持</w:t>
      </w:r>
      <w:r>
        <w:rPr>
          <w:rFonts w:hint="default" w:ascii="Times New Roman" w:hAnsi="Times New Roman" w:cs="Times New Roman"/>
          <w:color w:val="auto"/>
          <w:szCs w:val="22"/>
          <w:highlight w:val="none"/>
        </w:rPr>
        <w:t>法制宣传，有关部门应积极主动，加强水土保持执法管理，将其纳入依法办理的轨道上来，对道路施工人员进行培训和教育，自觉保持</w:t>
      </w:r>
      <w:r>
        <w:rPr>
          <w:rFonts w:hint="eastAsia" w:cs="Times New Roman"/>
          <w:color w:val="auto"/>
          <w:szCs w:val="22"/>
          <w:highlight w:val="none"/>
          <w:lang w:eastAsia="zh-CN"/>
        </w:rPr>
        <w:t>水土保持</w:t>
      </w:r>
      <w:r>
        <w:rPr>
          <w:rFonts w:hint="default" w:ascii="Times New Roman" w:hAnsi="Times New Roman" w:cs="Times New Roman"/>
          <w:color w:val="auto"/>
          <w:szCs w:val="22"/>
          <w:highlight w:val="none"/>
        </w:rPr>
        <w:t>植被，宣传保护生态环境的重要性。</w:t>
      </w:r>
    </w:p>
    <w:p w14:paraId="728473CB">
      <w:pPr>
        <w:pStyle w:val="60"/>
        <w:overflowPunct w:val="0"/>
        <w:topLinePunct/>
        <w:spacing w:line="480" w:lineRule="exact"/>
        <w:ind w:firstLine="480"/>
        <w:jc w:val="both"/>
        <w:rPr>
          <w:rFonts w:hint="default" w:ascii="Times New Roman" w:hAnsi="Times New Roman" w:cs="Times New Roman"/>
          <w:color w:val="auto"/>
          <w:szCs w:val="22"/>
          <w:highlight w:val="none"/>
        </w:rPr>
      </w:pPr>
      <w:r>
        <w:rPr>
          <w:rFonts w:hint="default" w:ascii="Times New Roman" w:hAnsi="Times New Roman" w:cs="Times New Roman"/>
          <w:color w:val="auto"/>
          <w:szCs w:val="22"/>
          <w:highlight w:val="none"/>
        </w:rPr>
        <w:t>（4）其他生态措施</w:t>
      </w:r>
    </w:p>
    <w:p w14:paraId="7174BBA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①工程施工前按照相关法律法规的规定办理占用的各项审批手续，编制施工结束后生态恢复的可行性方案，获得相关主管部门批准后方可开始施工。</w:t>
      </w:r>
    </w:p>
    <w:p w14:paraId="4F8D2AAE">
      <w:pPr>
        <w:overflowPunct w:val="0"/>
        <w:topLinePunct/>
        <w:ind w:firstLine="48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②开工前，施工单位对临时设施进行严格的规划，以达到既方便施工，又</w:t>
      </w:r>
      <w:r>
        <w:rPr>
          <w:rFonts w:hint="default" w:ascii="Times New Roman" w:hAnsi="Times New Roman" w:cs="Times New Roman"/>
          <w:color w:val="auto"/>
          <w:highlight w:val="none"/>
          <w:lang w:eastAsia="zh-CN"/>
        </w:rPr>
        <w:t>减</w:t>
      </w:r>
      <w:r>
        <w:rPr>
          <w:rFonts w:hint="default" w:ascii="Times New Roman" w:hAnsi="Times New Roman" w:cs="Times New Roman"/>
          <w:color w:val="auto"/>
          <w:highlight w:val="none"/>
        </w:rPr>
        <w:t>少占</w:t>
      </w:r>
      <w:r>
        <w:rPr>
          <w:rFonts w:hint="default" w:ascii="Times New Roman" w:hAnsi="Times New Roman" w:cs="Times New Roman"/>
          <w:color w:val="auto"/>
          <w:highlight w:val="none"/>
          <w:lang w:eastAsia="zh-CN"/>
        </w:rPr>
        <w:t>地</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临时渣场位于选矿施工场地内，应对渣场进行定期洒水并采取覆盖措施，施工结束时恢复渣场为工业用地，采取硬化及绿化措施恢复渣场地貌。</w:t>
      </w:r>
    </w:p>
    <w:p w14:paraId="7BF1559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③施工过程中，加强施工人员的管理，禁止施工人员对野生植被</w:t>
      </w:r>
      <w:r>
        <w:rPr>
          <w:rFonts w:hint="eastAsia" w:cs="Times New Roman"/>
          <w:color w:val="auto"/>
          <w:highlight w:val="none"/>
          <w:lang w:eastAsia="zh-CN"/>
        </w:rPr>
        <w:t>乱砍滥伐</w:t>
      </w:r>
      <w:r>
        <w:rPr>
          <w:rFonts w:hint="default" w:ascii="Times New Roman" w:hAnsi="Times New Roman" w:cs="Times New Roman"/>
          <w:color w:val="auto"/>
          <w:highlight w:val="none"/>
        </w:rPr>
        <w:t>、乱捕</w:t>
      </w:r>
      <w:r>
        <w:rPr>
          <w:rFonts w:hint="eastAsia" w:cs="Times New Roman"/>
          <w:color w:val="auto"/>
          <w:highlight w:val="none"/>
          <w:lang w:eastAsia="zh-CN"/>
        </w:rPr>
        <w:t>滥</w:t>
      </w:r>
      <w:r>
        <w:rPr>
          <w:rFonts w:hint="default" w:ascii="Times New Roman" w:hAnsi="Times New Roman" w:cs="Times New Roman"/>
          <w:color w:val="auto"/>
          <w:highlight w:val="none"/>
        </w:rPr>
        <w:t>猎野生动物，严格限制人员的活动范围，破坏沿线的生态环境。</w:t>
      </w:r>
    </w:p>
    <w:p w14:paraId="24C4765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④确保施工人员和车辆在规定范围内作业，严禁车辆碾压植被；尽量减少对作业区周围植被的影响。</w:t>
      </w:r>
    </w:p>
    <w:p w14:paraId="6A197A6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⑤要减少夜间作业，避免灯光、噪声对夜间动物活动的惊扰；不准随便破坏动物居住场所，严禁捕捉各种鸟类，划定其在非施工期间的活动范围。</w:t>
      </w:r>
    </w:p>
    <w:p w14:paraId="04DB3E4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⑥尽量缩短施工期，减轻对野生动物的干扰，并使土壤暴露时间缩短，施工结束后，施工单位应负责及时清理现场，使之尽快恢复原状，减少对生态景观的影响。</w:t>
      </w:r>
    </w:p>
    <w:p w14:paraId="0544590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⑦应充分利用现有道路作为施工道路进行施工作业，尽量缩小活动范围，减少对地表的破坏。</w:t>
      </w:r>
    </w:p>
    <w:p w14:paraId="600071D3">
      <w:pPr>
        <w:pStyle w:val="60"/>
        <w:overflowPunct w:val="0"/>
        <w:topLinePunct/>
        <w:spacing w:line="480" w:lineRule="exact"/>
        <w:ind w:firstLine="480"/>
        <w:jc w:val="both"/>
        <w:rPr>
          <w:rFonts w:hint="default" w:ascii="Times New Roman" w:hAnsi="Times New Roman" w:cs="Times New Roman"/>
          <w:color w:val="auto"/>
          <w:szCs w:val="22"/>
          <w:highlight w:val="none"/>
        </w:rPr>
      </w:pPr>
      <w:r>
        <w:rPr>
          <w:rFonts w:hint="default" w:ascii="Times New Roman" w:hAnsi="Times New Roman" w:cs="Times New Roman"/>
          <w:color w:val="auto"/>
          <w:highlight w:val="none"/>
        </w:rPr>
        <w:t>⑧加大培训力度，</w:t>
      </w:r>
      <w:r>
        <w:rPr>
          <w:rFonts w:hint="eastAsia" w:cs="Times New Roman"/>
          <w:color w:val="auto"/>
          <w:highlight w:val="none"/>
          <w:lang w:eastAsia="zh-CN"/>
        </w:rPr>
        <w:t>增强</w:t>
      </w:r>
      <w:r>
        <w:rPr>
          <w:rFonts w:hint="default" w:ascii="Times New Roman" w:hAnsi="Times New Roman" w:cs="Times New Roman"/>
          <w:color w:val="auto"/>
          <w:highlight w:val="none"/>
        </w:rPr>
        <w:t>全员环保意识。要把环境保护培训工作列为重要工作之一。在项目开工前，首先对全体职工进行环境保护有关</w:t>
      </w:r>
      <w:r>
        <w:rPr>
          <w:rFonts w:hint="eastAsia" w:cs="Times New Roman"/>
          <w:color w:val="auto"/>
          <w:highlight w:val="none"/>
          <w:lang w:eastAsia="zh-CN"/>
        </w:rPr>
        <w:t>法律法规</w:t>
      </w:r>
      <w:r>
        <w:rPr>
          <w:rFonts w:hint="default" w:ascii="Times New Roman" w:hAnsi="Times New Roman" w:cs="Times New Roman"/>
          <w:color w:val="auto"/>
          <w:highlight w:val="none"/>
        </w:rPr>
        <w:t>知识的培训；其</w:t>
      </w:r>
      <w:r>
        <w:rPr>
          <w:rFonts w:hint="eastAsia" w:cs="Times New Roman"/>
          <w:color w:val="auto"/>
          <w:highlight w:val="none"/>
          <w:lang w:eastAsia="zh-CN"/>
        </w:rPr>
        <w:t>次是</w:t>
      </w:r>
      <w:r>
        <w:rPr>
          <w:rFonts w:hint="default" w:ascii="Times New Roman" w:hAnsi="Times New Roman" w:cs="Times New Roman"/>
          <w:color w:val="auto"/>
          <w:highlight w:val="none"/>
        </w:rPr>
        <w:t>广大参建职工认真遵守，严格履行好自己的环保职责，确保全员环境保护意识进一步增强。</w:t>
      </w:r>
    </w:p>
    <w:p w14:paraId="3012DB13">
      <w:pPr>
        <w:pStyle w:val="3"/>
        <w:rPr>
          <w:rFonts w:hint="default" w:ascii="Times New Roman" w:hAnsi="Times New Roman" w:cs="Times New Roman"/>
          <w:color w:val="auto"/>
          <w:highlight w:val="none"/>
        </w:rPr>
      </w:pPr>
      <w:bookmarkStart w:id="785" w:name="_Toc4683"/>
      <w:bookmarkStart w:id="786" w:name="_Toc107413903"/>
      <w:bookmarkStart w:id="787" w:name="_Toc9895"/>
      <w:bookmarkStart w:id="788" w:name="_Toc5909"/>
      <w:bookmarkStart w:id="789" w:name="_Toc14375"/>
      <w:bookmarkStart w:id="790" w:name="_Toc26045"/>
      <w:bookmarkStart w:id="791" w:name="_Toc107414670"/>
      <w:r>
        <w:rPr>
          <w:rFonts w:hint="default" w:ascii="Times New Roman" w:hAnsi="Times New Roman" w:cs="Times New Roman"/>
          <w:color w:val="auto"/>
          <w:highlight w:val="none"/>
        </w:rPr>
        <w:t>6.2运营期环境保护措施及其可行性论证</w:t>
      </w:r>
      <w:bookmarkEnd w:id="785"/>
      <w:bookmarkEnd w:id="786"/>
      <w:bookmarkEnd w:id="787"/>
      <w:bookmarkEnd w:id="788"/>
      <w:bookmarkEnd w:id="789"/>
      <w:bookmarkEnd w:id="790"/>
      <w:bookmarkEnd w:id="791"/>
    </w:p>
    <w:p w14:paraId="24FFD95A">
      <w:pPr>
        <w:pStyle w:val="4"/>
        <w:rPr>
          <w:rFonts w:hint="default" w:ascii="Times New Roman" w:hAnsi="Times New Roman" w:cs="Times New Roman"/>
          <w:color w:val="auto"/>
          <w:highlight w:val="none"/>
        </w:rPr>
      </w:pPr>
      <w:bookmarkStart w:id="792" w:name="_Toc4418"/>
      <w:bookmarkStart w:id="793" w:name="_Toc16766"/>
      <w:bookmarkStart w:id="794" w:name="_Toc25926"/>
      <w:r>
        <w:rPr>
          <w:rFonts w:hint="default" w:ascii="Times New Roman" w:hAnsi="Times New Roman" w:cs="Times New Roman"/>
          <w:color w:val="auto"/>
          <w:highlight w:val="none"/>
        </w:rPr>
        <w:t>6.2.1大气污染防治措施</w:t>
      </w:r>
      <w:bookmarkEnd w:id="792"/>
      <w:bookmarkEnd w:id="793"/>
      <w:bookmarkEnd w:id="794"/>
    </w:p>
    <w:p w14:paraId="3230EF6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为了有效地控制颗粒物的排放量，减少其对周围环境的影响，对新增的产尘点采取以防为主的方针，从工艺设计上尽量减少生产中的扬尘产生，对有组织粉尘排放点采用密闭、安装集气罩及除尘器等措施，选矿厂所有产生点均安装收尘设施，</w:t>
      </w:r>
      <w:r>
        <w:rPr>
          <w:rFonts w:hint="default" w:ascii="Times New Roman" w:hAnsi="Times New Roman" w:cs="Times New Roman"/>
          <w:color w:val="auto"/>
          <w:highlight w:val="none"/>
          <w:lang w:val="en-US" w:eastAsia="zh-CN"/>
        </w:rPr>
        <w:t>链条式燃煤锅炉废气采用</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高温</w:t>
      </w:r>
      <w:r>
        <w:rPr>
          <w:rFonts w:hint="default" w:ascii="Times New Roman" w:hAnsi="Times New Roman" w:cs="Times New Roman"/>
          <w:color w:val="auto"/>
          <w:highlight w:val="none"/>
          <w:lang w:eastAsia="zh-CN"/>
        </w:rPr>
        <w:t>袋式除尘</w:t>
      </w:r>
      <w:r>
        <w:rPr>
          <w:rFonts w:hint="default" w:ascii="Times New Roman" w:hAnsi="Times New Roman" w:cs="Times New Roman"/>
          <w:color w:val="auto"/>
          <w:highlight w:val="none"/>
          <w:lang w:val="en-US" w:eastAsia="zh-CN"/>
        </w:rPr>
        <w:t>设施+SNCR脱硝+水膜脱硫除尘</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治理措施。</w:t>
      </w:r>
      <w:r>
        <w:rPr>
          <w:rFonts w:hint="default" w:ascii="Times New Roman" w:hAnsi="Times New Roman" w:cs="Times New Roman"/>
          <w:color w:val="auto"/>
          <w:kern w:val="0"/>
          <w:highlight w:val="none"/>
        </w:rPr>
        <w:t>对无组织粉尘</w:t>
      </w:r>
      <w:r>
        <w:rPr>
          <w:rFonts w:hint="default" w:ascii="Times New Roman" w:hAnsi="Times New Roman" w:cs="Times New Roman"/>
          <w:color w:val="auto"/>
          <w:kern w:val="0"/>
          <w:highlight w:val="none"/>
          <w:lang w:eastAsia="zh-CN"/>
        </w:rPr>
        <w:t>、氟化物</w:t>
      </w:r>
      <w:r>
        <w:rPr>
          <w:rFonts w:hint="default" w:ascii="Times New Roman" w:hAnsi="Times New Roman" w:cs="Times New Roman"/>
          <w:color w:val="auto"/>
          <w:kern w:val="0"/>
          <w:highlight w:val="none"/>
        </w:rPr>
        <w:t>排放源采用密闭式输送、降低物料落差、粉状物料储存采用封闭库以及洒水降尘等措施。</w:t>
      </w:r>
    </w:p>
    <w:p w14:paraId="7E91B5A5">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6.2.1.1有组织粉尘排放污染防治措施及其可行性分析</w:t>
      </w:r>
    </w:p>
    <w:p w14:paraId="0F4D4742">
      <w:pPr>
        <w:overflowPunct w:val="0"/>
        <w:topLinePunct/>
        <w:ind w:firstLine="480"/>
        <w:rPr>
          <w:rFonts w:hint="default" w:ascii="Times New Roman" w:hAnsi="Times New Roman" w:eastAsia="宋体" w:cs="Times New Roman"/>
          <w:color w:val="auto"/>
          <w:highlight w:val="none"/>
          <w:lang w:val="en-US" w:eastAsia="zh-CN"/>
        </w:rPr>
      </w:pPr>
      <w:r>
        <w:rPr>
          <w:rFonts w:hint="eastAsia" w:cs="Times New Roman"/>
          <w:color w:val="auto"/>
          <w:highlight w:val="none"/>
          <w:lang w:eastAsia="zh-CN"/>
        </w:rPr>
        <w:t>（</w:t>
      </w:r>
      <w:r>
        <w:rPr>
          <w:rFonts w:hint="eastAsia" w:cs="Times New Roman"/>
          <w:color w:val="auto"/>
          <w:highlight w:val="none"/>
          <w:lang w:val="en-US" w:eastAsia="zh-CN"/>
        </w:rPr>
        <w:t>1</w:t>
      </w:r>
      <w:r>
        <w:rPr>
          <w:rFonts w:hint="eastAsia" w:cs="Times New Roman"/>
          <w:color w:val="auto"/>
          <w:highlight w:val="none"/>
          <w:lang w:eastAsia="zh-CN"/>
        </w:rPr>
        <w:t>）</w:t>
      </w:r>
      <w:r>
        <w:rPr>
          <w:rFonts w:hint="eastAsia" w:cs="Times New Roman"/>
          <w:color w:val="auto"/>
          <w:highlight w:val="none"/>
          <w:lang w:val="en-US" w:eastAsia="zh-CN"/>
        </w:rPr>
        <w:t>工业粉尘</w:t>
      </w:r>
      <w:r>
        <w:rPr>
          <w:rFonts w:hint="default" w:ascii="Times New Roman" w:hAnsi="Times New Roman" w:cs="Times New Roman"/>
          <w:color w:val="auto"/>
          <w:highlight w:val="none"/>
        </w:rPr>
        <w:t>防治措施及其可行性分析</w:t>
      </w:r>
    </w:p>
    <w:p w14:paraId="2784134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车间在上料工序的落料点设备和破碎设备上方安装集气罩，并配套安装袋式除尘器，车间安装排气筒，变无组织排放为有组织排放。目前袋式除尘技术在我国较成熟，使用广泛，收尘效率可达到99%以上，由于布袋更换容易，因此事故排放时间短，排放量小，影响也较小。为确保对周围生态环境影响降至最低，本次环评要求其布袋除尘效率应达到99%。</w:t>
      </w:r>
    </w:p>
    <w:p w14:paraId="61483DD6">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本项目环评要求为</w:t>
      </w:r>
      <w:r>
        <w:rPr>
          <w:rFonts w:hint="default" w:ascii="Times New Roman" w:hAnsi="Times New Roman" w:cs="Times New Roman"/>
          <w:color w:val="auto"/>
          <w:highlight w:val="none"/>
          <w:lang w:eastAsia="zh-CN"/>
        </w:rPr>
        <w:t>粗</w:t>
      </w:r>
      <w:r>
        <w:rPr>
          <w:rFonts w:hint="eastAsia" w:cs="Times New Roman"/>
          <w:color w:val="auto"/>
          <w:highlight w:val="none"/>
          <w:lang w:val="en-US" w:eastAsia="zh-CN"/>
        </w:rPr>
        <w:t>碎</w:t>
      </w:r>
      <w:r>
        <w:rPr>
          <w:rFonts w:hint="default" w:ascii="Times New Roman" w:hAnsi="Times New Roman" w:cs="Times New Roman"/>
          <w:color w:val="auto"/>
          <w:highlight w:val="none"/>
          <w:lang w:eastAsia="zh-CN"/>
        </w:rPr>
        <w:t>车间、中</w:t>
      </w:r>
      <w:r>
        <w:rPr>
          <w:rFonts w:hint="eastAsia" w:cs="Times New Roman"/>
          <w:color w:val="auto"/>
          <w:highlight w:val="none"/>
          <w:lang w:val="en-US" w:eastAsia="zh-CN"/>
        </w:rPr>
        <w:t>碎</w:t>
      </w:r>
      <w:r>
        <w:rPr>
          <w:rFonts w:hint="default" w:ascii="Times New Roman" w:hAnsi="Times New Roman" w:cs="Times New Roman"/>
          <w:color w:val="auto"/>
          <w:highlight w:val="none"/>
          <w:lang w:eastAsia="zh-CN"/>
        </w:rPr>
        <w:t>车间</w:t>
      </w:r>
      <w:r>
        <w:rPr>
          <w:rFonts w:hint="default" w:ascii="Times New Roman" w:hAnsi="Times New Roman" w:cs="Times New Roman"/>
          <w:color w:val="auto"/>
          <w:kern w:val="0"/>
          <w:highlight w:val="none"/>
        </w:rPr>
        <w:t>均</w:t>
      </w:r>
      <w:r>
        <w:rPr>
          <w:rFonts w:hint="default" w:ascii="Times New Roman" w:hAnsi="Times New Roman" w:cs="Times New Roman"/>
          <w:color w:val="auto"/>
          <w:highlight w:val="none"/>
        </w:rPr>
        <w:t>安装集气罩收集、收集至袋式除尘器处理后的粉尘通过排气筒排放、加强收尘器运行管理等治理措施后，有组织废气污染物排放满足</w:t>
      </w:r>
      <w:r>
        <w:rPr>
          <w:rFonts w:hint="default" w:ascii="Times New Roman" w:hAnsi="Times New Roman" w:eastAsia="宋体" w:cs="Times New Roman"/>
          <w:color w:val="auto"/>
          <w:kern w:val="0"/>
          <w:sz w:val="24"/>
          <w:highlight w:val="none"/>
        </w:rPr>
        <w:t>《大气污染物综合排放标准》（GB16297-1996）</w:t>
      </w:r>
      <w:r>
        <w:rPr>
          <w:rFonts w:hint="default" w:ascii="Times New Roman" w:hAnsi="Times New Roman" w:cs="Times New Roman"/>
          <w:color w:val="auto"/>
          <w:highlight w:val="none"/>
        </w:rPr>
        <w:t>排放标准限值。</w:t>
      </w:r>
    </w:p>
    <w:p w14:paraId="2F9E0A4E">
      <w:pPr>
        <w:overflowPunct w:val="0"/>
        <w:topLinePunct/>
        <w:ind w:firstLine="480"/>
        <w:rPr>
          <w:rFonts w:hint="default" w:ascii="Times New Roman" w:hAnsi="Times New Roman" w:cs="Times New Roman"/>
          <w:b/>
          <w:color w:val="auto"/>
          <w:highlight w:val="none"/>
        </w:rPr>
      </w:pPr>
      <w:r>
        <w:rPr>
          <w:rFonts w:hint="default" w:ascii="Times New Roman" w:hAnsi="Times New Roman" w:cs="Times New Roman"/>
          <w:color w:val="auto"/>
          <w:highlight w:val="none"/>
        </w:rPr>
        <w:t>袋式除尘器是一种干式滤尘装置，适用于捕集细小、干燥、非纤维性粉尘。袋式除尘器的滤袋采用纺织的滤布或非纺织的毡制成，利用纤维织物的过滤作用对含尘气体进行过滤，当含尘气体进入袋式除尘器后，颗粒大、比重大的粉尘，由于重力的作用沉降下来，落入灰斗，含有较细小粉尘的气体在通过滤料时，粉尘被阻留，使气体得到净化。</w:t>
      </w:r>
    </w:p>
    <w:p w14:paraId="29EC75F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袋式除尘器为现行粉尘废气较为常用的废气处理方式，具有以下特点：</w:t>
      </w:r>
    </w:p>
    <w:p w14:paraId="422012D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A、除尘效率高，一般在</w:t>
      </w:r>
      <w:r>
        <w:rPr>
          <w:rFonts w:hint="eastAsia" w:cs="Times New Roman"/>
          <w:color w:val="auto"/>
          <w:highlight w:val="none"/>
          <w:lang w:eastAsia="zh-CN"/>
        </w:rPr>
        <w:t>99%～99.99%</w:t>
      </w:r>
      <w:r>
        <w:rPr>
          <w:rFonts w:hint="default" w:ascii="Times New Roman" w:hAnsi="Times New Roman" w:cs="Times New Roman"/>
          <w:color w:val="auto"/>
          <w:highlight w:val="none"/>
        </w:rPr>
        <w:t>，除尘器出口气体含尘浓度在数10mg/m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之内，对亚微米粒径的细尘有较高的分级效率。</w:t>
      </w:r>
    </w:p>
    <w:p w14:paraId="339F99E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B、处理风量的范围广，小的仅1min数m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，大的可达1min数万m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r>
        <w:rPr>
          <w:rFonts w:hint="eastAsia" w:cs="Times New Roman"/>
          <w:color w:val="auto"/>
          <w:highlight w:val="none"/>
          <w:lang w:eastAsia="zh-CN"/>
        </w:rPr>
        <w:t>即可</w:t>
      </w:r>
      <w:r>
        <w:rPr>
          <w:rFonts w:hint="default" w:ascii="Times New Roman" w:hAnsi="Times New Roman" w:cs="Times New Roman"/>
          <w:color w:val="auto"/>
          <w:highlight w:val="none"/>
        </w:rPr>
        <w:t>用于工业炉窑的烟气除尘，减少大气污染物的排放。</w:t>
      </w:r>
    </w:p>
    <w:p w14:paraId="0DABDD9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C、结构简单，维护操作方便。</w:t>
      </w:r>
    </w:p>
    <w:p w14:paraId="1E9DB014">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D、在保证同样高除尘效率的前提下，造价低于电除尘器。</w:t>
      </w:r>
    </w:p>
    <w:p w14:paraId="51420D0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E、采用玻璃纤维、聚四氟乙烯、P84等耐高温滤料时，可在200℃以上的高温条件下运行。</w:t>
      </w:r>
    </w:p>
    <w:p w14:paraId="01BFA4E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F、对粉尘的特性不敏感，不受粉尘比电阻的影响。</w:t>
      </w:r>
    </w:p>
    <w:p w14:paraId="2E7F89B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此外，在非正常工况下，若破碎除尘系统故障，除尘效率将下降到</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rPr>
        <w:t>，粉尘排放浓度占标率</w:t>
      </w:r>
      <w:r>
        <w:rPr>
          <w:rFonts w:hint="default" w:ascii="Times New Roman" w:hAnsi="Times New Roman" w:cs="Times New Roman"/>
          <w:color w:val="auto"/>
          <w:highlight w:val="none"/>
          <w:lang w:eastAsia="zh-CN"/>
        </w:rPr>
        <w:t>较大</w:t>
      </w:r>
      <w:r>
        <w:rPr>
          <w:rFonts w:hint="default" w:ascii="Times New Roman" w:hAnsi="Times New Roman" w:cs="Times New Roman"/>
          <w:color w:val="auto"/>
          <w:highlight w:val="none"/>
        </w:rPr>
        <w:t>，此工况下粉尘对区域大气环境影响较大。因此，本次评价针对非正常工况粉尘排放提出如下防治措施：</w:t>
      </w:r>
    </w:p>
    <w:p w14:paraId="55FAF81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①破碎</w:t>
      </w:r>
      <w:r>
        <w:rPr>
          <w:rFonts w:hint="eastAsia" w:cs="Times New Roman"/>
          <w:color w:val="auto"/>
          <w:highlight w:val="none"/>
          <w:lang w:val="en-US" w:eastAsia="zh-CN"/>
        </w:rPr>
        <w:t>线</w:t>
      </w:r>
      <w:r>
        <w:rPr>
          <w:rFonts w:hint="default" w:ascii="Times New Roman" w:hAnsi="Times New Roman" w:cs="Times New Roman"/>
          <w:color w:val="auto"/>
          <w:highlight w:val="none"/>
        </w:rPr>
        <w:t>除尘系统故障或检修时，对应的破碎筛分工艺设备应停止运行，待检修完毕后同步投入使用。</w:t>
      </w:r>
    </w:p>
    <w:p w14:paraId="2A4C68B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②加强对生产设施和除尘系统的保养、检修，防止大气污染事故的发生。</w:t>
      </w:r>
    </w:p>
    <w:p w14:paraId="6E25EAF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为防止布袋除尘器的布袋破损，企业须定期关注布袋损伤程度，及时更换布袋。</w:t>
      </w:r>
    </w:p>
    <w:p w14:paraId="3A120C8E">
      <w:pPr>
        <w:overflowPunct w:val="0"/>
        <w:topLinePunct/>
        <w:ind w:firstLine="480"/>
        <w:rPr>
          <w:rFonts w:hint="default" w:ascii="Times New Roman" w:hAnsi="Times New Roman" w:eastAsia="宋体" w:cs="Times New Roman"/>
          <w:color w:val="auto"/>
          <w:highlight w:val="none"/>
          <w:lang w:val="en-US" w:eastAsia="zh-CN"/>
        </w:rPr>
      </w:pPr>
      <w:r>
        <w:rPr>
          <w:rFonts w:hint="eastAsia" w:cs="Times New Roman"/>
          <w:color w:val="auto"/>
          <w:highlight w:val="none"/>
          <w:lang w:eastAsia="zh-CN"/>
        </w:rPr>
        <w:t>（</w:t>
      </w:r>
      <w:r>
        <w:rPr>
          <w:rFonts w:hint="eastAsia" w:cs="Times New Roman"/>
          <w:color w:val="auto"/>
          <w:highlight w:val="none"/>
          <w:lang w:val="en-US" w:eastAsia="zh-CN"/>
        </w:rPr>
        <w:t>2</w:t>
      </w:r>
      <w:r>
        <w:rPr>
          <w:rFonts w:hint="eastAsia" w:cs="Times New Roman"/>
          <w:color w:val="auto"/>
          <w:highlight w:val="none"/>
          <w:lang w:eastAsia="zh-CN"/>
        </w:rPr>
        <w:t>）</w:t>
      </w:r>
      <w:r>
        <w:rPr>
          <w:rFonts w:hint="eastAsia" w:cs="Times New Roman"/>
          <w:color w:val="auto"/>
          <w:highlight w:val="none"/>
          <w:lang w:val="en-US" w:eastAsia="zh-CN"/>
        </w:rPr>
        <w:t>锅炉燃烧废气</w:t>
      </w:r>
      <w:r>
        <w:rPr>
          <w:rFonts w:hint="default" w:ascii="Times New Roman" w:hAnsi="Times New Roman" w:cs="Times New Roman"/>
          <w:color w:val="auto"/>
          <w:highlight w:val="none"/>
        </w:rPr>
        <w:t>防治措施及其可行性分析</w:t>
      </w:r>
    </w:p>
    <w:p w14:paraId="124FCC00">
      <w:pPr>
        <w:overflowPunct w:val="0"/>
        <w:topLinePunct/>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本项目链条式燃煤锅炉废气采用</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高温</w:t>
      </w:r>
      <w:r>
        <w:rPr>
          <w:rFonts w:hint="default" w:ascii="Times New Roman" w:hAnsi="Times New Roman" w:cs="Times New Roman"/>
          <w:color w:val="auto"/>
          <w:highlight w:val="none"/>
          <w:lang w:eastAsia="zh-CN"/>
        </w:rPr>
        <w:t>袋式除尘</w:t>
      </w:r>
      <w:r>
        <w:rPr>
          <w:rFonts w:hint="default" w:ascii="Times New Roman" w:hAnsi="Times New Roman" w:cs="Times New Roman"/>
          <w:color w:val="auto"/>
          <w:highlight w:val="none"/>
          <w:lang w:val="en-US" w:eastAsia="zh-CN"/>
        </w:rPr>
        <w:t>设施+SNCR脱硝+水膜脱硫除尘</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治理措施。</w:t>
      </w:r>
    </w:p>
    <w:p w14:paraId="0AE8AC21">
      <w:pPr>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根据《排污许可证申请与核发技术规范锅炉》（HJ953-2018）、《工业锅炉污染防治可行技术指南》（HJ1178-2021），</w:t>
      </w:r>
      <w:r>
        <w:rPr>
          <w:rFonts w:hint="eastAsia" w:ascii="Times New Roman" w:hAnsi="Times New Roman" w:eastAsia="宋体" w:cs="Times New Roman"/>
          <w:color w:val="auto"/>
          <w:highlight w:val="none"/>
          <w:lang w:val="en-US" w:eastAsia="zh-CN"/>
        </w:rPr>
        <w:t>布袋除尘、</w:t>
      </w:r>
      <w:r>
        <w:rPr>
          <w:rFonts w:hint="default" w:ascii="Times New Roman" w:hAnsi="Times New Roman" w:cs="Times New Roman"/>
          <w:color w:val="auto"/>
          <w:highlight w:val="none"/>
          <w:lang w:val="en-US" w:eastAsia="zh-CN"/>
        </w:rPr>
        <w:t>SNCR脱硝</w:t>
      </w:r>
      <w:r>
        <w:rPr>
          <w:rFonts w:hint="eastAsia" w:cs="Times New Roman"/>
          <w:color w:val="auto"/>
          <w:highlight w:val="none"/>
          <w:lang w:val="en-US" w:eastAsia="zh-CN"/>
        </w:rPr>
        <w:t>及</w:t>
      </w:r>
      <w:r>
        <w:rPr>
          <w:rFonts w:hint="default" w:ascii="Times New Roman" w:hAnsi="Times New Roman" w:cs="Times New Roman"/>
          <w:color w:val="auto"/>
          <w:highlight w:val="none"/>
          <w:lang w:val="en-US" w:eastAsia="zh-CN"/>
        </w:rPr>
        <w:t>水膜脱硫除尘</w:t>
      </w:r>
      <w:r>
        <w:rPr>
          <w:rFonts w:hint="eastAsia" w:cs="Times New Roman"/>
          <w:color w:val="auto"/>
          <w:highlight w:val="none"/>
          <w:lang w:val="en-US" w:eastAsia="zh-CN"/>
        </w:rPr>
        <w:t>（</w:t>
      </w:r>
      <w:r>
        <w:rPr>
          <w:rFonts w:hint="default" w:ascii="Times New Roman" w:hAnsi="Times New Roman" w:eastAsia="宋体" w:cs="Times New Roman"/>
          <w:color w:val="auto"/>
          <w:sz w:val="24"/>
          <w:szCs w:val="24"/>
          <w:highlight w:val="none"/>
          <w:lang w:val="en-US" w:eastAsia="zh-CN"/>
        </w:rPr>
        <w:t>石灰石/石灰-石膏湿法脱硫</w:t>
      </w:r>
      <w:r>
        <w:rPr>
          <w:rFonts w:hint="eastAsia" w:cs="Times New Roman"/>
          <w:color w:val="auto"/>
          <w:highlight w:val="none"/>
          <w:lang w:val="en-US" w:eastAsia="zh-CN"/>
        </w:rPr>
        <w:t>）均</w:t>
      </w:r>
      <w:r>
        <w:rPr>
          <w:rFonts w:hint="default" w:ascii="Times New Roman" w:hAnsi="Times New Roman" w:eastAsia="宋体" w:cs="Times New Roman"/>
          <w:color w:val="auto"/>
          <w:highlight w:val="none"/>
          <w:lang w:val="en-US" w:eastAsia="zh-CN"/>
        </w:rPr>
        <w:t>属于《排污许可证申请与核发技术规范锅炉》（HJ953-2018）、《工业锅炉污染防治可行技术指南》（HJ1178-2021）中可行技术。</w:t>
      </w:r>
    </w:p>
    <w:p w14:paraId="7D769915">
      <w:pPr>
        <w:ind w:firstLine="0" w:firstLineChars="0"/>
        <w:jc w:val="center"/>
        <w:rPr>
          <w:b/>
          <w:color w:val="auto"/>
          <w:highlight w:val="none"/>
        </w:rPr>
      </w:pPr>
      <w:r>
        <w:rPr>
          <w:b/>
          <w:color w:val="auto"/>
          <w:highlight w:val="none"/>
        </w:rPr>
        <w:t>表6.2-</w:t>
      </w:r>
      <w:r>
        <w:rPr>
          <w:rFonts w:hint="eastAsia"/>
          <w:b/>
          <w:color w:val="auto"/>
          <w:highlight w:val="none"/>
          <w:lang w:eastAsia="zh-CN"/>
        </w:rPr>
        <w:t>1</w:t>
      </w:r>
      <w:r>
        <w:rPr>
          <w:rFonts w:hint="eastAsia"/>
          <w:b/>
          <w:color w:val="auto"/>
          <w:highlight w:val="none"/>
          <w:lang w:val="en-US" w:eastAsia="zh-CN"/>
        </w:rPr>
        <w:t xml:space="preserve">    </w:t>
      </w:r>
      <w:r>
        <w:rPr>
          <w:b/>
          <w:color w:val="auto"/>
          <w:highlight w:val="none"/>
        </w:rPr>
        <w:t>燃煤锅炉废气污染防治可行性技术参考表</w:t>
      </w:r>
    </w:p>
    <w:tbl>
      <w:tblPr>
        <w:tblStyle w:val="33"/>
        <w:tblW w:w="841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18"/>
        <w:gridCol w:w="1347"/>
        <w:gridCol w:w="1290"/>
        <w:gridCol w:w="4658"/>
      </w:tblGrid>
      <w:tr w14:paraId="67C03E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blHeader/>
          <w:jc w:val="center"/>
        </w:trPr>
        <w:tc>
          <w:tcPr>
            <w:tcW w:w="1118" w:type="dxa"/>
            <w:tcBorders>
              <w:tl2br w:val="nil"/>
              <w:tr2bl w:val="nil"/>
            </w:tcBorders>
            <w:vAlign w:val="center"/>
          </w:tcPr>
          <w:p w14:paraId="0F713E67">
            <w:pPr>
              <w:pStyle w:val="54"/>
              <w:spacing w:after="0" w:line="360" w:lineRule="exact"/>
              <w:ind w:firstLine="0" w:firstLineChars="0"/>
              <w:rPr>
                <w:rFonts w:hint="default" w:ascii="Times New Roman" w:hAnsi="Times New Roman" w:eastAsia="宋体" w:cs="Times New Roman"/>
                <w:b/>
                <w:bCs w:val="0"/>
                <w:color w:val="auto"/>
                <w:sz w:val="21"/>
                <w:highlight w:val="none"/>
              </w:rPr>
            </w:pPr>
            <w:r>
              <w:rPr>
                <w:rFonts w:hint="default" w:ascii="Times New Roman" w:hAnsi="Times New Roman" w:eastAsia="宋体" w:cs="Times New Roman"/>
                <w:b/>
                <w:bCs w:val="0"/>
                <w:color w:val="auto"/>
                <w:sz w:val="21"/>
                <w:highlight w:val="none"/>
              </w:rPr>
              <w:t>燃料类型</w:t>
            </w:r>
          </w:p>
        </w:tc>
        <w:tc>
          <w:tcPr>
            <w:tcW w:w="1347" w:type="dxa"/>
            <w:tcBorders>
              <w:tl2br w:val="nil"/>
              <w:tr2bl w:val="nil"/>
            </w:tcBorders>
            <w:vAlign w:val="center"/>
          </w:tcPr>
          <w:p w14:paraId="615AAD76">
            <w:pPr>
              <w:pStyle w:val="54"/>
              <w:spacing w:after="0" w:line="360" w:lineRule="exact"/>
              <w:ind w:firstLine="0" w:firstLineChars="0"/>
              <w:rPr>
                <w:rFonts w:hint="default" w:ascii="Times New Roman" w:hAnsi="Times New Roman" w:eastAsia="宋体" w:cs="Times New Roman"/>
                <w:b/>
                <w:bCs w:val="0"/>
                <w:color w:val="auto"/>
                <w:sz w:val="21"/>
                <w:highlight w:val="none"/>
              </w:rPr>
            </w:pPr>
            <w:r>
              <w:rPr>
                <w:rFonts w:hint="default" w:ascii="Times New Roman" w:hAnsi="Times New Roman" w:eastAsia="宋体" w:cs="Times New Roman"/>
                <w:b/>
                <w:bCs w:val="0"/>
                <w:color w:val="auto"/>
                <w:sz w:val="21"/>
                <w:highlight w:val="none"/>
              </w:rPr>
              <w:t>炉型</w:t>
            </w:r>
          </w:p>
        </w:tc>
        <w:tc>
          <w:tcPr>
            <w:tcW w:w="1290" w:type="dxa"/>
            <w:tcBorders>
              <w:tl2br w:val="nil"/>
              <w:tr2bl w:val="nil"/>
            </w:tcBorders>
            <w:vAlign w:val="center"/>
          </w:tcPr>
          <w:p w14:paraId="5E396048">
            <w:pPr>
              <w:pStyle w:val="54"/>
              <w:spacing w:after="0" w:line="360" w:lineRule="exact"/>
              <w:ind w:firstLine="0" w:firstLineChars="0"/>
              <w:rPr>
                <w:rFonts w:hint="default" w:ascii="Times New Roman" w:hAnsi="Times New Roman" w:eastAsia="宋体" w:cs="Times New Roman"/>
                <w:b/>
                <w:bCs w:val="0"/>
                <w:color w:val="auto"/>
                <w:sz w:val="21"/>
                <w:highlight w:val="none"/>
              </w:rPr>
            </w:pPr>
            <w:r>
              <w:rPr>
                <w:rFonts w:hint="default" w:ascii="Times New Roman" w:hAnsi="Times New Roman" w:eastAsia="宋体" w:cs="Times New Roman"/>
                <w:b/>
                <w:bCs w:val="0"/>
                <w:color w:val="auto"/>
                <w:sz w:val="21"/>
                <w:highlight w:val="none"/>
              </w:rPr>
              <w:t>主要污染物</w:t>
            </w:r>
          </w:p>
        </w:tc>
        <w:tc>
          <w:tcPr>
            <w:tcW w:w="4658" w:type="dxa"/>
            <w:tcBorders>
              <w:tl2br w:val="nil"/>
              <w:tr2bl w:val="nil"/>
            </w:tcBorders>
            <w:vAlign w:val="center"/>
          </w:tcPr>
          <w:p w14:paraId="597C568F">
            <w:pPr>
              <w:pStyle w:val="54"/>
              <w:spacing w:after="0" w:line="360" w:lineRule="exact"/>
              <w:ind w:firstLine="0" w:firstLineChars="0"/>
              <w:rPr>
                <w:rFonts w:hint="default" w:ascii="Times New Roman" w:hAnsi="Times New Roman" w:eastAsia="宋体" w:cs="Times New Roman"/>
                <w:b/>
                <w:bCs w:val="0"/>
                <w:color w:val="auto"/>
                <w:sz w:val="21"/>
                <w:highlight w:val="none"/>
              </w:rPr>
            </w:pPr>
            <w:r>
              <w:rPr>
                <w:rFonts w:hint="default" w:ascii="Times New Roman" w:hAnsi="Times New Roman" w:eastAsia="宋体" w:cs="Times New Roman"/>
                <w:b/>
                <w:bCs w:val="0"/>
                <w:color w:val="auto"/>
                <w:sz w:val="21"/>
                <w:highlight w:val="none"/>
              </w:rPr>
              <w:t>可行技术</w:t>
            </w:r>
          </w:p>
        </w:tc>
      </w:tr>
      <w:tr w14:paraId="2A290E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8413" w:type="dxa"/>
            <w:gridSpan w:val="4"/>
            <w:tcBorders>
              <w:tl2br w:val="nil"/>
              <w:tr2bl w:val="nil"/>
            </w:tcBorders>
            <w:vAlign w:val="center"/>
          </w:tcPr>
          <w:p w14:paraId="2E6A8D9F">
            <w:pPr>
              <w:pStyle w:val="54"/>
              <w:spacing w:after="0" w:line="360" w:lineRule="exact"/>
              <w:ind w:firstLine="0" w:firstLineChars="0"/>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HJ953-2018可行技术</w:t>
            </w:r>
          </w:p>
        </w:tc>
      </w:tr>
      <w:tr w14:paraId="3D3493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18" w:type="dxa"/>
            <w:vMerge w:val="restart"/>
            <w:tcBorders>
              <w:tl2br w:val="nil"/>
              <w:tr2bl w:val="nil"/>
            </w:tcBorders>
            <w:vAlign w:val="center"/>
          </w:tcPr>
          <w:p w14:paraId="61ADC2F5">
            <w:pPr>
              <w:pStyle w:val="54"/>
              <w:spacing w:after="0" w:line="360" w:lineRule="exact"/>
              <w:ind w:firstLine="0" w:firstLineChars="0"/>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燃煤</w:t>
            </w:r>
          </w:p>
        </w:tc>
        <w:tc>
          <w:tcPr>
            <w:tcW w:w="1347" w:type="dxa"/>
            <w:vMerge w:val="restart"/>
            <w:tcBorders>
              <w:tl2br w:val="nil"/>
              <w:tr2bl w:val="nil"/>
            </w:tcBorders>
            <w:vAlign w:val="center"/>
          </w:tcPr>
          <w:p w14:paraId="4C3AFFBC">
            <w:pPr>
              <w:pStyle w:val="54"/>
              <w:spacing w:after="0" w:line="360" w:lineRule="exact"/>
              <w:ind w:firstLine="0" w:firstLineChars="0"/>
              <w:rPr>
                <w:rFonts w:hint="default" w:ascii="Times New Roman" w:hAnsi="Times New Roman" w:eastAsia="宋体" w:cs="Times New Roman"/>
                <w:b w:val="0"/>
                <w:bCs/>
                <w:color w:val="auto"/>
                <w:sz w:val="21"/>
                <w:highlight w:val="none"/>
                <w:lang w:eastAsia="zh-CN"/>
              </w:rPr>
            </w:pPr>
            <w:r>
              <w:rPr>
                <w:rFonts w:hint="default" w:ascii="Times New Roman" w:hAnsi="Times New Roman" w:eastAsia="宋体" w:cs="Times New Roman"/>
                <w:b w:val="0"/>
                <w:bCs/>
                <w:color w:val="auto"/>
                <w:sz w:val="21"/>
                <w:highlight w:val="none"/>
                <w:lang w:eastAsia="zh-CN"/>
              </w:rPr>
              <w:t>层燃炉、流化床炉、室燃炉</w:t>
            </w:r>
          </w:p>
        </w:tc>
        <w:tc>
          <w:tcPr>
            <w:tcW w:w="1290" w:type="dxa"/>
            <w:tcBorders>
              <w:tl2br w:val="nil"/>
              <w:tr2bl w:val="nil"/>
            </w:tcBorders>
            <w:vAlign w:val="center"/>
          </w:tcPr>
          <w:p w14:paraId="5C4747D1">
            <w:pPr>
              <w:pStyle w:val="54"/>
              <w:spacing w:after="0" w:line="360" w:lineRule="exact"/>
              <w:ind w:firstLine="0" w:firstLineChars="0"/>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二氧化硫</w:t>
            </w:r>
          </w:p>
        </w:tc>
        <w:tc>
          <w:tcPr>
            <w:tcW w:w="4658" w:type="dxa"/>
            <w:tcBorders>
              <w:tl2br w:val="nil"/>
              <w:tr2bl w:val="nil"/>
            </w:tcBorders>
            <w:vAlign w:val="center"/>
          </w:tcPr>
          <w:p w14:paraId="4FBD8058">
            <w:pPr>
              <w:pStyle w:val="54"/>
              <w:spacing w:after="0" w:line="360" w:lineRule="exact"/>
              <w:ind w:firstLine="0" w:firstLineChars="0"/>
              <w:rPr>
                <w:rFonts w:hint="default" w:ascii="Times New Roman" w:hAnsi="Times New Roman" w:eastAsia="宋体" w:cs="Times New Roman"/>
                <w:b w:val="0"/>
                <w:bCs/>
                <w:color w:val="auto"/>
                <w:sz w:val="21"/>
                <w:highlight w:val="none"/>
                <w:lang w:eastAsia="zh-CN"/>
              </w:rPr>
            </w:pPr>
            <w:r>
              <w:rPr>
                <w:rFonts w:hint="default" w:ascii="Times New Roman" w:hAnsi="Times New Roman" w:eastAsia="宋体" w:cs="Times New Roman"/>
                <w:b w:val="0"/>
                <w:bCs/>
                <w:color w:val="auto"/>
                <w:sz w:val="21"/>
                <w:highlight w:val="none"/>
                <w:lang w:eastAsia="zh-CN"/>
              </w:rPr>
              <w:t>燃用低硫煤+干法/半干法脱硫技术、燃用低硫煤+</w:t>
            </w:r>
          </w:p>
          <w:p w14:paraId="2A4FE514">
            <w:pPr>
              <w:pStyle w:val="54"/>
              <w:spacing w:after="0" w:line="360" w:lineRule="exact"/>
              <w:ind w:firstLine="0" w:firstLineChars="0"/>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湿法脱硫技术</w:t>
            </w:r>
          </w:p>
        </w:tc>
      </w:tr>
      <w:tr w14:paraId="38F035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18" w:type="dxa"/>
            <w:vMerge w:val="continue"/>
            <w:tcBorders>
              <w:tl2br w:val="nil"/>
              <w:tr2bl w:val="nil"/>
            </w:tcBorders>
            <w:vAlign w:val="center"/>
          </w:tcPr>
          <w:p w14:paraId="7E05FC9B">
            <w:pPr>
              <w:pStyle w:val="54"/>
              <w:spacing w:after="0" w:line="360" w:lineRule="exact"/>
              <w:ind w:firstLine="0" w:firstLineChars="0"/>
              <w:rPr>
                <w:rFonts w:hint="default" w:ascii="Times New Roman" w:hAnsi="Times New Roman" w:eastAsia="宋体" w:cs="Times New Roman"/>
                <w:b w:val="0"/>
                <w:bCs/>
                <w:color w:val="auto"/>
                <w:sz w:val="21"/>
                <w:highlight w:val="none"/>
              </w:rPr>
            </w:pPr>
          </w:p>
        </w:tc>
        <w:tc>
          <w:tcPr>
            <w:tcW w:w="1347" w:type="dxa"/>
            <w:vMerge w:val="continue"/>
            <w:tcBorders>
              <w:tl2br w:val="nil"/>
              <w:tr2bl w:val="nil"/>
            </w:tcBorders>
            <w:vAlign w:val="center"/>
          </w:tcPr>
          <w:p w14:paraId="434C4DBE">
            <w:pPr>
              <w:pStyle w:val="54"/>
              <w:spacing w:after="0" w:line="360" w:lineRule="exact"/>
              <w:ind w:firstLine="0" w:firstLineChars="0"/>
              <w:rPr>
                <w:rFonts w:hint="default" w:ascii="Times New Roman" w:hAnsi="Times New Roman" w:eastAsia="宋体" w:cs="Times New Roman"/>
                <w:b w:val="0"/>
                <w:bCs/>
                <w:color w:val="auto"/>
                <w:sz w:val="21"/>
                <w:highlight w:val="none"/>
              </w:rPr>
            </w:pPr>
          </w:p>
        </w:tc>
        <w:tc>
          <w:tcPr>
            <w:tcW w:w="1290" w:type="dxa"/>
            <w:tcBorders>
              <w:tl2br w:val="nil"/>
              <w:tr2bl w:val="nil"/>
            </w:tcBorders>
            <w:vAlign w:val="center"/>
          </w:tcPr>
          <w:p w14:paraId="28CA5BAB">
            <w:pPr>
              <w:pStyle w:val="54"/>
              <w:spacing w:after="0" w:line="360" w:lineRule="exact"/>
              <w:ind w:firstLine="0" w:firstLineChars="0"/>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氮氧化物</w:t>
            </w:r>
          </w:p>
        </w:tc>
        <w:tc>
          <w:tcPr>
            <w:tcW w:w="4658" w:type="dxa"/>
            <w:tcBorders>
              <w:tl2br w:val="nil"/>
              <w:tr2bl w:val="nil"/>
            </w:tcBorders>
            <w:vAlign w:val="center"/>
          </w:tcPr>
          <w:p w14:paraId="5EF0425C">
            <w:pPr>
              <w:pStyle w:val="54"/>
              <w:spacing w:after="0" w:line="360" w:lineRule="exact"/>
              <w:ind w:firstLine="0" w:firstLineChars="0"/>
              <w:rPr>
                <w:rFonts w:hint="default" w:ascii="Times New Roman" w:hAnsi="Times New Roman" w:eastAsia="宋体" w:cs="Times New Roman"/>
                <w:b w:val="0"/>
                <w:bCs/>
                <w:color w:val="auto"/>
                <w:sz w:val="21"/>
                <w:highlight w:val="none"/>
                <w:lang w:eastAsia="zh-CN"/>
              </w:rPr>
            </w:pPr>
            <w:r>
              <w:rPr>
                <w:rFonts w:hint="default" w:ascii="Times New Roman" w:hAnsi="Times New Roman" w:eastAsia="宋体" w:cs="Times New Roman"/>
                <w:b w:val="0"/>
                <w:bCs/>
                <w:color w:val="auto"/>
                <w:sz w:val="21"/>
                <w:highlight w:val="none"/>
                <w:lang w:eastAsia="zh-CN"/>
              </w:rPr>
              <w:t>低氮燃烧+SNCR脱硝技术、低氮燃烧技术+SCR脱硝技术、低氮燃烧+（SNCR+SCR联合）脱硝技术、SNCR脱硝技术、SCR脱硝技术、SNCR+SCR联合脱硝技术</w:t>
            </w:r>
          </w:p>
        </w:tc>
      </w:tr>
      <w:tr w14:paraId="38C64C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18" w:type="dxa"/>
            <w:vMerge w:val="continue"/>
            <w:tcBorders>
              <w:tl2br w:val="nil"/>
              <w:tr2bl w:val="nil"/>
            </w:tcBorders>
            <w:vAlign w:val="center"/>
          </w:tcPr>
          <w:p w14:paraId="31D5BC70">
            <w:pPr>
              <w:pStyle w:val="54"/>
              <w:spacing w:after="0" w:line="360" w:lineRule="exact"/>
              <w:ind w:firstLine="0" w:firstLineChars="0"/>
              <w:rPr>
                <w:rFonts w:hint="default" w:ascii="Times New Roman" w:hAnsi="Times New Roman" w:eastAsia="宋体" w:cs="Times New Roman"/>
                <w:b w:val="0"/>
                <w:bCs/>
                <w:color w:val="auto"/>
                <w:sz w:val="21"/>
                <w:highlight w:val="none"/>
                <w:lang w:eastAsia="zh-CN"/>
              </w:rPr>
            </w:pPr>
          </w:p>
        </w:tc>
        <w:tc>
          <w:tcPr>
            <w:tcW w:w="1347" w:type="dxa"/>
            <w:vMerge w:val="continue"/>
            <w:tcBorders>
              <w:tl2br w:val="nil"/>
              <w:tr2bl w:val="nil"/>
            </w:tcBorders>
            <w:vAlign w:val="center"/>
          </w:tcPr>
          <w:p w14:paraId="3FCD3666">
            <w:pPr>
              <w:pStyle w:val="54"/>
              <w:spacing w:after="0" w:line="360" w:lineRule="exact"/>
              <w:ind w:firstLine="0" w:firstLineChars="0"/>
              <w:rPr>
                <w:rFonts w:hint="default" w:ascii="Times New Roman" w:hAnsi="Times New Roman" w:eastAsia="宋体" w:cs="Times New Roman"/>
                <w:b w:val="0"/>
                <w:bCs/>
                <w:color w:val="auto"/>
                <w:sz w:val="21"/>
                <w:highlight w:val="none"/>
                <w:lang w:eastAsia="zh-CN"/>
              </w:rPr>
            </w:pPr>
          </w:p>
        </w:tc>
        <w:tc>
          <w:tcPr>
            <w:tcW w:w="1290" w:type="dxa"/>
            <w:tcBorders>
              <w:tl2br w:val="nil"/>
              <w:tr2bl w:val="nil"/>
            </w:tcBorders>
            <w:vAlign w:val="center"/>
          </w:tcPr>
          <w:p w14:paraId="19D05A8B">
            <w:pPr>
              <w:pStyle w:val="54"/>
              <w:spacing w:after="0" w:line="360" w:lineRule="exact"/>
              <w:ind w:firstLine="0" w:firstLineChars="0"/>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颗粒物</w:t>
            </w:r>
          </w:p>
        </w:tc>
        <w:tc>
          <w:tcPr>
            <w:tcW w:w="4658" w:type="dxa"/>
            <w:tcBorders>
              <w:tl2br w:val="nil"/>
              <w:tr2bl w:val="nil"/>
            </w:tcBorders>
            <w:vAlign w:val="center"/>
          </w:tcPr>
          <w:p w14:paraId="0207679D">
            <w:pPr>
              <w:pStyle w:val="54"/>
              <w:spacing w:after="0" w:line="360" w:lineRule="exact"/>
              <w:ind w:firstLine="0" w:firstLineChars="0"/>
              <w:rPr>
                <w:rFonts w:hint="default" w:ascii="Times New Roman" w:hAnsi="Times New Roman" w:eastAsia="宋体" w:cs="Times New Roman"/>
                <w:b w:val="0"/>
                <w:bCs/>
                <w:color w:val="auto"/>
                <w:sz w:val="21"/>
                <w:highlight w:val="none"/>
                <w:lang w:eastAsia="zh-CN"/>
              </w:rPr>
            </w:pPr>
            <w:r>
              <w:rPr>
                <w:rFonts w:hint="default" w:ascii="Times New Roman" w:hAnsi="Times New Roman" w:eastAsia="宋体" w:cs="Times New Roman"/>
                <w:b w:val="0"/>
                <w:bCs/>
                <w:color w:val="auto"/>
                <w:sz w:val="21"/>
                <w:highlight w:val="none"/>
                <w:lang w:eastAsia="zh-CN"/>
              </w:rPr>
              <w:t>袋式除尘技术、电除尘技术、电袋复合除尘技术、湿式电除尘技术</w:t>
            </w:r>
          </w:p>
        </w:tc>
      </w:tr>
      <w:tr w14:paraId="64AA89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18" w:type="dxa"/>
            <w:vMerge w:val="continue"/>
            <w:tcBorders>
              <w:tl2br w:val="nil"/>
              <w:tr2bl w:val="nil"/>
            </w:tcBorders>
            <w:vAlign w:val="center"/>
          </w:tcPr>
          <w:p w14:paraId="461D03E7">
            <w:pPr>
              <w:pStyle w:val="54"/>
              <w:spacing w:after="0" w:line="360" w:lineRule="exact"/>
              <w:ind w:firstLine="0" w:firstLineChars="0"/>
              <w:rPr>
                <w:rFonts w:hint="default" w:ascii="Times New Roman" w:hAnsi="Times New Roman" w:eastAsia="宋体" w:cs="Times New Roman"/>
                <w:b w:val="0"/>
                <w:bCs/>
                <w:color w:val="auto"/>
                <w:sz w:val="21"/>
                <w:highlight w:val="none"/>
                <w:lang w:eastAsia="zh-CN"/>
              </w:rPr>
            </w:pPr>
          </w:p>
        </w:tc>
        <w:tc>
          <w:tcPr>
            <w:tcW w:w="1347" w:type="dxa"/>
            <w:vMerge w:val="continue"/>
            <w:tcBorders>
              <w:tl2br w:val="nil"/>
              <w:tr2bl w:val="nil"/>
            </w:tcBorders>
            <w:vAlign w:val="center"/>
          </w:tcPr>
          <w:p w14:paraId="6261DBF3">
            <w:pPr>
              <w:pStyle w:val="54"/>
              <w:spacing w:after="0" w:line="360" w:lineRule="exact"/>
              <w:ind w:firstLine="0" w:firstLineChars="0"/>
              <w:rPr>
                <w:rFonts w:hint="default" w:ascii="Times New Roman" w:hAnsi="Times New Roman" w:eastAsia="宋体" w:cs="Times New Roman"/>
                <w:b w:val="0"/>
                <w:bCs/>
                <w:color w:val="auto"/>
                <w:sz w:val="21"/>
                <w:highlight w:val="none"/>
                <w:lang w:eastAsia="zh-CN"/>
              </w:rPr>
            </w:pPr>
          </w:p>
        </w:tc>
        <w:tc>
          <w:tcPr>
            <w:tcW w:w="1290" w:type="dxa"/>
            <w:tcBorders>
              <w:tl2br w:val="nil"/>
              <w:tr2bl w:val="nil"/>
            </w:tcBorders>
            <w:vAlign w:val="center"/>
          </w:tcPr>
          <w:p w14:paraId="6147CD69">
            <w:pPr>
              <w:pStyle w:val="54"/>
              <w:spacing w:after="0" w:line="360" w:lineRule="exact"/>
              <w:ind w:firstLine="0" w:firstLineChars="0"/>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汞及其化合物</w:t>
            </w:r>
          </w:p>
        </w:tc>
        <w:tc>
          <w:tcPr>
            <w:tcW w:w="4658" w:type="dxa"/>
            <w:tcBorders>
              <w:tl2br w:val="nil"/>
              <w:tr2bl w:val="nil"/>
            </w:tcBorders>
            <w:vAlign w:val="center"/>
          </w:tcPr>
          <w:p w14:paraId="79D3E97A">
            <w:pPr>
              <w:pStyle w:val="54"/>
              <w:spacing w:after="0" w:line="360" w:lineRule="exact"/>
              <w:ind w:firstLine="0" w:firstLineChars="0"/>
              <w:rPr>
                <w:rFonts w:hint="default" w:ascii="Times New Roman" w:hAnsi="Times New Roman" w:eastAsia="宋体" w:cs="Times New Roman"/>
                <w:b w:val="0"/>
                <w:bCs/>
                <w:color w:val="auto"/>
                <w:sz w:val="21"/>
                <w:highlight w:val="none"/>
                <w:lang w:eastAsia="zh-CN"/>
              </w:rPr>
            </w:pPr>
            <w:r>
              <w:rPr>
                <w:rFonts w:hint="default" w:ascii="Times New Roman" w:hAnsi="Times New Roman" w:eastAsia="宋体" w:cs="Times New Roman"/>
                <w:b w:val="0"/>
                <w:bCs/>
                <w:color w:val="auto"/>
                <w:sz w:val="21"/>
                <w:highlight w:val="none"/>
                <w:lang w:eastAsia="zh-CN"/>
              </w:rPr>
              <w:t>协同控制a，若采用协同控制技术仍未实现达标排放，可采用炉内添加卤化物或烟道喷入活性炭吸附剂等技术</w:t>
            </w:r>
          </w:p>
        </w:tc>
      </w:tr>
      <w:tr w14:paraId="68BA91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8413" w:type="dxa"/>
            <w:gridSpan w:val="4"/>
            <w:tcBorders>
              <w:tl2br w:val="nil"/>
              <w:tr2bl w:val="nil"/>
            </w:tcBorders>
            <w:vAlign w:val="center"/>
          </w:tcPr>
          <w:p w14:paraId="75268167">
            <w:pPr>
              <w:pStyle w:val="54"/>
              <w:spacing w:after="0" w:line="360" w:lineRule="exact"/>
              <w:ind w:firstLine="0" w:firstLineChars="0"/>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bCs w:val="0"/>
                <w:color w:val="auto"/>
                <w:sz w:val="21"/>
                <w:highlight w:val="none"/>
              </w:rPr>
              <w:t>HJ1178-2021可行技术</w:t>
            </w:r>
          </w:p>
        </w:tc>
      </w:tr>
      <w:tr w14:paraId="6A3909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18" w:type="dxa"/>
            <w:vMerge w:val="restart"/>
            <w:tcBorders>
              <w:tl2br w:val="nil"/>
              <w:tr2bl w:val="nil"/>
            </w:tcBorders>
            <w:vAlign w:val="center"/>
          </w:tcPr>
          <w:p w14:paraId="68637BE0">
            <w:pPr>
              <w:pStyle w:val="54"/>
              <w:spacing w:after="0" w:line="360" w:lineRule="exact"/>
              <w:ind w:firstLine="0" w:firstLineChars="0"/>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燃煤</w:t>
            </w:r>
          </w:p>
        </w:tc>
        <w:tc>
          <w:tcPr>
            <w:tcW w:w="1347" w:type="dxa"/>
            <w:vMerge w:val="restart"/>
            <w:tcBorders>
              <w:tl2br w:val="nil"/>
              <w:tr2bl w:val="nil"/>
            </w:tcBorders>
            <w:vAlign w:val="center"/>
          </w:tcPr>
          <w:p w14:paraId="52C82949">
            <w:pPr>
              <w:pStyle w:val="54"/>
              <w:spacing w:after="0" w:line="360" w:lineRule="exact"/>
              <w:ind w:firstLine="0" w:firstLineChars="0"/>
              <w:rPr>
                <w:rFonts w:hint="default" w:ascii="Times New Roman" w:hAnsi="Times New Roman" w:eastAsia="宋体" w:cs="Times New Roman"/>
                <w:b w:val="0"/>
                <w:bCs/>
                <w:color w:val="auto"/>
                <w:sz w:val="21"/>
                <w:highlight w:val="none"/>
                <w:lang w:eastAsia="zh-CN"/>
              </w:rPr>
            </w:pPr>
            <w:r>
              <w:rPr>
                <w:rFonts w:hint="default" w:ascii="Times New Roman" w:hAnsi="Times New Roman" w:eastAsia="宋体" w:cs="Times New Roman"/>
                <w:b w:val="0"/>
                <w:bCs/>
                <w:color w:val="auto"/>
                <w:sz w:val="21"/>
                <w:highlight w:val="none"/>
                <w:lang w:eastAsia="zh-CN"/>
              </w:rPr>
              <w:t>层燃炉、流化床炉、室燃炉</w:t>
            </w:r>
          </w:p>
        </w:tc>
        <w:tc>
          <w:tcPr>
            <w:tcW w:w="1290" w:type="dxa"/>
            <w:tcBorders>
              <w:tl2br w:val="nil"/>
              <w:tr2bl w:val="nil"/>
            </w:tcBorders>
            <w:vAlign w:val="center"/>
          </w:tcPr>
          <w:p w14:paraId="6EBA3052">
            <w:pPr>
              <w:pStyle w:val="54"/>
              <w:spacing w:after="0" w:line="360" w:lineRule="exact"/>
              <w:ind w:firstLine="0" w:firstLineChars="0"/>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二氧化硫</w:t>
            </w:r>
          </w:p>
        </w:tc>
        <w:tc>
          <w:tcPr>
            <w:tcW w:w="4658" w:type="dxa"/>
            <w:tcBorders>
              <w:tl2br w:val="nil"/>
              <w:tr2bl w:val="nil"/>
            </w:tcBorders>
            <w:vAlign w:val="center"/>
          </w:tcPr>
          <w:p w14:paraId="44F9E70F">
            <w:pPr>
              <w:pStyle w:val="54"/>
              <w:spacing w:after="0" w:line="360" w:lineRule="exact"/>
              <w:ind w:firstLine="0" w:firstLineChars="0"/>
              <w:rPr>
                <w:rFonts w:hint="default" w:ascii="Times New Roman" w:hAnsi="Times New Roman" w:eastAsia="宋体" w:cs="Times New Roman"/>
                <w:b w:val="0"/>
                <w:bCs/>
                <w:color w:val="auto"/>
                <w:sz w:val="21"/>
                <w:highlight w:val="none"/>
                <w:lang w:eastAsia="zh-CN"/>
              </w:rPr>
            </w:pPr>
            <w:r>
              <w:rPr>
                <w:rFonts w:hint="default" w:ascii="Times New Roman" w:hAnsi="Times New Roman" w:eastAsia="宋体" w:cs="Times New Roman"/>
                <w:b w:val="0"/>
                <w:bCs/>
                <w:color w:val="auto"/>
                <w:sz w:val="21"/>
                <w:highlight w:val="none"/>
                <w:lang w:eastAsia="zh-CN"/>
              </w:rPr>
              <w:t>石灰石/石灰－石膏湿法、镁法、钠碱法、烟气循环流化床法和炉内脱硫技术</w:t>
            </w:r>
          </w:p>
        </w:tc>
      </w:tr>
      <w:tr w14:paraId="060DE0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18" w:type="dxa"/>
            <w:vMerge w:val="continue"/>
            <w:tcBorders>
              <w:tl2br w:val="nil"/>
              <w:tr2bl w:val="nil"/>
            </w:tcBorders>
            <w:vAlign w:val="center"/>
          </w:tcPr>
          <w:p w14:paraId="649976E7">
            <w:pPr>
              <w:pStyle w:val="54"/>
              <w:spacing w:after="0" w:line="360" w:lineRule="exact"/>
              <w:ind w:firstLine="0" w:firstLineChars="0"/>
              <w:rPr>
                <w:rFonts w:hint="default" w:ascii="Times New Roman" w:hAnsi="Times New Roman" w:eastAsia="宋体" w:cs="Times New Roman"/>
                <w:b w:val="0"/>
                <w:bCs/>
                <w:color w:val="auto"/>
                <w:sz w:val="21"/>
                <w:highlight w:val="none"/>
                <w:lang w:eastAsia="zh-CN"/>
              </w:rPr>
            </w:pPr>
          </w:p>
        </w:tc>
        <w:tc>
          <w:tcPr>
            <w:tcW w:w="1347" w:type="dxa"/>
            <w:vMerge w:val="continue"/>
            <w:tcBorders>
              <w:tl2br w:val="nil"/>
              <w:tr2bl w:val="nil"/>
            </w:tcBorders>
            <w:vAlign w:val="center"/>
          </w:tcPr>
          <w:p w14:paraId="7C06C6FB">
            <w:pPr>
              <w:pStyle w:val="54"/>
              <w:spacing w:after="0" w:line="360" w:lineRule="exact"/>
              <w:ind w:firstLine="0" w:firstLineChars="0"/>
              <w:rPr>
                <w:rFonts w:hint="default" w:ascii="Times New Roman" w:hAnsi="Times New Roman" w:eastAsia="宋体" w:cs="Times New Roman"/>
                <w:b w:val="0"/>
                <w:bCs/>
                <w:color w:val="auto"/>
                <w:sz w:val="21"/>
                <w:highlight w:val="none"/>
                <w:lang w:eastAsia="zh-CN"/>
              </w:rPr>
            </w:pPr>
          </w:p>
        </w:tc>
        <w:tc>
          <w:tcPr>
            <w:tcW w:w="1290" w:type="dxa"/>
            <w:tcBorders>
              <w:tl2br w:val="nil"/>
              <w:tr2bl w:val="nil"/>
            </w:tcBorders>
            <w:vAlign w:val="center"/>
          </w:tcPr>
          <w:p w14:paraId="6D6025AC">
            <w:pPr>
              <w:pStyle w:val="54"/>
              <w:spacing w:after="0" w:line="360" w:lineRule="exact"/>
              <w:ind w:firstLine="0" w:firstLineChars="0"/>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氮氧化物</w:t>
            </w:r>
          </w:p>
        </w:tc>
        <w:tc>
          <w:tcPr>
            <w:tcW w:w="4658" w:type="dxa"/>
            <w:tcBorders>
              <w:tl2br w:val="nil"/>
              <w:tr2bl w:val="nil"/>
            </w:tcBorders>
            <w:vAlign w:val="center"/>
          </w:tcPr>
          <w:p w14:paraId="5BECA857">
            <w:pPr>
              <w:pStyle w:val="54"/>
              <w:spacing w:after="0" w:line="360" w:lineRule="exact"/>
              <w:ind w:firstLine="0" w:firstLineChars="0"/>
              <w:rPr>
                <w:rFonts w:hint="default" w:ascii="Times New Roman" w:hAnsi="Times New Roman" w:eastAsia="宋体" w:cs="Times New Roman"/>
                <w:b w:val="0"/>
                <w:bCs/>
                <w:color w:val="auto"/>
                <w:sz w:val="21"/>
                <w:highlight w:val="none"/>
                <w:lang w:eastAsia="zh-CN"/>
              </w:rPr>
            </w:pPr>
            <w:r>
              <w:rPr>
                <w:rFonts w:hint="default" w:ascii="Times New Roman" w:hAnsi="Times New Roman" w:eastAsia="宋体" w:cs="Times New Roman"/>
                <w:b w:val="0"/>
                <w:bCs/>
                <w:color w:val="auto"/>
                <w:sz w:val="21"/>
                <w:highlight w:val="none"/>
                <w:lang w:eastAsia="zh-CN"/>
              </w:rPr>
              <w:t>低氮燃烧、SNCR脱硝技术、SCR脱硝技术、</w:t>
            </w:r>
          </w:p>
          <w:p w14:paraId="161C5005">
            <w:pPr>
              <w:pStyle w:val="54"/>
              <w:spacing w:after="0" w:line="360" w:lineRule="exact"/>
              <w:ind w:firstLine="0" w:firstLineChars="0"/>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SNCR+SCR联合脱硝技术</w:t>
            </w:r>
          </w:p>
        </w:tc>
      </w:tr>
      <w:tr w14:paraId="119748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18" w:type="dxa"/>
            <w:vMerge w:val="continue"/>
            <w:tcBorders>
              <w:tl2br w:val="nil"/>
              <w:tr2bl w:val="nil"/>
            </w:tcBorders>
            <w:vAlign w:val="center"/>
          </w:tcPr>
          <w:p w14:paraId="25394FFD">
            <w:pPr>
              <w:pStyle w:val="54"/>
              <w:spacing w:after="0" w:line="360" w:lineRule="exact"/>
              <w:ind w:firstLine="0" w:firstLineChars="0"/>
              <w:rPr>
                <w:rFonts w:hint="default" w:ascii="Times New Roman" w:hAnsi="Times New Roman" w:eastAsia="宋体" w:cs="Times New Roman"/>
                <w:b w:val="0"/>
                <w:bCs/>
                <w:color w:val="auto"/>
                <w:sz w:val="21"/>
                <w:highlight w:val="none"/>
              </w:rPr>
            </w:pPr>
          </w:p>
        </w:tc>
        <w:tc>
          <w:tcPr>
            <w:tcW w:w="1347" w:type="dxa"/>
            <w:vMerge w:val="continue"/>
            <w:tcBorders>
              <w:tl2br w:val="nil"/>
              <w:tr2bl w:val="nil"/>
            </w:tcBorders>
            <w:vAlign w:val="center"/>
          </w:tcPr>
          <w:p w14:paraId="3EF5CDA9">
            <w:pPr>
              <w:pStyle w:val="54"/>
              <w:spacing w:after="0" w:line="360" w:lineRule="exact"/>
              <w:ind w:firstLine="0" w:firstLineChars="0"/>
              <w:rPr>
                <w:rFonts w:hint="default" w:ascii="Times New Roman" w:hAnsi="Times New Roman" w:eastAsia="宋体" w:cs="Times New Roman"/>
                <w:b w:val="0"/>
                <w:bCs/>
                <w:color w:val="auto"/>
                <w:sz w:val="21"/>
                <w:highlight w:val="none"/>
              </w:rPr>
            </w:pPr>
          </w:p>
        </w:tc>
        <w:tc>
          <w:tcPr>
            <w:tcW w:w="1290" w:type="dxa"/>
            <w:tcBorders>
              <w:tl2br w:val="nil"/>
              <w:tr2bl w:val="nil"/>
            </w:tcBorders>
            <w:vAlign w:val="center"/>
          </w:tcPr>
          <w:p w14:paraId="5389F630">
            <w:pPr>
              <w:pStyle w:val="54"/>
              <w:spacing w:after="0" w:line="360" w:lineRule="exact"/>
              <w:ind w:firstLine="0" w:firstLineChars="0"/>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颗粒物</w:t>
            </w:r>
          </w:p>
        </w:tc>
        <w:tc>
          <w:tcPr>
            <w:tcW w:w="4658" w:type="dxa"/>
            <w:tcBorders>
              <w:tl2br w:val="nil"/>
              <w:tr2bl w:val="nil"/>
            </w:tcBorders>
            <w:vAlign w:val="center"/>
          </w:tcPr>
          <w:p w14:paraId="6ACC9CA3">
            <w:pPr>
              <w:pStyle w:val="54"/>
              <w:spacing w:after="0" w:line="360" w:lineRule="exact"/>
              <w:ind w:firstLine="0" w:firstLineChars="0"/>
              <w:rPr>
                <w:rFonts w:hint="default" w:ascii="Times New Roman" w:hAnsi="Times New Roman" w:eastAsia="宋体" w:cs="Times New Roman"/>
                <w:b w:val="0"/>
                <w:bCs/>
                <w:color w:val="auto"/>
                <w:sz w:val="21"/>
                <w:highlight w:val="none"/>
                <w:lang w:eastAsia="zh-CN"/>
              </w:rPr>
            </w:pPr>
            <w:r>
              <w:rPr>
                <w:rFonts w:hint="default" w:ascii="Times New Roman" w:hAnsi="Times New Roman" w:eastAsia="宋体" w:cs="Times New Roman"/>
                <w:b w:val="0"/>
                <w:bCs/>
                <w:color w:val="auto"/>
                <w:sz w:val="21"/>
                <w:highlight w:val="none"/>
                <w:lang w:eastAsia="zh-CN"/>
              </w:rPr>
              <w:t>袋式除尘、电除尘、电袋复合除尘、机械除尘+袋</w:t>
            </w:r>
          </w:p>
          <w:p w14:paraId="1EB3E853">
            <w:pPr>
              <w:pStyle w:val="54"/>
              <w:spacing w:after="0" w:line="360" w:lineRule="exact"/>
              <w:ind w:firstLine="0" w:firstLineChars="0"/>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式除尘等技术</w:t>
            </w:r>
          </w:p>
        </w:tc>
      </w:tr>
      <w:tr w14:paraId="4EEE03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18" w:type="dxa"/>
            <w:vMerge w:val="continue"/>
            <w:tcBorders>
              <w:tl2br w:val="nil"/>
              <w:tr2bl w:val="nil"/>
            </w:tcBorders>
            <w:vAlign w:val="center"/>
          </w:tcPr>
          <w:p w14:paraId="24B5F26F">
            <w:pPr>
              <w:pStyle w:val="54"/>
              <w:spacing w:after="0" w:line="360" w:lineRule="exact"/>
              <w:ind w:firstLine="0" w:firstLineChars="0"/>
              <w:rPr>
                <w:rFonts w:hint="default" w:ascii="Times New Roman" w:hAnsi="Times New Roman" w:eastAsia="宋体" w:cs="Times New Roman"/>
                <w:b w:val="0"/>
                <w:bCs/>
                <w:color w:val="auto"/>
                <w:sz w:val="21"/>
                <w:highlight w:val="none"/>
              </w:rPr>
            </w:pPr>
          </w:p>
        </w:tc>
        <w:tc>
          <w:tcPr>
            <w:tcW w:w="1347" w:type="dxa"/>
            <w:vMerge w:val="continue"/>
            <w:tcBorders>
              <w:tl2br w:val="nil"/>
              <w:tr2bl w:val="nil"/>
            </w:tcBorders>
            <w:vAlign w:val="center"/>
          </w:tcPr>
          <w:p w14:paraId="2B14124B">
            <w:pPr>
              <w:pStyle w:val="54"/>
              <w:spacing w:after="0" w:line="360" w:lineRule="exact"/>
              <w:ind w:firstLine="0" w:firstLineChars="0"/>
              <w:rPr>
                <w:rFonts w:hint="default" w:ascii="Times New Roman" w:hAnsi="Times New Roman" w:eastAsia="宋体" w:cs="Times New Roman"/>
                <w:b w:val="0"/>
                <w:bCs/>
                <w:color w:val="auto"/>
                <w:sz w:val="21"/>
                <w:highlight w:val="none"/>
              </w:rPr>
            </w:pPr>
          </w:p>
        </w:tc>
        <w:tc>
          <w:tcPr>
            <w:tcW w:w="1290" w:type="dxa"/>
            <w:tcBorders>
              <w:tl2br w:val="nil"/>
              <w:tr2bl w:val="nil"/>
            </w:tcBorders>
            <w:vAlign w:val="center"/>
          </w:tcPr>
          <w:p w14:paraId="47EEFF8D">
            <w:pPr>
              <w:pStyle w:val="54"/>
              <w:spacing w:after="0" w:line="360" w:lineRule="exact"/>
              <w:ind w:firstLine="0" w:firstLineChars="0"/>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汞及其化合物</w:t>
            </w:r>
          </w:p>
        </w:tc>
        <w:tc>
          <w:tcPr>
            <w:tcW w:w="4658" w:type="dxa"/>
            <w:tcBorders>
              <w:tl2br w:val="nil"/>
              <w:tr2bl w:val="nil"/>
            </w:tcBorders>
            <w:vAlign w:val="center"/>
          </w:tcPr>
          <w:p w14:paraId="6AF63B81">
            <w:pPr>
              <w:pStyle w:val="54"/>
              <w:spacing w:after="0" w:line="360" w:lineRule="exact"/>
              <w:ind w:firstLine="0" w:firstLineChars="0"/>
              <w:rPr>
                <w:rFonts w:hint="default" w:ascii="Times New Roman" w:hAnsi="Times New Roman" w:eastAsia="宋体" w:cs="Times New Roman"/>
                <w:b w:val="0"/>
                <w:bCs/>
                <w:color w:val="auto"/>
                <w:sz w:val="21"/>
                <w:highlight w:val="none"/>
                <w:lang w:eastAsia="zh-CN"/>
              </w:rPr>
            </w:pPr>
            <w:r>
              <w:rPr>
                <w:rFonts w:hint="default" w:ascii="Times New Roman" w:hAnsi="Times New Roman" w:eastAsia="宋体" w:cs="Times New Roman"/>
                <w:b w:val="0"/>
                <w:bCs/>
                <w:color w:val="auto"/>
                <w:sz w:val="21"/>
                <w:highlight w:val="none"/>
                <w:lang w:eastAsia="zh-CN"/>
              </w:rPr>
              <w:t>协同治理技术实现达标排放</w:t>
            </w:r>
          </w:p>
        </w:tc>
      </w:tr>
      <w:tr w14:paraId="1E5C34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8413" w:type="dxa"/>
            <w:gridSpan w:val="4"/>
            <w:tcBorders>
              <w:tl2br w:val="nil"/>
              <w:tr2bl w:val="nil"/>
            </w:tcBorders>
            <w:vAlign w:val="center"/>
          </w:tcPr>
          <w:p w14:paraId="7D170A95">
            <w:pPr>
              <w:pStyle w:val="54"/>
              <w:spacing w:after="0" w:line="360" w:lineRule="exact"/>
              <w:ind w:firstLine="0" w:firstLineChars="0"/>
              <w:rPr>
                <w:rFonts w:hint="default" w:ascii="Times New Roman" w:hAnsi="Times New Roman" w:eastAsia="宋体" w:cs="Times New Roman"/>
                <w:b w:val="0"/>
                <w:bCs/>
                <w:color w:val="auto"/>
                <w:sz w:val="21"/>
                <w:highlight w:val="none"/>
                <w:lang w:eastAsia="zh-CN"/>
              </w:rPr>
            </w:pPr>
            <w:r>
              <w:rPr>
                <w:rFonts w:hint="default" w:ascii="Times New Roman" w:hAnsi="Times New Roman" w:eastAsia="宋体" w:cs="Times New Roman"/>
                <w:b w:val="0"/>
                <w:bCs/>
                <w:color w:val="auto"/>
                <w:sz w:val="21"/>
                <w:highlight w:val="none"/>
                <w:lang w:eastAsia="zh-CN"/>
              </w:rPr>
              <w:t>注：a.表中协同控制是指现有的脱硫、脱硝、除尘等污染防治设施在对其设计目标污染物控制的同时兼顾对汞及其化合物的控制</w:t>
            </w:r>
          </w:p>
        </w:tc>
      </w:tr>
    </w:tbl>
    <w:p w14:paraId="5842C457">
      <w:pPr>
        <w:ind w:firstLine="480"/>
        <w:rPr>
          <w:rFonts w:ascii="Times New Roman" w:hAnsi="Times New Roman" w:cs="Times New Roman"/>
          <w:color w:val="auto"/>
          <w:highlight w:val="none"/>
        </w:rPr>
      </w:pPr>
      <w:r>
        <w:rPr>
          <w:rFonts w:hint="eastAsia" w:ascii="宋体" w:hAnsi="宋体" w:eastAsia="宋体" w:cs="宋体"/>
          <w:color w:val="auto"/>
          <w:highlight w:val="none"/>
          <w:lang w:val="en-US" w:eastAsia="zh-CN"/>
        </w:rPr>
        <w:t>①高温</w:t>
      </w:r>
      <w:r>
        <w:rPr>
          <w:rFonts w:ascii="Times New Roman" w:hAnsi="Times New Roman" w:cs="Times New Roman"/>
          <w:color w:val="auto"/>
          <w:highlight w:val="none"/>
        </w:rPr>
        <w:t>布袋除尘器</w:t>
      </w:r>
    </w:p>
    <w:p w14:paraId="0A953F98">
      <w:pPr>
        <w:ind w:firstLine="480"/>
        <w:rPr>
          <w:rFonts w:hint="eastAsia" w:ascii="Times New Roman" w:hAnsi="Times New Roman" w:eastAsia="宋体" w:cs="Times New Roman"/>
          <w:color w:val="auto"/>
          <w:highlight w:val="none"/>
          <w:lang w:eastAsia="zh-CN"/>
        </w:rPr>
      </w:pPr>
      <w:r>
        <w:rPr>
          <w:rFonts w:ascii="Times New Roman" w:hAnsi="Times New Roman" w:cs="Times New Roman"/>
          <w:color w:val="auto"/>
          <w:highlight w:val="none"/>
        </w:rPr>
        <w:t>高温袋式除尘器是工业除尘领域常用的一种设备，主要用于烟气中的微细粉尘过滤，对环境保护具有重要意义。高温袋式除尘器在处理高温、高湿、腐蚀、</w:t>
      </w:r>
      <w:r>
        <w:rPr>
          <w:rFonts w:hint="eastAsia" w:cs="Times New Roman"/>
          <w:color w:val="auto"/>
          <w:highlight w:val="none"/>
          <w:lang w:eastAsia="zh-CN"/>
        </w:rPr>
        <w:t>黏稠</w:t>
      </w:r>
      <w:r>
        <w:rPr>
          <w:rFonts w:ascii="Times New Roman" w:hAnsi="Times New Roman" w:cs="Times New Roman"/>
          <w:color w:val="auto"/>
          <w:highlight w:val="none"/>
        </w:rPr>
        <w:t>等工业废气方面具有较高的适应性和处理效果，能够有效地净化废气，降低环境污染，保障生态环境。</w:t>
      </w:r>
      <w:r>
        <w:rPr>
          <w:rFonts w:hint="eastAsia" w:ascii="Times New Roman" w:hAnsi="Times New Roman" w:cs="Times New Roman"/>
          <w:color w:val="auto"/>
          <w:highlight w:val="none"/>
          <w:lang w:val="en-US" w:eastAsia="zh-CN"/>
        </w:rPr>
        <w:t>本项目选取使用</w:t>
      </w:r>
      <w:r>
        <w:rPr>
          <w:rFonts w:ascii="Times New Roman" w:hAnsi="Times New Roman" w:cs="Times New Roman"/>
          <w:color w:val="auto"/>
          <w:highlight w:val="none"/>
        </w:rPr>
        <w:t>高温玻纤除尘布袋</w:t>
      </w:r>
      <w:r>
        <w:rPr>
          <w:rFonts w:hint="eastAsia" w:ascii="Times New Roman" w:hAnsi="Times New Roman" w:cs="Times New Roman"/>
          <w:color w:val="auto"/>
          <w:highlight w:val="none"/>
          <w:lang w:eastAsia="zh-CN"/>
        </w:rPr>
        <w:t>，玻璃纤维具有卓越的耐高温性，能在300</w:t>
      </w:r>
      <w:r>
        <w:rPr>
          <w:rFonts w:hint="eastAsia" w:cs="Times New Roman"/>
          <w:color w:val="auto"/>
          <w:highlight w:val="none"/>
          <w:lang w:val="en-US" w:eastAsia="zh-CN"/>
        </w:rPr>
        <w:t>℃</w:t>
      </w:r>
      <w:r>
        <w:rPr>
          <w:rFonts w:hint="eastAsia" w:ascii="Times New Roman" w:hAnsi="Times New Roman" w:cs="Times New Roman"/>
          <w:color w:val="auto"/>
          <w:highlight w:val="none"/>
          <w:lang w:eastAsia="zh-CN"/>
        </w:rPr>
        <w:t>左右的高温环境中工作。具有较好的机械强度和稳定性。</w:t>
      </w:r>
    </w:p>
    <w:p w14:paraId="41528CCE">
      <w:pPr>
        <w:ind w:firstLine="480"/>
        <w:rPr>
          <w:rFonts w:ascii="Times New Roman" w:hAnsi="Times New Roman" w:cs="Times New Roman"/>
          <w:color w:val="auto"/>
          <w:highlight w:val="none"/>
        </w:rPr>
      </w:pPr>
      <w:r>
        <w:rPr>
          <w:rFonts w:ascii="Times New Roman" w:hAnsi="Times New Roman" w:cs="Times New Roman"/>
          <w:color w:val="auto"/>
          <w:highlight w:val="none"/>
        </w:rPr>
        <w:t>高温袋式除尘器的工作原理是：工业废气通过风管输送到除尘器内部，经过进气口进入箱体，烟气在布袋的作用下，被微粒捕获在布袋上，净化后的空气则从出气口排出。袋式除尘器主要由进气口、箱体、出气口、滤袋等组成。</w:t>
      </w:r>
    </w:p>
    <w:p w14:paraId="6AC5D88C">
      <w:pPr>
        <w:ind w:firstLine="480"/>
        <w:rPr>
          <w:rFonts w:ascii="Times New Roman" w:hAnsi="Times New Roman" w:cs="Times New Roman"/>
          <w:color w:val="auto"/>
          <w:highlight w:val="none"/>
        </w:rPr>
      </w:pPr>
      <w:r>
        <w:rPr>
          <w:rFonts w:ascii="Times New Roman" w:hAnsi="Times New Roman" w:cs="Times New Roman"/>
          <w:color w:val="auto"/>
          <w:highlight w:val="none"/>
        </w:rPr>
        <w:t>高温袋式除尘器主要适用于烟气含尘浓度较高、烟气温度较高、颗粒物质较细等工况环境，其优点主要体现在以下几个方面：</w:t>
      </w:r>
    </w:p>
    <w:p w14:paraId="50AB7308">
      <w:pPr>
        <w:ind w:firstLine="480"/>
        <w:rPr>
          <w:rFonts w:ascii="Times New Roman" w:hAnsi="Times New Roman" w:cs="Times New Roman"/>
          <w:color w:val="auto"/>
          <w:highlight w:val="none"/>
        </w:rPr>
      </w:pPr>
      <w:r>
        <w:rPr>
          <w:rFonts w:ascii="Times New Roman" w:hAnsi="Times New Roman" w:cs="Times New Roman"/>
          <w:color w:val="auto"/>
          <w:highlight w:val="none"/>
        </w:rPr>
        <w:t>过滤效率高：高温袋式除尘器采用高精度的滤袋，能够有效地捕获微细粉尘，过滤效率高达99.9%以上。</w:t>
      </w:r>
    </w:p>
    <w:p w14:paraId="338B3FEA">
      <w:pPr>
        <w:ind w:firstLine="480"/>
        <w:rPr>
          <w:rFonts w:ascii="Times New Roman" w:hAnsi="Times New Roman" w:cs="Times New Roman"/>
          <w:color w:val="auto"/>
          <w:highlight w:val="none"/>
        </w:rPr>
      </w:pPr>
      <w:r>
        <w:rPr>
          <w:rFonts w:hint="default" w:ascii="Times New Roman" w:hAnsi="Times New Roman" w:cs="Times New Roman"/>
          <w:color w:val="auto"/>
          <w:highlight w:val="none"/>
        </w:rPr>
        <w:t>节能环保：高温袋式除尘器采用先进的低阻力布袋和高效的清灰技术，能够有效地降低能耗，减少废气排放，达到节能环保的目的。</w:t>
      </w:r>
    </w:p>
    <w:p w14:paraId="38384615">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维护方便：高温袋式除尘器采用模块化设计，布袋更换方便快捷，节省维护时间和成本。</w:t>
      </w:r>
    </w:p>
    <w:p w14:paraId="1A62C7B2">
      <w:pPr>
        <w:ind w:firstLine="480"/>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②SNCR</w:t>
      </w:r>
      <w:r>
        <w:rPr>
          <w:rFonts w:hint="eastAsia" w:cs="Times New Roman"/>
          <w:color w:val="auto"/>
          <w:highlight w:val="none"/>
          <w:lang w:val="en-US" w:eastAsia="zh-CN"/>
        </w:rPr>
        <w:t>脱硝</w:t>
      </w:r>
    </w:p>
    <w:p w14:paraId="14934C29">
      <w:pPr>
        <w:ind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成熟的燃烧后烟气脱硝技术主要有选择性催化还原技术（SelectiveCatalyticReduction，简称SCR）、选择性非催化还原技术（SelectiveNon-CatalyticReduction，简称SNCR）以及SNCR/SCR混合烟气脱硝技术。</w:t>
      </w:r>
      <w:r>
        <w:rPr>
          <w:rFonts w:hint="eastAsia" w:ascii="Times New Roman" w:hAnsi="Times New Roman" w:cs="Times New Roman"/>
          <w:color w:val="auto"/>
          <w:highlight w:val="none"/>
          <w:lang w:val="en-US" w:eastAsia="zh-CN"/>
        </w:rPr>
        <w:t>本项目燃煤锅炉燃烧烟气治理措施选择性非催化还原技术（SelectiveNon-CatalyticReduction，简称SNCR。本项目使用尿素还原剂，虽然运行成本较高，但是运行风险较低。</w:t>
      </w:r>
    </w:p>
    <w:p w14:paraId="7F8CB880">
      <w:pPr>
        <w:spacing w:line="480" w:lineRule="exact"/>
        <w:ind w:firstLine="0" w:firstLineChars="0"/>
        <w:jc w:val="center"/>
        <w:rPr>
          <w:b/>
          <w:color w:val="auto"/>
          <w:highlight w:val="none"/>
        </w:rPr>
      </w:pPr>
      <w:r>
        <w:rPr>
          <w:b/>
          <w:color w:val="auto"/>
          <w:highlight w:val="none"/>
        </w:rPr>
        <w:t>表6.2-</w:t>
      </w:r>
      <w:r>
        <w:rPr>
          <w:rFonts w:hint="eastAsia"/>
          <w:b/>
          <w:color w:val="auto"/>
          <w:highlight w:val="none"/>
          <w:lang w:val="en-US" w:eastAsia="zh-CN"/>
        </w:rPr>
        <w:t>2</w:t>
      </w:r>
      <w:r>
        <w:rPr>
          <w:rFonts w:hint="eastAsia"/>
          <w:b/>
          <w:color w:val="auto"/>
          <w:highlight w:val="none"/>
          <w:lang w:eastAsia="zh-CN"/>
        </w:rPr>
        <w:t xml:space="preserve"> </w:t>
      </w:r>
      <w:r>
        <w:rPr>
          <w:rFonts w:hint="eastAsia"/>
          <w:b/>
          <w:color w:val="auto"/>
          <w:highlight w:val="none"/>
          <w:lang w:val="en-US" w:eastAsia="zh-CN"/>
        </w:rPr>
        <w:t xml:space="preserve">   </w:t>
      </w:r>
      <w:r>
        <w:rPr>
          <w:b/>
          <w:color w:val="auto"/>
          <w:highlight w:val="none"/>
        </w:rPr>
        <w:t>脱硝工艺参数必选一览表</w:t>
      </w:r>
    </w:p>
    <w:tbl>
      <w:tblPr>
        <w:tblStyle w:val="33"/>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951"/>
        <w:gridCol w:w="5383"/>
      </w:tblGrid>
      <w:tr w14:paraId="3BD758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770" w:type="pct"/>
            <w:tcBorders>
              <w:tl2br w:val="nil"/>
              <w:tr2bl w:val="nil"/>
            </w:tcBorders>
            <w:vAlign w:val="center"/>
          </w:tcPr>
          <w:p w14:paraId="18C91C15">
            <w:pPr>
              <w:widowControl w:val="0"/>
              <w:spacing w:after="0" w:afterLines="0" w:line="360" w:lineRule="exact"/>
              <w:ind w:firstLine="0" w:firstLineChars="0"/>
              <w:jc w:val="center"/>
              <w:rPr>
                <w:b/>
                <w:bCs/>
                <w:color w:val="auto"/>
                <w:sz w:val="21"/>
                <w:szCs w:val="21"/>
                <w:highlight w:val="none"/>
              </w:rPr>
            </w:pPr>
            <w:r>
              <w:rPr>
                <w:b/>
                <w:bCs/>
                <w:color w:val="auto"/>
                <w:sz w:val="21"/>
                <w:szCs w:val="21"/>
                <w:highlight w:val="none"/>
              </w:rPr>
              <w:t>项目</w:t>
            </w:r>
          </w:p>
        </w:tc>
        <w:tc>
          <w:tcPr>
            <w:tcW w:w="3229" w:type="pct"/>
            <w:tcBorders>
              <w:tl2br w:val="nil"/>
              <w:tr2bl w:val="nil"/>
            </w:tcBorders>
            <w:vAlign w:val="center"/>
          </w:tcPr>
          <w:p w14:paraId="42FEB8A3">
            <w:pPr>
              <w:widowControl w:val="0"/>
              <w:spacing w:after="0" w:afterLines="0" w:line="360" w:lineRule="exact"/>
              <w:ind w:firstLine="0" w:firstLineChars="0"/>
              <w:jc w:val="center"/>
              <w:rPr>
                <w:b/>
                <w:bCs/>
                <w:color w:val="auto"/>
                <w:sz w:val="21"/>
                <w:szCs w:val="21"/>
                <w:highlight w:val="none"/>
              </w:rPr>
            </w:pPr>
            <w:r>
              <w:rPr>
                <w:b/>
                <w:bCs/>
                <w:color w:val="auto"/>
                <w:sz w:val="21"/>
                <w:szCs w:val="21"/>
                <w:highlight w:val="none"/>
              </w:rPr>
              <w:t>SNCR</w:t>
            </w:r>
          </w:p>
        </w:tc>
      </w:tr>
      <w:tr w14:paraId="41250B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770" w:type="pct"/>
            <w:tcBorders>
              <w:tl2br w:val="nil"/>
              <w:tr2bl w:val="nil"/>
            </w:tcBorders>
            <w:vAlign w:val="center"/>
          </w:tcPr>
          <w:p w14:paraId="62C2EDC7">
            <w:pPr>
              <w:widowControl w:val="0"/>
              <w:spacing w:after="0" w:afterLines="0" w:line="360" w:lineRule="exact"/>
              <w:ind w:firstLine="0" w:firstLineChars="0"/>
              <w:jc w:val="center"/>
              <w:rPr>
                <w:color w:val="auto"/>
                <w:sz w:val="21"/>
                <w:szCs w:val="21"/>
                <w:highlight w:val="none"/>
              </w:rPr>
            </w:pPr>
            <w:r>
              <w:rPr>
                <w:color w:val="auto"/>
                <w:sz w:val="21"/>
                <w:szCs w:val="21"/>
                <w:highlight w:val="none"/>
              </w:rPr>
              <w:t>还原剂</w:t>
            </w:r>
          </w:p>
        </w:tc>
        <w:tc>
          <w:tcPr>
            <w:tcW w:w="3229" w:type="pct"/>
            <w:tcBorders>
              <w:tl2br w:val="nil"/>
              <w:tr2bl w:val="nil"/>
            </w:tcBorders>
            <w:vAlign w:val="center"/>
          </w:tcPr>
          <w:p w14:paraId="1C4873CD">
            <w:pPr>
              <w:widowControl w:val="0"/>
              <w:spacing w:after="0" w:afterLines="0" w:line="360" w:lineRule="exact"/>
              <w:ind w:firstLine="0" w:firstLineChars="0"/>
              <w:jc w:val="center"/>
              <w:rPr>
                <w:color w:val="auto"/>
                <w:sz w:val="21"/>
                <w:szCs w:val="21"/>
                <w:highlight w:val="none"/>
              </w:rPr>
            </w:pPr>
            <w:r>
              <w:rPr>
                <w:color w:val="auto"/>
                <w:sz w:val="21"/>
                <w:szCs w:val="21"/>
                <w:highlight w:val="none"/>
              </w:rPr>
              <w:t>NH</w:t>
            </w:r>
            <w:r>
              <w:rPr>
                <w:color w:val="auto"/>
                <w:sz w:val="21"/>
                <w:szCs w:val="21"/>
                <w:highlight w:val="none"/>
                <w:vertAlign w:val="subscript"/>
              </w:rPr>
              <w:t>3</w:t>
            </w:r>
            <w:r>
              <w:rPr>
                <w:color w:val="auto"/>
                <w:sz w:val="21"/>
                <w:szCs w:val="21"/>
                <w:highlight w:val="none"/>
              </w:rPr>
              <w:t>或尿素</w:t>
            </w:r>
          </w:p>
        </w:tc>
      </w:tr>
      <w:tr w14:paraId="631AF4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770" w:type="pct"/>
            <w:tcBorders>
              <w:tl2br w:val="nil"/>
              <w:tr2bl w:val="nil"/>
            </w:tcBorders>
            <w:vAlign w:val="center"/>
          </w:tcPr>
          <w:p w14:paraId="4E11752A">
            <w:pPr>
              <w:widowControl w:val="0"/>
              <w:spacing w:after="0" w:afterLines="0" w:line="360" w:lineRule="exact"/>
              <w:ind w:firstLine="0" w:firstLineChars="0"/>
              <w:jc w:val="center"/>
              <w:rPr>
                <w:color w:val="auto"/>
                <w:sz w:val="21"/>
                <w:szCs w:val="21"/>
                <w:highlight w:val="none"/>
              </w:rPr>
            </w:pPr>
            <w:r>
              <w:rPr>
                <w:color w:val="auto"/>
                <w:sz w:val="21"/>
                <w:szCs w:val="21"/>
                <w:highlight w:val="none"/>
              </w:rPr>
              <w:t>反应温度</w:t>
            </w:r>
          </w:p>
        </w:tc>
        <w:tc>
          <w:tcPr>
            <w:tcW w:w="3229" w:type="pct"/>
            <w:tcBorders>
              <w:tl2br w:val="nil"/>
              <w:tr2bl w:val="nil"/>
            </w:tcBorders>
            <w:vAlign w:val="center"/>
          </w:tcPr>
          <w:p w14:paraId="6A5E85DC">
            <w:pPr>
              <w:widowControl w:val="0"/>
              <w:spacing w:after="0" w:afterLines="0" w:line="360" w:lineRule="exact"/>
              <w:ind w:firstLine="0" w:firstLineChars="0"/>
              <w:jc w:val="center"/>
              <w:rPr>
                <w:color w:val="auto"/>
                <w:sz w:val="21"/>
                <w:szCs w:val="21"/>
                <w:highlight w:val="none"/>
              </w:rPr>
            </w:pPr>
            <w:r>
              <w:rPr>
                <w:color w:val="auto"/>
                <w:sz w:val="21"/>
                <w:szCs w:val="21"/>
                <w:highlight w:val="none"/>
              </w:rPr>
              <w:t>800~1100℃</w:t>
            </w:r>
          </w:p>
        </w:tc>
      </w:tr>
      <w:tr w14:paraId="1B88B8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770" w:type="pct"/>
            <w:tcBorders>
              <w:tl2br w:val="nil"/>
              <w:tr2bl w:val="nil"/>
            </w:tcBorders>
            <w:vAlign w:val="center"/>
          </w:tcPr>
          <w:p w14:paraId="5BD9E20B">
            <w:pPr>
              <w:widowControl w:val="0"/>
              <w:spacing w:after="0" w:afterLines="0" w:line="360" w:lineRule="exact"/>
              <w:ind w:firstLine="0" w:firstLineChars="0"/>
              <w:jc w:val="center"/>
              <w:rPr>
                <w:color w:val="auto"/>
                <w:sz w:val="21"/>
                <w:szCs w:val="21"/>
                <w:highlight w:val="none"/>
              </w:rPr>
            </w:pPr>
            <w:r>
              <w:rPr>
                <w:color w:val="auto"/>
                <w:sz w:val="21"/>
                <w:szCs w:val="21"/>
                <w:highlight w:val="none"/>
              </w:rPr>
              <w:t>催化剂</w:t>
            </w:r>
          </w:p>
        </w:tc>
        <w:tc>
          <w:tcPr>
            <w:tcW w:w="3229" w:type="pct"/>
            <w:tcBorders>
              <w:tl2br w:val="nil"/>
              <w:tr2bl w:val="nil"/>
            </w:tcBorders>
            <w:vAlign w:val="center"/>
          </w:tcPr>
          <w:p w14:paraId="55923B21">
            <w:pPr>
              <w:widowControl w:val="0"/>
              <w:spacing w:after="0" w:afterLines="0" w:line="360" w:lineRule="exact"/>
              <w:ind w:firstLine="0" w:firstLineChars="0"/>
              <w:jc w:val="center"/>
              <w:rPr>
                <w:color w:val="auto"/>
                <w:sz w:val="21"/>
                <w:szCs w:val="21"/>
                <w:highlight w:val="none"/>
              </w:rPr>
            </w:pPr>
            <w:r>
              <w:rPr>
                <w:color w:val="auto"/>
                <w:sz w:val="21"/>
                <w:szCs w:val="21"/>
                <w:highlight w:val="none"/>
              </w:rPr>
              <w:t>不使用</w:t>
            </w:r>
          </w:p>
        </w:tc>
      </w:tr>
      <w:tr w14:paraId="5C5021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770" w:type="pct"/>
            <w:tcBorders>
              <w:tl2br w:val="nil"/>
              <w:tr2bl w:val="nil"/>
            </w:tcBorders>
            <w:vAlign w:val="center"/>
          </w:tcPr>
          <w:p w14:paraId="2D4985D2">
            <w:pPr>
              <w:widowControl w:val="0"/>
              <w:spacing w:after="0" w:afterLines="0" w:line="360" w:lineRule="exact"/>
              <w:ind w:firstLine="0" w:firstLineChars="0"/>
              <w:jc w:val="center"/>
              <w:rPr>
                <w:color w:val="auto"/>
                <w:sz w:val="21"/>
                <w:szCs w:val="21"/>
                <w:highlight w:val="none"/>
              </w:rPr>
            </w:pPr>
            <w:r>
              <w:rPr>
                <w:color w:val="auto"/>
                <w:sz w:val="21"/>
                <w:szCs w:val="21"/>
                <w:highlight w:val="none"/>
              </w:rPr>
              <w:t>脱硝效率</w:t>
            </w:r>
          </w:p>
        </w:tc>
        <w:tc>
          <w:tcPr>
            <w:tcW w:w="3229" w:type="pct"/>
            <w:tcBorders>
              <w:tl2br w:val="nil"/>
              <w:tr2bl w:val="nil"/>
            </w:tcBorders>
            <w:vAlign w:val="center"/>
          </w:tcPr>
          <w:p w14:paraId="09CAC766">
            <w:pPr>
              <w:widowControl w:val="0"/>
              <w:spacing w:after="0" w:afterLines="0" w:line="360" w:lineRule="exact"/>
              <w:ind w:firstLine="0" w:firstLineChars="0"/>
              <w:jc w:val="center"/>
              <w:rPr>
                <w:color w:val="auto"/>
                <w:sz w:val="21"/>
                <w:szCs w:val="21"/>
                <w:highlight w:val="none"/>
              </w:rPr>
            </w:pPr>
            <w:r>
              <w:rPr>
                <w:rFonts w:hint="eastAsia"/>
                <w:color w:val="auto"/>
                <w:sz w:val="21"/>
                <w:szCs w:val="21"/>
                <w:highlight w:val="none"/>
                <w:lang w:val="en-US" w:eastAsia="zh-CN"/>
              </w:rPr>
              <w:t>3</w:t>
            </w:r>
            <w:r>
              <w:rPr>
                <w:color w:val="auto"/>
                <w:sz w:val="21"/>
                <w:szCs w:val="21"/>
                <w:highlight w:val="none"/>
              </w:rPr>
              <w:t>0%</w:t>
            </w:r>
          </w:p>
        </w:tc>
      </w:tr>
      <w:tr w14:paraId="65E904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770" w:type="pct"/>
            <w:tcBorders>
              <w:tl2br w:val="nil"/>
              <w:tr2bl w:val="nil"/>
            </w:tcBorders>
            <w:vAlign w:val="center"/>
          </w:tcPr>
          <w:p w14:paraId="60976AEC">
            <w:pPr>
              <w:widowControl w:val="0"/>
              <w:spacing w:after="0" w:afterLines="0" w:line="360" w:lineRule="exact"/>
              <w:ind w:firstLine="0" w:firstLineChars="0"/>
              <w:jc w:val="center"/>
              <w:rPr>
                <w:color w:val="auto"/>
                <w:sz w:val="21"/>
                <w:szCs w:val="21"/>
                <w:highlight w:val="none"/>
              </w:rPr>
            </w:pPr>
            <w:r>
              <w:rPr>
                <w:color w:val="auto"/>
                <w:sz w:val="21"/>
                <w:szCs w:val="21"/>
                <w:highlight w:val="none"/>
              </w:rPr>
              <w:t>反应剂喷射位置</w:t>
            </w:r>
          </w:p>
        </w:tc>
        <w:tc>
          <w:tcPr>
            <w:tcW w:w="3229" w:type="pct"/>
            <w:tcBorders>
              <w:tl2br w:val="nil"/>
              <w:tr2bl w:val="nil"/>
            </w:tcBorders>
            <w:vAlign w:val="center"/>
          </w:tcPr>
          <w:p w14:paraId="6017C7EC">
            <w:pPr>
              <w:widowControl w:val="0"/>
              <w:spacing w:after="0" w:afterLines="0" w:line="360" w:lineRule="exact"/>
              <w:ind w:firstLine="0" w:firstLineChars="0"/>
              <w:jc w:val="center"/>
              <w:rPr>
                <w:color w:val="auto"/>
                <w:sz w:val="21"/>
                <w:szCs w:val="21"/>
                <w:highlight w:val="none"/>
              </w:rPr>
            </w:pPr>
            <w:r>
              <w:rPr>
                <w:color w:val="auto"/>
                <w:sz w:val="21"/>
                <w:szCs w:val="21"/>
                <w:highlight w:val="none"/>
              </w:rPr>
              <w:t>通常在炉膛内喷射</w:t>
            </w:r>
          </w:p>
        </w:tc>
      </w:tr>
      <w:tr w14:paraId="5B5672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770" w:type="pct"/>
            <w:tcBorders>
              <w:tl2br w:val="nil"/>
              <w:tr2bl w:val="nil"/>
            </w:tcBorders>
            <w:vAlign w:val="center"/>
          </w:tcPr>
          <w:p w14:paraId="292F83ED">
            <w:pPr>
              <w:widowControl w:val="0"/>
              <w:spacing w:after="0" w:afterLines="0" w:line="360" w:lineRule="exact"/>
              <w:ind w:firstLine="0" w:firstLineChars="0"/>
              <w:jc w:val="center"/>
              <w:rPr>
                <w:color w:val="auto"/>
                <w:sz w:val="21"/>
                <w:szCs w:val="21"/>
                <w:highlight w:val="none"/>
              </w:rPr>
            </w:pPr>
            <w:r>
              <w:rPr>
                <w:color w:val="auto"/>
                <w:sz w:val="21"/>
                <w:szCs w:val="21"/>
                <w:highlight w:val="none"/>
              </w:rPr>
              <w:t>NH</w:t>
            </w:r>
            <w:r>
              <w:rPr>
                <w:color w:val="auto"/>
                <w:sz w:val="21"/>
                <w:szCs w:val="21"/>
                <w:highlight w:val="none"/>
                <w:vertAlign w:val="subscript"/>
              </w:rPr>
              <w:t>3</w:t>
            </w:r>
            <w:r>
              <w:rPr>
                <w:color w:val="auto"/>
                <w:sz w:val="21"/>
                <w:szCs w:val="21"/>
                <w:highlight w:val="none"/>
              </w:rPr>
              <w:t>逃逸</w:t>
            </w:r>
          </w:p>
        </w:tc>
        <w:tc>
          <w:tcPr>
            <w:tcW w:w="3229" w:type="pct"/>
            <w:tcBorders>
              <w:tl2br w:val="nil"/>
              <w:tr2bl w:val="nil"/>
            </w:tcBorders>
            <w:vAlign w:val="center"/>
          </w:tcPr>
          <w:p w14:paraId="12C8A8F7">
            <w:pPr>
              <w:widowControl w:val="0"/>
              <w:spacing w:after="0" w:afterLines="0" w:line="360" w:lineRule="exact"/>
              <w:ind w:firstLine="0" w:firstLineChars="0"/>
              <w:jc w:val="center"/>
              <w:rPr>
                <w:color w:val="auto"/>
                <w:sz w:val="21"/>
                <w:szCs w:val="21"/>
                <w:highlight w:val="none"/>
              </w:rPr>
            </w:pPr>
            <w:r>
              <w:rPr>
                <w:color w:val="auto"/>
                <w:sz w:val="21"/>
                <w:szCs w:val="21"/>
                <w:highlight w:val="none"/>
              </w:rPr>
              <w:t>10~15ppm</w:t>
            </w:r>
          </w:p>
        </w:tc>
      </w:tr>
      <w:tr w14:paraId="601755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770" w:type="pct"/>
            <w:tcBorders>
              <w:tl2br w:val="nil"/>
              <w:tr2bl w:val="nil"/>
            </w:tcBorders>
            <w:vAlign w:val="center"/>
          </w:tcPr>
          <w:p w14:paraId="03893426">
            <w:pPr>
              <w:widowControl w:val="0"/>
              <w:spacing w:after="0" w:afterLines="0" w:line="360" w:lineRule="exact"/>
              <w:ind w:firstLine="0" w:firstLineChars="0"/>
              <w:jc w:val="center"/>
              <w:rPr>
                <w:color w:val="auto"/>
                <w:sz w:val="21"/>
                <w:szCs w:val="21"/>
                <w:highlight w:val="none"/>
              </w:rPr>
            </w:pPr>
            <w:r>
              <w:rPr>
                <w:color w:val="auto"/>
                <w:sz w:val="21"/>
                <w:szCs w:val="21"/>
                <w:highlight w:val="none"/>
              </w:rPr>
              <w:t>SO</w:t>
            </w:r>
            <w:r>
              <w:rPr>
                <w:color w:val="auto"/>
                <w:sz w:val="21"/>
                <w:szCs w:val="21"/>
                <w:highlight w:val="none"/>
                <w:vertAlign w:val="subscript"/>
              </w:rPr>
              <w:t>2</w:t>
            </w:r>
            <w:r>
              <w:rPr>
                <w:color w:val="auto"/>
                <w:sz w:val="21"/>
                <w:szCs w:val="21"/>
                <w:highlight w:val="none"/>
              </w:rPr>
              <w:t>/SO</w:t>
            </w:r>
            <w:r>
              <w:rPr>
                <w:color w:val="auto"/>
                <w:sz w:val="21"/>
                <w:szCs w:val="21"/>
                <w:highlight w:val="none"/>
                <w:vertAlign w:val="subscript"/>
              </w:rPr>
              <w:t>3</w:t>
            </w:r>
            <w:r>
              <w:rPr>
                <w:color w:val="auto"/>
                <w:sz w:val="21"/>
                <w:szCs w:val="21"/>
                <w:highlight w:val="none"/>
              </w:rPr>
              <w:t>氧化</w:t>
            </w:r>
          </w:p>
        </w:tc>
        <w:tc>
          <w:tcPr>
            <w:tcW w:w="3229" w:type="pct"/>
            <w:tcBorders>
              <w:tl2br w:val="nil"/>
              <w:tr2bl w:val="nil"/>
            </w:tcBorders>
            <w:vAlign w:val="center"/>
          </w:tcPr>
          <w:p w14:paraId="2A191A3A">
            <w:pPr>
              <w:widowControl w:val="0"/>
              <w:spacing w:after="0" w:afterLines="0" w:line="360" w:lineRule="exact"/>
              <w:ind w:firstLine="0" w:firstLineChars="0"/>
              <w:jc w:val="center"/>
              <w:rPr>
                <w:color w:val="auto"/>
                <w:sz w:val="21"/>
                <w:szCs w:val="21"/>
                <w:highlight w:val="none"/>
              </w:rPr>
            </w:pPr>
            <w:r>
              <w:rPr>
                <w:color w:val="auto"/>
                <w:sz w:val="21"/>
                <w:szCs w:val="21"/>
                <w:highlight w:val="none"/>
              </w:rPr>
              <w:t>不导致SO</w:t>
            </w:r>
            <w:r>
              <w:rPr>
                <w:color w:val="auto"/>
                <w:sz w:val="21"/>
                <w:szCs w:val="21"/>
                <w:highlight w:val="none"/>
                <w:vertAlign w:val="subscript"/>
              </w:rPr>
              <w:t>2</w:t>
            </w:r>
            <w:r>
              <w:rPr>
                <w:color w:val="auto"/>
                <w:sz w:val="21"/>
                <w:szCs w:val="21"/>
                <w:highlight w:val="none"/>
              </w:rPr>
              <w:t>/SO</w:t>
            </w:r>
            <w:r>
              <w:rPr>
                <w:color w:val="auto"/>
                <w:sz w:val="21"/>
                <w:szCs w:val="21"/>
                <w:highlight w:val="none"/>
                <w:vertAlign w:val="subscript"/>
              </w:rPr>
              <w:t>3</w:t>
            </w:r>
            <w:r>
              <w:rPr>
                <w:color w:val="auto"/>
                <w:sz w:val="21"/>
                <w:szCs w:val="21"/>
                <w:highlight w:val="none"/>
              </w:rPr>
              <w:t>氧化</w:t>
            </w:r>
          </w:p>
        </w:tc>
      </w:tr>
      <w:tr w14:paraId="0512F8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770" w:type="pct"/>
            <w:tcBorders>
              <w:tl2br w:val="nil"/>
              <w:tr2bl w:val="nil"/>
            </w:tcBorders>
            <w:vAlign w:val="center"/>
          </w:tcPr>
          <w:p w14:paraId="4DDE14DD">
            <w:pPr>
              <w:widowControl w:val="0"/>
              <w:spacing w:after="0" w:afterLines="0" w:line="360" w:lineRule="exact"/>
              <w:ind w:firstLine="0" w:firstLineChars="0"/>
              <w:jc w:val="center"/>
              <w:rPr>
                <w:color w:val="auto"/>
                <w:sz w:val="21"/>
                <w:szCs w:val="21"/>
                <w:highlight w:val="none"/>
              </w:rPr>
            </w:pPr>
            <w:r>
              <w:rPr>
                <w:color w:val="auto"/>
                <w:sz w:val="21"/>
                <w:szCs w:val="21"/>
                <w:highlight w:val="none"/>
              </w:rPr>
              <w:t>对空气预热器影响</w:t>
            </w:r>
          </w:p>
        </w:tc>
        <w:tc>
          <w:tcPr>
            <w:tcW w:w="3229" w:type="pct"/>
            <w:tcBorders>
              <w:tl2br w:val="nil"/>
              <w:tr2bl w:val="nil"/>
            </w:tcBorders>
            <w:vAlign w:val="center"/>
          </w:tcPr>
          <w:p w14:paraId="3EBC2019">
            <w:pPr>
              <w:widowControl w:val="0"/>
              <w:spacing w:after="0" w:afterLines="0" w:line="360" w:lineRule="exact"/>
              <w:ind w:firstLine="0" w:firstLineChars="0"/>
              <w:jc w:val="center"/>
              <w:rPr>
                <w:color w:val="auto"/>
                <w:sz w:val="21"/>
                <w:szCs w:val="21"/>
                <w:highlight w:val="none"/>
              </w:rPr>
            </w:pPr>
            <w:r>
              <w:rPr>
                <w:color w:val="auto"/>
                <w:sz w:val="21"/>
                <w:szCs w:val="21"/>
                <w:highlight w:val="none"/>
              </w:rPr>
              <w:t>不会因催化剂导致SO</w:t>
            </w:r>
            <w:r>
              <w:rPr>
                <w:color w:val="auto"/>
                <w:sz w:val="21"/>
                <w:szCs w:val="21"/>
                <w:highlight w:val="none"/>
                <w:vertAlign w:val="subscript"/>
              </w:rPr>
              <w:t>2</w:t>
            </w:r>
            <w:r>
              <w:rPr>
                <w:color w:val="auto"/>
                <w:sz w:val="21"/>
                <w:szCs w:val="21"/>
                <w:highlight w:val="none"/>
              </w:rPr>
              <w:t>/SO</w:t>
            </w:r>
            <w:r>
              <w:rPr>
                <w:color w:val="auto"/>
                <w:sz w:val="21"/>
                <w:szCs w:val="21"/>
                <w:highlight w:val="none"/>
                <w:vertAlign w:val="subscript"/>
              </w:rPr>
              <w:t>3</w:t>
            </w:r>
            <w:r>
              <w:rPr>
                <w:color w:val="auto"/>
                <w:sz w:val="21"/>
                <w:szCs w:val="21"/>
                <w:highlight w:val="none"/>
              </w:rPr>
              <w:t>的氧化，造成堵塞或腐蚀的概率低于SCR和SNCR+SCR</w:t>
            </w:r>
          </w:p>
        </w:tc>
      </w:tr>
      <w:tr w14:paraId="50F391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770" w:type="pct"/>
            <w:tcBorders>
              <w:tl2br w:val="nil"/>
              <w:tr2bl w:val="nil"/>
            </w:tcBorders>
            <w:vAlign w:val="center"/>
          </w:tcPr>
          <w:p w14:paraId="63529F44">
            <w:pPr>
              <w:widowControl w:val="0"/>
              <w:spacing w:after="0" w:afterLines="0" w:line="360" w:lineRule="exact"/>
              <w:ind w:firstLine="0" w:firstLineChars="0"/>
              <w:jc w:val="center"/>
              <w:rPr>
                <w:color w:val="auto"/>
                <w:sz w:val="21"/>
                <w:szCs w:val="21"/>
                <w:highlight w:val="none"/>
              </w:rPr>
            </w:pPr>
            <w:r>
              <w:rPr>
                <w:color w:val="auto"/>
                <w:sz w:val="21"/>
                <w:szCs w:val="21"/>
                <w:highlight w:val="none"/>
              </w:rPr>
              <w:t>系统压力损失</w:t>
            </w:r>
          </w:p>
        </w:tc>
        <w:tc>
          <w:tcPr>
            <w:tcW w:w="3229" w:type="pct"/>
            <w:tcBorders>
              <w:tl2br w:val="nil"/>
              <w:tr2bl w:val="nil"/>
            </w:tcBorders>
            <w:vAlign w:val="center"/>
          </w:tcPr>
          <w:p w14:paraId="79FF647A">
            <w:pPr>
              <w:widowControl w:val="0"/>
              <w:spacing w:after="0" w:afterLines="0" w:line="360" w:lineRule="exact"/>
              <w:ind w:firstLine="0" w:firstLineChars="0"/>
              <w:jc w:val="center"/>
              <w:rPr>
                <w:color w:val="auto"/>
                <w:sz w:val="21"/>
                <w:szCs w:val="21"/>
                <w:highlight w:val="none"/>
              </w:rPr>
            </w:pPr>
            <w:r>
              <w:rPr>
                <w:color w:val="auto"/>
                <w:sz w:val="21"/>
                <w:szCs w:val="21"/>
                <w:highlight w:val="none"/>
              </w:rPr>
              <w:t>没有压力损失</w:t>
            </w:r>
          </w:p>
        </w:tc>
      </w:tr>
      <w:tr w14:paraId="3D2991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770" w:type="pct"/>
            <w:tcBorders>
              <w:tl2br w:val="nil"/>
              <w:tr2bl w:val="nil"/>
            </w:tcBorders>
            <w:vAlign w:val="center"/>
          </w:tcPr>
          <w:p w14:paraId="6242FE4B">
            <w:pPr>
              <w:widowControl w:val="0"/>
              <w:spacing w:after="0" w:afterLines="0" w:line="360" w:lineRule="exact"/>
              <w:ind w:firstLine="0" w:firstLineChars="0"/>
              <w:jc w:val="center"/>
              <w:rPr>
                <w:color w:val="auto"/>
                <w:sz w:val="21"/>
                <w:szCs w:val="21"/>
                <w:highlight w:val="none"/>
              </w:rPr>
            </w:pPr>
            <w:r>
              <w:rPr>
                <w:color w:val="auto"/>
                <w:sz w:val="21"/>
                <w:szCs w:val="21"/>
                <w:highlight w:val="none"/>
              </w:rPr>
              <w:t>燃料的影响</w:t>
            </w:r>
          </w:p>
        </w:tc>
        <w:tc>
          <w:tcPr>
            <w:tcW w:w="3229" w:type="pct"/>
            <w:tcBorders>
              <w:tl2br w:val="nil"/>
              <w:tr2bl w:val="nil"/>
            </w:tcBorders>
            <w:vAlign w:val="center"/>
          </w:tcPr>
          <w:p w14:paraId="7CD27261">
            <w:pPr>
              <w:widowControl w:val="0"/>
              <w:spacing w:after="0" w:afterLines="0" w:line="360" w:lineRule="exact"/>
              <w:ind w:firstLine="0" w:firstLineChars="0"/>
              <w:jc w:val="center"/>
              <w:rPr>
                <w:color w:val="auto"/>
                <w:sz w:val="21"/>
                <w:szCs w:val="21"/>
                <w:highlight w:val="none"/>
              </w:rPr>
            </w:pPr>
            <w:r>
              <w:rPr>
                <w:color w:val="auto"/>
                <w:sz w:val="21"/>
                <w:szCs w:val="21"/>
                <w:highlight w:val="none"/>
              </w:rPr>
              <w:t>无影响</w:t>
            </w:r>
          </w:p>
        </w:tc>
      </w:tr>
      <w:tr w14:paraId="2F7269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770" w:type="pct"/>
            <w:tcBorders>
              <w:tl2br w:val="nil"/>
              <w:tr2bl w:val="nil"/>
            </w:tcBorders>
            <w:vAlign w:val="center"/>
          </w:tcPr>
          <w:p w14:paraId="1CB01763">
            <w:pPr>
              <w:widowControl w:val="0"/>
              <w:spacing w:after="0" w:afterLines="0" w:line="360" w:lineRule="exact"/>
              <w:ind w:firstLine="0" w:firstLineChars="0"/>
              <w:jc w:val="center"/>
              <w:rPr>
                <w:color w:val="auto"/>
                <w:sz w:val="21"/>
                <w:szCs w:val="21"/>
                <w:highlight w:val="none"/>
              </w:rPr>
            </w:pPr>
            <w:r>
              <w:rPr>
                <w:color w:val="auto"/>
                <w:sz w:val="21"/>
                <w:szCs w:val="21"/>
                <w:highlight w:val="none"/>
              </w:rPr>
              <w:t>锅炉的影响</w:t>
            </w:r>
          </w:p>
        </w:tc>
        <w:tc>
          <w:tcPr>
            <w:tcW w:w="3229" w:type="pct"/>
            <w:tcBorders>
              <w:tl2br w:val="nil"/>
              <w:tr2bl w:val="nil"/>
            </w:tcBorders>
            <w:vAlign w:val="center"/>
          </w:tcPr>
          <w:p w14:paraId="05D49A00">
            <w:pPr>
              <w:widowControl w:val="0"/>
              <w:spacing w:after="0" w:afterLines="0" w:line="360" w:lineRule="exact"/>
              <w:ind w:firstLine="0" w:firstLineChars="0"/>
              <w:jc w:val="center"/>
              <w:rPr>
                <w:color w:val="auto"/>
                <w:sz w:val="21"/>
                <w:szCs w:val="21"/>
                <w:highlight w:val="none"/>
              </w:rPr>
            </w:pPr>
            <w:r>
              <w:rPr>
                <w:color w:val="auto"/>
                <w:sz w:val="21"/>
                <w:szCs w:val="21"/>
                <w:highlight w:val="none"/>
                <w:lang w:eastAsia="zh-CN"/>
              </w:rPr>
              <w:t>受炉膛内烟气流速、温度分布及NOx分布</w:t>
            </w:r>
            <w:r>
              <w:rPr>
                <w:color w:val="auto"/>
                <w:sz w:val="21"/>
                <w:szCs w:val="21"/>
                <w:highlight w:val="none"/>
              </w:rPr>
              <w:t>影响</w:t>
            </w:r>
          </w:p>
        </w:tc>
      </w:tr>
      <w:tr w14:paraId="309187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770" w:type="pct"/>
            <w:tcBorders>
              <w:tl2br w:val="nil"/>
              <w:tr2bl w:val="nil"/>
            </w:tcBorders>
            <w:vAlign w:val="center"/>
          </w:tcPr>
          <w:p w14:paraId="40F796EA">
            <w:pPr>
              <w:widowControl w:val="0"/>
              <w:spacing w:after="0" w:afterLines="0" w:line="360" w:lineRule="exact"/>
              <w:ind w:firstLine="0" w:firstLineChars="0"/>
              <w:jc w:val="center"/>
              <w:rPr>
                <w:color w:val="auto"/>
                <w:sz w:val="21"/>
                <w:szCs w:val="21"/>
                <w:highlight w:val="none"/>
              </w:rPr>
            </w:pPr>
            <w:r>
              <w:rPr>
                <w:color w:val="auto"/>
                <w:sz w:val="21"/>
                <w:szCs w:val="21"/>
                <w:highlight w:val="none"/>
              </w:rPr>
              <w:t>占地空间</w:t>
            </w:r>
          </w:p>
        </w:tc>
        <w:tc>
          <w:tcPr>
            <w:tcW w:w="3229" w:type="pct"/>
            <w:tcBorders>
              <w:tl2br w:val="nil"/>
              <w:tr2bl w:val="nil"/>
            </w:tcBorders>
            <w:vAlign w:val="center"/>
          </w:tcPr>
          <w:p w14:paraId="01B2333E">
            <w:pPr>
              <w:widowControl w:val="0"/>
              <w:spacing w:after="0" w:afterLines="0" w:line="360" w:lineRule="exact"/>
              <w:ind w:firstLine="0" w:firstLineChars="0"/>
              <w:jc w:val="center"/>
              <w:rPr>
                <w:color w:val="auto"/>
                <w:sz w:val="21"/>
                <w:szCs w:val="21"/>
                <w:highlight w:val="none"/>
                <w:lang w:eastAsia="zh-CN"/>
              </w:rPr>
            </w:pPr>
            <w:r>
              <w:rPr>
                <w:color w:val="auto"/>
                <w:sz w:val="21"/>
                <w:szCs w:val="21"/>
                <w:highlight w:val="none"/>
                <w:lang w:eastAsia="zh-CN"/>
              </w:rPr>
              <w:t>低（锅炉无需增加催化剂反应器）</w:t>
            </w:r>
          </w:p>
        </w:tc>
      </w:tr>
    </w:tbl>
    <w:p w14:paraId="41BBAE50">
      <w:pPr>
        <w:ind w:firstLine="480"/>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③水膜脱硫除尘</w:t>
      </w:r>
    </w:p>
    <w:p w14:paraId="0F0CC376">
      <w:pPr>
        <w:ind w:firstLine="480"/>
        <w:rPr>
          <w:rFonts w:hint="eastAsia" w:ascii="Times New Roman" w:hAnsi="Times New Roman" w:cs="Times New Roman"/>
          <w:color w:val="auto"/>
          <w:highlight w:val="none"/>
          <w:lang w:eastAsia="zh-CN"/>
        </w:rPr>
      </w:pPr>
      <w:r>
        <w:rPr>
          <w:rFonts w:hint="default" w:ascii="Times New Roman" w:hAnsi="Times New Roman" w:cs="Times New Roman"/>
          <w:color w:val="auto"/>
          <w:highlight w:val="none"/>
        </w:rPr>
        <w:t>水膜脱硫除尘器，又称</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"https://baike.baidu.com/item/%E6%B0%B4%E8%86%9C%E9%99%A4%E5%B0%98%E5%99%A8/1164797?fromModule=lemma_inlink" \t "https://baike.baidu.com/item/%E6%B0%B4%E8%86%9C%E8%84%B1%E7%A1%AB%E9%99%A4%E5%B0%98%E5%99%A8/_blank"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水膜除尘器</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，是一种应用于烟气处理的高效脱硫设备，适用于燃煤锅炉等领域</w:t>
      </w:r>
      <w:r>
        <w:rPr>
          <w:rFonts w:hint="eastAsia" w:ascii="Times New Roman" w:hAnsi="Times New Roman" w:cs="Times New Roman"/>
          <w:color w:val="auto"/>
          <w:highlight w:val="none"/>
          <w:lang w:eastAsia="zh-CN"/>
        </w:rPr>
        <w:t>。</w:t>
      </w:r>
    </w:p>
    <w:p w14:paraId="0B1AFCEB">
      <w:pPr>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其工作原理是：含尘气体由筒体下部顺切向引入，旋转上升，尘粒受离心力作用被分离并抛向筒体内壁，被内壁流动的水膜层吸附，随水流排出。该设备通常由文丘里管和水膜除尘捕滴器组合而成；文丘里管由收缩管、喉管、扩散管和喷水装置组成，可初步去除部分烟尘；水膜除尘捕滴器内，烟气做螺旋上升运动，尘粒被离心力甩向筒壁，被溢水槽形成的水膜捕获。水膜脱硫除尘器通过水膜捕获粉尘、净化气体，具有除尘脱硫一体化的特点。</w:t>
      </w:r>
    </w:p>
    <w:p w14:paraId="2D24C62A">
      <w:pPr>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eastAsia="zh-CN"/>
        </w:rPr>
        <w:t>该设备具有除尘脱硫一体化、工艺流程短、结构简单、占地面积小的特点。本体采用花岗岩材料制成，耐腐蚀、耐磨损，内部无活动件，操作维护方便；花岗岩筒体使用寿命长达20年，采用不锈钢（如316不锈钢）的主体设备使用寿命可超过15年。处理能力大，除尘效率可达99%以上，</w:t>
      </w:r>
      <w:r>
        <w:rPr>
          <w:rFonts w:hint="default" w:ascii="Times New Roman" w:hAnsi="Times New Roman" w:cs="Times New Roman"/>
          <w:color w:val="auto"/>
          <w:highlight w:val="none"/>
          <w:lang w:val="en-US" w:eastAsia="zh-CN"/>
        </w:rPr>
        <w:t>石灰石/石灰-石膏</w:t>
      </w:r>
      <w:r>
        <w:rPr>
          <w:rFonts w:hint="eastAsia" w:ascii="Times New Roman" w:hAnsi="Times New Roman" w:cs="Times New Roman"/>
          <w:color w:val="auto"/>
          <w:highlight w:val="none"/>
          <w:lang w:val="en-US" w:eastAsia="zh-CN"/>
        </w:rPr>
        <w:t>湿法</w:t>
      </w:r>
      <w:r>
        <w:rPr>
          <w:rFonts w:hint="eastAsia" w:ascii="Times New Roman" w:hAnsi="Times New Roman" w:cs="Times New Roman"/>
          <w:color w:val="auto"/>
          <w:highlight w:val="none"/>
          <w:lang w:eastAsia="zh-CN"/>
        </w:rPr>
        <w:t>脱硫率可达</w:t>
      </w:r>
      <w:r>
        <w:rPr>
          <w:rFonts w:hint="eastAsia" w:ascii="Times New Roman" w:hAnsi="Times New Roman" w:cs="Times New Roman"/>
          <w:color w:val="auto"/>
          <w:highlight w:val="none"/>
          <w:lang w:val="en-US" w:eastAsia="zh-CN"/>
        </w:rPr>
        <w:t>9</w:t>
      </w:r>
      <w:r>
        <w:rPr>
          <w:rFonts w:hint="eastAsia" w:ascii="Times New Roman" w:hAnsi="Times New Roman" w:cs="Times New Roman"/>
          <w:color w:val="auto"/>
          <w:highlight w:val="none"/>
          <w:lang w:eastAsia="zh-CN"/>
        </w:rPr>
        <w:t>0%左右。对负荷波动适应能力强，运行稳定、可靠。湿式除尘，无二次扬尘污染。脱硫液可循环使用，不对外排放</w:t>
      </w:r>
      <w:r>
        <w:rPr>
          <w:rFonts w:hint="eastAsia" w:ascii="Times New Roman" w:hAnsi="Times New Roman" w:cs="Times New Roman"/>
          <w:color w:val="auto"/>
          <w:highlight w:val="none"/>
          <w:lang w:val="en-US" w:eastAsia="zh-CN"/>
        </w:rPr>
        <w:t>。</w:t>
      </w:r>
    </w:p>
    <w:p w14:paraId="4A0C721A">
      <w:pPr>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根据《排污许可证申请与核发技术规范锅炉》（HJ953-2018）6.2.1中污染防治可行技术要求：</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对于锅炉燃烧排放的二氧化硫，燃煤锅炉优先采用低硫煤，并结合脱硫效率达到要求的干法/半干法（包括烟气循环流化床法等）或湿法（包括石灰石－石膏法、氧化镁法和钠碱法等）烟气脱硫技术；燃油锅炉宜优先采用低硫油，必要时采用脱硫效率达到要求的湿法烟气脱硫技术。</w:t>
      </w:r>
      <w:r>
        <w:rPr>
          <w:rFonts w:hint="eastAsia" w:cs="Times New Roman"/>
          <w:color w:val="auto"/>
          <w:highlight w:val="none"/>
          <w:lang w:val="en-US" w:eastAsia="zh-CN"/>
        </w:rPr>
        <w:t>”</w:t>
      </w:r>
    </w:p>
    <w:p w14:paraId="6BC5E5EA">
      <w:pPr>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本项目锅炉脱硫措施选择水膜脱硫除尘</w:t>
      </w:r>
      <w:r>
        <w:rPr>
          <w:rFonts w:hint="eastAsia" w:ascii="Times New Roman" w:hAnsi="Times New Roman" w:cs="Times New Roman"/>
          <w:color w:val="auto"/>
          <w:highlight w:val="none"/>
          <w:lang w:val="en-US" w:eastAsia="zh-CN"/>
        </w:rPr>
        <w:t>设施</w:t>
      </w:r>
      <w:r>
        <w:rPr>
          <w:rFonts w:hint="default" w:ascii="Times New Roman" w:hAnsi="Times New Roman" w:cs="Times New Roman"/>
          <w:color w:val="auto"/>
          <w:highlight w:val="none"/>
          <w:lang w:val="en-US" w:eastAsia="zh-CN"/>
        </w:rPr>
        <w:t>（石灰石/石灰-石膏</w:t>
      </w:r>
      <w:r>
        <w:rPr>
          <w:rFonts w:hint="eastAsia" w:ascii="Times New Roman" w:hAnsi="Times New Roman" w:cs="Times New Roman"/>
          <w:color w:val="auto"/>
          <w:highlight w:val="none"/>
          <w:lang w:val="en-US" w:eastAsia="zh-CN"/>
        </w:rPr>
        <w:t>湿法</w:t>
      </w:r>
      <w:r>
        <w:rPr>
          <w:rFonts w:hint="default" w:ascii="Times New Roman" w:hAnsi="Times New Roman" w:cs="Times New Roman"/>
          <w:color w:val="auto"/>
          <w:highlight w:val="none"/>
          <w:lang w:val="en-US" w:eastAsia="zh-CN"/>
        </w:rPr>
        <w:t>脱硫），烟气脱硫效率</w:t>
      </w:r>
      <w:r>
        <w:rPr>
          <w:rFonts w:hint="eastAsia" w:ascii="Times New Roman" w:hAnsi="Times New Roman" w:cs="Times New Roman"/>
          <w:color w:val="auto"/>
          <w:highlight w:val="none"/>
          <w:lang w:val="en-US" w:eastAsia="zh-CN"/>
        </w:rPr>
        <w:t>约为90</w:t>
      </w:r>
      <w:r>
        <w:rPr>
          <w:rFonts w:hint="default" w:ascii="Times New Roman" w:hAnsi="Times New Roman" w:cs="Times New Roman"/>
          <w:color w:val="auto"/>
          <w:highlight w:val="none"/>
          <w:lang w:val="en-US" w:eastAsia="zh-CN"/>
        </w:rPr>
        <w:t>%，脱硫治理措施与《排污许可证申请与核发技术规范锅炉》（HJ953-2018）推荐技术是符合的，为可行技术。</w:t>
      </w:r>
    </w:p>
    <w:p w14:paraId="0286FA6E">
      <w:pPr>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④汞及其化合物控制措施</w:t>
      </w:r>
    </w:p>
    <w:p w14:paraId="76825669">
      <w:pPr>
        <w:ind w:firstLine="480"/>
        <w:rPr>
          <w:color w:val="auto"/>
          <w:highlight w:val="none"/>
        </w:rPr>
      </w:pPr>
      <w:r>
        <w:rPr>
          <w:color w:val="auto"/>
          <w:highlight w:val="none"/>
        </w:rPr>
        <w:t>布袋除尘器、</w:t>
      </w:r>
      <w:r>
        <w:rPr>
          <w:rFonts w:hint="eastAsia"/>
          <w:color w:val="auto"/>
          <w:highlight w:val="none"/>
          <w:lang w:val="en-US" w:eastAsia="zh-CN"/>
        </w:rPr>
        <w:t>SNCR、</w:t>
      </w:r>
      <w:r>
        <w:rPr>
          <w:color w:val="auto"/>
          <w:highlight w:val="none"/>
        </w:rPr>
        <w:t>石灰石－石膏湿法脱硫对汞及其化合物具有协同处理效果，烟气中的颗粒态汞主要吸附在飞灰当中，这部分的固相汞可被布袋除尘器在除尘清灰过程中去除。烟气中的Hg</w:t>
      </w:r>
      <w:r>
        <w:rPr>
          <w:color w:val="auto"/>
          <w:highlight w:val="none"/>
          <w:vertAlign w:val="superscript"/>
        </w:rPr>
        <w:t>2+</w:t>
      </w:r>
      <w:r>
        <w:rPr>
          <w:color w:val="auto"/>
          <w:highlight w:val="none"/>
        </w:rPr>
        <w:t>一般以HgCl</w:t>
      </w:r>
      <w:r>
        <w:rPr>
          <w:color w:val="auto"/>
          <w:highlight w:val="none"/>
          <w:vertAlign w:val="subscript"/>
        </w:rPr>
        <w:t>2</w:t>
      </w:r>
      <w:r>
        <w:rPr>
          <w:color w:val="auto"/>
          <w:highlight w:val="none"/>
        </w:rPr>
        <w:t>的形态存在，HgCl</w:t>
      </w:r>
      <w:r>
        <w:rPr>
          <w:color w:val="auto"/>
          <w:highlight w:val="none"/>
          <w:vertAlign w:val="subscript"/>
        </w:rPr>
        <w:t>2</w:t>
      </w:r>
      <w:r>
        <w:rPr>
          <w:color w:val="auto"/>
          <w:highlight w:val="none"/>
        </w:rPr>
        <w:t>易溶于水，钙基类物质对单质汞的脱除有很好的吸附效果，协同处理效率</w:t>
      </w:r>
      <w:r>
        <w:rPr>
          <w:rFonts w:hint="eastAsia"/>
          <w:color w:val="auto"/>
          <w:highlight w:val="none"/>
          <w:lang w:val="en-US" w:eastAsia="zh-CN"/>
        </w:rPr>
        <w:t>70</w:t>
      </w:r>
      <w:r>
        <w:rPr>
          <w:color w:val="auto"/>
          <w:highlight w:val="none"/>
        </w:rPr>
        <w:t>%。</w:t>
      </w:r>
    </w:p>
    <w:p w14:paraId="48193F15">
      <w:pPr>
        <w:ind w:firstLine="480"/>
        <w:rPr>
          <w:rFonts w:ascii="Times New Roman" w:hAnsi="Times New Roman" w:cs="Times New Roman"/>
          <w:color w:val="auto"/>
          <w:highlight w:val="none"/>
        </w:rPr>
      </w:pPr>
      <w:r>
        <w:rPr>
          <w:rFonts w:hint="eastAsia"/>
          <w:color w:val="auto"/>
          <w:highlight w:val="none"/>
          <w:lang w:val="en-US" w:eastAsia="zh-CN"/>
        </w:rPr>
        <w:t>⑤锅炉废气</w:t>
      </w:r>
      <w:r>
        <w:rPr>
          <w:rFonts w:ascii="Times New Roman" w:hAnsi="Times New Roman" w:cs="Times New Roman"/>
          <w:color w:val="auto"/>
          <w:highlight w:val="none"/>
        </w:rPr>
        <w:t>排放管理要求</w:t>
      </w:r>
    </w:p>
    <w:p w14:paraId="259A915D">
      <w:pPr>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运营期应保证脱硝、除尘、脱硫设施的正常运行，并进行维护和管理，确保大气污染物达标排放。</w:t>
      </w:r>
    </w:p>
    <w:p w14:paraId="03060EF6">
      <w:pPr>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1）废气治理设施应与锅炉同步运行，并保证在锅炉负荷波动情况下仍能正常运行，实现达标排放。由于事故或设备维修等原因造成治理设施停止运行时，应立即报告当地生态环境主管部门。</w:t>
      </w:r>
    </w:p>
    <w:p w14:paraId="3E495C97">
      <w:pPr>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2）脱硝、除尘、脱硫治理设施运行应尽可能在满足设计工况的条件下进行，并根据工艺要求，定期对设备、电气、自控仪表及锅炉间进行检查维护，确保可靠稳定运行。</w:t>
      </w:r>
    </w:p>
    <w:p w14:paraId="74872BAF">
      <w:pPr>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3）加强脱硝、除尘、脱硫治理设施巡检，消除设施隐患，保证设施正常稳定运行。</w:t>
      </w:r>
    </w:p>
    <w:p w14:paraId="0DA1F137">
      <w:pPr>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4）规范治理设施开停机记录、维修巡检记录、原辅料及燃料使用记录、设备部件更换记录、脱硫副产物质量及处置去向记录、治理前后烟气监测记录等，要求记录规范，内容完整。</w:t>
      </w:r>
    </w:p>
    <w:p w14:paraId="44D57325">
      <w:pPr>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5）不应设置烟气旁路通道，已设置的烟气旁路通道应予以拆除或实行旁路挡板铅封。</w:t>
      </w:r>
    </w:p>
    <w:p w14:paraId="6BA765B0">
      <w:pPr>
        <w:overflowPunct w:val="0"/>
        <w:topLinePunct/>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6）烟气污染治理设施检修期间，锅炉应停止运行，并向生态环境主管部门提交污染治理设施检维修计划，检维修计划应至少包括检维修的起始时间、情形描述、预计结束时间、拟采取应对措施等内容。</w:t>
      </w:r>
    </w:p>
    <w:p w14:paraId="426B38E4">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6.2.1.2无组织粉尘污染防治措施</w:t>
      </w:r>
    </w:p>
    <w:p w14:paraId="39F65FD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项目区内尾矿库、物料倒运、装卸等易产生扬尘。有风时项目区内扬尘严重，造成无组织面源污染问题，本环评提出如下要求：</w:t>
      </w:r>
    </w:p>
    <w:p w14:paraId="204B073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（1）未收集粉尘：</w:t>
      </w:r>
      <w:r>
        <w:rPr>
          <w:rFonts w:hint="default" w:ascii="Times New Roman" w:hAnsi="Times New Roman" w:cs="Times New Roman"/>
          <w:color w:val="auto"/>
          <w:kern w:val="0"/>
          <w:highlight w:val="none"/>
        </w:rPr>
        <w:t>本项目各生产</w:t>
      </w:r>
      <w:r>
        <w:rPr>
          <w:rFonts w:hint="default" w:ascii="Times New Roman" w:hAnsi="Times New Roman" w:cs="Times New Roman"/>
          <w:color w:val="auto"/>
          <w:highlight w:val="none"/>
        </w:rPr>
        <w:t>车间为全封闭状态，为了有效防止粉尘污染，在车间设置喷雾降尘，粉尘</w:t>
      </w:r>
      <w:r>
        <w:rPr>
          <w:rFonts w:hint="default" w:ascii="Times New Roman" w:hAnsi="Times New Roman" w:cs="Times New Roman"/>
          <w:color w:val="auto"/>
          <w:highlight w:val="none"/>
          <w:lang w:eastAsia="zh-CN"/>
        </w:rPr>
        <w:t>及氟化物</w:t>
      </w:r>
      <w:r>
        <w:rPr>
          <w:rFonts w:hint="default" w:ascii="Times New Roman" w:hAnsi="Times New Roman" w:cs="Times New Roman"/>
          <w:color w:val="auto"/>
          <w:highlight w:val="none"/>
        </w:rPr>
        <w:t>产生量很少。</w:t>
      </w:r>
      <w:r>
        <w:rPr>
          <w:rFonts w:hint="default" w:ascii="Times New Roman" w:hAnsi="Times New Roman" w:cs="Times New Roman"/>
          <w:color w:val="auto"/>
          <w:kern w:val="0"/>
          <w:highlight w:val="none"/>
          <w:lang w:eastAsia="zh-CN"/>
        </w:rPr>
        <w:t>精矿采取密闭仓储，粉尘排放忽略不计。</w:t>
      </w:r>
    </w:p>
    <w:p w14:paraId="114CECA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（2）原矿仓扬尘：本项目选矿生产作业前将原矿石上料至原矿仓内，</w:t>
      </w:r>
      <w:r>
        <w:rPr>
          <w:rFonts w:hint="default" w:ascii="Times New Roman" w:hAnsi="Times New Roman" w:cs="Times New Roman"/>
          <w:color w:val="auto"/>
          <w:highlight w:val="none"/>
          <w:lang w:eastAsia="zh-CN"/>
        </w:rPr>
        <w:t>原矿颗粒较大，采取</w:t>
      </w:r>
      <w:r>
        <w:rPr>
          <w:rFonts w:hint="default" w:ascii="Times New Roman" w:hAnsi="Times New Roman" w:cs="Times New Roman"/>
          <w:color w:val="auto"/>
          <w:highlight w:val="none"/>
        </w:rPr>
        <w:t>洒水降尘等抑尘措施，粉尘</w:t>
      </w:r>
      <w:r>
        <w:rPr>
          <w:rFonts w:hint="default" w:ascii="Times New Roman" w:hAnsi="Times New Roman" w:cs="Times New Roman"/>
          <w:color w:val="auto"/>
          <w:highlight w:val="none"/>
          <w:lang w:eastAsia="zh-CN"/>
        </w:rPr>
        <w:t>及氟化物</w:t>
      </w:r>
      <w:r>
        <w:rPr>
          <w:rFonts w:hint="default" w:ascii="Times New Roman" w:hAnsi="Times New Roman" w:cs="Times New Roman"/>
          <w:color w:val="auto"/>
          <w:highlight w:val="none"/>
        </w:rPr>
        <w:t>产生量较少。</w:t>
      </w:r>
    </w:p>
    <w:p w14:paraId="1583700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）尾矿库扬尘：尾砂含水率约</w:t>
      </w:r>
      <w:r>
        <w:rPr>
          <w:rFonts w:hint="eastAsia" w:cs="Times New Roman"/>
          <w:color w:val="auto"/>
          <w:highlight w:val="none"/>
          <w:lang w:val="en-US" w:eastAsia="zh-CN"/>
        </w:rPr>
        <w:t>8</w:t>
      </w:r>
      <w:r>
        <w:rPr>
          <w:rFonts w:hint="default" w:ascii="Times New Roman" w:hAnsi="Times New Roman" w:cs="Times New Roman"/>
          <w:color w:val="auto"/>
          <w:highlight w:val="none"/>
        </w:rPr>
        <w:t>5%，尾矿的排尾工艺中根据库区地形和干滩情况合理布设排放尾矿的间距，使长期干滩的面积减到最小；控制放矿间隔时间，使尾矿干滩的尾矿含有一定水分，达不到扬尘起动的条件。</w:t>
      </w:r>
    </w:p>
    <w:p w14:paraId="3E5DB17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）产品装卸扬尘：</w:t>
      </w:r>
      <w:r>
        <w:rPr>
          <w:rFonts w:hint="default" w:ascii="Times New Roman" w:hAnsi="Times New Roman" w:cs="Times New Roman"/>
          <w:color w:val="auto"/>
          <w:kern w:val="0"/>
          <w:highlight w:val="none"/>
          <w:lang w:eastAsia="zh-CN"/>
        </w:rPr>
        <w:t>精矿采取密闭仓储</w:t>
      </w:r>
      <w:r>
        <w:rPr>
          <w:rFonts w:hint="default" w:ascii="Times New Roman" w:hAnsi="Times New Roman" w:cs="Times New Roman"/>
          <w:color w:val="auto"/>
          <w:highlight w:val="none"/>
        </w:rPr>
        <w:t>，在采取降低作业高度</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洒水抑尘、微风情况下装卸等措施后，抑制产品装卸扬尘有一定效果。</w:t>
      </w:r>
    </w:p>
    <w:p w14:paraId="1BB6B88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运输扬尘：本项目采取道路路面硬化，道路两侧根据实际情况实施绿化以减轻风力的扬尘影响。项目区内运输线路两侧无居民区。运输车辆上覆篷布，运输途中不易起尘，运输途中车辆严禁超载和超速行驶，运输道路进行洒水抑尘，减少粉尘污染。</w:t>
      </w:r>
    </w:p>
    <w:p w14:paraId="7AAEE04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煤仓（煤棚）扬尘控制措施：本项目锅炉房燃煤储存于封闭式煤棚内，为有效控制煤棚无组织粉尘排放，应采取以下措施：①煤棚采用全封闭结构，设置卷帘门或快速堆积门，非作业时保持关闭，减少风力扬尘；②煤棚内部设置固定式或移动式喷雾抑尘装置，在煤炭装卸、堆取作业时开启，保持煤炭表面湿润，降低起尘量；③煤棚地面进行硬化处理，定期清扫，防止车辆碾压产生二次扬尘；④燃煤运输车辆进出煤棚时，应控制车速，并对轮胎进行冲洗或简单清扫，减少带出煤尘；⑤煤棚内煤炭堆存高度不宜过高，避免大风天气下顶部扬尘；⑥建立煤棚运行维护制度，定期检查喷雾装置和围护结构的完好性，确保抑尘效果。</w:t>
      </w:r>
    </w:p>
    <w:p w14:paraId="0F0B4488">
      <w:pPr>
        <w:numPr>
          <w:ilvl w:val="0"/>
          <w:numId w:val="0"/>
        </w:numPr>
        <w:overflowPunct w:val="0"/>
        <w:topLinePunct/>
        <w:ind w:firstLine="480" w:firstLineChars="200"/>
        <w:rPr>
          <w:rFonts w:hint="default" w:ascii="Times New Roman" w:hAnsi="Times New Roman" w:cs="Times New Roman"/>
          <w:color w:val="auto"/>
          <w:highlight w:val="none"/>
        </w:rPr>
      </w:pPr>
      <w:r>
        <w:rPr>
          <w:rFonts w:hint="default" w:ascii="Times New Roman" w:hAnsi="Times New Roman" w:eastAsia="宋体" w:cs="Times New Roman"/>
          <w:color w:val="auto"/>
          <w:kern w:val="2"/>
          <w:sz w:val="24"/>
          <w:szCs w:val="24"/>
          <w:highlight w:val="none"/>
          <w:lang w:val="en-US" w:eastAsia="zh-CN" w:bidi="ar-SA"/>
        </w:rPr>
        <w:t>（7）</w:t>
      </w:r>
      <w:r>
        <w:rPr>
          <w:rFonts w:hint="default" w:ascii="Times New Roman" w:hAnsi="Times New Roman" w:cs="Times New Roman"/>
          <w:color w:val="auto"/>
          <w:highlight w:val="none"/>
        </w:rPr>
        <w:t>针对燃油设备和车辆运行时产生的无组织燃油废气，选用低能耗、高效率的燃油设备和车辆，对其加强日常检修及维护保养，加强对燃油设备和车辆的管理，对项目区建筑设施及场所进行合理布局，在项目区合理设置指示牌，减少燃油设备和车辆运行时间和距离。</w:t>
      </w:r>
    </w:p>
    <w:p w14:paraId="026FFF50">
      <w:pPr>
        <w:numPr>
          <w:ilvl w:val="0"/>
          <w:numId w:val="0"/>
        </w:numPr>
        <w:overflowPunct w:val="0"/>
        <w:topLinePunct/>
        <w:ind w:firstLine="480" w:firstLineChars="200"/>
        <w:rPr>
          <w:rFonts w:hint="default" w:ascii="Times New Roman" w:hAnsi="Times New Roman" w:cs="Times New Roman"/>
          <w:color w:val="auto"/>
          <w:highlight w:val="none"/>
        </w:rPr>
      </w:pPr>
      <w:r>
        <w:rPr>
          <w:rFonts w:hint="default" w:ascii="Times New Roman" w:hAnsi="Times New Roman" w:eastAsia="宋体" w:cs="Times New Roman"/>
          <w:color w:val="auto"/>
          <w:kern w:val="2"/>
          <w:sz w:val="24"/>
          <w:szCs w:val="24"/>
          <w:highlight w:val="none"/>
          <w:lang w:val="en-US" w:eastAsia="zh-CN" w:bidi="ar-SA"/>
        </w:rPr>
        <w:t>（8）</w:t>
      </w:r>
      <w:r>
        <w:rPr>
          <w:rFonts w:hint="default" w:ascii="Times New Roman" w:hAnsi="Times New Roman" w:cs="Times New Roman"/>
          <w:color w:val="auto"/>
          <w:highlight w:val="none"/>
        </w:rPr>
        <w:t>选矿厂工业场地的工作人员</w:t>
      </w:r>
      <w:r>
        <w:rPr>
          <w:rFonts w:hint="eastAsia" w:cs="Times New Roman"/>
          <w:color w:val="auto"/>
          <w:highlight w:val="none"/>
          <w:lang w:eastAsia="zh-CN"/>
        </w:rPr>
        <w:t>佩戴</w:t>
      </w:r>
      <w:r>
        <w:rPr>
          <w:rFonts w:hint="default" w:ascii="Times New Roman" w:hAnsi="Times New Roman" w:cs="Times New Roman"/>
          <w:color w:val="auto"/>
          <w:highlight w:val="none"/>
        </w:rPr>
        <w:t>好个人劳动防护用品，对接触粉尘较多的工人</w:t>
      </w:r>
      <w:r>
        <w:rPr>
          <w:rFonts w:hint="eastAsia" w:cs="Times New Roman"/>
          <w:color w:val="auto"/>
          <w:highlight w:val="none"/>
          <w:lang w:eastAsia="zh-CN"/>
        </w:rPr>
        <w:t>佩戴</w:t>
      </w:r>
      <w:r>
        <w:rPr>
          <w:rFonts w:hint="default" w:ascii="Times New Roman" w:hAnsi="Times New Roman" w:cs="Times New Roman"/>
          <w:color w:val="auto"/>
          <w:highlight w:val="none"/>
        </w:rPr>
        <w:t>好防尘口罩和增强个体营养保健。</w:t>
      </w:r>
    </w:p>
    <w:p w14:paraId="7A84058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cs="Times New Roman"/>
          <w:color w:val="auto"/>
          <w:highlight w:val="none"/>
          <w:lang w:val="en-US" w:eastAsia="zh-CN"/>
        </w:rPr>
        <w:t>9</w:t>
      </w:r>
      <w:r>
        <w:rPr>
          <w:rFonts w:hint="default" w:ascii="Times New Roman" w:hAnsi="Times New Roman" w:cs="Times New Roman"/>
          <w:color w:val="auto"/>
          <w:highlight w:val="none"/>
        </w:rPr>
        <w:t>）污染治理效果的好坏与企业管理机制是息息相关的，由众多调查结果看到，如果企业管理制度严明，管理得当，则不会对企业内环境构成威胁，如果企业内管理制度不严，任其随意堆放，不做任何处理的话，则会对环境产生不可估量的环境污染，影响整个企业的环境，企业</w:t>
      </w:r>
      <w:r>
        <w:rPr>
          <w:rFonts w:hint="eastAsia" w:cs="Times New Roman"/>
          <w:color w:val="auto"/>
          <w:highlight w:val="none"/>
          <w:lang w:eastAsia="zh-CN"/>
        </w:rPr>
        <w:t>管理制度</w:t>
      </w:r>
      <w:r>
        <w:rPr>
          <w:rFonts w:hint="default" w:ascii="Times New Roman" w:hAnsi="Times New Roman" w:cs="Times New Roman"/>
          <w:color w:val="auto"/>
          <w:highlight w:val="none"/>
        </w:rPr>
        <w:t>显示出其绝对重要性，因此必须加强企业管理。</w:t>
      </w:r>
    </w:p>
    <w:p w14:paraId="578D1EAE">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以上措施是国内外生产实践中防止粉尘无组织排放而普遍采用、简易可行的成熟的技术和方法，经同类企业实践证明效果亦是较好的，尤其是对物料堆存粉尘的无组织排放防治效果明显，可以保证无组织粉尘达标排放，最大限度地减少对周围环境的影响。本项目对上述措施应严格予以实施。</w:t>
      </w:r>
    </w:p>
    <w:p w14:paraId="710E7E0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本项目采取的废气治理措施经济合理可行，易操作。</w:t>
      </w:r>
      <w:r>
        <w:rPr>
          <w:rFonts w:hint="default" w:ascii="Times New Roman" w:hAnsi="Times New Roman" w:cs="Times New Roman"/>
          <w:color w:val="auto"/>
          <w:highlight w:val="none"/>
        </w:rPr>
        <w:t>对于本项目无组织排放能够起到较好</w:t>
      </w:r>
      <w:r>
        <w:rPr>
          <w:rFonts w:hint="eastAsia" w:cs="Times New Roman"/>
          <w:color w:val="auto"/>
          <w:highlight w:val="none"/>
          <w:lang w:eastAsia="zh-CN"/>
        </w:rPr>
        <w:t>的</w:t>
      </w:r>
      <w:r>
        <w:rPr>
          <w:rFonts w:hint="default" w:ascii="Times New Roman" w:hAnsi="Times New Roman" w:cs="Times New Roman"/>
          <w:color w:val="auto"/>
          <w:highlight w:val="none"/>
        </w:rPr>
        <w:t>控制效果。厂界粉尘</w:t>
      </w:r>
      <w:r>
        <w:rPr>
          <w:rFonts w:hint="default" w:ascii="Times New Roman" w:hAnsi="Times New Roman" w:cs="Times New Roman"/>
          <w:color w:val="auto"/>
          <w:highlight w:val="none"/>
          <w:lang w:eastAsia="zh-CN"/>
        </w:rPr>
        <w:t>及氟化物</w:t>
      </w:r>
      <w:r>
        <w:rPr>
          <w:rFonts w:hint="default" w:ascii="Times New Roman" w:hAnsi="Times New Roman" w:cs="Times New Roman"/>
          <w:color w:val="auto"/>
          <w:highlight w:val="none"/>
        </w:rPr>
        <w:t>也满足《大气污染物综合排放标准》（GB16297-1996）无组织排放浓度限值要求。</w:t>
      </w:r>
    </w:p>
    <w:p w14:paraId="2B50A607">
      <w:pPr>
        <w:pStyle w:val="4"/>
        <w:rPr>
          <w:rFonts w:hint="default" w:ascii="Times New Roman" w:hAnsi="Times New Roman" w:cs="Times New Roman"/>
          <w:color w:val="auto"/>
          <w:highlight w:val="none"/>
        </w:rPr>
      </w:pPr>
      <w:bookmarkStart w:id="795" w:name="_Toc24608"/>
      <w:bookmarkStart w:id="796" w:name="_Toc12517"/>
      <w:bookmarkStart w:id="797" w:name="_Toc10248"/>
      <w:r>
        <w:rPr>
          <w:rFonts w:hint="default" w:ascii="Times New Roman" w:hAnsi="Times New Roman" w:cs="Times New Roman"/>
          <w:color w:val="auto"/>
          <w:highlight w:val="none"/>
        </w:rPr>
        <w:t>6.2.2地表水污染防治措施</w:t>
      </w:r>
      <w:bookmarkEnd w:id="795"/>
      <w:bookmarkEnd w:id="796"/>
      <w:bookmarkEnd w:id="797"/>
    </w:p>
    <w:p w14:paraId="4E2B2CBB">
      <w:pPr>
        <w:pStyle w:val="5"/>
        <w:ind w:firstLine="482" w:firstLineChars="200"/>
        <w:rPr>
          <w:rFonts w:hint="default" w:ascii="Times New Roman" w:hAnsi="Times New Roman" w:cs="Times New Roman"/>
          <w:color w:val="auto"/>
          <w:highlight w:val="none"/>
        </w:rPr>
      </w:pPr>
      <w:bookmarkStart w:id="798" w:name="_Toc21384"/>
      <w:r>
        <w:rPr>
          <w:rFonts w:hint="default" w:ascii="Times New Roman" w:hAnsi="Times New Roman" w:cs="Times New Roman"/>
          <w:color w:val="auto"/>
          <w:highlight w:val="none"/>
        </w:rPr>
        <w:t>6.2.2.1生活污水处置措施</w:t>
      </w:r>
    </w:p>
    <w:p w14:paraId="3F62ED7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（1）生活污水处置措施</w:t>
      </w:r>
    </w:p>
    <w:p w14:paraId="4D563A37">
      <w:pPr>
        <w:overflowPunct w:val="0"/>
        <w:topLinePunct/>
        <w:ind w:firstLine="480"/>
        <w:rPr>
          <w:rFonts w:hint="default" w:ascii="Times New Roman" w:hAnsi="Times New Roman" w:cs="Times New Roman"/>
          <w:bCs/>
          <w:color w:val="auto"/>
          <w:kern w:val="0"/>
          <w:highlight w:val="none"/>
        </w:rPr>
      </w:pPr>
      <w:r>
        <w:rPr>
          <w:rFonts w:hint="default" w:ascii="Times New Roman" w:hAnsi="Times New Roman" w:cs="Times New Roman"/>
          <w:color w:val="auto"/>
          <w:highlight w:val="none"/>
        </w:rPr>
        <w:t>生活污水主要为洗浴、食堂、卫生间以及洗衣等产生的，属于一般性生活污水，主要污染物为SS、BOD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、COD、氨氮及动植物油等，</w:t>
      </w:r>
      <w:r>
        <w:rPr>
          <w:rFonts w:hint="default" w:ascii="Times New Roman" w:hAnsi="Times New Roman" w:cs="Times New Roman"/>
          <w:color w:val="auto"/>
          <w:highlight w:val="none"/>
          <w:lang w:eastAsia="zh-CN"/>
        </w:rPr>
        <w:t>新增工作人员</w:t>
      </w:r>
      <w:r>
        <w:rPr>
          <w:rFonts w:hint="default" w:ascii="Times New Roman" w:hAnsi="Times New Roman" w:cs="Times New Roman"/>
          <w:color w:val="auto"/>
          <w:highlight w:val="none"/>
        </w:rPr>
        <w:t>生活污水产生量为</w:t>
      </w:r>
      <w:r>
        <w:rPr>
          <w:rFonts w:hint="eastAsia" w:cs="Times New Roman"/>
          <w:color w:val="auto"/>
          <w:highlight w:val="none"/>
          <w:lang w:val="en-US" w:eastAsia="zh-CN"/>
        </w:rPr>
        <w:t>6.12</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/d。生活污水污染物浓度及产生量为SS：220mg/L（</w:t>
      </w:r>
      <w:r>
        <w:rPr>
          <w:rFonts w:hint="eastAsia" w:cs="Times New Roman"/>
          <w:color w:val="auto"/>
          <w:highlight w:val="none"/>
          <w:lang w:val="en-US" w:eastAsia="zh-CN"/>
        </w:rPr>
        <w:t>0.40</w:t>
      </w:r>
      <w:r>
        <w:rPr>
          <w:rFonts w:hint="default" w:ascii="Times New Roman" w:hAnsi="Times New Roman" w:cs="Times New Roman"/>
          <w:color w:val="auto"/>
          <w:highlight w:val="none"/>
        </w:rPr>
        <w:t>t/a）、COD：300mg/L（</w:t>
      </w:r>
      <w:r>
        <w:rPr>
          <w:rFonts w:hint="eastAsia" w:cs="Times New Roman"/>
          <w:color w:val="auto"/>
          <w:highlight w:val="none"/>
          <w:lang w:val="en-US" w:eastAsia="zh-CN"/>
        </w:rPr>
        <w:t>0.55</w:t>
      </w:r>
      <w:r>
        <w:rPr>
          <w:rFonts w:hint="default" w:ascii="Times New Roman" w:hAnsi="Times New Roman" w:cs="Times New Roman"/>
          <w:color w:val="auto"/>
          <w:highlight w:val="none"/>
        </w:rPr>
        <w:t>t/a）、BOD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：200mg/L（</w:t>
      </w:r>
      <w:r>
        <w:rPr>
          <w:rFonts w:hint="eastAsia" w:cs="Times New Roman"/>
          <w:color w:val="auto"/>
          <w:highlight w:val="none"/>
          <w:lang w:val="en-US" w:eastAsia="zh-CN"/>
        </w:rPr>
        <w:t>0.37</w:t>
      </w:r>
      <w:r>
        <w:rPr>
          <w:rFonts w:hint="default" w:ascii="Times New Roman" w:hAnsi="Times New Roman" w:cs="Times New Roman"/>
          <w:color w:val="auto"/>
          <w:highlight w:val="none"/>
        </w:rPr>
        <w:t>t/a）、氨氮：30mg/L（</w:t>
      </w:r>
      <w:r>
        <w:rPr>
          <w:rFonts w:hint="eastAsia" w:cs="Times New Roman"/>
          <w:color w:val="auto"/>
          <w:highlight w:val="none"/>
          <w:lang w:val="en-US" w:eastAsia="zh-CN"/>
        </w:rPr>
        <w:t>0.6</w:t>
      </w:r>
      <w:r>
        <w:rPr>
          <w:rFonts w:hint="default" w:ascii="Times New Roman" w:hAnsi="Times New Roman" w:cs="Times New Roman"/>
          <w:color w:val="auto"/>
          <w:highlight w:val="none"/>
        </w:rPr>
        <w:t>t/a）、动植物油100mg/L（</w:t>
      </w:r>
      <w:r>
        <w:rPr>
          <w:rFonts w:hint="eastAsia" w:cs="Times New Roman"/>
          <w:color w:val="auto"/>
          <w:highlight w:val="none"/>
          <w:lang w:val="en-US" w:eastAsia="zh-CN"/>
        </w:rPr>
        <w:t>0.18</w:t>
      </w:r>
      <w:r>
        <w:rPr>
          <w:rFonts w:hint="default" w:ascii="Times New Roman" w:hAnsi="Times New Roman" w:cs="Times New Roman"/>
          <w:color w:val="auto"/>
          <w:highlight w:val="none"/>
        </w:rPr>
        <w:t>t/a）。本项目生活污水排入</w:t>
      </w:r>
      <w:r>
        <w:rPr>
          <w:rFonts w:hint="eastAsia" w:cs="Times New Roman"/>
          <w:color w:val="auto"/>
          <w:highlight w:val="none"/>
          <w:lang w:val="en-US" w:eastAsia="zh-CN"/>
        </w:rPr>
        <w:t>化粪池定期清运至哈密市污水处理厂</w:t>
      </w:r>
      <w:r>
        <w:rPr>
          <w:rFonts w:hint="default" w:ascii="Times New Roman" w:hAnsi="Times New Roman" w:cs="Times New Roman"/>
          <w:color w:val="auto"/>
          <w:highlight w:val="none"/>
        </w:rPr>
        <w:t>，不外排。</w:t>
      </w:r>
    </w:p>
    <w:p w14:paraId="4C2E504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r>
        <w:rPr>
          <w:rFonts w:hint="eastAsia" w:cs="Times New Roman"/>
          <w:color w:val="auto"/>
          <w:highlight w:val="none"/>
          <w:lang w:val="en-US" w:eastAsia="zh-CN"/>
        </w:rPr>
        <w:t>生活</w:t>
      </w:r>
      <w:r>
        <w:rPr>
          <w:rFonts w:hint="eastAsia" w:cs="Times New Roman"/>
          <w:b w:val="0"/>
          <w:bCs/>
          <w:color w:val="auto"/>
          <w:highlight w:val="none"/>
          <w:lang w:val="en-US" w:eastAsia="zh-CN"/>
        </w:rPr>
        <w:t>污水处理厂可</w:t>
      </w:r>
      <w:r>
        <w:rPr>
          <w:rFonts w:hint="default" w:ascii="Times New Roman" w:hAnsi="Times New Roman" w:cs="Times New Roman"/>
          <w:color w:val="auto"/>
          <w:kern w:val="0"/>
          <w:highlight w:val="none"/>
          <w:lang w:eastAsia="zh-CN"/>
        </w:rPr>
        <w:t>依托</w:t>
      </w:r>
      <w:r>
        <w:rPr>
          <w:rFonts w:hint="default" w:ascii="Times New Roman" w:hAnsi="Times New Roman" w:cs="Times New Roman"/>
          <w:color w:val="auto"/>
          <w:kern w:val="0"/>
          <w:highlight w:val="none"/>
        </w:rPr>
        <w:t>可行性分析</w:t>
      </w:r>
    </w:p>
    <w:p w14:paraId="786F03AB">
      <w:pPr>
        <w:overflowPunct w:val="0"/>
        <w:topLinePunct/>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哈密市主城区已建成并投运的生活污水处理厂为哈密市污水处理厂，由哈密东天山水务集团有限公司运营，具体信息如下：</w:t>
      </w:r>
    </w:p>
    <w:p w14:paraId="540FE6A9">
      <w:pPr>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表6.2-2    哈密市污水处理厂</w:t>
      </w:r>
      <w:r>
        <w:rPr>
          <w:rFonts w:hint="eastAsia" w:ascii="Times New Roman" w:hAnsi="Times New Roman" w:cs="Times New Roman"/>
          <w:b/>
          <w:bCs/>
          <w:color w:val="auto"/>
          <w:highlight w:val="none"/>
          <w:lang w:val="en-US" w:eastAsia="zh-CN"/>
        </w:rPr>
        <w:t>基本信息</w:t>
      </w:r>
      <w:r>
        <w:rPr>
          <w:rFonts w:hint="default" w:ascii="Times New Roman" w:hAnsi="Times New Roman" w:cs="Times New Roman"/>
          <w:b/>
          <w:bCs/>
          <w:color w:val="auto"/>
          <w:highlight w:val="none"/>
        </w:rPr>
        <w:t>一览表</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454"/>
        <w:gridCol w:w="5068"/>
      </w:tblGrid>
      <w:tr w14:paraId="5EC6E1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026" w:type="pct"/>
            <w:vAlign w:val="center"/>
          </w:tcPr>
          <w:p w14:paraId="31915861">
            <w:pPr>
              <w:spacing w:line="360" w:lineRule="exact"/>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w:t>
            </w:r>
          </w:p>
        </w:tc>
        <w:tc>
          <w:tcPr>
            <w:tcW w:w="2973" w:type="pct"/>
            <w:vAlign w:val="center"/>
          </w:tcPr>
          <w:p w14:paraId="4DE14843">
            <w:pPr>
              <w:spacing w:line="360" w:lineRule="exact"/>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内容</w:t>
            </w:r>
          </w:p>
        </w:tc>
      </w:tr>
      <w:tr w14:paraId="471FB5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454" w:type="dxa"/>
            <w:vAlign w:val="center"/>
          </w:tcPr>
          <w:p w14:paraId="175EE6E3">
            <w:pPr>
              <w:pStyle w:val="47"/>
              <w:keepNext w:val="0"/>
              <w:keepLines w:val="0"/>
              <w:pageBreakBefore w:val="0"/>
              <w:widowControl w:val="0"/>
              <w:kinsoku/>
              <w:wordWrap/>
              <w:overflowPunct/>
              <w:topLinePunct w:val="0"/>
              <w:autoSpaceDE/>
              <w:autoSpaceDN/>
              <w:bidi w:val="0"/>
              <w:adjustRightInd/>
              <w:snapToGrid w:val="0"/>
              <w:spacing w:before="0" w:beforeAutospacing="0"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运营单位</w:t>
            </w:r>
          </w:p>
        </w:tc>
        <w:tc>
          <w:tcPr>
            <w:tcW w:w="5068" w:type="dxa"/>
            <w:vAlign w:val="center"/>
          </w:tcPr>
          <w:p w14:paraId="536E993B">
            <w:pPr>
              <w:pStyle w:val="47"/>
              <w:keepNext w:val="0"/>
              <w:keepLines w:val="0"/>
              <w:pageBreakBefore w:val="0"/>
              <w:widowControl w:val="0"/>
              <w:kinsoku/>
              <w:wordWrap/>
              <w:overflowPunct/>
              <w:topLinePunct w:val="0"/>
              <w:autoSpaceDE/>
              <w:autoSpaceDN/>
              <w:bidi w:val="0"/>
              <w:adjustRightInd/>
              <w:snapToGrid w:val="0"/>
              <w:spacing w:before="0" w:beforeAutospacing="0"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哈密东天山水务集团有限公司</w:t>
            </w:r>
          </w:p>
        </w:tc>
      </w:tr>
      <w:tr w14:paraId="7E1F54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454" w:type="dxa"/>
            <w:vAlign w:val="center"/>
          </w:tcPr>
          <w:p w14:paraId="501E2F85">
            <w:pPr>
              <w:pStyle w:val="47"/>
              <w:keepNext w:val="0"/>
              <w:keepLines w:val="0"/>
              <w:pageBreakBefore w:val="0"/>
              <w:widowControl w:val="0"/>
              <w:kinsoku/>
              <w:wordWrap/>
              <w:overflowPunct/>
              <w:topLinePunct w:val="0"/>
              <w:autoSpaceDE/>
              <w:autoSpaceDN/>
              <w:bidi w:val="0"/>
              <w:adjustRightInd/>
              <w:snapToGrid w:val="0"/>
              <w:spacing w:before="0" w:beforeAutospacing="0"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处理能力</w:t>
            </w:r>
          </w:p>
        </w:tc>
        <w:tc>
          <w:tcPr>
            <w:tcW w:w="5068" w:type="dxa"/>
            <w:vAlign w:val="center"/>
          </w:tcPr>
          <w:p w14:paraId="32A4EB95">
            <w:pPr>
              <w:pStyle w:val="47"/>
              <w:keepNext w:val="0"/>
              <w:keepLines w:val="0"/>
              <w:pageBreakBefore w:val="0"/>
              <w:widowControl w:val="0"/>
              <w:kinsoku/>
              <w:wordWrap/>
              <w:overflowPunct/>
              <w:topLinePunct w:val="0"/>
              <w:autoSpaceDE/>
              <w:autoSpaceDN/>
              <w:bidi w:val="0"/>
              <w:adjustRightInd/>
              <w:snapToGrid w:val="0"/>
              <w:spacing w:before="0" w:beforeAutospacing="0"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10万立方米/天（100000m</w:t>
            </w:r>
            <w:r>
              <w:rPr>
                <w:rFonts w:hint="eastAsia" w:ascii="Times New Roman" w:hAnsi="Times New Roman" w:eastAsia="宋体" w:cs="Times New Roman"/>
                <w:color w:val="auto"/>
                <w:spacing w:val="-2"/>
                <w:sz w:val="21"/>
                <w:szCs w:val="21"/>
                <w:highlight w:val="none"/>
                <w:vertAlign w:val="superscript"/>
                <w:lang w:val="en-US" w:eastAsia="zh-CN"/>
              </w:rPr>
              <w:t>3</w:t>
            </w:r>
            <w:r>
              <w:rPr>
                <w:rFonts w:hint="default" w:ascii="Times New Roman" w:hAnsi="Times New Roman" w:eastAsia="宋体" w:cs="Times New Roman"/>
                <w:color w:val="auto"/>
                <w:spacing w:val="-2"/>
                <w:sz w:val="21"/>
                <w:szCs w:val="21"/>
                <w:highlight w:val="none"/>
              </w:rPr>
              <w:t>/d）</w:t>
            </w:r>
          </w:p>
        </w:tc>
      </w:tr>
      <w:tr w14:paraId="0373F4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454" w:type="dxa"/>
            <w:vAlign w:val="center"/>
          </w:tcPr>
          <w:p w14:paraId="642FF539">
            <w:pPr>
              <w:pStyle w:val="47"/>
              <w:keepNext w:val="0"/>
              <w:keepLines w:val="0"/>
              <w:pageBreakBefore w:val="0"/>
              <w:widowControl w:val="0"/>
              <w:kinsoku/>
              <w:wordWrap/>
              <w:overflowPunct/>
              <w:topLinePunct w:val="0"/>
              <w:autoSpaceDE/>
              <w:autoSpaceDN/>
              <w:bidi w:val="0"/>
              <w:adjustRightInd/>
              <w:snapToGrid w:val="0"/>
              <w:spacing w:before="0" w:beforeAutospacing="0"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处理工艺</w:t>
            </w:r>
          </w:p>
        </w:tc>
        <w:tc>
          <w:tcPr>
            <w:tcW w:w="5068" w:type="dxa"/>
            <w:vAlign w:val="center"/>
          </w:tcPr>
          <w:p w14:paraId="0A2F8F74">
            <w:pPr>
              <w:pStyle w:val="47"/>
              <w:keepNext w:val="0"/>
              <w:keepLines w:val="0"/>
              <w:pageBreakBefore w:val="0"/>
              <w:widowControl w:val="0"/>
              <w:kinsoku/>
              <w:wordWrap/>
              <w:overflowPunct/>
              <w:topLinePunct w:val="0"/>
              <w:autoSpaceDE/>
              <w:autoSpaceDN/>
              <w:bidi w:val="0"/>
              <w:adjustRightInd/>
              <w:snapToGrid w:val="0"/>
              <w:spacing w:before="0" w:beforeAutospacing="0"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二级生化处理+深度处理</w:t>
            </w:r>
          </w:p>
        </w:tc>
      </w:tr>
      <w:tr w14:paraId="29493B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454" w:type="dxa"/>
            <w:vAlign w:val="center"/>
          </w:tcPr>
          <w:p w14:paraId="54B92CC9">
            <w:pPr>
              <w:pStyle w:val="47"/>
              <w:keepNext w:val="0"/>
              <w:keepLines w:val="0"/>
              <w:pageBreakBefore w:val="0"/>
              <w:widowControl w:val="0"/>
              <w:kinsoku/>
              <w:wordWrap/>
              <w:overflowPunct/>
              <w:topLinePunct w:val="0"/>
              <w:autoSpaceDE/>
              <w:autoSpaceDN/>
              <w:bidi w:val="0"/>
              <w:adjustRightInd/>
              <w:snapToGrid w:val="0"/>
              <w:spacing w:before="0" w:beforeAutospacing="0"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出水标准</w:t>
            </w:r>
          </w:p>
        </w:tc>
        <w:tc>
          <w:tcPr>
            <w:tcW w:w="5068" w:type="dxa"/>
            <w:vAlign w:val="center"/>
          </w:tcPr>
          <w:p w14:paraId="60AC14E9">
            <w:pPr>
              <w:pStyle w:val="47"/>
              <w:keepNext w:val="0"/>
              <w:keepLines w:val="0"/>
              <w:pageBreakBefore w:val="0"/>
              <w:widowControl w:val="0"/>
              <w:kinsoku/>
              <w:wordWrap/>
              <w:overflowPunct/>
              <w:topLinePunct w:val="0"/>
              <w:autoSpaceDE/>
              <w:autoSpaceDN/>
              <w:bidi w:val="0"/>
              <w:adjustRightInd/>
              <w:snapToGrid w:val="0"/>
              <w:spacing w:before="0" w:beforeAutospacing="0"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国家《城镇污水处理厂污染物排放标准》一级A标准</w:t>
            </w:r>
          </w:p>
        </w:tc>
      </w:tr>
      <w:tr w14:paraId="67CADF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454" w:type="dxa"/>
            <w:vAlign w:val="center"/>
          </w:tcPr>
          <w:p w14:paraId="005D887F">
            <w:pPr>
              <w:pStyle w:val="47"/>
              <w:keepNext w:val="0"/>
              <w:keepLines w:val="0"/>
              <w:pageBreakBefore w:val="0"/>
              <w:widowControl w:val="0"/>
              <w:kinsoku/>
              <w:wordWrap/>
              <w:overflowPunct/>
              <w:topLinePunct w:val="0"/>
              <w:autoSpaceDE/>
              <w:autoSpaceDN/>
              <w:bidi w:val="0"/>
              <w:adjustRightInd/>
              <w:snapToGrid w:val="0"/>
              <w:spacing w:before="0" w:beforeAutospacing="0"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厂址</w:t>
            </w:r>
          </w:p>
        </w:tc>
        <w:tc>
          <w:tcPr>
            <w:tcW w:w="5068" w:type="dxa"/>
            <w:vAlign w:val="center"/>
          </w:tcPr>
          <w:p w14:paraId="3BB46541">
            <w:pPr>
              <w:pStyle w:val="47"/>
              <w:keepNext w:val="0"/>
              <w:keepLines w:val="0"/>
              <w:pageBreakBefore w:val="0"/>
              <w:widowControl w:val="0"/>
              <w:kinsoku/>
              <w:wordWrap/>
              <w:overflowPunct/>
              <w:topLinePunct w:val="0"/>
              <w:autoSpaceDE/>
              <w:autoSpaceDN/>
              <w:bidi w:val="0"/>
              <w:adjustRightInd/>
              <w:snapToGrid w:val="0"/>
              <w:spacing w:before="0" w:beforeAutospacing="0" w:line="36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哈密市伊州区红星西路3号（哈密市花园乡）</w:t>
            </w:r>
          </w:p>
        </w:tc>
      </w:tr>
    </w:tbl>
    <w:p w14:paraId="4E1CD23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本项目日均污水产生量6.12m</w:t>
      </w:r>
      <w:r>
        <w:rPr>
          <w:rFonts w:hint="eastAsia" w:cs="Times New Roman"/>
          <w:color w:val="auto"/>
          <w:highlight w:val="none"/>
          <w:vertAlign w:val="superscript"/>
          <w:lang w:val="en-US" w:eastAsia="zh-CN"/>
        </w:rPr>
        <w:t>3</w:t>
      </w:r>
      <w:r>
        <w:rPr>
          <w:rFonts w:hint="default" w:ascii="Times New Roman" w:hAnsi="Times New Roman" w:cs="Times New Roman"/>
          <w:color w:val="auto"/>
          <w:highlight w:val="none"/>
        </w:rPr>
        <w:t>/d，仅占哈密市污水处理厂处理能力（10万m</w:t>
      </w:r>
      <w:r>
        <w:rPr>
          <w:rFonts w:hint="eastAsia" w:cs="Times New Roman"/>
          <w:color w:val="auto"/>
          <w:highlight w:val="none"/>
          <w:vertAlign w:val="superscript"/>
          <w:lang w:val="en-US" w:eastAsia="zh-CN"/>
        </w:rPr>
        <w:t>3</w:t>
      </w:r>
      <w:r>
        <w:rPr>
          <w:rFonts w:hint="default" w:ascii="Times New Roman" w:hAnsi="Times New Roman" w:cs="Times New Roman"/>
          <w:color w:val="auto"/>
          <w:highlight w:val="none"/>
        </w:rPr>
        <w:t>/d）的0.0061%。水量占比极小，对污水处理厂的运行负荷基本无影响，污水处理厂有充足的富余容量接纳本项目生活污水。</w:t>
      </w:r>
    </w:p>
    <w:bookmarkEnd w:id="798"/>
    <w:p w14:paraId="6E5A6E4A">
      <w:pPr>
        <w:pStyle w:val="5"/>
        <w:ind w:firstLine="482" w:firstLineChars="200"/>
        <w:rPr>
          <w:rFonts w:hint="default" w:ascii="Times New Roman" w:hAnsi="Times New Roman" w:cs="Times New Roman"/>
          <w:color w:val="auto"/>
          <w:highlight w:val="none"/>
        </w:rPr>
      </w:pPr>
      <w:bookmarkStart w:id="799" w:name="_Toc14156"/>
      <w:r>
        <w:rPr>
          <w:rFonts w:hint="default" w:ascii="Times New Roman" w:hAnsi="Times New Roman" w:cs="Times New Roman"/>
          <w:color w:val="auto"/>
          <w:highlight w:val="none"/>
        </w:rPr>
        <w:t>6.2.2.2生产废水处置措施</w:t>
      </w:r>
    </w:p>
    <w:p w14:paraId="50419636">
      <w:pPr>
        <w:overflowPunct w:val="0"/>
        <w:topLinePunct/>
        <w:ind w:firstLine="480"/>
        <w:rPr>
          <w:rFonts w:hint="default" w:ascii="Times New Roman" w:hAnsi="Times New Roman" w:cs="Times New Roman"/>
          <w:color w:val="auto"/>
          <w:kern w:val="0"/>
          <w:highlight w:val="none"/>
          <w:lang w:val="zh-CN"/>
        </w:rPr>
      </w:pPr>
      <w:r>
        <w:rPr>
          <w:rFonts w:hint="default" w:ascii="Times New Roman" w:hAnsi="Times New Roman" w:cs="Times New Roman"/>
          <w:color w:val="auto"/>
          <w:kern w:val="0"/>
          <w:highlight w:val="none"/>
        </w:rPr>
        <w:t>（1）选矿厂</w:t>
      </w:r>
      <w:r>
        <w:rPr>
          <w:rFonts w:hint="default" w:ascii="Times New Roman" w:hAnsi="Times New Roman" w:cs="Times New Roman"/>
          <w:color w:val="auto"/>
          <w:kern w:val="0"/>
          <w:highlight w:val="none"/>
          <w:lang w:val="zh-CN"/>
        </w:rPr>
        <w:t>精矿压滤水、尾矿浓缩溢流水返回生产工序循环利用，尾矿矿浆通过管道输送至尾矿库，尾矿库设有回水系统，使用水泵将库内澄清水通过管道泵送至</w:t>
      </w:r>
      <w:r>
        <w:rPr>
          <w:rFonts w:hint="eastAsia" w:cs="Times New Roman"/>
          <w:color w:val="auto"/>
          <w:kern w:val="0"/>
          <w:highlight w:val="none"/>
          <w:lang w:val="en-US" w:eastAsia="zh-CN"/>
        </w:rPr>
        <w:t>尾矿水聚集池</w:t>
      </w:r>
      <w:r>
        <w:rPr>
          <w:rFonts w:hint="default" w:ascii="Times New Roman" w:hAnsi="Times New Roman" w:cs="Times New Roman"/>
          <w:color w:val="auto"/>
          <w:kern w:val="0"/>
          <w:highlight w:val="none"/>
          <w:lang w:val="zh-CN"/>
        </w:rPr>
        <w:t>，供选矿循环使用，实现生产废水</w:t>
      </w:r>
      <w:r>
        <w:rPr>
          <w:rFonts w:hint="eastAsia" w:cs="Times New Roman"/>
          <w:color w:val="auto"/>
          <w:kern w:val="0"/>
          <w:highlight w:val="none"/>
          <w:lang w:val="zh-CN"/>
        </w:rPr>
        <w:t>“</w:t>
      </w:r>
      <w:r>
        <w:rPr>
          <w:rFonts w:hint="default" w:ascii="Times New Roman" w:hAnsi="Times New Roman" w:cs="Times New Roman"/>
          <w:color w:val="auto"/>
          <w:kern w:val="0"/>
          <w:highlight w:val="none"/>
          <w:lang w:val="zh-CN"/>
        </w:rPr>
        <w:t>闭路循环</w:t>
      </w:r>
      <w:r>
        <w:rPr>
          <w:rFonts w:hint="eastAsia" w:cs="Times New Roman"/>
          <w:color w:val="auto"/>
          <w:kern w:val="0"/>
          <w:highlight w:val="none"/>
          <w:lang w:val="zh-CN"/>
        </w:rPr>
        <w:t>”</w:t>
      </w:r>
      <w:r>
        <w:rPr>
          <w:rFonts w:hint="default" w:ascii="Times New Roman" w:hAnsi="Times New Roman" w:cs="Times New Roman"/>
          <w:color w:val="auto"/>
          <w:kern w:val="0"/>
          <w:highlight w:val="none"/>
          <w:lang w:val="zh-CN"/>
        </w:rPr>
        <w:t>。</w:t>
      </w:r>
    </w:p>
    <w:p w14:paraId="2FF07AD7">
      <w:pPr>
        <w:overflowPunct w:val="0"/>
        <w:topLinePunct/>
        <w:ind w:firstLine="480"/>
        <w:rPr>
          <w:rFonts w:hint="default" w:ascii="Times New Roman" w:hAnsi="Times New Roman" w:cs="Times New Roman"/>
          <w:color w:val="auto"/>
          <w:kern w:val="0"/>
          <w:highlight w:val="none"/>
          <w:lang w:val="zh-CN"/>
        </w:rPr>
      </w:pPr>
      <w:r>
        <w:rPr>
          <w:rFonts w:hint="default" w:ascii="Times New Roman" w:hAnsi="Times New Roman" w:cs="Times New Roman"/>
          <w:color w:val="auto"/>
          <w:kern w:val="0"/>
          <w:highlight w:val="none"/>
          <w:lang w:val="zh-CN"/>
        </w:rPr>
        <w:t>（</w:t>
      </w:r>
      <w:r>
        <w:rPr>
          <w:rFonts w:hint="default" w:ascii="Times New Roman" w:hAnsi="Times New Roman" w:cs="Times New Roman"/>
          <w:color w:val="auto"/>
          <w:kern w:val="0"/>
          <w:highlight w:val="none"/>
        </w:rPr>
        <w:t>2</w:t>
      </w:r>
      <w:r>
        <w:rPr>
          <w:rFonts w:hint="default" w:ascii="Times New Roman" w:hAnsi="Times New Roman" w:cs="Times New Roman"/>
          <w:color w:val="auto"/>
          <w:kern w:val="0"/>
          <w:highlight w:val="none"/>
          <w:lang w:val="zh-CN"/>
        </w:rPr>
        <w:t>）锅炉排污水和软化废水排至沉淀池经沉淀处理后用于</w:t>
      </w:r>
      <w:r>
        <w:rPr>
          <w:rFonts w:hint="eastAsia" w:cs="Times New Roman"/>
          <w:color w:val="auto"/>
          <w:highlight w:val="none"/>
          <w:lang w:val="en-US" w:eastAsia="zh-CN"/>
        </w:rPr>
        <w:t>选矿生产</w:t>
      </w:r>
      <w:r>
        <w:rPr>
          <w:rFonts w:hint="default" w:ascii="Times New Roman" w:hAnsi="Times New Roman" w:cs="Times New Roman"/>
          <w:color w:val="auto"/>
          <w:highlight w:val="none"/>
        </w:rPr>
        <w:t>使用</w:t>
      </w:r>
      <w:r>
        <w:rPr>
          <w:rFonts w:hint="default" w:ascii="Times New Roman" w:hAnsi="Times New Roman" w:cs="Times New Roman"/>
          <w:color w:val="auto"/>
          <w:kern w:val="0"/>
          <w:highlight w:val="none"/>
          <w:lang w:val="zh-CN"/>
        </w:rPr>
        <w:t>，不外排。</w:t>
      </w:r>
    </w:p>
    <w:p w14:paraId="374CF422">
      <w:pPr>
        <w:overflowPunct w:val="0"/>
        <w:topLinePunct/>
        <w:ind w:firstLine="480"/>
        <w:rPr>
          <w:rFonts w:hint="default" w:ascii="Times New Roman" w:hAnsi="Times New Roman" w:cs="Times New Roman"/>
          <w:color w:val="auto"/>
          <w:kern w:val="0"/>
          <w:highlight w:val="none"/>
          <w:lang w:val="zh-CN"/>
        </w:rPr>
      </w:pPr>
      <w:r>
        <w:rPr>
          <w:rFonts w:hint="default" w:ascii="Times New Roman" w:hAnsi="Times New Roman" w:cs="Times New Roman"/>
          <w:color w:val="auto"/>
          <w:kern w:val="0"/>
          <w:highlight w:val="none"/>
          <w:lang w:val="zh-CN"/>
        </w:rPr>
        <w:t>（</w:t>
      </w:r>
      <w:r>
        <w:rPr>
          <w:rFonts w:hint="default" w:ascii="Times New Roman" w:hAnsi="Times New Roman" w:cs="Times New Roman"/>
          <w:color w:val="auto"/>
          <w:kern w:val="0"/>
          <w:highlight w:val="none"/>
        </w:rPr>
        <w:t>3</w:t>
      </w:r>
      <w:r>
        <w:rPr>
          <w:rFonts w:hint="default" w:ascii="Times New Roman" w:hAnsi="Times New Roman" w:cs="Times New Roman"/>
          <w:color w:val="auto"/>
          <w:kern w:val="0"/>
          <w:highlight w:val="none"/>
          <w:lang w:val="zh-CN"/>
        </w:rPr>
        <w:t>）本项目燃煤锅炉采用水膜脱硫除尘设施，运行过程中会定期排放脱硫废水，为防治脱硫废水污染，脱硫废水经脱硫系统排污口排入脱硫废水收集池，采用</w:t>
      </w:r>
      <w:r>
        <w:rPr>
          <w:rFonts w:hint="eastAsia" w:cs="Times New Roman"/>
          <w:color w:val="auto"/>
          <w:kern w:val="0"/>
          <w:highlight w:val="none"/>
          <w:lang w:val="zh-CN"/>
        </w:rPr>
        <w:t>“</w:t>
      </w:r>
      <w:r>
        <w:rPr>
          <w:rFonts w:hint="default" w:ascii="Times New Roman" w:hAnsi="Times New Roman" w:cs="Times New Roman"/>
          <w:color w:val="auto"/>
          <w:kern w:val="0"/>
          <w:highlight w:val="none"/>
          <w:lang w:val="zh-CN"/>
        </w:rPr>
        <w:t>中和+沉淀+絮凝+澄清</w:t>
      </w:r>
      <w:r>
        <w:rPr>
          <w:rFonts w:hint="eastAsia" w:cs="Times New Roman"/>
          <w:color w:val="auto"/>
          <w:kern w:val="0"/>
          <w:highlight w:val="none"/>
          <w:lang w:val="zh-CN"/>
        </w:rPr>
        <w:t>”</w:t>
      </w:r>
      <w:r>
        <w:rPr>
          <w:rFonts w:hint="default" w:ascii="Times New Roman" w:hAnsi="Times New Roman" w:cs="Times New Roman"/>
          <w:color w:val="auto"/>
          <w:kern w:val="0"/>
          <w:highlight w:val="none"/>
          <w:lang w:val="zh-CN"/>
        </w:rPr>
        <w:t>工艺进行处理，调节pH至中性，去除悬浮物</w:t>
      </w:r>
      <w:r>
        <w:rPr>
          <w:rFonts w:hint="eastAsia" w:cs="Times New Roman"/>
          <w:color w:val="auto"/>
          <w:kern w:val="0"/>
          <w:highlight w:val="none"/>
          <w:lang w:val="en-US" w:eastAsia="zh-CN"/>
        </w:rPr>
        <w:t>等，</w:t>
      </w:r>
      <w:r>
        <w:rPr>
          <w:rFonts w:hint="default" w:ascii="Times New Roman" w:hAnsi="Times New Roman" w:cs="Times New Roman"/>
          <w:color w:val="auto"/>
          <w:kern w:val="0"/>
          <w:highlight w:val="none"/>
          <w:lang w:val="zh-CN"/>
        </w:rPr>
        <w:t>处理后的上清液回用于</w:t>
      </w:r>
      <w:r>
        <w:rPr>
          <w:rFonts w:hint="eastAsia" w:cs="Times New Roman"/>
          <w:color w:val="auto"/>
          <w:highlight w:val="none"/>
          <w:lang w:val="en-US" w:eastAsia="zh-CN"/>
        </w:rPr>
        <w:t>选矿生产</w:t>
      </w:r>
      <w:r>
        <w:rPr>
          <w:rFonts w:hint="eastAsia" w:cs="Times New Roman"/>
          <w:color w:val="auto"/>
          <w:kern w:val="0"/>
          <w:highlight w:val="none"/>
          <w:lang w:val="zh-CN"/>
        </w:rPr>
        <w:t>，</w:t>
      </w:r>
      <w:r>
        <w:rPr>
          <w:rFonts w:hint="default" w:ascii="Times New Roman" w:hAnsi="Times New Roman" w:cs="Times New Roman"/>
          <w:color w:val="auto"/>
          <w:kern w:val="0"/>
          <w:highlight w:val="none"/>
          <w:lang w:val="zh-CN"/>
        </w:rPr>
        <w:t>不外排。</w:t>
      </w:r>
    </w:p>
    <w:p w14:paraId="3CE85AC9">
      <w:pPr>
        <w:overflowPunct w:val="0"/>
        <w:topLinePunct/>
        <w:ind w:firstLine="480"/>
        <w:rPr>
          <w:rFonts w:hint="default" w:ascii="Times New Roman" w:hAnsi="Times New Roman" w:cs="Times New Roman"/>
          <w:color w:val="auto"/>
          <w:kern w:val="0"/>
          <w:highlight w:val="none"/>
          <w:lang w:val="zh-CN"/>
        </w:rPr>
      </w:pPr>
      <w:r>
        <w:rPr>
          <w:rFonts w:hint="default" w:ascii="Times New Roman" w:hAnsi="Times New Roman" w:cs="Times New Roman"/>
          <w:color w:val="auto"/>
          <w:kern w:val="0"/>
          <w:highlight w:val="none"/>
          <w:lang w:val="zh-CN"/>
        </w:rPr>
        <w:t>（</w:t>
      </w:r>
      <w:r>
        <w:rPr>
          <w:rFonts w:hint="eastAsia" w:cs="Times New Roman"/>
          <w:color w:val="auto"/>
          <w:kern w:val="0"/>
          <w:highlight w:val="none"/>
          <w:lang w:val="en-US" w:eastAsia="zh-CN"/>
        </w:rPr>
        <w:t>4</w:t>
      </w:r>
      <w:r>
        <w:rPr>
          <w:rFonts w:hint="default" w:ascii="Times New Roman" w:hAnsi="Times New Roman" w:cs="Times New Roman"/>
          <w:color w:val="auto"/>
          <w:kern w:val="0"/>
          <w:highlight w:val="none"/>
          <w:lang w:val="zh-CN"/>
        </w:rPr>
        <w:t>）为防止生产废水外排对当地水环境产生影响，企业应从设计、施工到投产全过程加强生产废水的循环利用以及处理措施。</w:t>
      </w:r>
    </w:p>
    <w:p w14:paraId="382D2130">
      <w:pPr>
        <w:overflowPunct w:val="0"/>
        <w:topLinePunct/>
        <w:ind w:firstLine="480"/>
        <w:rPr>
          <w:rFonts w:hint="default" w:ascii="Times New Roman" w:hAnsi="Times New Roman" w:cs="Times New Roman"/>
          <w:color w:val="auto"/>
          <w:kern w:val="0"/>
          <w:highlight w:val="none"/>
          <w:lang w:val="zh-CN"/>
        </w:rPr>
      </w:pPr>
      <w:r>
        <w:rPr>
          <w:rFonts w:hint="default" w:ascii="Times New Roman" w:hAnsi="Times New Roman" w:cs="Times New Roman"/>
          <w:color w:val="auto"/>
          <w:kern w:val="0"/>
          <w:highlight w:val="none"/>
          <w:lang w:val="zh-CN"/>
        </w:rPr>
        <w:t>（</w:t>
      </w:r>
      <w:r>
        <w:rPr>
          <w:rFonts w:hint="eastAsia" w:cs="Times New Roman"/>
          <w:color w:val="auto"/>
          <w:kern w:val="0"/>
          <w:highlight w:val="none"/>
          <w:lang w:val="en-US" w:eastAsia="zh-CN"/>
        </w:rPr>
        <w:t>5</w:t>
      </w:r>
      <w:r>
        <w:rPr>
          <w:rFonts w:hint="default" w:ascii="Times New Roman" w:hAnsi="Times New Roman" w:cs="Times New Roman"/>
          <w:color w:val="auto"/>
          <w:kern w:val="0"/>
          <w:highlight w:val="none"/>
          <w:lang w:val="zh-CN"/>
        </w:rPr>
        <w:t>）本项目选矿工序配备有相应防渗循环水池，生产用水全部循环使用不外排。</w:t>
      </w:r>
    </w:p>
    <w:p w14:paraId="33324F51">
      <w:pPr>
        <w:overflowPunct w:val="0"/>
        <w:topLinePunct/>
        <w:ind w:firstLine="480"/>
        <w:rPr>
          <w:rFonts w:hint="default" w:ascii="Times New Roman" w:hAnsi="Times New Roman" w:cs="Times New Roman"/>
          <w:color w:val="auto"/>
          <w:highlight w:val="none"/>
        </w:rPr>
      </w:pPr>
      <w:r>
        <w:rPr>
          <w:rFonts w:hint="eastAsia" w:cs="Times New Roman"/>
          <w:color w:val="auto"/>
          <w:kern w:val="0"/>
          <w:highlight w:val="none"/>
          <w:lang w:val="zh-CN"/>
        </w:rPr>
        <w:t>（</w:t>
      </w:r>
      <w:r>
        <w:rPr>
          <w:rFonts w:hint="eastAsia" w:cs="Times New Roman"/>
          <w:color w:val="auto"/>
          <w:kern w:val="0"/>
          <w:highlight w:val="none"/>
          <w:lang w:val="en-US" w:eastAsia="zh-CN"/>
        </w:rPr>
        <w:t>6）</w:t>
      </w:r>
      <w:r>
        <w:rPr>
          <w:rFonts w:hint="default" w:ascii="Times New Roman" w:hAnsi="Times New Roman" w:cs="Times New Roman"/>
          <w:color w:val="auto"/>
          <w:kern w:val="0"/>
          <w:highlight w:val="none"/>
          <w:lang w:val="zh-CN"/>
        </w:rPr>
        <w:t>加强生产管理，防止生产过程中跑、冒、滴、漏及废水四处漫延地下，对企业污水处理应加强监管及相应的维护措施，严防事故性废水外排。</w:t>
      </w:r>
    </w:p>
    <w:bookmarkEnd w:id="799"/>
    <w:p w14:paraId="0598FBDF">
      <w:pPr>
        <w:pStyle w:val="4"/>
        <w:rPr>
          <w:rFonts w:hint="default" w:ascii="Times New Roman" w:hAnsi="Times New Roman" w:cs="Times New Roman"/>
          <w:color w:val="auto"/>
          <w:highlight w:val="none"/>
        </w:rPr>
      </w:pPr>
      <w:bookmarkStart w:id="800" w:name="_Toc12575"/>
      <w:bookmarkStart w:id="801" w:name="_Toc29274"/>
      <w:bookmarkStart w:id="802" w:name="_Toc26495"/>
      <w:r>
        <w:rPr>
          <w:rFonts w:hint="default" w:ascii="Times New Roman" w:hAnsi="Times New Roman" w:cs="Times New Roman"/>
          <w:color w:val="auto"/>
          <w:highlight w:val="none"/>
        </w:rPr>
        <w:t>6.2.3地下水污染防治措施</w:t>
      </w:r>
      <w:bookmarkEnd w:id="800"/>
      <w:bookmarkEnd w:id="801"/>
      <w:bookmarkEnd w:id="802"/>
    </w:p>
    <w:p w14:paraId="0B1C115A">
      <w:pPr>
        <w:pStyle w:val="5"/>
        <w:ind w:firstLine="482" w:firstLineChars="200"/>
        <w:rPr>
          <w:rFonts w:hint="default" w:ascii="Times New Roman" w:hAnsi="Times New Roman" w:cs="Times New Roman"/>
          <w:color w:val="auto"/>
          <w:highlight w:val="none"/>
        </w:rPr>
      </w:pPr>
      <w:bookmarkStart w:id="803" w:name="_Toc1278_WPSOffice_Level3"/>
      <w:r>
        <w:rPr>
          <w:rFonts w:hint="default" w:ascii="Times New Roman" w:hAnsi="Times New Roman" w:cs="Times New Roman"/>
          <w:color w:val="auto"/>
          <w:highlight w:val="none"/>
        </w:rPr>
        <w:t>6.2.3.1地下水水质监控措施</w:t>
      </w:r>
    </w:p>
    <w:p w14:paraId="247981C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（1）监测井设置：建立地下水</w:t>
      </w:r>
      <w:r>
        <w:rPr>
          <w:rFonts w:hint="eastAsia" w:cs="Times New Roman"/>
          <w:color w:val="auto"/>
          <w:highlight w:val="none"/>
          <w:lang w:eastAsia="zh-CN"/>
        </w:rPr>
        <w:t>环境</w:t>
      </w:r>
      <w:r>
        <w:rPr>
          <w:rFonts w:hint="default" w:ascii="Times New Roman" w:hAnsi="Times New Roman" w:cs="Times New Roman"/>
          <w:color w:val="auto"/>
          <w:highlight w:val="none"/>
        </w:rPr>
        <w:t>监测管理体系，配置必要的地下水监控井，以便及时准确地反馈地下水水质状况，为防止对地下水的污染采取相应的措施提供重要依据。根据《地下水环境监测技术规范》（HJ164-2020）的要求，根据本项目类型、地下水评价等级及前述地下水预测结果，本次</w:t>
      </w:r>
      <w:r>
        <w:rPr>
          <w:rFonts w:hint="default" w:ascii="Times New Roman" w:hAnsi="Times New Roman" w:cs="Times New Roman"/>
          <w:color w:val="auto"/>
          <w:highlight w:val="none"/>
          <w:lang w:eastAsia="zh-CN"/>
        </w:rPr>
        <w:t>至少</w:t>
      </w:r>
      <w:r>
        <w:rPr>
          <w:rFonts w:hint="default" w:ascii="Times New Roman" w:hAnsi="Times New Roman" w:cs="Times New Roman"/>
          <w:color w:val="auto"/>
          <w:highlight w:val="none"/>
        </w:rPr>
        <w:t>布设</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眼监控井，</w:t>
      </w:r>
      <w:r>
        <w:rPr>
          <w:rFonts w:hint="default" w:ascii="Times New Roman" w:hAnsi="Times New Roman" w:cs="Times New Roman"/>
          <w:color w:val="auto"/>
          <w:highlight w:val="none"/>
          <w:lang w:eastAsia="zh-CN"/>
        </w:rPr>
        <w:t>其中跟踪</w:t>
      </w:r>
      <w:r>
        <w:rPr>
          <w:rFonts w:hint="default" w:ascii="Times New Roman" w:hAnsi="Times New Roman" w:cs="Times New Roman"/>
          <w:color w:val="auto"/>
          <w:highlight w:val="none"/>
        </w:rPr>
        <w:t>监控井</w:t>
      </w:r>
      <w:r>
        <w:rPr>
          <w:rFonts w:hint="default" w:ascii="Times New Roman" w:hAnsi="Times New Roman" w:cs="Times New Roman"/>
          <w:color w:val="auto"/>
          <w:highlight w:val="none"/>
          <w:lang w:eastAsia="zh-CN"/>
        </w:rPr>
        <w:t>位于尾矿库下游</w:t>
      </w:r>
      <w:r>
        <w:rPr>
          <w:rFonts w:hint="default" w:ascii="Times New Roman" w:hAnsi="Times New Roman" w:cs="Times New Roman"/>
          <w:color w:val="auto"/>
          <w:highlight w:val="none"/>
        </w:rPr>
        <w:t>。</w:t>
      </w:r>
    </w:p>
    <w:p w14:paraId="5266C17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（2）监测计划：地下水跟踪监测项目为地下水水位、水质</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水温，同时还应测定气温，描述天气情况和降水情况。</w:t>
      </w:r>
    </w:p>
    <w:p w14:paraId="5C021A5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水质监测因子包括八大离子、基本水质因子和特征因子。本项目包括基本水质因子以pH、硝酸盐、亚硝酸盐、挥发性酚类、氰化物、砷、汞、铬（六价）、总硬度、铅、氯、镉、铁、锰、溶解性总固体、高锰酸盐指数、硫酸盐、氯化物、石油类</w:t>
      </w:r>
      <w:r>
        <w:rPr>
          <w:rFonts w:hint="default" w:ascii="Times New Roman" w:hAnsi="Times New Roman" w:cs="Times New Roman"/>
          <w:color w:val="auto"/>
          <w:highlight w:val="none"/>
          <w:lang w:eastAsia="zh-CN"/>
        </w:rPr>
        <w:t>、氟化物</w:t>
      </w:r>
      <w:r>
        <w:rPr>
          <w:rFonts w:hint="default" w:ascii="Times New Roman" w:hAnsi="Times New Roman" w:cs="Times New Roman"/>
          <w:color w:val="auto"/>
          <w:highlight w:val="none"/>
        </w:rPr>
        <w:t>等</w:t>
      </w:r>
      <w:r>
        <w:rPr>
          <w:rFonts w:hint="default" w:ascii="Times New Roman" w:hAnsi="Times New Roman" w:cs="Times New Roman"/>
          <w:color w:val="auto"/>
          <w:highlight w:val="none"/>
          <w:lang w:eastAsia="zh-CN"/>
        </w:rPr>
        <w:t>以</w:t>
      </w:r>
      <w:r>
        <w:rPr>
          <w:rFonts w:hint="default" w:ascii="Times New Roman" w:hAnsi="Times New Roman" w:cs="Times New Roman"/>
          <w:color w:val="auto"/>
          <w:highlight w:val="none"/>
        </w:rPr>
        <w:t>及背景值超标的水质因子为基础，跟踪检测因子包括环境监测的超标因子。</w:t>
      </w:r>
    </w:p>
    <w:p w14:paraId="4A797B1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项目区布设监控井，监测频率宜为每</w:t>
      </w:r>
      <w:r>
        <w:rPr>
          <w:rFonts w:hint="eastAsia" w:cs="Times New Roman"/>
          <w:color w:val="auto"/>
          <w:highlight w:val="none"/>
          <w:lang w:val="en-US" w:eastAsia="zh-CN"/>
        </w:rPr>
        <w:t>季度1次</w:t>
      </w:r>
      <w:r>
        <w:rPr>
          <w:rFonts w:hint="default" w:ascii="Times New Roman" w:hAnsi="Times New Roman" w:cs="Times New Roman"/>
          <w:color w:val="auto"/>
          <w:highlight w:val="none"/>
        </w:rPr>
        <w:t>，监测一旦发现水质发生异常，应及时通知有关管理部门和当地居民，做好应急防范工作，同时应立即查找滲漏点，进行修补。</w:t>
      </w:r>
    </w:p>
    <w:p w14:paraId="715ED3C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（3）管理要求：</w:t>
      </w:r>
    </w:p>
    <w:p w14:paraId="04D2DD4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①项目区环境保护管理部门指派专人负责防治地下水污染管理工作。</w:t>
      </w:r>
    </w:p>
    <w:p w14:paraId="22A8CB2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②企业应指派专人负责地下水环境跟踪监测工作，按上述监控措施委托具有监测资质的单位负责地下水监控工作，并按要求及时分析整理原始资料和负责监测报告的编写工作；</w:t>
      </w:r>
    </w:p>
    <w:p w14:paraId="7E846FA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企业应按时（宜每年2次）向环境保护管理部门上报生产运行记录，内容应包括地下水监测报告，排放污染物的种类、数量、浓度，生产设备、管道与管沟、原料及成品贮存与运输装置、污染物贮存与处理装置、事故应急装置等设施的运行状况、跑冒滴漏记录、维护记录等。由项目区环境保护管理部门建立地下水环境跟踪监测数据信息管理系统，编制地下水环境跟踪监测报告并在网站上公示信息，公开内容至少应包括该建设项目的特征因子及其相应的背景监测值和现状监测值。</w:t>
      </w:r>
    </w:p>
    <w:p w14:paraId="48DBD13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（4）技术措施：</w:t>
      </w:r>
    </w:p>
    <w:p w14:paraId="735341F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①按照《地下水环境监测技术规范》（HJ164-2020）要求，及时上报监测数据和有关表格。</w:t>
      </w:r>
    </w:p>
    <w:p w14:paraId="519B082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②在日常例行监测中，一旦发现地下水水质监测数据异常，应尽快核查数据，查找异常原因，确保数据的正确性。并将核查过的监测数据通告</w:t>
      </w:r>
      <w:r>
        <w:rPr>
          <w:rFonts w:hint="default" w:ascii="Times New Roman" w:hAnsi="Times New Roman" w:cs="Times New Roman"/>
          <w:color w:val="auto"/>
          <w:szCs w:val="21"/>
          <w:highlight w:val="none"/>
        </w:rPr>
        <w:t>生态环境主管部门</w:t>
      </w:r>
      <w:r>
        <w:rPr>
          <w:rFonts w:hint="default" w:ascii="Times New Roman" w:hAnsi="Times New Roman" w:cs="Times New Roman"/>
          <w:color w:val="auto"/>
          <w:highlight w:val="none"/>
        </w:rPr>
        <w:t>，由专人负责对数据进行分析、核实，并密切关注生产设施的运行情况，为防止地下污染采取措施提供正确可靠的依据、应采取的措施有：</w:t>
      </w:r>
    </w:p>
    <w:p w14:paraId="4056B7D6">
      <w:pPr>
        <w:numPr>
          <w:ilvl w:val="0"/>
          <w:numId w:val="0"/>
        </w:numPr>
        <w:overflowPunct w:val="0"/>
        <w:topLinePunct/>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A、</w:t>
      </w:r>
      <w:r>
        <w:rPr>
          <w:rFonts w:hint="default" w:ascii="Times New Roman" w:hAnsi="Times New Roman" w:cs="Times New Roman"/>
          <w:color w:val="auto"/>
          <w:highlight w:val="none"/>
        </w:rPr>
        <w:t>了解全区生产是否出现异常情况，出现异常情况的装置、原因。加大随测密度，如监测</w:t>
      </w:r>
      <w:r>
        <w:rPr>
          <w:rFonts w:hint="eastAsia" w:cs="Times New Roman"/>
          <w:color w:val="auto"/>
          <w:highlight w:val="none"/>
          <w:lang w:eastAsia="zh-CN"/>
        </w:rPr>
        <w:t>频率</w:t>
      </w:r>
      <w:r>
        <w:rPr>
          <w:rFonts w:hint="default" w:ascii="Times New Roman" w:hAnsi="Times New Roman" w:cs="Times New Roman"/>
          <w:color w:val="auto"/>
          <w:highlight w:val="none"/>
        </w:rPr>
        <w:t>由每季一次临时加密为每</w:t>
      </w:r>
      <w:r>
        <w:rPr>
          <w:rFonts w:hint="eastAsia" w:cs="Times New Roman"/>
          <w:color w:val="auto"/>
          <w:highlight w:val="none"/>
          <w:lang w:val="en-US" w:eastAsia="zh-CN"/>
        </w:rPr>
        <w:t>天</w:t>
      </w:r>
      <w:r>
        <w:rPr>
          <w:rFonts w:hint="default" w:ascii="Times New Roman" w:hAnsi="Times New Roman" w:cs="Times New Roman"/>
          <w:color w:val="auto"/>
          <w:highlight w:val="none"/>
        </w:rPr>
        <w:t>一次</w:t>
      </w:r>
      <w:r>
        <w:rPr>
          <w:rFonts w:hint="eastAsia" w:cs="Times New Roman"/>
          <w:color w:val="auto"/>
          <w:highlight w:val="none"/>
          <w:lang w:eastAsia="zh-CN"/>
        </w:rPr>
        <w:t>或</w:t>
      </w:r>
      <w:r>
        <w:rPr>
          <w:rFonts w:hint="default" w:ascii="Times New Roman" w:hAnsi="Times New Roman" w:cs="Times New Roman"/>
          <w:color w:val="auto"/>
          <w:highlight w:val="none"/>
        </w:rPr>
        <w:t>更多，连续多大，分析变化动向；</w:t>
      </w:r>
    </w:p>
    <w:p w14:paraId="14251CC5">
      <w:pPr>
        <w:numPr>
          <w:ilvl w:val="0"/>
          <w:numId w:val="0"/>
        </w:numPr>
        <w:overflowPunct w:val="0"/>
        <w:topLinePunct/>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B、</w:t>
      </w:r>
      <w:r>
        <w:rPr>
          <w:rFonts w:hint="default" w:ascii="Times New Roman" w:hAnsi="Times New Roman" w:cs="Times New Roman"/>
          <w:color w:val="auto"/>
          <w:highlight w:val="none"/>
        </w:rPr>
        <w:t>定期对污染区的装置等进行检查。</w:t>
      </w:r>
    </w:p>
    <w:p w14:paraId="3217061D">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6.2.3.2地下水污染事故应急预案和应急处置</w:t>
      </w:r>
      <w:bookmarkEnd w:id="803"/>
    </w:p>
    <w:p w14:paraId="10055754">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在制定选厂环境管理体制的基础上，制订专门的地下水污染事故的应急措施，并应与其它应急预案相协调。地下水应急预案应包括以下内容：</w:t>
      </w:r>
    </w:p>
    <w:p w14:paraId="2CA9161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①应急预案的日常协调和指挥机构；</w:t>
      </w:r>
    </w:p>
    <w:p w14:paraId="31E0861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②相关部门在应急预案中的职责和分工；</w:t>
      </w:r>
    </w:p>
    <w:p w14:paraId="6ED61AD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③地下水环境保护目标的确定，采取的紧急处置措施和潜在污染源评估；</w:t>
      </w:r>
    </w:p>
    <w:p w14:paraId="66F387FE">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④特大事故应急救援组织状况和人员、装备情况，平常的训练和演习；</w:t>
      </w:r>
    </w:p>
    <w:p w14:paraId="34097170">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⑤特大事故的社会支持和援助，应急救援的经费保障。</w:t>
      </w:r>
    </w:p>
    <w:p w14:paraId="2270E29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一旦发现地下水发生异常情况，必须按照应急预案马上采取紧急措施：</w:t>
      </w:r>
    </w:p>
    <w:p w14:paraId="073BCCF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①当确定发生地下水异常情况时，按照制订的地下水应急预案，</w:t>
      </w:r>
      <w:r>
        <w:rPr>
          <w:rFonts w:hint="eastAsia" w:cs="Times New Roman"/>
          <w:color w:val="auto"/>
          <w:highlight w:val="none"/>
          <w:lang w:eastAsia="zh-CN"/>
        </w:rPr>
        <w:t>在第一时间</w:t>
      </w:r>
      <w:r>
        <w:rPr>
          <w:rFonts w:hint="default" w:ascii="Times New Roman" w:hAnsi="Times New Roman" w:cs="Times New Roman"/>
          <w:color w:val="auto"/>
          <w:highlight w:val="none"/>
        </w:rPr>
        <w:t>尽快上报公司主管领导，并及时向有关政府部门报告，密切关注地下水水质变化情况。</w:t>
      </w:r>
    </w:p>
    <w:p w14:paraId="6642081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组织专业队伍对事故现场进行调查、监测，查找环境事故发生点、分析事故原因，尽量将紧急事件局部化，如可能应予以消除，采取包括切断生产装置或设施等措施，防止事故的扩散、蔓延及连锁反应，尽量缩小地下水污染事故对人员和财产的影响。</w:t>
      </w:r>
    </w:p>
    <w:p w14:paraId="2F4399E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③对事故后果进行评估，并制定防止类似事件发生的措施。</w:t>
      </w:r>
    </w:p>
    <w:p w14:paraId="020D485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④必要时应请求社会应急力量协助处理。</w:t>
      </w:r>
    </w:p>
    <w:p w14:paraId="4452FC2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地下水污染具有不易被发现和一旦发生污染事故很难治理的特点，因此，</w:t>
      </w:r>
      <w:r>
        <w:rPr>
          <w:rFonts w:hint="eastAsia" w:cs="Times New Roman"/>
          <w:color w:val="auto"/>
          <w:highlight w:val="none"/>
          <w:lang w:eastAsia="zh-CN"/>
        </w:rPr>
        <w:t>防治</w:t>
      </w:r>
      <w:r>
        <w:rPr>
          <w:rFonts w:hint="default" w:ascii="Times New Roman" w:hAnsi="Times New Roman" w:cs="Times New Roman"/>
          <w:color w:val="auto"/>
          <w:highlight w:val="none"/>
        </w:rPr>
        <w:t>地下水污染应遵循源头控制、分区防治、污染监测及事故应急处理的主动及被动相结合的原则。</w:t>
      </w:r>
    </w:p>
    <w:p w14:paraId="7E27627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地下水污染调查及污染修复是一项专业性较强的工作，一旦发生污染事故，应委托具有地下水及土壤污染治理能力及污染事故处理经验的单位查明并修复污染地区地下水及土壤修复。</w:t>
      </w:r>
    </w:p>
    <w:p w14:paraId="1FDF6FE2">
      <w:pPr>
        <w:pStyle w:val="43"/>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由以上预测分析可知，在采取</w:t>
      </w:r>
      <w:r>
        <w:rPr>
          <w:rFonts w:hint="eastAsia" w:cs="Times New Roman"/>
          <w:color w:val="auto"/>
          <w:highlight w:val="none"/>
          <w:lang w:eastAsia="zh-CN"/>
        </w:rPr>
        <w:t>以上</w:t>
      </w:r>
      <w:r>
        <w:rPr>
          <w:rFonts w:hint="default" w:ascii="Times New Roman" w:hAnsi="Times New Roman" w:cs="Times New Roman"/>
          <w:color w:val="auto"/>
          <w:highlight w:val="none"/>
        </w:rPr>
        <w:t>环境保护措施的情况下，该项目不会对当地地下水产生影响。</w:t>
      </w:r>
    </w:p>
    <w:p w14:paraId="78ED74F1">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6.2.3.3全厂分区防渗措施</w:t>
      </w:r>
    </w:p>
    <w:p w14:paraId="32594B74">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地面防渗工程设计原则：</w:t>
      </w:r>
    </w:p>
    <w:p w14:paraId="4AD0BC8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（1）采用国际国内先进的防渗材料、技术和实施手段，确保工程建设对区域内地下水影响最小，确保地下水现有水体功能。</w:t>
      </w:r>
    </w:p>
    <w:p w14:paraId="3E20CEE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（2）坚持分区管理和控制原则，根据场址所在地的工程地质、水文地质条件和全厂可能发生泄漏的物料性质、排放量，参照相应标准要求有针对性</w:t>
      </w:r>
      <w:r>
        <w:rPr>
          <w:rFonts w:hint="eastAsia" w:cs="Times New Roman"/>
          <w:color w:val="auto"/>
          <w:highlight w:val="none"/>
          <w:lang w:eastAsia="zh-CN"/>
        </w:rPr>
        <w:t>地</w:t>
      </w:r>
      <w:r>
        <w:rPr>
          <w:rFonts w:hint="default" w:ascii="Times New Roman" w:hAnsi="Times New Roman" w:cs="Times New Roman"/>
          <w:color w:val="auto"/>
          <w:highlight w:val="none"/>
        </w:rPr>
        <w:t>分区，并分别设计地面防渗层结构。</w:t>
      </w:r>
    </w:p>
    <w:p w14:paraId="65597EF5">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（3）坚持</w:t>
      </w:r>
      <w:r>
        <w:rPr>
          <w:rFonts w:hint="eastAsia" w:cs="Times New Roman"/>
          <w:color w:val="auto"/>
          <w:highlight w:val="none"/>
          <w:lang w:eastAsia="zh-CN"/>
        </w:rPr>
        <w:t>“</w:t>
      </w:r>
      <w:r>
        <w:rPr>
          <w:rFonts w:hint="default" w:ascii="Times New Roman" w:hAnsi="Times New Roman" w:cs="Times New Roman"/>
          <w:color w:val="auto"/>
          <w:highlight w:val="none"/>
        </w:rPr>
        <w:t>可视化</w:t>
      </w:r>
      <w:r>
        <w:rPr>
          <w:rFonts w:hint="eastAsia" w:cs="Times New Roman"/>
          <w:color w:val="auto"/>
          <w:highlight w:val="none"/>
          <w:lang w:eastAsia="zh-CN"/>
        </w:rPr>
        <w:t>”</w:t>
      </w:r>
      <w:r>
        <w:rPr>
          <w:rFonts w:hint="default" w:ascii="Times New Roman" w:hAnsi="Times New Roman" w:cs="Times New Roman"/>
          <w:color w:val="auto"/>
          <w:highlight w:val="none"/>
        </w:rPr>
        <w:t>原则，在满足工程和防渗层结构标准要求的前提下，尽量在地表面实施防渗措施，便于泄漏物质的收集和及时发现破损的防渗层。</w:t>
      </w:r>
    </w:p>
    <w:p w14:paraId="6BBD1DF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w:t>
      </w:r>
      <w:r>
        <w:rPr>
          <w:rFonts w:hint="eastAsia" w:cs="Times New Roman"/>
          <w:color w:val="auto"/>
          <w:highlight w:val="none"/>
          <w:lang w:eastAsia="zh-CN"/>
        </w:rPr>
        <w:t>）在</w:t>
      </w:r>
      <w:r>
        <w:rPr>
          <w:rFonts w:hint="default" w:ascii="Times New Roman" w:hAnsi="Times New Roman" w:cs="Times New Roman"/>
          <w:color w:val="auto"/>
          <w:highlight w:val="none"/>
        </w:rPr>
        <w:t>可能泄漏危险废物的重点污染防治区设置检漏设施。</w:t>
      </w:r>
    </w:p>
    <w:p w14:paraId="05C686C7">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（5）防渗层上渗漏污染物和防渗层内渗漏污染物收集系统与全厂</w:t>
      </w:r>
      <w:r>
        <w:rPr>
          <w:rFonts w:hint="eastAsia" w:cs="Times New Roman"/>
          <w:color w:val="auto"/>
          <w:highlight w:val="none"/>
          <w:lang w:eastAsia="zh-CN"/>
        </w:rPr>
        <w:t>“</w:t>
      </w:r>
      <w:r>
        <w:rPr>
          <w:rFonts w:hint="default" w:ascii="Times New Roman" w:hAnsi="Times New Roman" w:cs="Times New Roman"/>
          <w:color w:val="auto"/>
          <w:highlight w:val="none"/>
        </w:rPr>
        <w:t>三废</w:t>
      </w:r>
      <w:r>
        <w:rPr>
          <w:rFonts w:hint="eastAsia" w:cs="Times New Roman"/>
          <w:color w:val="auto"/>
          <w:highlight w:val="none"/>
          <w:lang w:eastAsia="zh-CN"/>
        </w:rPr>
        <w:t>”</w:t>
      </w:r>
      <w:r>
        <w:rPr>
          <w:rFonts w:hint="default" w:ascii="Times New Roman" w:hAnsi="Times New Roman" w:cs="Times New Roman"/>
          <w:color w:val="auto"/>
          <w:highlight w:val="none"/>
        </w:rPr>
        <w:t>处理措施统筹考虑，统一处理。</w:t>
      </w:r>
    </w:p>
    <w:p w14:paraId="52039041">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本项目区应划分为非污染区和污染区，污染区分为简单防渗区、一般防渗区和重点防渗区。非污染区可不进行防渗处理，污染区则应按照不同分区要求，采取不同等级的防渗措施，并确保其可靠性和有效性。</w:t>
      </w:r>
    </w:p>
    <w:p w14:paraId="2B67BCF4">
      <w:pPr>
        <w:pStyle w:val="96"/>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重点防渗区：</w:t>
      </w:r>
    </w:p>
    <w:p w14:paraId="18831431">
      <w:pPr>
        <w:pStyle w:val="96"/>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重点防渗区地面采用水泥硬化或钢筋混凝土结构严格防渗、防腐和防爆措施，周围须设置具有强防渗性的围堰和导流渠。防渗要求需保证防渗性能不低于6米厚、渗透系数不大于10</w:t>
      </w:r>
      <w:r>
        <w:rPr>
          <w:rFonts w:hint="default" w:ascii="Times New Roman" w:hAnsi="Times New Roman" w:eastAsia="宋体" w:cs="Times New Roman"/>
          <w:color w:val="auto"/>
          <w:sz w:val="24"/>
          <w:highlight w:val="none"/>
          <w:vertAlign w:val="superscript"/>
        </w:rPr>
        <w:t>-7</w:t>
      </w:r>
      <w:r>
        <w:rPr>
          <w:rFonts w:hint="default" w:ascii="Times New Roman" w:hAnsi="Times New Roman" w:eastAsia="宋体" w:cs="Times New Roman"/>
          <w:color w:val="auto"/>
          <w:sz w:val="24"/>
          <w:highlight w:val="none"/>
        </w:rPr>
        <w:t>cm/s的黏土层防渗性能。</w:t>
      </w:r>
    </w:p>
    <w:p w14:paraId="27501DE8">
      <w:pPr>
        <w:pStyle w:val="96"/>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一般防渗区：</w:t>
      </w:r>
    </w:p>
    <w:p w14:paraId="7DEA43FF">
      <w:pPr>
        <w:pStyle w:val="96"/>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除重点防渗区外的</w:t>
      </w:r>
      <w:r>
        <w:rPr>
          <w:rFonts w:hint="eastAsia" w:eastAsia="宋体" w:cs="Times New Roman"/>
          <w:color w:val="auto"/>
          <w:sz w:val="24"/>
          <w:highlight w:val="none"/>
          <w:lang w:eastAsia="zh-CN"/>
        </w:rPr>
        <w:t>其他</w:t>
      </w:r>
      <w:r>
        <w:rPr>
          <w:rFonts w:hint="default" w:ascii="Times New Roman" w:hAnsi="Times New Roman" w:eastAsia="宋体" w:cs="Times New Roman"/>
          <w:color w:val="auto"/>
          <w:sz w:val="24"/>
          <w:highlight w:val="none"/>
        </w:rPr>
        <w:t>区域等非污染防治区，防渗要求需保证防渗性能不低于1.5米厚、渗透系数不大于10</w:t>
      </w:r>
      <w:r>
        <w:rPr>
          <w:rFonts w:hint="default" w:ascii="Times New Roman" w:hAnsi="Times New Roman" w:eastAsia="宋体" w:cs="Times New Roman"/>
          <w:color w:val="auto"/>
          <w:sz w:val="24"/>
          <w:highlight w:val="none"/>
          <w:vertAlign w:val="superscript"/>
        </w:rPr>
        <w:t>-7</w:t>
      </w:r>
      <w:r>
        <w:rPr>
          <w:rFonts w:hint="default" w:ascii="Times New Roman" w:hAnsi="Times New Roman" w:eastAsia="宋体" w:cs="Times New Roman"/>
          <w:color w:val="auto"/>
          <w:sz w:val="24"/>
          <w:highlight w:val="none"/>
        </w:rPr>
        <w:t>cm/s的黏土层防渗性能。</w:t>
      </w:r>
    </w:p>
    <w:p w14:paraId="3F9059FB">
      <w:pPr>
        <w:pStyle w:val="96"/>
        <w:overflowPunct w:val="0"/>
        <w:topLinePunct/>
        <w:spacing w:line="480" w:lineRule="exact"/>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本项目将</w:t>
      </w:r>
      <w:r>
        <w:rPr>
          <w:rFonts w:hint="eastAsia" w:eastAsia="宋体" w:cs="Times New Roman"/>
          <w:color w:val="auto"/>
          <w:sz w:val="24"/>
          <w:highlight w:val="none"/>
          <w:lang w:eastAsia="zh-CN"/>
        </w:rPr>
        <w:t>危废贮存点</w:t>
      </w:r>
      <w:r>
        <w:rPr>
          <w:rFonts w:hint="default" w:ascii="Times New Roman" w:hAnsi="Times New Roman" w:eastAsia="宋体" w:cs="Times New Roman"/>
          <w:color w:val="auto"/>
          <w:sz w:val="24"/>
          <w:highlight w:val="none"/>
        </w:rPr>
        <w:t>设为重点防渗区，尾矿库、选矿厂房、</w:t>
      </w:r>
      <w:r>
        <w:rPr>
          <w:rFonts w:hint="default" w:ascii="Times New Roman" w:hAnsi="Times New Roman" w:eastAsia="宋体" w:cs="Times New Roman"/>
          <w:color w:val="auto"/>
          <w:sz w:val="24"/>
          <w:highlight w:val="none"/>
          <w:lang w:eastAsia="zh-CN"/>
        </w:rPr>
        <w:t>原矿仓</w:t>
      </w:r>
      <w:r>
        <w:rPr>
          <w:rFonts w:hint="default" w:ascii="Times New Roman" w:hAnsi="Times New Roman" w:eastAsia="宋体" w:cs="Times New Roman"/>
          <w:color w:val="auto"/>
          <w:sz w:val="24"/>
          <w:highlight w:val="none"/>
        </w:rPr>
        <w:t>、精矿矿仓一般防渗区，</w:t>
      </w:r>
      <w:r>
        <w:rPr>
          <w:rFonts w:hint="default" w:ascii="Times New Roman" w:hAnsi="Times New Roman" w:eastAsia="宋体" w:cs="Times New Roman"/>
          <w:color w:val="auto"/>
          <w:sz w:val="24"/>
          <w:highlight w:val="none"/>
          <w:lang w:eastAsia="zh-CN"/>
        </w:rPr>
        <w:t>其他区域</w:t>
      </w:r>
      <w:r>
        <w:rPr>
          <w:rFonts w:hint="default" w:ascii="Times New Roman" w:hAnsi="Times New Roman" w:eastAsia="宋体" w:cs="Times New Roman"/>
          <w:color w:val="auto"/>
          <w:sz w:val="24"/>
          <w:highlight w:val="none"/>
        </w:rPr>
        <w:t>为简单防渗区。</w:t>
      </w:r>
    </w:p>
    <w:p w14:paraId="0D3E3B2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本项目防渗分区划分、防渗措施及等级见表6.2-</w:t>
      </w:r>
      <w:r>
        <w:rPr>
          <w:rFonts w:hint="eastAsia" w:cs="Times New Roman"/>
          <w:color w:val="auto"/>
          <w:highlight w:val="none"/>
          <w:lang w:val="en-US" w:eastAsia="zh-CN"/>
        </w:rPr>
        <w:t>3</w:t>
      </w:r>
      <w:r>
        <w:rPr>
          <w:rFonts w:hint="default" w:ascii="Times New Roman" w:hAnsi="Times New Roman" w:cs="Times New Roman"/>
          <w:color w:val="auto"/>
          <w:highlight w:val="none"/>
        </w:rPr>
        <w:t>。</w:t>
      </w:r>
    </w:p>
    <w:p w14:paraId="6D8D9979">
      <w:pPr>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表6.2-</w:t>
      </w:r>
      <w:r>
        <w:rPr>
          <w:rFonts w:hint="eastAsia" w:cs="Times New Roman"/>
          <w:b/>
          <w:bCs/>
          <w:color w:val="auto"/>
          <w:highlight w:val="none"/>
          <w:lang w:val="en-US" w:eastAsia="zh-CN"/>
        </w:rPr>
        <w:t>3</w:t>
      </w:r>
      <w:r>
        <w:rPr>
          <w:rFonts w:hint="default" w:ascii="Times New Roman" w:hAnsi="Times New Roman" w:cs="Times New Roman"/>
          <w:b/>
          <w:bCs/>
          <w:color w:val="auto"/>
          <w:highlight w:val="none"/>
        </w:rPr>
        <w:t xml:space="preserve">    本项目污染区划分及防渗要求一览表</w:t>
      </w:r>
    </w:p>
    <w:tbl>
      <w:tblPr>
        <w:tblStyle w:val="3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83"/>
        <w:gridCol w:w="1883"/>
        <w:gridCol w:w="1871"/>
        <w:gridCol w:w="3482"/>
      </w:tblGrid>
      <w:tr w14:paraId="42B243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53" w:type="pct"/>
            <w:vAlign w:val="center"/>
          </w:tcPr>
          <w:p w14:paraId="0AFCC867">
            <w:pPr>
              <w:spacing w:line="360" w:lineRule="exact"/>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防渗分区</w:t>
            </w:r>
          </w:p>
        </w:tc>
        <w:tc>
          <w:tcPr>
            <w:tcW w:w="1105" w:type="pct"/>
            <w:vAlign w:val="center"/>
          </w:tcPr>
          <w:p w14:paraId="1918BEAB">
            <w:pPr>
              <w:spacing w:line="360" w:lineRule="exact"/>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定义</w:t>
            </w:r>
          </w:p>
        </w:tc>
        <w:tc>
          <w:tcPr>
            <w:tcW w:w="1098" w:type="pct"/>
            <w:vAlign w:val="center"/>
          </w:tcPr>
          <w:p w14:paraId="2860C34C">
            <w:pPr>
              <w:spacing w:line="360" w:lineRule="exact"/>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厂内分区</w:t>
            </w:r>
          </w:p>
        </w:tc>
        <w:tc>
          <w:tcPr>
            <w:tcW w:w="2043" w:type="pct"/>
            <w:vAlign w:val="center"/>
          </w:tcPr>
          <w:p w14:paraId="71EC0578">
            <w:pPr>
              <w:spacing w:line="360" w:lineRule="exact"/>
              <w:ind w:firstLine="422"/>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防渗要求</w:t>
            </w:r>
          </w:p>
        </w:tc>
      </w:tr>
      <w:tr w14:paraId="49A94A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53" w:type="pct"/>
            <w:vAlign w:val="center"/>
          </w:tcPr>
          <w:p w14:paraId="55C14837">
            <w:pPr>
              <w:spacing w:line="360" w:lineRule="exact"/>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重点防渗区</w:t>
            </w:r>
          </w:p>
        </w:tc>
        <w:tc>
          <w:tcPr>
            <w:tcW w:w="1105" w:type="pct"/>
            <w:vAlign w:val="center"/>
          </w:tcPr>
          <w:p w14:paraId="4CBC5511">
            <w:pPr>
              <w:spacing w:line="360" w:lineRule="exact"/>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危害性大、毒性较大的生产装置区、物料储罐区、危险废物暂存区等</w:t>
            </w:r>
          </w:p>
        </w:tc>
        <w:tc>
          <w:tcPr>
            <w:tcW w:w="1098" w:type="pct"/>
            <w:vAlign w:val="center"/>
          </w:tcPr>
          <w:p w14:paraId="5C447486">
            <w:pPr>
              <w:spacing w:line="360" w:lineRule="exact"/>
              <w:ind w:firstLine="0" w:firstLineChars="0"/>
              <w:jc w:val="center"/>
              <w:textAlignment w:val="center"/>
              <w:rPr>
                <w:rFonts w:hint="default" w:ascii="Times New Roman" w:hAnsi="Times New Roman" w:eastAsia="宋体" w:cs="Times New Roman"/>
                <w:color w:val="auto"/>
                <w:highlight w:val="none"/>
                <w:lang w:eastAsia="zh-CN"/>
              </w:rPr>
            </w:pPr>
            <w:r>
              <w:rPr>
                <w:rFonts w:hint="eastAsia" w:cs="Times New Roman"/>
                <w:color w:val="auto"/>
                <w:sz w:val="21"/>
                <w:szCs w:val="21"/>
                <w:highlight w:val="none"/>
                <w:lang w:eastAsia="zh-CN"/>
              </w:rPr>
              <w:t>危废贮存点</w:t>
            </w:r>
          </w:p>
        </w:tc>
        <w:tc>
          <w:tcPr>
            <w:tcW w:w="2043" w:type="pct"/>
            <w:vAlign w:val="center"/>
          </w:tcPr>
          <w:p w14:paraId="377E5DB9">
            <w:pPr>
              <w:spacing w:line="360" w:lineRule="exact"/>
              <w:ind w:firstLine="0" w:firstLineChars="0"/>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《危险废物贮存污染控制标准》（</w:t>
            </w:r>
            <w:r>
              <w:rPr>
                <w:rFonts w:hint="default" w:ascii="Times New Roman" w:hAnsi="Times New Roman" w:cs="Times New Roman"/>
                <w:color w:val="auto"/>
                <w:sz w:val="21"/>
                <w:szCs w:val="21"/>
                <w:highlight w:val="none"/>
                <w:lang w:eastAsia="zh-CN"/>
              </w:rPr>
              <w:t>GB18597-2023</w:t>
            </w:r>
            <w:r>
              <w:rPr>
                <w:rFonts w:hint="default" w:ascii="Times New Roman" w:hAnsi="Times New Roman" w:cs="Times New Roman"/>
                <w:color w:val="auto"/>
                <w:sz w:val="21"/>
                <w:szCs w:val="21"/>
                <w:highlight w:val="none"/>
              </w:rPr>
              <w:t>）要求</w:t>
            </w:r>
            <w:r>
              <w:rPr>
                <w:rFonts w:hint="default" w:ascii="Times New Roman" w:hAnsi="Times New Roman" w:cs="Times New Roman"/>
                <w:color w:val="auto"/>
                <w:sz w:val="21"/>
                <w:szCs w:val="21"/>
                <w:highlight w:val="none"/>
                <w:lang w:eastAsia="zh-CN"/>
              </w:rPr>
              <w:t>。</w:t>
            </w:r>
          </w:p>
        </w:tc>
      </w:tr>
      <w:tr w14:paraId="1D64E9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53" w:type="pct"/>
            <w:vAlign w:val="center"/>
          </w:tcPr>
          <w:p w14:paraId="6BD74C94">
            <w:pPr>
              <w:spacing w:line="360" w:lineRule="exact"/>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一般防渗区</w:t>
            </w:r>
          </w:p>
        </w:tc>
        <w:tc>
          <w:tcPr>
            <w:tcW w:w="1105" w:type="pct"/>
            <w:vAlign w:val="center"/>
          </w:tcPr>
          <w:p w14:paraId="62CC266B">
            <w:pPr>
              <w:spacing w:line="360" w:lineRule="exact"/>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无毒性或毒性小的生产装置区、装置区外管廊区</w:t>
            </w:r>
          </w:p>
        </w:tc>
        <w:tc>
          <w:tcPr>
            <w:tcW w:w="1098" w:type="pct"/>
            <w:vAlign w:val="center"/>
          </w:tcPr>
          <w:p w14:paraId="5B922FEC">
            <w:pPr>
              <w:spacing w:line="360" w:lineRule="exact"/>
              <w:ind w:firstLine="0" w:firstLineChars="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sz w:val="21"/>
                <w:szCs w:val="21"/>
                <w:highlight w:val="none"/>
              </w:rPr>
              <w:t>尾矿库、选矿厂房、</w:t>
            </w:r>
            <w:r>
              <w:rPr>
                <w:rFonts w:hint="default" w:ascii="Times New Roman" w:hAnsi="Times New Roman" w:cs="Times New Roman"/>
                <w:color w:val="auto"/>
                <w:sz w:val="21"/>
                <w:szCs w:val="21"/>
                <w:highlight w:val="none"/>
                <w:lang w:eastAsia="zh-CN"/>
              </w:rPr>
              <w:t>原矿仓</w:t>
            </w:r>
            <w:r>
              <w:rPr>
                <w:rFonts w:hint="default" w:ascii="Times New Roman" w:hAnsi="Times New Roman" w:cs="Times New Roman"/>
                <w:color w:val="auto"/>
                <w:sz w:val="21"/>
                <w:szCs w:val="21"/>
                <w:highlight w:val="none"/>
              </w:rPr>
              <w:t>、精矿</w:t>
            </w:r>
            <w:r>
              <w:rPr>
                <w:rFonts w:hint="eastAsia" w:cs="Times New Roman"/>
                <w:color w:val="auto"/>
                <w:sz w:val="21"/>
                <w:szCs w:val="21"/>
                <w:highlight w:val="none"/>
                <w:lang w:val="en-US" w:eastAsia="zh-CN"/>
              </w:rPr>
              <w:t>贮存间</w:t>
            </w:r>
          </w:p>
        </w:tc>
        <w:tc>
          <w:tcPr>
            <w:tcW w:w="2043" w:type="pct"/>
            <w:vAlign w:val="center"/>
          </w:tcPr>
          <w:p w14:paraId="54FCE8AC">
            <w:pPr>
              <w:spacing w:line="360" w:lineRule="exact"/>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保证防渗性能不低于1.5米厚、渗透系数不大于10</w:t>
            </w:r>
            <w:r>
              <w:rPr>
                <w:rFonts w:hint="default" w:ascii="Times New Roman" w:hAnsi="Times New Roman" w:cs="Times New Roman"/>
                <w:color w:val="auto"/>
                <w:sz w:val="21"/>
                <w:szCs w:val="21"/>
                <w:highlight w:val="none"/>
                <w:vertAlign w:val="superscript"/>
              </w:rPr>
              <w:t>-7</w:t>
            </w:r>
            <w:r>
              <w:rPr>
                <w:rFonts w:hint="default" w:ascii="Times New Roman" w:hAnsi="Times New Roman" w:cs="Times New Roman"/>
                <w:color w:val="auto"/>
                <w:sz w:val="21"/>
                <w:szCs w:val="21"/>
                <w:highlight w:val="none"/>
              </w:rPr>
              <w:t>cm/s的黏土层防渗性能。</w:t>
            </w:r>
          </w:p>
        </w:tc>
      </w:tr>
      <w:tr w14:paraId="620301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53" w:type="pct"/>
            <w:vAlign w:val="center"/>
          </w:tcPr>
          <w:p w14:paraId="4A42602D">
            <w:pPr>
              <w:spacing w:line="360" w:lineRule="exact"/>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简单防渗区</w:t>
            </w:r>
          </w:p>
        </w:tc>
        <w:tc>
          <w:tcPr>
            <w:tcW w:w="1105" w:type="pct"/>
            <w:vAlign w:val="center"/>
          </w:tcPr>
          <w:p w14:paraId="7FBA8458">
            <w:pPr>
              <w:spacing w:line="360" w:lineRule="exact"/>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除污染区的其余区域</w:t>
            </w:r>
          </w:p>
        </w:tc>
        <w:tc>
          <w:tcPr>
            <w:tcW w:w="1098" w:type="pct"/>
            <w:vAlign w:val="center"/>
          </w:tcPr>
          <w:p w14:paraId="573391A7">
            <w:pPr>
              <w:spacing w:line="360" w:lineRule="exact"/>
              <w:ind w:firstLine="0" w:firstLineChars="0"/>
              <w:jc w:val="center"/>
              <w:textAlignment w:val="center"/>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sz w:val="21"/>
                <w:szCs w:val="21"/>
                <w:highlight w:val="none"/>
                <w:lang w:eastAsia="zh-CN"/>
              </w:rPr>
              <w:t>其他区域</w:t>
            </w:r>
          </w:p>
        </w:tc>
        <w:tc>
          <w:tcPr>
            <w:tcW w:w="2043" w:type="pct"/>
            <w:vAlign w:val="center"/>
          </w:tcPr>
          <w:p w14:paraId="00EA04DF">
            <w:pPr>
              <w:spacing w:line="360" w:lineRule="exact"/>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进行地面硬化</w:t>
            </w:r>
          </w:p>
        </w:tc>
      </w:tr>
    </w:tbl>
    <w:p w14:paraId="78630A17">
      <w:pPr>
        <w:pStyle w:val="4"/>
        <w:rPr>
          <w:rFonts w:hint="default" w:ascii="Times New Roman" w:hAnsi="Times New Roman" w:cs="Times New Roman"/>
          <w:color w:val="auto"/>
          <w:highlight w:val="none"/>
        </w:rPr>
      </w:pPr>
      <w:bookmarkStart w:id="804" w:name="_Toc20657"/>
      <w:bookmarkStart w:id="805" w:name="_Toc8527"/>
      <w:bookmarkStart w:id="806" w:name="_Toc12561"/>
      <w:r>
        <w:rPr>
          <w:rFonts w:hint="default" w:ascii="Times New Roman" w:hAnsi="Times New Roman" w:cs="Times New Roman"/>
          <w:color w:val="auto"/>
          <w:highlight w:val="none"/>
        </w:rPr>
        <w:t>6.2.4噪声污染防治措施</w:t>
      </w:r>
      <w:bookmarkEnd w:id="804"/>
      <w:bookmarkEnd w:id="805"/>
      <w:bookmarkEnd w:id="806"/>
    </w:p>
    <w:p w14:paraId="47FC564B">
      <w:pPr>
        <w:overflowPunct w:val="0"/>
        <w:topLinePunct/>
        <w:ind w:firstLine="480"/>
        <w:rPr>
          <w:rFonts w:hint="default" w:ascii="Times New Roman" w:hAnsi="Times New Roman" w:cs="Times New Roman"/>
          <w:color w:val="auto"/>
          <w:kern w:val="0"/>
          <w:highlight w:val="none"/>
          <w:lang w:val="zh-CN"/>
        </w:rPr>
      </w:pPr>
      <w:r>
        <w:rPr>
          <w:rFonts w:hint="default" w:ascii="Times New Roman" w:hAnsi="Times New Roman" w:cs="Times New Roman"/>
          <w:color w:val="auto"/>
          <w:kern w:val="0"/>
          <w:highlight w:val="none"/>
          <w:lang w:val="zh-CN"/>
        </w:rPr>
        <w:t>为进一步防止高噪声设备对职工及周围环境的影响，针对本项目噪声源噪声强度大，连续生产等特点，评价提出本项目的噪声防治措施主要注意以下几项内容：</w:t>
      </w:r>
    </w:p>
    <w:p w14:paraId="34976051">
      <w:pPr>
        <w:overflowPunct w:val="0"/>
        <w:topLinePunct/>
        <w:ind w:firstLine="480"/>
        <w:rPr>
          <w:rFonts w:hint="default" w:ascii="Times New Roman" w:hAnsi="Times New Roman" w:cs="Times New Roman"/>
          <w:color w:val="auto"/>
          <w:kern w:val="0"/>
          <w:highlight w:val="none"/>
          <w:lang w:val="zh-CN"/>
        </w:rPr>
      </w:pPr>
      <w:r>
        <w:rPr>
          <w:rFonts w:hint="default" w:ascii="Times New Roman" w:hAnsi="Times New Roman" w:cs="Times New Roman"/>
          <w:color w:val="auto"/>
          <w:kern w:val="0"/>
          <w:highlight w:val="none"/>
          <w:lang w:val="zh-CN"/>
        </w:rPr>
        <w:t>（</w:t>
      </w:r>
      <w:r>
        <w:rPr>
          <w:rFonts w:hint="default" w:ascii="Times New Roman" w:hAnsi="Times New Roman" w:cs="Times New Roman"/>
          <w:color w:val="auto"/>
          <w:kern w:val="0"/>
          <w:highlight w:val="none"/>
        </w:rPr>
        <w:t>1</w:t>
      </w:r>
      <w:r>
        <w:rPr>
          <w:rFonts w:hint="default" w:ascii="Times New Roman" w:hAnsi="Times New Roman" w:cs="Times New Roman"/>
          <w:color w:val="auto"/>
          <w:kern w:val="0"/>
          <w:highlight w:val="none"/>
          <w:lang w:val="zh-CN"/>
        </w:rPr>
        <w:t>）隔声措施：球磨机、</w:t>
      </w:r>
      <w:r>
        <w:rPr>
          <w:rFonts w:hint="eastAsia" w:cs="Times New Roman"/>
          <w:color w:val="auto"/>
          <w:kern w:val="0"/>
          <w:highlight w:val="none"/>
          <w:lang w:val="en-US" w:eastAsia="zh-CN"/>
        </w:rPr>
        <w:t>破碎机</w:t>
      </w:r>
      <w:r>
        <w:rPr>
          <w:rFonts w:hint="default" w:ascii="Times New Roman" w:hAnsi="Times New Roman" w:cs="Times New Roman"/>
          <w:color w:val="auto"/>
          <w:kern w:val="0"/>
          <w:highlight w:val="none"/>
          <w:lang w:val="zh-CN"/>
        </w:rPr>
        <w:t>和</w:t>
      </w:r>
      <w:r>
        <w:rPr>
          <w:rFonts w:hint="eastAsia" w:cs="Times New Roman"/>
          <w:color w:val="auto"/>
          <w:kern w:val="0"/>
          <w:highlight w:val="none"/>
          <w:lang w:val="en-US" w:eastAsia="zh-CN"/>
        </w:rPr>
        <w:t>浮选机、锅炉、机泵</w:t>
      </w:r>
      <w:r>
        <w:rPr>
          <w:rFonts w:hint="default" w:ascii="Times New Roman" w:hAnsi="Times New Roman" w:cs="Times New Roman"/>
          <w:color w:val="auto"/>
          <w:kern w:val="0"/>
          <w:highlight w:val="none"/>
          <w:lang w:val="zh-CN"/>
        </w:rPr>
        <w:t>等主要噪声设备需要安装在</w:t>
      </w:r>
      <w:r>
        <w:rPr>
          <w:rFonts w:hint="eastAsia" w:cs="Times New Roman"/>
          <w:color w:val="auto"/>
          <w:kern w:val="0"/>
          <w:highlight w:val="none"/>
          <w:lang w:val="en-US" w:eastAsia="zh-CN"/>
        </w:rPr>
        <w:t>隔声</w:t>
      </w:r>
      <w:r>
        <w:rPr>
          <w:rFonts w:hint="default" w:ascii="Times New Roman" w:hAnsi="Times New Roman" w:cs="Times New Roman"/>
          <w:color w:val="auto"/>
          <w:kern w:val="0"/>
          <w:highlight w:val="none"/>
          <w:lang w:val="zh-CN"/>
        </w:rPr>
        <w:t>厂房内。</w:t>
      </w:r>
    </w:p>
    <w:p w14:paraId="1414E982">
      <w:pPr>
        <w:overflowPunct w:val="0"/>
        <w:topLinePunct/>
        <w:ind w:firstLine="480"/>
        <w:rPr>
          <w:rFonts w:hint="default" w:ascii="Times New Roman" w:hAnsi="Times New Roman" w:cs="Times New Roman"/>
          <w:color w:val="auto"/>
          <w:kern w:val="0"/>
          <w:highlight w:val="none"/>
          <w:lang w:val="zh-CN"/>
        </w:rPr>
      </w:pPr>
      <w:r>
        <w:rPr>
          <w:rFonts w:hint="default" w:ascii="Times New Roman" w:hAnsi="Times New Roman" w:cs="Times New Roman"/>
          <w:color w:val="auto"/>
          <w:kern w:val="0"/>
          <w:highlight w:val="none"/>
          <w:lang w:val="zh-CN"/>
        </w:rPr>
        <w:t>（</w:t>
      </w:r>
      <w:r>
        <w:rPr>
          <w:rFonts w:hint="default" w:ascii="Times New Roman" w:hAnsi="Times New Roman" w:cs="Times New Roman"/>
          <w:color w:val="auto"/>
          <w:kern w:val="0"/>
          <w:highlight w:val="none"/>
        </w:rPr>
        <w:t>2</w:t>
      </w:r>
      <w:r>
        <w:rPr>
          <w:rFonts w:hint="default" w:ascii="Times New Roman" w:hAnsi="Times New Roman" w:cs="Times New Roman"/>
          <w:color w:val="auto"/>
          <w:kern w:val="0"/>
          <w:highlight w:val="none"/>
          <w:lang w:val="zh-CN"/>
        </w:rPr>
        <w:t>）减振措施：主要以多孔介质做减振垫，可使声源振动强度减弱，频率降低。</w:t>
      </w:r>
    </w:p>
    <w:p w14:paraId="149FF03D">
      <w:pPr>
        <w:overflowPunct w:val="0"/>
        <w:topLinePunct/>
        <w:ind w:firstLine="480"/>
        <w:rPr>
          <w:rFonts w:hint="default" w:ascii="Times New Roman" w:hAnsi="Times New Roman" w:cs="Times New Roman"/>
          <w:color w:val="auto"/>
          <w:kern w:val="0"/>
          <w:highlight w:val="none"/>
          <w:lang w:val="zh-CN"/>
        </w:rPr>
      </w:pPr>
      <w:r>
        <w:rPr>
          <w:rFonts w:hint="default" w:ascii="Times New Roman" w:hAnsi="Times New Roman" w:cs="Times New Roman"/>
          <w:color w:val="auto"/>
          <w:kern w:val="0"/>
          <w:highlight w:val="none"/>
          <w:lang w:val="zh-CN"/>
        </w:rPr>
        <w:t>（</w:t>
      </w:r>
      <w:r>
        <w:rPr>
          <w:rFonts w:hint="default" w:ascii="Times New Roman" w:hAnsi="Times New Roman" w:cs="Times New Roman"/>
          <w:color w:val="auto"/>
          <w:kern w:val="0"/>
          <w:highlight w:val="none"/>
        </w:rPr>
        <w:t>3</w:t>
      </w:r>
      <w:r>
        <w:rPr>
          <w:rFonts w:hint="default" w:ascii="Times New Roman" w:hAnsi="Times New Roman" w:cs="Times New Roman"/>
          <w:color w:val="auto"/>
          <w:kern w:val="0"/>
          <w:highlight w:val="none"/>
          <w:lang w:val="zh-CN"/>
        </w:rPr>
        <w:t>）加强操作人员的劳动保护，为其发放特制耳塞、耳罩，并设置操作人员值班室，避免操作人员长期处于高噪声环境中，从噪声受体保护方面减轻污染。</w:t>
      </w:r>
    </w:p>
    <w:p w14:paraId="01662374">
      <w:pPr>
        <w:overflowPunct w:val="0"/>
        <w:topLinePunct/>
        <w:ind w:firstLine="480"/>
        <w:rPr>
          <w:rFonts w:hint="default" w:ascii="Times New Roman" w:hAnsi="Times New Roman" w:cs="Times New Roman"/>
          <w:color w:val="auto"/>
          <w:kern w:val="0"/>
          <w:highlight w:val="none"/>
          <w:lang w:val="zh-CN"/>
        </w:rPr>
      </w:pPr>
      <w:r>
        <w:rPr>
          <w:rFonts w:hint="default" w:ascii="Times New Roman" w:hAnsi="Times New Roman" w:cs="Times New Roman"/>
          <w:color w:val="auto"/>
          <w:kern w:val="0"/>
          <w:highlight w:val="none"/>
          <w:lang w:val="zh-CN"/>
        </w:rPr>
        <w:t>（</w:t>
      </w:r>
      <w:r>
        <w:rPr>
          <w:rFonts w:hint="default" w:ascii="Times New Roman" w:hAnsi="Times New Roman" w:cs="Times New Roman"/>
          <w:color w:val="auto"/>
          <w:kern w:val="0"/>
          <w:highlight w:val="none"/>
        </w:rPr>
        <w:t>4</w:t>
      </w:r>
      <w:r>
        <w:rPr>
          <w:rFonts w:hint="default" w:ascii="Times New Roman" w:hAnsi="Times New Roman" w:cs="Times New Roman"/>
          <w:color w:val="auto"/>
          <w:kern w:val="0"/>
          <w:highlight w:val="none"/>
          <w:lang w:val="zh-CN"/>
        </w:rPr>
        <w:t>）重视绿化工作也是噪声防治的一项积极措施。绿化不仅可以美化环境。而且还可以</w:t>
      </w:r>
      <w:r>
        <w:rPr>
          <w:rFonts w:hint="eastAsia" w:cs="Times New Roman"/>
          <w:color w:val="auto"/>
          <w:kern w:val="0"/>
          <w:highlight w:val="none"/>
          <w:lang w:val="zh-CN"/>
        </w:rPr>
        <w:t>阻止</w:t>
      </w:r>
      <w:r>
        <w:rPr>
          <w:rFonts w:hint="default" w:ascii="Times New Roman" w:hAnsi="Times New Roman" w:cs="Times New Roman"/>
          <w:color w:val="auto"/>
          <w:kern w:val="0"/>
          <w:highlight w:val="none"/>
          <w:lang w:val="zh-CN"/>
        </w:rPr>
        <w:t>噪声传播。本项目绿化的重点是厂内重点产噪工段及厂界四周的绿化隔离带。</w:t>
      </w:r>
    </w:p>
    <w:p w14:paraId="03D3EE77">
      <w:pPr>
        <w:overflowPunct w:val="0"/>
        <w:topLinePunct/>
        <w:ind w:firstLine="480"/>
        <w:rPr>
          <w:rFonts w:hint="default" w:ascii="Times New Roman" w:hAnsi="Times New Roman" w:cs="Times New Roman"/>
          <w:color w:val="auto"/>
          <w:kern w:val="0"/>
          <w:highlight w:val="none"/>
          <w:lang w:val="zh-CN"/>
        </w:rPr>
      </w:pPr>
      <w:r>
        <w:rPr>
          <w:rFonts w:hint="default" w:ascii="Times New Roman" w:hAnsi="Times New Roman" w:cs="Times New Roman"/>
          <w:color w:val="auto"/>
          <w:kern w:val="0"/>
          <w:highlight w:val="none"/>
          <w:lang w:val="zh-CN"/>
        </w:rPr>
        <w:t>（</w:t>
      </w:r>
      <w:r>
        <w:rPr>
          <w:rFonts w:hint="default" w:ascii="Times New Roman" w:hAnsi="Times New Roman" w:cs="Times New Roman"/>
          <w:color w:val="auto"/>
          <w:kern w:val="0"/>
          <w:highlight w:val="none"/>
        </w:rPr>
        <w:t>5</w:t>
      </w:r>
      <w:r>
        <w:rPr>
          <w:rFonts w:hint="default" w:ascii="Times New Roman" w:hAnsi="Times New Roman" w:cs="Times New Roman"/>
          <w:color w:val="auto"/>
          <w:kern w:val="0"/>
          <w:highlight w:val="none"/>
          <w:lang w:val="zh-CN"/>
        </w:rPr>
        <w:t>）合理的平面布置</w:t>
      </w:r>
    </w:p>
    <w:p w14:paraId="7B7F5766">
      <w:pPr>
        <w:overflowPunct w:val="0"/>
        <w:topLinePunct/>
        <w:ind w:firstLine="480"/>
        <w:rPr>
          <w:rFonts w:hint="default" w:ascii="Times New Roman" w:hAnsi="Times New Roman" w:cs="Times New Roman"/>
          <w:color w:val="auto"/>
          <w:kern w:val="0"/>
          <w:highlight w:val="none"/>
          <w:lang w:val="zh-CN"/>
        </w:rPr>
      </w:pPr>
      <w:r>
        <w:rPr>
          <w:rFonts w:hint="default" w:ascii="Times New Roman" w:hAnsi="Times New Roman" w:cs="Times New Roman"/>
          <w:color w:val="auto"/>
          <w:kern w:val="0"/>
          <w:highlight w:val="none"/>
        </w:rPr>
        <w:t>办公生活区</w:t>
      </w:r>
      <w:r>
        <w:rPr>
          <w:rFonts w:hint="default" w:ascii="Times New Roman" w:hAnsi="Times New Roman" w:cs="Times New Roman"/>
          <w:color w:val="auto"/>
          <w:kern w:val="0"/>
          <w:highlight w:val="none"/>
          <w:lang w:val="zh-CN"/>
        </w:rPr>
        <w:t>远离生产厂房及外运道路，并处于最小风频风向的下风向。</w:t>
      </w:r>
    </w:p>
    <w:p w14:paraId="2892C098">
      <w:pPr>
        <w:overflowPunct w:val="0"/>
        <w:topLinePunct/>
        <w:ind w:firstLine="480"/>
        <w:rPr>
          <w:rFonts w:hint="default" w:ascii="Times New Roman" w:hAnsi="Times New Roman" w:cs="Times New Roman"/>
          <w:color w:val="auto"/>
          <w:kern w:val="0"/>
          <w:highlight w:val="none"/>
          <w:lang w:val="zh-CN"/>
        </w:rPr>
      </w:pPr>
      <w:r>
        <w:rPr>
          <w:rFonts w:hint="default" w:ascii="Times New Roman" w:hAnsi="Times New Roman" w:cs="Times New Roman"/>
          <w:color w:val="auto"/>
          <w:kern w:val="0"/>
          <w:highlight w:val="none"/>
          <w:lang w:val="zh-CN"/>
        </w:rPr>
        <w:t>通过以上防护措施的落实，可使项目生产运行期厂界噪声进一步下降，达到环境噪声标准的要求。</w:t>
      </w:r>
    </w:p>
    <w:p w14:paraId="7ED17892">
      <w:pPr>
        <w:pStyle w:val="4"/>
        <w:rPr>
          <w:rFonts w:hint="default" w:ascii="Times New Roman" w:hAnsi="Times New Roman" w:cs="Times New Roman"/>
          <w:color w:val="auto"/>
          <w:highlight w:val="none"/>
        </w:rPr>
      </w:pPr>
      <w:bookmarkStart w:id="807" w:name="_Toc6265"/>
      <w:bookmarkStart w:id="808" w:name="_Toc7935"/>
      <w:bookmarkStart w:id="809" w:name="_Toc4947"/>
      <w:r>
        <w:rPr>
          <w:rFonts w:hint="default" w:ascii="Times New Roman" w:hAnsi="Times New Roman" w:cs="Times New Roman"/>
          <w:color w:val="auto"/>
          <w:highlight w:val="none"/>
        </w:rPr>
        <w:t>6.2.5固体废物处理措施</w:t>
      </w:r>
      <w:bookmarkEnd w:id="807"/>
      <w:bookmarkEnd w:id="808"/>
      <w:bookmarkEnd w:id="809"/>
    </w:p>
    <w:p w14:paraId="235C69DC">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6.2.5.1固体废物处置措施</w:t>
      </w:r>
    </w:p>
    <w:p w14:paraId="5D8F2095">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本项目运营期固体废物主要来源于选矿工序产生的生活垃圾</w:t>
      </w:r>
      <w:r>
        <w:rPr>
          <w:rFonts w:hint="eastAsia" w:cs="Times New Roman"/>
          <w:color w:val="auto"/>
          <w:kern w:val="0"/>
          <w:highlight w:val="none"/>
          <w:lang w:eastAsia="zh-CN"/>
        </w:rPr>
        <w:t>、</w:t>
      </w:r>
      <w:r>
        <w:rPr>
          <w:rFonts w:hint="default" w:ascii="Times New Roman" w:hAnsi="Times New Roman" w:cs="Times New Roman"/>
          <w:color w:val="auto"/>
          <w:kern w:val="0"/>
          <w:highlight w:val="none"/>
        </w:rPr>
        <w:t>尾矿砂</w:t>
      </w:r>
      <w:r>
        <w:rPr>
          <w:rFonts w:hint="eastAsia" w:cs="Times New Roman"/>
          <w:color w:val="auto"/>
          <w:kern w:val="0"/>
          <w:highlight w:val="none"/>
          <w:lang w:eastAsia="zh-CN"/>
        </w:rPr>
        <w:t>、</w:t>
      </w:r>
      <w:r>
        <w:rPr>
          <w:rFonts w:hint="default" w:ascii="Times New Roman" w:hAnsi="Times New Roman" w:cs="Times New Roman"/>
          <w:color w:val="auto"/>
          <w:kern w:val="0"/>
          <w:highlight w:val="none"/>
        </w:rPr>
        <w:t>废机油</w:t>
      </w:r>
      <w:r>
        <w:rPr>
          <w:rFonts w:hint="eastAsia" w:cs="Times New Roman"/>
          <w:color w:val="auto"/>
          <w:kern w:val="0"/>
          <w:highlight w:val="none"/>
          <w:lang w:eastAsia="zh-CN"/>
        </w:rPr>
        <w:t>、</w:t>
      </w:r>
      <w:r>
        <w:rPr>
          <w:rFonts w:hint="default" w:ascii="Times New Roman" w:hAnsi="Times New Roman" w:cs="Times New Roman"/>
          <w:color w:val="auto"/>
          <w:kern w:val="0"/>
          <w:highlight w:val="none"/>
        </w:rPr>
        <w:t>废油桶</w:t>
      </w:r>
      <w:r>
        <w:rPr>
          <w:rFonts w:hint="eastAsia" w:cs="Times New Roman"/>
          <w:color w:val="auto"/>
          <w:kern w:val="0"/>
          <w:highlight w:val="none"/>
          <w:lang w:eastAsia="zh-CN"/>
        </w:rPr>
        <w:t>、</w:t>
      </w:r>
      <w:r>
        <w:rPr>
          <w:rFonts w:hint="default" w:ascii="Times New Roman" w:hAnsi="Times New Roman" w:cs="Times New Roman"/>
          <w:color w:val="auto"/>
          <w:kern w:val="0"/>
          <w:highlight w:val="none"/>
        </w:rPr>
        <w:t>原辅料废包装物</w:t>
      </w:r>
      <w:r>
        <w:rPr>
          <w:rFonts w:hint="eastAsia" w:cs="Times New Roman"/>
          <w:color w:val="auto"/>
          <w:kern w:val="0"/>
          <w:highlight w:val="none"/>
          <w:lang w:eastAsia="zh-CN"/>
        </w:rPr>
        <w:t>、</w:t>
      </w:r>
      <w:r>
        <w:rPr>
          <w:rFonts w:hint="default" w:ascii="Times New Roman" w:hAnsi="Times New Roman" w:cs="Times New Roman"/>
          <w:color w:val="auto"/>
          <w:kern w:val="0"/>
          <w:highlight w:val="none"/>
        </w:rPr>
        <w:t>除尘灰</w:t>
      </w:r>
      <w:r>
        <w:rPr>
          <w:rFonts w:hint="eastAsia" w:cs="Times New Roman"/>
          <w:color w:val="auto"/>
          <w:kern w:val="0"/>
          <w:highlight w:val="none"/>
          <w:lang w:eastAsia="zh-CN"/>
        </w:rPr>
        <w:t>、</w:t>
      </w:r>
      <w:r>
        <w:rPr>
          <w:rFonts w:hint="default" w:ascii="Times New Roman" w:hAnsi="Times New Roman" w:cs="Times New Roman"/>
          <w:color w:val="auto"/>
          <w:kern w:val="0"/>
          <w:highlight w:val="none"/>
        </w:rPr>
        <w:t>废离子交换树脂</w:t>
      </w:r>
      <w:r>
        <w:rPr>
          <w:rFonts w:hint="eastAsia" w:cs="Times New Roman"/>
          <w:color w:val="auto"/>
          <w:kern w:val="0"/>
          <w:highlight w:val="none"/>
          <w:lang w:eastAsia="zh-CN"/>
        </w:rPr>
        <w:t>、</w:t>
      </w:r>
      <w:r>
        <w:rPr>
          <w:rFonts w:hint="default" w:ascii="Times New Roman" w:hAnsi="Times New Roman" w:cs="Times New Roman"/>
          <w:color w:val="auto"/>
          <w:kern w:val="0"/>
          <w:highlight w:val="none"/>
        </w:rPr>
        <w:t>沉淀池底泥</w:t>
      </w:r>
      <w:r>
        <w:rPr>
          <w:rFonts w:hint="eastAsia" w:cs="Times New Roman"/>
          <w:color w:val="auto"/>
          <w:kern w:val="0"/>
          <w:highlight w:val="none"/>
          <w:lang w:eastAsia="zh-CN"/>
        </w:rPr>
        <w:t>、</w:t>
      </w:r>
      <w:r>
        <w:rPr>
          <w:rFonts w:hint="default" w:ascii="Times New Roman" w:hAnsi="Times New Roman" w:cs="Times New Roman"/>
          <w:color w:val="auto"/>
          <w:kern w:val="0"/>
          <w:highlight w:val="none"/>
        </w:rPr>
        <w:t>废布袋等。</w:t>
      </w:r>
    </w:p>
    <w:p w14:paraId="4DB2DD13">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（1）尾矿砂</w:t>
      </w:r>
    </w:p>
    <w:p w14:paraId="19D57E1B">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本项目尾矿主要为磨矿选别过程中产生的尾矿砂，尾矿砂产生量</w:t>
      </w:r>
      <w:r>
        <w:rPr>
          <w:rFonts w:hint="default" w:ascii="Times New Roman" w:hAnsi="Times New Roman" w:cs="Times New Roman"/>
          <w:color w:val="auto"/>
          <w:kern w:val="0"/>
          <w:highlight w:val="none"/>
          <w:lang w:val="en-US" w:eastAsia="zh-CN"/>
        </w:rPr>
        <w:t>46.62</w:t>
      </w:r>
      <w:r>
        <w:rPr>
          <w:rFonts w:hint="default" w:ascii="Times New Roman" w:hAnsi="Times New Roman" w:cs="Times New Roman"/>
          <w:color w:val="auto"/>
          <w:kern w:val="0"/>
          <w:highlight w:val="none"/>
        </w:rPr>
        <w:t>万t/a，</w:t>
      </w:r>
      <w:r>
        <w:rPr>
          <w:rFonts w:hint="default" w:ascii="Times New Roman" w:hAnsi="Times New Roman" w:cs="Times New Roman"/>
          <w:color w:val="auto"/>
          <w:kern w:val="0"/>
          <w:highlight w:val="none"/>
          <w:lang w:val="zh-CN"/>
        </w:rPr>
        <w:t>为一般固体废物</w:t>
      </w:r>
      <w:r>
        <w:rPr>
          <w:rFonts w:hint="default" w:ascii="Times New Roman" w:hAnsi="Times New Roman" w:cs="Times New Roman"/>
          <w:color w:val="auto"/>
          <w:kern w:val="0"/>
          <w:highlight w:val="none"/>
        </w:rPr>
        <w:t>，</w:t>
      </w:r>
      <w:r>
        <w:rPr>
          <w:rFonts w:hint="default" w:ascii="Times New Roman" w:hAnsi="Times New Roman" w:cs="Times New Roman"/>
          <w:color w:val="auto"/>
          <w:kern w:val="0"/>
          <w:highlight w:val="none"/>
          <w:lang w:eastAsia="zh-CN"/>
        </w:rPr>
        <w:t>尾矿砂</w:t>
      </w:r>
      <w:r>
        <w:rPr>
          <w:rFonts w:hint="default" w:ascii="Times New Roman" w:hAnsi="Times New Roman" w:cs="Times New Roman"/>
          <w:color w:val="auto"/>
          <w:kern w:val="0"/>
          <w:highlight w:val="none"/>
        </w:rPr>
        <w:t>经管线输送至尾矿库。</w:t>
      </w:r>
    </w:p>
    <w:p w14:paraId="086877DA">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（2）生活垃圾</w:t>
      </w:r>
    </w:p>
    <w:p w14:paraId="154ECDBD">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本项目劳动定员</w:t>
      </w:r>
      <w:r>
        <w:rPr>
          <w:rFonts w:hint="default" w:ascii="Times New Roman" w:hAnsi="Times New Roman" w:cs="Times New Roman"/>
          <w:color w:val="auto"/>
          <w:highlight w:val="none"/>
          <w:lang w:val="en-US" w:eastAsia="zh-CN"/>
        </w:rPr>
        <w:t>72</w:t>
      </w:r>
      <w:r>
        <w:rPr>
          <w:rFonts w:hint="default" w:ascii="Times New Roman" w:hAnsi="Times New Roman" w:cs="Times New Roman"/>
          <w:color w:val="auto"/>
          <w:highlight w:val="none"/>
        </w:rPr>
        <w:t>人，</w:t>
      </w:r>
      <w:r>
        <w:rPr>
          <w:rFonts w:hint="default" w:ascii="Times New Roman" w:hAnsi="Times New Roman" w:cs="Times New Roman"/>
          <w:color w:val="auto"/>
          <w:kern w:val="0"/>
          <w:highlight w:val="none"/>
        </w:rPr>
        <w:t>生活垃圾的产生量按1.0kg/d·人计，则生活垃圾产生量为</w:t>
      </w:r>
      <w:r>
        <w:rPr>
          <w:rFonts w:hint="default" w:ascii="Times New Roman" w:hAnsi="Times New Roman" w:cs="Times New Roman"/>
          <w:color w:val="auto"/>
          <w:kern w:val="0"/>
          <w:highlight w:val="none"/>
          <w:lang w:val="en-US" w:eastAsia="zh-CN"/>
        </w:rPr>
        <w:t>72</w:t>
      </w:r>
      <w:r>
        <w:rPr>
          <w:rFonts w:hint="default" w:ascii="Times New Roman" w:hAnsi="Times New Roman" w:cs="Times New Roman"/>
          <w:color w:val="auto"/>
          <w:kern w:val="0"/>
          <w:highlight w:val="none"/>
        </w:rPr>
        <w:t>kg/d（</w:t>
      </w:r>
      <w:r>
        <w:rPr>
          <w:rFonts w:hint="default" w:ascii="Times New Roman" w:hAnsi="Times New Roman" w:cs="Times New Roman"/>
          <w:color w:val="auto"/>
          <w:kern w:val="0"/>
          <w:highlight w:val="none"/>
          <w:lang w:val="en-US" w:eastAsia="zh-CN"/>
        </w:rPr>
        <w:t>21.6</w:t>
      </w:r>
      <w:r>
        <w:rPr>
          <w:rFonts w:hint="default" w:ascii="Times New Roman" w:hAnsi="Times New Roman" w:cs="Times New Roman"/>
          <w:color w:val="auto"/>
          <w:kern w:val="0"/>
          <w:highlight w:val="none"/>
        </w:rPr>
        <w:t>t/a）。</w:t>
      </w:r>
    </w:p>
    <w:p w14:paraId="1625825C">
      <w:pPr>
        <w:overflowPunct w:val="0"/>
        <w:topLinePunct/>
        <w:ind w:firstLine="480"/>
        <w:rPr>
          <w:rFonts w:hint="default" w:ascii="Times New Roman" w:hAnsi="Times New Roman" w:eastAsia="宋体" w:cs="Times New Roman"/>
          <w:color w:val="auto"/>
          <w:kern w:val="0"/>
          <w:highlight w:val="none"/>
          <w:lang w:eastAsia="zh-CN"/>
        </w:rPr>
      </w:pPr>
      <w:r>
        <w:rPr>
          <w:rFonts w:hint="default" w:ascii="Times New Roman" w:hAnsi="Times New Roman" w:cs="Times New Roman"/>
          <w:color w:val="auto"/>
          <w:kern w:val="0"/>
          <w:highlight w:val="none"/>
        </w:rPr>
        <w:t>（</w:t>
      </w:r>
      <w:r>
        <w:rPr>
          <w:rFonts w:hint="default" w:ascii="Times New Roman" w:hAnsi="Times New Roman" w:cs="Times New Roman"/>
          <w:color w:val="auto"/>
          <w:kern w:val="0"/>
          <w:highlight w:val="none"/>
          <w:lang w:val="en-US" w:eastAsia="zh-CN"/>
        </w:rPr>
        <w:t>3</w:t>
      </w:r>
      <w:r>
        <w:rPr>
          <w:rFonts w:hint="default" w:ascii="Times New Roman" w:hAnsi="Times New Roman" w:cs="Times New Roman"/>
          <w:color w:val="auto"/>
          <w:kern w:val="0"/>
          <w:highlight w:val="none"/>
        </w:rPr>
        <w:t>）废机油及废油桶</w:t>
      </w:r>
    </w:p>
    <w:p w14:paraId="102A05CD">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项目运营过程中会产生少量废机油及废油桶，属于危险废物（HW08 900-217-08），主要来源于工程机械和大型设备润滑、维护、检修。</w:t>
      </w:r>
      <w:r>
        <w:rPr>
          <w:rFonts w:hint="default" w:ascii="Times New Roman" w:hAnsi="Times New Roman" w:cs="Times New Roman"/>
          <w:color w:val="auto"/>
          <w:highlight w:val="none"/>
        </w:rPr>
        <w:t>废油桶产生量为</w:t>
      </w:r>
      <w:r>
        <w:rPr>
          <w:rFonts w:hint="eastAsia" w:cs="Times New Roman"/>
          <w:color w:val="auto"/>
          <w:highlight w:val="none"/>
          <w:lang w:val="en-US" w:eastAsia="zh-CN"/>
        </w:rPr>
        <w:t>15</w:t>
      </w:r>
      <w:r>
        <w:rPr>
          <w:rFonts w:hint="default" w:ascii="Times New Roman" w:hAnsi="Times New Roman" w:cs="Times New Roman"/>
          <w:color w:val="auto"/>
          <w:highlight w:val="none"/>
        </w:rPr>
        <w:t>只/年（约</w:t>
      </w:r>
      <w:r>
        <w:rPr>
          <w:rFonts w:hint="eastAsia" w:cs="Times New Roman"/>
          <w:color w:val="auto"/>
          <w:highlight w:val="none"/>
          <w:lang w:val="en-US" w:eastAsia="zh-CN"/>
        </w:rPr>
        <w:t>0.03</w:t>
      </w:r>
      <w:r>
        <w:rPr>
          <w:rFonts w:hint="default" w:ascii="Times New Roman" w:hAnsi="Times New Roman" w:cs="Times New Roman"/>
          <w:color w:val="auto"/>
          <w:highlight w:val="none"/>
        </w:rPr>
        <w:t>t/a），</w:t>
      </w:r>
      <w:r>
        <w:rPr>
          <w:rFonts w:hint="default" w:ascii="Times New Roman" w:hAnsi="Times New Roman" w:cs="Times New Roman"/>
          <w:color w:val="auto"/>
          <w:kern w:val="0"/>
          <w:highlight w:val="none"/>
        </w:rPr>
        <w:t>废机油产生量约</w:t>
      </w:r>
      <w:r>
        <w:rPr>
          <w:rFonts w:hint="eastAsia" w:cs="Times New Roman"/>
          <w:color w:val="auto"/>
          <w:kern w:val="0"/>
          <w:highlight w:val="none"/>
          <w:lang w:val="en-US" w:eastAsia="zh-CN"/>
        </w:rPr>
        <w:t>0.3</w:t>
      </w:r>
      <w:r>
        <w:rPr>
          <w:rFonts w:hint="default" w:ascii="Times New Roman" w:hAnsi="Times New Roman" w:cs="Times New Roman"/>
          <w:color w:val="auto"/>
          <w:kern w:val="0"/>
          <w:highlight w:val="none"/>
        </w:rPr>
        <w:t>t/a。</w:t>
      </w:r>
    </w:p>
    <w:p w14:paraId="62C287AE">
      <w:pPr>
        <w:pStyle w:val="29"/>
        <w:widowControl w:val="0"/>
        <w:overflowPunct w:val="0"/>
        <w:topLinePunct/>
        <w:spacing w:before="0" w:beforeAutospacing="0" w:after="0" w:afterAutospacing="0"/>
        <w:ind w:firstLine="480"/>
        <w:jc w:val="both"/>
        <w:rPr>
          <w:rFonts w:hint="default" w:ascii="Times New Roman" w:hAnsi="Times New Roman" w:cs="Times New Roman"/>
          <w:bCs/>
          <w:color w:val="auto"/>
          <w:highlight w:val="none"/>
        </w:rPr>
      </w:pPr>
      <w:r>
        <w:rPr>
          <w:rFonts w:hint="eastAsia" w:ascii="Times New Roman" w:hAnsi="Times New Roman" w:cs="Times New Roman"/>
          <w:color w:val="auto"/>
          <w:kern w:val="0"/>
          <w:highlight w:val="none"/>
          <w:lang w:eastAsia="zh-CN"/>
        </w:rPr>
        <w:t>危废贮存点</w:t>
      </w:r>
      <w:r>
        <w:rPr>
          <w:rFonts w:hint="default" w:ascii="Times New Roman" w:hAnsi="Times New Roman" w:cs="Times New Roman"/>
          <w:color w:val="auto"/>
          <w:highlight w:val="none"/>
        </w:rPr>
        <w:t>（规格：</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7</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21</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），危险废物暂存于</w:t>
      </w:r>
      <w:r>
        <w:rPr>
          <w:rFonts w:hint="eastAsia" w:ascii="Times New Roman" w:hAnsi="Times New Roman" w:cs="Times New Roman"/>
          <w:color w:val="auto"/>
          <w:highlight w:val="none"/>
          <w:lang w:eastAsia="zh-CN"/>
        </w:rPr>
        <w:t>危废贮存点</w:t>
      </w:r>
      <w:r>
        <w:rPr>
          <w:rFonts w:hint="default" w:ascii="Times New Roman" w:hAnsi="Times New Roman" w:cs="Times New Roman"/>
          <w:color w:val="auto"/>
          <w:highlight w:val="none"/>
        </w:rPr>
        <w:t>，委托有资质单位处置。根据《危险废物贮存污染控制标准》（GB</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18597</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2023）中有关规定，危险废物在</w:t>
      </w:r>
      <w:r>
        <w:rPr>
          <w:rFonts w:hint="eastAsia" w:ascii="Times New Roman" w:hAnsi="Times New Roman" w:cs="Times New Roman"/>
          <w:color w:val="auto"/>
          <w:highlight w:val="none"/>
          <w:lang w:eastAsia="zh-CN"/>
        </w:rPr>
        <w:t>危废贮存点</w:t>
      </w:r>
      <w:r>
        <w:rPr>
          <w:rFonts w:hint="default" w:ascii="Times New Roman" w:hAnsi="Times New Roman" w:cs="Times New Roman"/>
          <w:color w:val="auto"/>
          <w:highlight w:val="none"/>
        </w:rPr>
        <w:t>内暂存期间，使用完好无损容器盛装。储存容器上必须粘贴该标准中规定的危险废物标签；容器材质与危险废物本身相容（不相互反应）。厂内设置临时安全存放场所，基础做防渗，防渗层为至少1m粘土层（渗透系数小于等于10</w:t>
      </w:r>
      <w:r>
        <w:rPr>
          <w:rFonts w:hint="default" w:ascii="Times New Roman" w:hAnsi="Times New Roman" w:cs="Times New Roman"/>
          <w:color w:val="auto"/>
          <w:highlight w:val="none"/>
          <w:vertAlign w:val="superscript"/>
        </w:rPr>
        <w:t>-7</w:t>
      </w:r>
      <w:r>
        <w:rPr>
          <w:rFonts w:hint="default" w:ascii="Times New Roman" w:hAnsi="Times New Roman" w:cs="Times New Roman"/>
          <w:color w:val="auto"/>
          <w:highlight w:val="none"/>
        </w:rPr>
        <w:t>cm/s）</w:t>
      </w:r>
      <w:r>
        <w:rPr>
          <w:rFonts w:hint="default" w:ascii="Times New Roman" w:hAnsi="Times New Roman" w:cs="Times New Roman"/>
          <w:bCs/>
          <w:color w:val="auto"/>
          <w:highlight w:val="none"/>
        </w:rPr>
        <w:t>。根据</w:t>
      </w:r>
      <w:r>
        <w:rPr>
          <w:rFonts w:hint="eastAsia" w:ascii="Times New Roman" w:hAnsi="Times New Roman" w:cs="Times New Roman"/>
          <w:bCs/>
          <w:color w:val="auto"/>
          <w:highlight w:val="none"/>
          <w:lang w:eastAsia="zh-CN"/>
        </w:rPr>
        <w:t>“</w:t>
      </w:r>
      <w:r>
        <w:rPr>
          <w:rFonts w:hint="default" w:ascii="Times New Roman" w:hAnsi="Times New Roman" w:cs="Times New Roman"/>
          <w:bCs/>
          <w:color w:val="auto"/>
          <w:highlight w:val="none"/>
        </w:rPr>
        <w:t>《中华人民共和国固体废物污染环境防治法》第五十八条第二款：贮存危险废物必须采取符合</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s://www.baidu.com/s?wd=%E5%9B%BD%E5%AE%B6%E7%8E%AF%E5%A2%83%E4%BF%9D%E6%8A%A4%E6%A0%87%E5%87%86&amp;tn=44039180_cpr&amp;fenlei=mv6quAkxTZn0IZRqIHckPjm4nH00T1d9m1KbrjRvP1-huHcdmWw-0ZwV5Hcvrjm3rH6sPfKWUMw85HfYnjn4nH6sgvPsT6KdThsqpZwYTjCEQLGCpyw9Uz4Bmy-bIi4WUvYETgN-TLwGUv3EnW0LPjnLPjnkn1DLPWfYPH0vr0" \t "https://zhidao.baidu.com/question/_blank" </w:instrText>
      </w:r>
      <w:r>
        <w:rPr>
          <w:rFonts w:hint="default" w:ascii="Times New Roman" w:hAnsi="Times New Roman" w:cs="Times New Roman"/>
          <w:color w:val="auto"/>
          <w:highlight w:val="none"/>
        </w:rPr>
        <w:fldChar w:fldCharType="separate"/>
      </w:r>
      <w:r>
        <w:rPr>
          <w:rStyle w:val="39"/>
          <w:rFonts w:hint="default" w:ascii="Times New Roman" w:hAnsi="Times New Roman" w:cs="Times New Roman"/>
          <w:bCs/>
          <w:color w:val="auto"/>
          <w:highlight w:val="none"/>
          <w:u w:val="none"/>
        </w:rPr>
        <w:t>国家环境保护标准</w:t>
      </w:r>
      <w:r>
        <w:rPr>
          <w:rStyle w:val="39"/>
          <w:rFonts w:hint="default" w:ascii="Times New Roman" w:hAnsi="Times New Roman" w:cs="Times New Roman"/>
          <w:bCs/>
          <w:color w:val="auto"/>
          <w:highlight w:val="none"/>
          <w:u w:val="none"/>
        </w:rPr>
        <w:fldChar w:fldCharType="end"/>
      </w:r>
      <w:r>
        <w:rPr>
          <w:rFonts w:hint="default" w:ascii="Times New Roman" w:hAnsi="Times New Roman" w:cs="Times New Roman"/>
          <w:bCs/>
          <w:color w:val="auto"/>
          <w:highlight w:val="none"/>
        </w:rPr>
        <w:t>的防护措施，并不得超过一年</w:t>
      </w:r>
      <w:r>
        <w:rPr>
          <w:rFonts w:hint="eastAsia" w:ascii="Times New Roman" w:hAnsi="Times New Roman" w:cs="Times New Roman"/>
          <w:bCs/>
          <w:color w:val="auto"/>
          <w:highlight w:val="none"/>
          <w:lang w:eastAsia="zh-CN"/>
        </w:rPr>
        <w:t>”</w:t>
      </w:r>
      <w:r>
        <w:rPr>
          <w:rFonts w:hint="default" w:ascii="Times New Roman" w:hAnsi="Times New Roman" w:cs="Times New Roman"/>
          <w:bCs/>
          <w:color w:val="auto"/>
          <w:highlight w:val="none"/>
        </w:rPr>
        <w:t>；因此本项目危险废物贮存期限为一年，委托处置需转运时应及时办理危废转移联单。</w:t>
      </w:r>
    </w:p>
    <w:p w14:paraId="3F426D98">
      <w:pPr>
        <w:overflowPunct w:val="0"/>
        <w:topLinePunct/>
        <w:ind w:firstLine="480"/>
        <w:rPr>
          <w:rFonts w:hint="default" w:ascii="Times New Roman" w:hAnsi="Times New Roman" w:eastAsia="宋体" w:cs="Times New Roman"/>
          <w:color w:val="auto"/>
          <w:kern w:val="0"/>
          <w:highlight w:val="none"/>
          <w:lang w:eastAsia="zh-CN"/>
        </w:rPr>
      </w:pPr>
      <w:r>
        <w:rPr>
          <w:rFonts w:hint="default" w:ascii="Times New Roman" w:hAnsi="Times New Roman" w:cs="Times New Roman"/>
          <w:color w:val="auto"/>
          <w:kern w:val="0"/>
          <w:highlight w:val="none"/>
        </w:rPr>
        <w:t>（</w:t>
      </w:r>
      <w:r>
        <w:rPr>
          <w:rFonts w:hint="default" w:ascii="Times New Roman" w:hAnsi="Times New Roman" w:cs="Times New Roman"/>
          <w:color w:val="auto"/>
          <w:kern w:val="0"/>
          <w:highlight w:val="none"/>
          <w:lang w:val="en-US" w:eastAsia="zh-CN"/>
        </w:rPr>
        <w:t>4</w:t>
      </w:r>
      <w:r>
        <w:rPr>
          <w:rFonts w:hint="default" w:ascii="Times New Roman" w:hAnsi="Times New Roman" w:cs="Times New Roman"/>
          <w:color w:val="auto"/>
          <w:kern w:val="0"/>
          <w:highlight w:val="none"/>
        </w:rPr>
        <w:t>）</w:t>
      </w:r>
      <w:r>
        <w:rPr>
          <w:rFonts w:hint="default" w:ascii="Times New Roman" w:hAnsi="Times New Roman" w:cs="Times New Roman"/>
          <w:color w:val="auto"/>
          <w:kern w:val="0"/>
          <w:highlight w:val="none"/>
          <w:lang w:eastAsia="zh-CN"/>
        </w:rPr>
        <w:t>原辅料废</w:t>
      </w:r>
      <w:r>
        <w:rPr>
          <w:rFonts w:hint="default" w:ascii="Times New Roman" w:hAnsi="Times New Roman" w:cs="Times New Roman"/>
          <w:color w:val="auto"/>
          <w:kern w:val="0"/>
          <w:highlight w:val="none"/>
        </w:rPr>
        <w:t>包装物</w:t>
      </w:r>
    </w:p>
    <w:p w14:paraId="3A01F057">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本项目原辅料包装形式包括桶装和袋装，</w:t>
      </w:r>
      <w:r>
        <w:rPr>
          <w:rFonts w:hint="default" w:ascii="Times New Roman" w:hAnsi="Times New Roman" w:cs="Times New Roman"/>
          <w:color w:val="auto"/>
          <w:kern w:val="0"/>
          <w:highlight w:val="none"/>
        </w:rPr>
        <w:t>根据</w:t>
      </w:r>
      <w:r>
        <w:rPr>
          <w:rFonts w:hint="eastAsia" w:cs="Times New Roman"/>
          <w:color w:val="auto"/>
          <w:kern w:val="0"/>
          <w:highlight w:val="none"/>
          <w:lang w:val="en-US" w:eastAsia="zh-CN"/>
        </w:rPr>
        <w:t>业主</w:t>
      </w:r>
      <w:r>
        <w:rPr>
          <w:rFonts w:hint="default" w:ascii="Times New Roman" w:hAnsi="Times New Roman" w:cs="Times New Roman"/>
          <w:color w:val="auto"/>
          <w:kern w:val="0"/>
          <w:highlight w:val="none"/>
        </w:rPr>
        <w:t>提供</w:t>
      </w:r>
      <w:r>
        <w:rPr>
          <w:rFonts w:hint="eastAsia" w:cs="Times New Roman"/>
          <w:color w:val="auto"/>
          <w:kern w:val="0"/>
          <w:highlight w:val="none"/>
          <w:lang w:eastAsia="zh-CN"/>
        </w:rPr>
        <w:t>的</w:t>
      </w:r>
      <w:r>
        <w:rPr>
          <w:rFonts w:hint="default" w:ascii="Times New Roman" w:hAnsi="Times New Roman" w:cs="Times New Roman"/>
          <w:color w:val="auto"/>
          <w:kern w:val="0"/>
          <w:highlight w:val="none"/>
        </w:rPr>
        <w:t>资料，本项目产生废包装共计</w:t>
      </w:r>
      <w:r>
        <w:rPr>
          <w:rFonts w:hint="eastAsia" w:cs="Times New Roman"/>
          <w:color w:val="auto"/>
          <w:kern w:val="0"/>
          <w:highlight w:val="none"/>
          <w:lang w:val="en-US" w:eastAsia="zh-CN"/>
        </w:rPr>
        <w:t>约0.6</w:t>
      </w:r>
      <w:r>
        <w:rPr>
          <w:rFonts w:hint="default" w:ascii="Times New Roman" w:hAnsi="Times New Roman" w:cs="Times New Roman"/>
          <w:color w:val="auto"/>
          <w:kern w:val="0"/>
          <w:highlight w:val="none"/>
        </w:rPr>
        <w:t>t/a</w:t>
      </w:r>
      <w:r>
        <w:rPr>
          <w:rFonts w:hint="eastAsia" w:cs="Times New Roman"/>
          <w:color w:val="auto"/>
          <w:kern w:val="0"/>
          <w:highlight w:val="none"/>
          <w:lang w:eastAsia="zh-CN"/>
        </w:rPr>
        <w:t>，</w:t>
      </w:r>
      <w:r>
        <w:rPr>
          <w:rFonts w:hint="eastAsia" w:cs="Times New Roman"/>
          <w:color w:val="auto"/>
          <w:kern w:val="0"/>
          <w:highlight w:val="none"/>
          <w:lang w:val="en-US" w:eastAsia="zh-CN"/>
        </w:rPr>
        <w:t>由</w:t>
      </w:r>
      <w:r>
        <w:rPr>
          <w:rFonts w:hint="eastAsia" w:cs="Times New Roman"/>
          <w:color w:val="auto"/>
          <w:kern w:val="0"/>
          <w:highlight w:val="none"/>
          <w:lang w:eastAsia="zh-CN"/>
        </w:rPr>
        <w:t>厂家回收处理</w:t>
      </w:r>
      <w:r>
        <w:rPr>
          <w:rFonts w:hint="default" w:ascii="Times New Roman" w:hAnsi="Times New Roman" w:cs="Times New Roman"/>
          <w:color w:val="auto"/>
          <w:kern w:val="0"/>
          <w:highlight w:val="none"/>
        </w:rPr>
        <w:t>。</w:t>
      </w:r>
    </w:p>
    <w:p w14:paraId="6009945B">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w:t>
      </w:r>
      <w:r>
        <w:rPr>
          <w:rFonts w:hint="default" w:ascii="Times New Roman" w:hAnsi="Times New Roman" w:cs="Times New Roman"/>
          <w:color w:val="auto"/>
          <w:kern w:val="0"/>
          <w:highlight w:val="none"/>
          <w:lang w:val="en-US" w:eastAsia="zh-CN"/>
        </w:rPr>
        <w:t>5</w:t>
      </w:r>
      <w:r>
        <w:rPr>
          <w:rFonts w:hint="default" w:ascii="Times New Roman" w:hAnsi="Times New Roman" w:cs="Times New Roman"/>
          <w:color w:val="auto"/>
          <w:kern w:val="0"/>
          <w:highlight w:val="none"/>
        </w:rPr>
        <w:t>）除尘灰</w:t>
      </w:r>
    </w:p>
    <w:p w14:paraId="3530E3C7">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本项目新建</w:t>
      </w:r>
      <w:r>
        <w:rPr>
          <w:rFonts w:hint="default" w:ascii="Times New Roman" w:hAnsi="Times New Roman" w:cs="Times New Roman"/>
          <w:color w:val="auto"/>
          <w:kern w:val="0"/>
          <w:highlight w:val="none"/>
          <w:lang w:eastAsia="zh-CN"/>
        </w:rPr>
        <w:t>破碎筛分工段</w:t>
      </w:r>
      <w:r>
        <w:rPr>
          <w:rFonts w:hint="default" w:ascii="Times New Roman" w:hAnsi="Times New Roman" w:cs="Times New Roman"/>
          <w:color w:val="auto"/>
          <w:kern w:val="0"/>
          <w:highlight w:val="none"/>
        </w:rPr>
        <w:t>配套除尘器收集的粉尘灰产生量为</w:t>
      </w:r>
      <w:r>
        <w:rPr>
          <w:rFonts w:hint="eastAsia" w:cs="Times New Roman"/>
          <w:color w:val="auto"/>
          <w:kern w:val="0"/>
          <w:highlight w:val="none"/>
          <w:lang w:val="en-US" w:eastAsia="zh-CN"/>
        </w:rPr>
        <w:t>54</w:t>
      </w:r>
      <w:r>
        <w:rPr>
          <w:rFonts w:hint="default" w:ascii="Times New Roman" w:hAnsi="Times New Roman" w:cs="Times New Roman"/>
          <w:color w:val="auto"/>
          <w:kern w:val="0"/>
          <w:highlight w:val="none"/>
        </w:rPr>
        <w:t>t/a</w:t>
      </w:r>
      <w:r>
        <w:rPr>
          <w:rFonts w:hint="eastAsia" w:cs="Times New Roman"/>
          <w:color w:val="auto"/>
          <w:kern w:val="0"/>
          <w:highlight w:val="none"/>
          <w:lang w:eastAsia="zh-CN"/>
        </w:rPr>
        <w:t>，</w:t>
      </w:r>
      <w:r>
        <w:rPr>
          <w:rFonts w:hint="default" w:ascii="Times New Roman" w:hAnsi="Times New Roman" w:cs="Times New Roman"/>
          <w:color w:val="auto"/>
          <w:kern w:val="0"/>
          <w:highlight w:val="none"/>
          <w:lang w:eastAsia="zh-CN"/>
        </w:rPr>
        <w:t>破碎筛分工段</w:t>
      </w:r>
      <w:r>
        <w:rPr>
          <w:rFonts w:hint="default" w:ascii="Times New Roman" w:hAnsi="Times New Roman" w:cs="Times New Roman"/>
          <w:color w:val="auto"/>
          <w:kern w:val="0"/>
          <w:highlight w:val="none"/>
        </w:rPr>
        <w:t>的粉尘灰含较高的</w:t>
      </w:r>
      <w:r>
        <w:rPr>
          <w:rFonts w:hint="default" w:ascii="Times New Roman" w:hAnsi="Times New Roman" w:cs="Times New Roman"/>
          <w:color w:val="auto"/>
          <w:kern w:val="0"/>
          <w:highlight w:val="none"/>
          <w:lang w:eastAsia="zh-CN"/>
        </w:rPr>
        <w:t>萤石</w:t>
      </w:r>
      <w:r>
        <w:rPr>
          <w:rFonts w:hint="default" w:ascii="Times New Roman" w:hAnsi="Times New Roman" w:cs="Times New Roman"/>
          <w:color w:val="auto"/>
          <w:kern w:val="0"/>
          <w:highlight w:val="none"/>
        </w:rPr>
        <w:t>矿物，</w:t>
      </w:r>
      <w:r>
        <w:rPr>
          <w:rFonts w:hint="default" w:ascii="Times New Roman" w:hAnsi="Times New Roman" w:cs="Times New Roman"/>
          <w:color w:val="auto"/>
          <w:highlight w:val="none"/>
        </w:rPr>
        <w:t>通过除尘器灰斗收集后</w:t>
      </w:r>
      <w:r>
        <w:rPr>
          <w:rFonts w:hint="default" w:ascii="Times New Roman" w:hAnsi="Times New Roman" w:cs="Times New Roman"/>
          <w:color w:val="auto"/>
          <w:kern w:val="0"/>
          <w:highlight w:val="none"/>
        </w:rPr>
        <w:t>回用于选矿生产</w:t>
      </w:r>
      <w:r>
        <w:rPr>
          <w:rFonts w:hint="default" w:ascii="Times New Roman" w:hAnsi="Times New Roman" w:cs="Times New Roman"/>
          <w:color w:val="auto"/>
          <w:highlight w:val="none"/>
        </w:rPr>
        <w:t>。</w:t>
      </w:r>
    </w:p>
    <w:p w14:paraId="1908E6AC">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w:t>
      </w:r>
      <w:r>
        <w:rPr>
          <w:rFonts w:hint="default" w:ascii="Times New Roman" w:hAnsi="Times New Roman" w:cs="Times New Roman"/>
          <w:color w:val="auto"/>
          <w:kern w:val="0"/>
          <w:highlight w:val="none"/>
          <w:lang w:val="en-US" w:eastAsia="zh-CN"/>
        </w:rPr>
        <w:t>6</w:t>
      </w:r>
      <w:r>
        <w:rPr>
          <w:rFonts w:hint="default" w:ascii="Times New Roman" w:hAnsi="Times New Roman" w:cs="Times New Roman"/>
          <w:color w:val="auto"/>
          <w:kern w:val="0"/>
          <w:highlight w:val="none"/>
        </w:rPr>
        <w:t>）废离子交换树脂</w:t>
      </w:r>
    </w:p>
    <w:p w14:paraId="03947C14">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锅炉制软水后会产生废离子交换树脂，</w:t>
      </w:r>
      <w:r>
        <w:rPr>
          <w:rFonts w:hint="default" w:ascii="Times New Roman" w:hAnsi="Times New Roman" w:cs="Times New Roman"/>
          <w:color w:val="auto"/>
          <w:highlight w:val="none"/>
        </w:rPr>
        <w:t>废离子交换树脂年产生量为0.</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t/3a，根据《国家危险废物名录（202</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年版）》，软化水制备系统产生的废离子交换树脂不在该名录中，不属于危险废物，树脂更换由厂家负责，更换的旧树脂由厂家回收处理。</w:t>
      </w:r>
    </w:p>
    <w:p w14:paraId="72CEAD8A">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w:t>
      </w:r>
      <w:r>
        <w:rPr>
          <w:rFonts w:hint="default" w:ascii="Times New Roman" w:hAnsi="Times New Roman" w:cs="Times New Roman"/>
          <w:color w:val="auto"/>
          <w:kern w:val="0"/>
          <w:highlight w:val="none"/>
          <w:lang w:val="en-US" w:eastAsia="zh-CN"/>
        </w:rPr>
        <w:t>7</w:t>
      </w:r>
      <w:r>
        <w:rPr>
          <w:rFonts w:hint="default" w:ascii="Times New Roman" w:hAnsi="Times New Roman" w:cs="Times New Roman"/>
          <w:color w:val="auto"/>
          <w:kern w:val="0"/>
          <w:highlight w:val="none"/>
        </w:rPr>
        <w:t>）沉淀池底泥</w:t>
      </w:r>
    </w:p>
    <w:p w14:paraId="143FFB78">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lang w:val="en-US" w:eastAsia="zh-CN"/>
        </w:rPr>
        <w:t>沉淀池</w:t>
      </w:r>
      <w:r>
        <w:rPr>
          <w:rFonts w:hint="default" w:ascii="Times New Roman" w:hAnsi="Times New Roman" w:cs="Times New Roman"/>
          <w:color w:val="auto"/>
          <w:kern w:val="0"/>
          <w:highlight w:val="none"/>
        </w:rPr>
        <w:t>底泥产生量约</w:t>
      </w:r>
      <w:r>
        <w:rPr>
          <w:rFonts w:hint="default" w:ascii="Times New Roman" w:hAnsi="Times New Roman" w:cs="Times New Roman"/>
          <w:color w:val="auto"/>
          <w:kern w:val="0"/>
          <w:highlight w:val="none"/>
          <w:lang w:val="en-US" w:eastAsia="zh-CN"/>
        </w:rPr>
        <w:t>120</w:t>
      </w:r>
      <w:r>
        <w:rPr>
          <w:rFonts w:hint="default" w:ascii="Times New Roman" w:hAnsi="Times New Roman" w:cs="Times New Roman"/>
          <w:color w:val="auto"/>
          <w:kern w:val="0"/>
          <w:highlight w:val="none"/>
        </w:rPr>
        <w:t>t/a</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沉淀池定期清理，底泥</w:t>
      </w:r>
      <w:r>
        <w:rPr>
          <w:rFonts w:hint="eastAsia" w:cs="Times New Roman"/>
          <w:color w:val="auto"/>
          <w:kern w:val="0"/>
          <w:highlight w:val="none"/>
          <w:lang w:val="en-US" w:eastAsia="zh-CN"/>
        </w:rPr>
        <w:t>脱水后</w:t>
      </w:r>
      <w:r>
        <w:rPr>
          <w:rFonts w:hint="default" w:ascii="Times New Roman" w:hAnsi="Times New Roman" w:cs="Times New Roman"/>
          <w:color w:val="auto"/>
          <w:kern w:val="0"/>
          <w:highlight w:val="none"/>
        </w:rPr>
        <w:t>可返回生产工序回用于选矿。</w:t>
      </w:r>
    </w:p>
    <w:p w14:paraId="0126A6CB">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w:t>
      </w:r>
      <w:r>
        <w:rPr>
          <w:rFonts w:hint="default" w:ascii="Times New Roman" w:hAnsi="Times New Roman" w:cs="Times New Roman"/>
          <w:color w:val="auto"/>
          <w:kern w:val="0"/>
          <w:highlight w:val="none"/>
          <w:lang w:val="en-US" w:eastAsia="zh-CN"/>
        </w:rPr>
        <w:t>8</w:t>
      </w:r>
      <w:r>
        <w:rPr>
          <w:rFonts w:hint="default" w:ascii="Times New Roman" w:hAnsi="Times New Roman" w:cs="Times New Roman"/>
          <w:color w:val="auto"/>
          <w:kern w:val="0"/>
          <w:highlight w:val="none"/>
        </w:rPr>
        <w:t>）废布袋</w:t>
      </w:r>
    </w:p>
    <w:p w14:paraId="60BC88F4">
      <w:pPr>
        <w:pStyle w:val="43"/>
        <w:overflowPunct w:val="0"/>
        <w:topLinePunct/>
        <w:spacing w:line="480" w:lineRule="exact"/>
        <w:ind w:firstLine="480"/>
        <w:rPr>
          <w:rFonts w:hint="default" w:ascii="Times New Roman" w:hAnsi="Times New Roman" w:cs="Times New Roman"/>
          <w:bCs/>
          <w:color w:val="auto"/>
          <w:szCs w:val="24"/>
          <w:highlight w:val="none"/>
        </w:rPr>
      </w:pPr>
      <w:r>
        <w:rPr>
          <w:rFonts w:hint="default" w:ascii="Times New Roman" w:hAnsi="Times New Roman" w:cs="Times New Roman"/>
          <w:color w:val="auto"/>
          <w:kern w:val="0"/>
          <w:highlight w:val="none"/>
        </w:rPr>
        <w:t>根据项目需要采取布袋除尘器作为环保处理措施手段，但在运行过程中难免会发生布袋破损，或遇水后糊袋的现象，因此需要更换布袋。本项目废布袋产生量约为0.5t/a，该部分固废属于一般固体废物，集中收集后定期拉运至</w:t>
      </w:r>
      <w:r>
        <w:rPr>
          <w:rFonts w:hint="default" w:ascii="Times New Roman" w:hAnsi="Times New Roman" w:cs="Times New Roman"/>
          <w:color w:val="auto"/>
          <w:kern w:val="0"/>
          <w:highlight w:val="none"/>
          <w:lang w:val="en-US" w:eastAsia="zh-CN"/>
        </w:rPr>
        <w:t>就近的</w:t>
      </w:r>
      <w:r>
        <w:rPr>
          <w:rFonts w:hint="default" w:ascii="Times New Roman" w:hAnsi="Times New Roman" w:cs="Times New Roman"/>
          <w:color w:val="auto"/>
          <w:kern w:val="0"/>
          <w:highlight w:val="none"/>
        </w:rPr>
        <w:t>一般工业固体废物填埋场进行处置。</w:t>
      </w:r>
    </w:p>
    <w:p w14:paraId="15A1006E">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w:t>
      </w:r>
      <w:r>
        <w:rPr>
          <w:rFonts w:hint="eastAsia" w:cs="Times New Roman"/>
          <w:color w:val="auto"/>
          <w:kern w:val="0"/>
          <w:highlight w:val="none"/>
          <w:lang w:val="en-US" w:eastAsia="zh-CN"/>
        </w:rPr>
        <w:t>9</w:t>
      </w:r>
      <w:r>
        <w:rPr>
          <w:rFonts w:hint="default" w:ascii="Times New Roman" w:hAnsi="Times New Roman" w:cs="Times New Roman"/>
          <w:color w:val="auto"/>
          <w:kern w:val="0"/>
          <w:highlight w:val="none"/>
        </w:rPr>
        <w:t>）脱硫石膏：本项目燃煤锅炉采用水膜脱硫除尘设施（石灰石/石灰-石膏湿法脱硫），运行过程中会产生脱硫石膏。脱硫石膏产生量约为燃煤硫分去除量的2.5倍，估算年产生量约50t/a（含水率约10%）。脱硫石膏属于一般工业固体废物</w:t>
      </w:r>
      <w:r>
        <w:rPr>
          <w:rFonts w:hint="eastAsia" w:cs="Times New Roman"/>
          <w:color w:val="auto"/>
          <w:kern w:val="0"/>
          <w:highlight w:val="none"/>
          <w:lang w:eastAsia="zh-CN"/>
        </w:rPr>
        <w:t>，</w:t>
      </w:r>
      <w:r>
        <w:rPr>
          <w:rFonts w:hint="default" w:ascii="Times New Roman" w:hAnsi="Times New Roman" w:cs="Times New Roman"/>
          <w:color w:val="auto"/>
          <w:kern w:val="0"/>
          <w:highlight w:val="none"/>
        </w:rPr>
        <w:t>可作为水泥缓凝剂、石膏板、石膏砌块等建材生产的原料。本项目产生的脱硫石膏应暂存于锅炉灰渣暂存场地，定期外售给建材企业或水泥厂进行综合利用，不得随意堆放或混入生活垃圾。</w:t>
      </w:r>
    </w:p>
    <w:p w14:paraId="70FF3CD8">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综上，本项目各项固体废物均得到妥善处置，在满足以上要求的前提下，本项目各项固体废物对项目区及周边环境影响较小。</w:t>
      </w:r>
    </w:p>
    <w:p w14:paraId="01A2A72B">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6.2.5.2危险废物相关要求</w:t>
      </w:r>
    </w:p>
    <w:p w14:paraId="7359026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（1）暂存要求</w:t>
      </w:r>
    </w:p>
    <w:p w14:paraId="6A4413E3">
      <w:pPr>
        <w:overflowPunct w:val="0"/>
        <w:topLinePunct/>
        <w:ind w:firstLine="480"/>
        <w:rPr>
          <w:rFonts w:hint="default" w:ascii="Times New Roman" w:hAnsi="Times New Roman" w:cs="Times New Roman"/>
          <w:color w:val="auto"/>
          <w:highlight w:val="none"/>
        </w:rPr>
      </w:pPr>
      <w:r>
        <w:rPr>
          <w:rFonts w:hint="default" w:ascii="Times New Roman" w:hAnsi="Times New Roman" w:eastAsia="宋体" w:cs="Times New Roman"/>
          <w:color w:val="auto"/>
          <w:sz w:val="24"/>
          <w:highlight w:val="none"/>
        </w:rPr>
        <w:t>危险废物临时贮存场所采用高密度聚乙烯防渗处理，确保其饱和渗透系数＜1.0×10</w:t>
      </w:r>
      <w:r>
        <w:rPr>
          <w:rFonts w:hint="default" w:ascii="Times New Roman" w:hAnsi="Times New Roman" w:eastAsia="宋体" w:cs="Times New Roman"/>
          <w:color w:val="auto"/>
          <w:sz w:val="24"/>
          <w:highlight w:val="none"/>
          <w:vertAlign w:val="superscript"/>
          <w:lang w:val="en-US" w:eastAsia="zh-CN"/>
        </w:rPr>
        <w:t>-</w:t>
      </w:r>
      <w:r>
        <w:rPr>
          <w:rFonts w:hint="default" w:ascii="Times New Roman" w:hAnsi="Times New Roman" w:eastAsia="宋体" w:cs="Times New Roman"/>
          <w:color w:val="auto"/>
          <w:sz w:val="24"/>
          <w:highlight w:val="none"/>
          <w:vertAlign w:val="superscript"/>
        </w:rPr>
        <w:t>10</w:t>
      </w:r>
      <w:r>
        <w:rPr>
          <w:rFonts w:hint="default" w:ascii="Times New Roman" w:hAnsi="Times New Roman" w:eastAsia="宋体" w:cs="Times New Roman"/>
          <w:color w:val="auto"/>
          <w:sz w:val="24"/>
          <w:highlight w:val="none"/>
        </w:rPr>
        <w:t>cm/s，全密封式，避免二次污染影响环境；地面与裙角要用坚固、防渗的材料制造，建筑材料必须与危险废物兼容；设施内要有安全照明设施和观察窗口；危险废物临时存放场所分区存放，禁止将不相容的危险废物在同一容器内混装；装载液体、半固体危险废物容器内必须留有足够空间，容器顶部与液体表面保留100mm以上的空间；装载危险废物的容器上必须粘贴符合《危险废物识别标志设置技术规范》（HJ1276-2022）所示的标签；危险废物临时存放场所要做好防风、防雨、防晒工作</w:t>
      </w:r>
      <w:r>
        <w:rPr>
          <w:rFonts w:hint="default" w:ascii="Times New Roman" w:hAnsi="Times New Roman" w:eastAsia="宋体" w:cs="Times New Roman"/>
          <w:color w:val="auto"/>
          <w:spacing w:val="0"/>
          <w:w w:val="100"/>
          <w:kern w:val="10"/>
          <w:position w:val="0"/>
          <w:sz w:val="24"/>
          <w:szCs w:val="24"/>
          <w:highlight w:val="none"/>
          <w:lang w:val="en-US" w:eastAsia="zh-CN"/>
        </w:rPr>
        <w:t>。</w:t>
      </w:r>
    </w:p>
    <w:p w14:paraId="7573D16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（2）运输和转移</w:t>
      </w:r>
    </w:p>
    <w:p w14:paraId="440C910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对于危险废物的运输和转移，应根据《危险废物收集</w:t>
      </w:r>
      <w:r>
        <w:rPr>
          <w:rFonts w:hint="eastAsia" w:cs="Times New Roman"/>
          <w:color w:val="auto"/>
          <w:highlight w:val="none"/>
          <w:lang w:val="en-US" w:eastAsia="zh-CN"/>
        </w:rPr>
        <w:t xml:space="preserve"> </w:t>
      </w:r>
      <w:r>
        <w:rPr>
          <w:rFonts w:hint="default" w:ascii="Times New Roman" w:hAnsi="Times New Roman" w:cs="Times New Roman"/>
          <w:color w:val="auto"/>
          <w:highlight w:val="none"/>
        </w:rPr>
        <w:t>贮存</w:t>
      </w:r>
      <w:r>
        <w:rPr>
          <w:rFonts w:hint="eastAsia" w:cs="Times New Roman"/>
          <w:color w:val="auto"/>
          <w:highlight w:val="none"/>
          <w:lang w:val="en-US" w:eastAsia="zh-CN"/>
        </w:rPr>
        <w:t xml:space="preserve"> </w:t>
      </w:r>
      <w:r>
        <w:rPr>
          <w:rFonts w:hint="default" w:ascii="Times New Roman" w:hAnsi="Times New Roman" w:cs="Times New Roman"/>
          <w:color w:val="auto"/>
          <w:highlight w:val="none"/>
        </w:rPr>
        <w:t>运输技术规范》</w:t>
      </w:r>
      <w:r>
        <w:rPr>
          <w:rFonts w:hint="eastAsia" w:cs="Times New Roman"/>
          <w:color w:val="auto"/>
          <w:highlight w:val="none"/>
          <w:lang w:eastAsia="zh-CN"/>
        </w:rPr>
        <w:t>（</w:t>
      </w:r>
      <w:r>
        <w:rPr>
          <w:rFonts w:hint="default" w:ascii="Times New Roman" w:hAnsi="Times New Roman" w:cs="Times New Roman"/>
          <w:color w:val="auto"/>
          <w:highlight w:val="none"/>
        </w:rPr>
        <w:t>HJ 2025-2012</w:t>
      </w:r>
      <w:r>
        <w:rPr>
          <w:rFonts w:hint="eastAsia" w:cs="Times New Roman"/>
          <w:color w:val="auto"/>
          <w:highlight w:val="none"/>
          <w:lang w:eastAsia="zh-CN"/>
        </w:rPr>
        <w:t>）</w:t>
      </w:r>
      <w:r>
        <w:rPr>
          <w:rFonts w:hint="default" w:ascii="Times New Roman" w:hAnsi="Times New Roman" w:cs="Times New Roman"/>
          <w:color w:val="auto"/>
          <w:highlight w:val="none"/>
        </w:rPr>
        <w:t>以及《危险废物转移管理办法》（生态环境部令第23号）等。</w:t>
      </w:r>
    </w:p>
    <w:p w14:paraId="7E473670">
      <w:pPr>
        <w:overflowPunct w:val="0"/>
        <w:topLinePunct/>
        <w:ind w:firstLine="480"/>
        <w:rPr>
          <w:rFonts w:hint="default" w:ascii="Times New Roman" w:hAnsi="Times New Roman" w:cs="Times New Roman"/>
          <w:color w:val="auto"/>
          <w:highlight w:val="none"/>
        </w:rPr>
      </w:pPr>
      <w:r>
        <w:rPr>
          <w:rFonts w:hint="eastAsia" w:cs="Times New Roman"/>
          <w:color w:val="auto"/>
          <w:highlight w:val="none"/>
          <w:lang w:val="en-US" w:eastAsia="zh-CN"/>
        </w:rPr>
        <w:t>①</w:t>
      </w:r>
      <w:r>
        <w:rPr>
          <w:rFonts w:hint="default" w:ascii="Times New Roman" w:hAnsi="Times New Roman" w:cs="Times New Roman"/>
          <w:color w:val="auto"/>
          <w:highlight w:val="none"/>
        </w:rPr>
        <w:t>企业应按国家有关规定办理危险废物申报转移的</w:t>
      </w:r>
      <w:r>
        <w:rPr>
          <w:rFonts w:hint="eastAsia" w:cs="Times New Roman"/>
          <w:color w:val="auto"/>
          <w:highlight w:val="none"/>
          <w:lang w:eastAsia="zh-CN"/>
        </w:rPr>
        <w:t>“</w:t>
      </w:r>
      <w:r>
        <w:rPr>
          <w:rFonts w:hint="default" w:ascii="Times New Roman" w:hAnsi="Times New Roman" w:cs="Times New Roman"/>
          <w:color w:val="auto"/>
          <w:highlight w:val="none"/>
        </w:rPr>
        <w:t>五联单</w:t>
      </w:r>
      <w:r>
        <w:rPr>
          <w:rFonts w:hint="eastAsia" w:cs="Times New Roman"/>
          <w:color w:val="auto"/>
          <w:highlight w:val="none"/>
          <w:lang w:eastAsia="zh-CN"/>
        </w:rPr>
        <w:t>”</w:t>
      </w:r>
      <w:r>
        <w:rPr>
          <w:rFonts w:hint="default" w:ascii="Times New Roman" w:hAnsi="Times New Roman" w:cs="Times New Roman"/>
          <w:color w:val="auto"/>
          <w:highlight w:val="none"/>
        </w:rPr>
        <w:t>手续，并在贮运过程中严格执行危险化学品贮存、运输和监管的有关规定。产废单位在转移危险废物前，应当向</w:t>
      </w:r>
      <w:r>
        <w:rPr>
          <w:rFonts w:hint="eastAsia" w:cs="Times New Roman"/>
          <w:color w:val="auto"/>
          <w:highlight w:val="none"/>
          <w:lang w:eastAsia="zh-CN"/>
        </w:rPr>
        <w:t>哈密市生态环境局</w:t>
      </w:r>
      <w:r>
        <w:rPr>
          <w:rFonts w:hint="default" w:ascii="Times New Roman" w:hAnsi="Times New Roman" w:cs="Times New Roman"/>
          <w:color w:val="auto"/>
          <w:highlight w:val="none"/>
        </w:rPr>
        <w:t>及自治区生态环境厅报送危险废物转移计划；经批准后，领取并填写危险废物转移联单。产废单位应当在危险废物转移前3日内报告移出地生态环境主管部门，并同时将预期到达时间报告</w:t>
      </w:r>
      <w:r>
        <w:rPr>
          <w:rFonts w:hint="eastAsia" w:cs="Times New Roman"/>
          <w:color w:val="auto"/>
          <w:highlight w:val="none"/>
          <w:lang w:eastAsia="zh-CN"/>
        </w:rPr>
        <w:t>接收</w:t>
      </w:r>
      <w:r>
        <w:rPr>
          <w:rFonts w:hint="default" w:ascii="Times New Roman" w:hAnsi="Times New Roman" w:cs="Times New Roman"/>
          <w:color w:val="auto"/>
          <w:highlight w:val="none"/>
        </w:rPr>
        <w:t>地生态环境主管部门；</w:t>
      </w:r>
    </w:p>
    <w:p w14:paraId="029D3D9B">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②从事收集、利用处置危险废物经营活动的单位应当具备与其经营活动相应的资格，禁止产废单位将危险废物提供或者委托给无经营许可证的单位；</w:t>
      </w:r>
    </w:p>
    <w:p w14:paraId="61F6CCB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③所有危险废物均应按类在专用密闭容器中储存，并按规定贴标签。不得混装，废物收集和封装容器应得到接收企业及</w:t>
      </w:r>
      <w:r>
        <w:rPr>
          <w:rFonts w:hint="eastAsia" w:cs="Times New Roman"/>
          <w:color w:val="auto"/>
          <w:highlight w:val="none"/>
          <w:lang w:eastAsia="zh-CN"/>
        </w:rPr>
        <w:t>当地</w:t>
      </w:r>
      <w:r>
        <w:rPr>
          <w:rFonts w:hint="default" w:ascii="Times New Roman" w:hAnsi="Times New Roman" w:cs="Times New Roman"/>
          <w:color w:val="auto"/>
          <w:highlight w:val="none"/>
        </w:rPr>
        <w:t>生态环境主管部门的认可。收集的危废应详细列出数量和成分，并填写有关材料；</w:t>
      </w:r>
    </w:p>
    <w:p w14:paraId="682BEEBD">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④应指定专人负责危废的收集、贮运管理工作，运输车辆的司机和押运人员应</w:t>
      </w:r>
      <w:r>
        <w:rPr>
          <w:rFonts w:hint="eastAsia" w:cs="Times New Roman"/>
          <w:color w:val="auto"/>
          <w:highlight w:val="none"/>
          <w:lang w:eastAsia="zh-CN"/>
        </w:rPr>
        <w:t>经过</w:t>
      </w:r>
      <w:r>
        <w:rPr>
          <w:rFonts w:hint="default" w:ascii="Times New Roman" w:hAnsi="Times New Roman" w:cs="Times New Roman"/>
          <w:color w:val="auto"/>
          <w:highlight w:val="none"/>
        </w:rPr>
        <w:t>专业培训。</w:t>
      </w:r>
    </w:p>
    <w:p w14:paraId="69E31B81">
      <w:pPr>
        <w:pStyle w:val="4"/>
        <w:rPr>
          <w:rFonts w:hint="default" w:ascii="Times New Roman" w:hAnsi="Times New Roman" w:cs="Times New Roman"/>
          <w:color w:val="auto"/>
          <w:highlight w:val="none"/>
        </w:rPr>
      </w:pPr>
      <w:bookmarkStart w:id="810" w:name="_Toc30777"/>
      <w:bookmarkStart w:id="811" w:name="_Toc30695"/>
      <w:bookmarkStart w:id="812" w:name="_Toc23681"/>
      <w:r>
        <w:rPr>
          <w:rFonts w:hint="default" w:ascii="Times New Roman" w:hAnsi="Times New Roman" w:cs="Times New Roman"/>
          <w:color w:val="auto"/>
          <w:highlight w:val="none"/>
        </w:rPr>
        <w:t>6.2.6土壤环境保护措施</w:t>
      </w:r>
      <w:bookmarkEnd w:id="810"/>
      <w:bookmarkEnd w:id="811"/>
      <w:bookmarkEnd w:id="812"/>
    </w:p>
    <w:p w14:paraId="328213F8">
      <w:pPr>
        <w:pStyle w:val="5"/>
        <w:ind w:firstLine="482"/>
        <w:rPr>
          <w:rFonts w:hint="default" w:ascii="Times New Roman" w:hAnsi="Times New Roman" w:cs="Times New Roman"/>
          <w:color w:val="auto"/>
          <w:highlight w:val="none"/>
        </w:rPr>
      </w:pPr>
      <w:bookmarkStart w:id="813" w:name="_Toc21547"/>
      <w:r>
        <w:rPr>
          <w:rFonts w:hint="default" w:ascii="Times New Roman" w:hAnsi="Times New Roman" w:cs="Times New Roman"/>
          <w:color w:val="auto"/>
          <w:highlight w:val="none"/>
        </w:rPr>
        <w:t>6.2.6.1选矿厂土壤环境保护措施</w:t>
      </w:r>
    </w:p>
    <w:p w14:paraId="13F9B337">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占地范围内的土壤环境质量无超标点位。对土壤可能产生影响的途径为选矿废水管道破裂尾矿砂含水通过入渗形式进入周边土壤。重点污染防治区均按相应标准设计、施工并做好防渗措施，能有效降低对土壤的污染影响。</w:t>
      </w:r>
    </w:p>
    <w:p w14:paraId="4FC718F8">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此外，建设单位在项目运行期还应充分重视其自身环保行为，将从源头控制、过程防控和跟踪监</w:t>
      </w:r>
      <w:r>
        <w:rPr>
          <w:rFonts w:hint="eastAsia" w:cs="Times New Roman"/>
          <w:color w:val="auto"/>
          <w:sz w:val="24"/>
          <w:highlight w:val="none"/>
          <w:lang w:eastAsia="zh-CN"/>
        </w:rPr>
        <w:t>测等</w:t>
      </w:r>
      <w:r>
        <w:rPr>
          <w:rFonts w:hint="default" w:ascii="Times New Roman" w:hAnsi="Times New Roman" w:cs="Times New Roman"/>
          <w:color w:val="auto"/>
          <w:sz w:val="24"/>
          <w:highlight w:val="none"/>
        </w:rPr>
        <w:t>方面进一步加强对土壤环境的保护措施。</w:t>
      </w:r>
    </w:p>
    <w:p w14:paraId="097F3193">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源头控制：在废水输送过程中，加强跑冒滴漏管理，降低物质泄漏和污染土壤环境的隐患。</w:t>
      </w:r>
    </w:p>
    <w:p w14:paraId="6B745D0D">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过程防控：做好本工程的防渗工作，防渗措施满足《环境影响评价技术导则 地下水环境》（HJ610-2016）和《危险废物贮存污染控制标准》（</w:t>
      </w:r>
      <w:r>
        <w:rPr>
          <w:rFonts w:hint="default" w:ascii="Times New Roman" w:hAnsi="Times New Roman" w:cs="Times New Roman"/>
          <w:color w:val="auto"/>
          <w:sz w:val="24"/>
          <w:highlight w:val="none"/>
          <w:lang w:eastAsia="zh-CN"/>
        </w:rPr>
        <w:t>GB18597-2023</w:t>
      </w:r>
      <w:r>
        <w:rPr>
          <w:rFonts w:hint="default" w:ascii="Times New Roman" w:hAnsi="Times New Roman" w:cs="Times New Roman"/>
          <w:color w:val="auto"/>
          <w:sz w:val="24"/>
          <w:highlight w:val="none"/>
        </w:rPr>
        <w:t>）规定的防渗要求。</w:t>
      </w:r>
    </w:p>
    <w:p w14:paraId="79E8B356">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跟踪监测：企业应定期进行选矿厂下游动态监测，保证项目建设不对土壤和地下水造成污染。</w:t>
      </w:r>
    </w:p>
    <w:p w14:paraId="410953D2">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6.2.6.2尾矿库污染防治措施</w:t>
      </w:r>
      <w:bookmarkEnd w:id="813"/>
    </w:p>
    <w:p w14:paraId="6A82EA8D">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针对尾矿库可能发生的事故污染，本次环评提出以下防治措施：</w:t>
      </w:r>
    </w:p>
    <w:p w14:paraId="645B5361">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（1）尾矿输送系统的维护管理</w:t>
      </w:r>
    </w:p>
    <w:p w14:paraId="10955EEF">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回水泵必须处于良好状态，易磨损的备件按计划进行更换和检修；必须经常注意水量、电流表、电压表的变化，并及时操作调节，做到正常排送。</w:t>
      </w:r>
    </w:p>
    <w:p w14:paraId="206C775A">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（2）尾矿库的维护管理</w:t>
      </w:r>
    </w:p>
    <w:p w14:paraId="4973F9A6">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尾矿库日常运行应注意坝坡上下游的安全状况，在汛期前要组织工程技术人员和安检人员进行尾矿库的全面检查，发现变形、塌陷、裂缝、管涌等安全隐患，停止使用，迅速查明原因进行加固处理。遇有暴雨天气，要求运行人员坚持巡视，注意库坝内水情，以确保库坝的安全。</w:t>
      </w:r>
    </w:p>
    <w:p w14:paraId="7E6E3D38">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当尾矿库达到设计堆放高度时应及时闭库，避免超量堆放。应经常对库周围地下环境进行监测，发现指标超标现象，尽快处理。</w:t>
      </w:r>
    </w:p>
    <w:p w14:paraId="03A970A1">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尾矿堆坝应保证筑坝质量，尾矿堆填过程中应分层填筑，分层碾压。</w:t>
      </w:r>
    </w:p>
    <w:p w14:paraId="536C99A4">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尾矿库周围应设铁丝网围栏，以防牲畜以及非工作人员进入，并按要求</w:t>
      </w:r>
      <w:r>
        <w:rPr>
          <w:rFonts w:hint="eastAsia" w:cs="Times New Roman"/>
          <w:color w:val="auto"/>
          <w:sz w:val="24"/>
          <w:highlight w:val="none"/>
          <w:lang w:eastAsia="zh-CN"/>
        </w:rPr>
        <w:t>设置</w:t>
      </w:r>
      <w:r>
        <w:rPr>
          <w:rFonts w:hint="default" w:ascii="Times New Roman" w:hAnsi="Times New Roman" w:cs="Times New Roman"/>
          <w:color w:val="auto"/>
          <w:sz w:val="24"/>
          <w:highlight w:val="none"/>
        </w:rPr>
        <w:t>警示牌。</w:t>
      </w:r>
    </w:p>
    <w:p w14:paraId="2675896F">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（3）尾矿库的监测</w:t>
      </w:r>
    </w:p>
    <w:p w14:paraId="71649E72">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建设单位应建立健全巡坝护坝制度。</w:t>
      </w:r>
    </w:p>
    <w:p w14:paraId="1B98A260">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坝体竣工</w:t>
      </w:r>
      <w:r>
        <w:rPr>
          <w:rFonts w:hint="eastAsia" w:cs="Times New Roman"/>
          <w:color w:val="auto"/>
          <w:sz w:val="24"/>
          <w:highlight w:val="none"/>
          <w:lang w:eastAsia="zh-CN"/>
        </w:rPr>
        <w:t>两三年</w:t>
      </w:r>
      <w:r>
        <w:rPr>
          <w:rFonts w:hint="default" w:ascii="Times New Roman" w:hAnsi="Times New Roman" w:cs="Times New Roman"/>
          <w:color w:val="auto"/>
          <w:sz w:val="24"/>
          <w:highlight w:val="none"/>
        </w:rPr>
        <w:t>内，垂直位移和水平位移观测应每月进行一次。汛期应根据水位上升情况，增加测次。</w:t>
      </w:r>
    </w:p>
    <w:p w14:paraId="24B44BA8">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经常检查下游坝面有无渗透水、渗漏现象或湿片，一经发现应立即报告，并加强监视。如果发现坝体产生裂缝或有滑坡预兆，应立即报告，并进行处理。监视坝下排水棱体渗透水量与水质，发现水量突然增大或渗透水浑浊时应立即报告，并加强监测。如发现坝坡局部塌方或雨水集中汇流冲刷坝坡，应立即处理。</w:t>
      </w:r>
    </w:p>
    <w:p w14:paraId="2E6DAAFE">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（4）尾矿库的闭库</w:t>
      </w:r>
    </w:p>
    <w:p w14:paraId="5C072AC3">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①拆除地面废弃建筑物，对项目区进行平整。</w:t>
      </w:r>
    </w:p>
    <w:p w14:paraId="3B033F51">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②尾矿库闭库应符合国家有关</w:t>
      </w:r>
      <w:r>
        <w:rPr>
          <w:rFonts w:hint="eastAsia" w:cs="Times New Roman"/>
          <w:color w:val="auto"/>
          <w:sz w:val="24"/>
          <w:highlight w:val="none"/>
          <w:lang w:eastAsia="zh-CN"/>
        </w:rPr>
        <w:t>法律法规</w:t>
      </w:r>
      <w:r>
        <w:rPr>
          <w:rFonts w:hint="default" w:ascii="Times New Roman" w:hAnsi="Times New Roman" w:cs="Times New Roman"/>
          <w:color w:val="auto"/>
          <w:sz w:val="24"/>
          <w:highlight w:val="none"/>
        </w:rPr>
        <w:t>、标准和技术规范。</w:t>
      </w:r>
    </w:p>
    <w:p w14:paraId="1D23F5DF">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③闭库前应进行闭库前的安全评价、闭库设计与施工、闭库安全验收。</w:t>
      </w:r>
    </w:p>
    <w:p w14:paraId="42F1CA41">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④对项目区内平整后、覆盖碎石，使生态环境自然演替。</w:t>
      </w:r>
    </w:p>
    <w:p w14:paraId="2B8D01D9">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⑤建设单位应留足够的资金，保证项目闭场时拆除地面建筑物、生态恢复、生态管理需要。</w:t>
      </w:r>
    </w:p>
    <w:p w14:paraId="065F7A6E">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⑥当尾矿库服务期满后应予以闭库封场。闭库封场前，必须编制闭库封场计划，报请哈密市生态环境局核准，并采取污染防治措施。</w:t>
      </w:r>
    </w:p>
    <w:p w14:paraId="20122492">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⑦尾矿库闭库设计和施工方案必须符合国家有关</w:t>
      </w:r>
      <w:r>
        <w:rPr>
          <w:rFonts w:hint="eastAsia" w:cs="Times New Roman"/>
          <w:color w:val="auto"/>
          <w:sz w:val="24"/>
          <w:highlight w:val="none"/>
          <w:lang w:eastAsia="zh-CN"/>
        </w:rPr>
        <w:t>法律法规</w:t>
      </w:r>
      <w:r>
        <w:rPr>
          <w:rFonts w:hint="default" w:ascii="Times New Roman" w:hAnsi="Times New Roman" w:cs="Times New Roman"/>
          <w:color w:val="auto"/>
          <w:sz w:val="24"/>
          <w:highlight w:val="none"/>
        </w:rPr>
        <w:t>和技术规范，确保尾矿库稳定性，尾矿库防洪能力满足《尾矿库安全规程》（GB39496-2020）要求，保证尾矿库闭库后长期安全稳定。</w:t>
      </w:r>
    </w:p>
    <w:p w14:paraId="4F33A2F0">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⑧闭库后的尾矿库必须做好坝体等设施的维护，严禁在尾矿库区域附近直接取土。</w:t>
      </w:r>
    </w:p>
    <w:p w14:paraId="4687457D">
      <w:pPr>
        <w:pStyle w:val="5"/>
        <w:ind w:firstLine="482"/>
        <w:rPr>
          <w:rFonts w:hint="default" w:ascii="Times New Roman" w:hAnsi="Times New Roman" w:cs="Times New Roman"/>
          <w:color w:val="auto"/>
          <w:highlight w:val="none"/>
        </w:rPr>
      </w:pPr>
      <w:bookmarkStart w:id="814" w:name="_Toc421722146"/>
      <w:bookmarkStart w:id="815" w:name="_Toc14747"/>
      <w:bookmarkStart w:id="816" w:name="_Toc282074099"/>
      <w:bookmarkStart w:id="817" w:name="_Toc318298639"/>
      <w:bookmarkStart w:id="818" w:name="_Toc482784697"/>
      <w:r>
        <w:rPr>
          <w:rFonts w:hint="default" w:ascii="Times New Roman" w:hAnsi="Times New Roman" w:cs="Times New Roman"/>
          <w:color w:val="auto"/>
          <w:highlight w:val="none"/>
        </w:rPr>
        <w:t>6.2.6.3选矿厂</w:t>
      </w:r>
      <w:r>
        <w:rPr>
          <w:rFonts w:hint="default" w:ascii="Times New Roman" w:hAnsi="Times New Roman" w:cs="Times New Roman"/>
          <w:color w:val="auto"/>
          <w:highlight w:val="none"/>
          <w:lang w:eastAsia="zh-CN"/>
        </w:rPr>
        <w:t>尾矿输送及</w:t>
      </w:r>
      <w:r>
        <w:rPr>
          <w:rFonts w:hint="default" w:ascii="Times New Roman" w:hAnsi="Times New Roman" w:cs="Times New Roman"/>
          <w:color w:val="auto"/>
          <w:highlight w:val="none"/>
        </w:rPr>
        <w:t>回水系统</w:t>
      </w:r>
      <w:r>
        <w:rPr>
          <w:rFonts w:hint="default" w:ascii="Times New Roman" w:hAnsi="Times New Roman" w:cs="Times New Roman"/>
          <w:color w:val="auto"/>
          <w:highlight w:val="none"/>
          <w:lang w:eastAsia="zh-CN"/>
        </w:rPr>
        <w:t>事故</w:t>
      </w:r>
      <w:r>
        <w:rPr>
          <w:rFonts w:hint="default" w:ascii="Times New Roman" w:hAnsi="Times New Roman" w:cs="Times New Roman"/>
          <w:color w:val="auto"/>
          <w:highlight w:val="none"/>
        </w:rPr>
        <w:t>防治措施</w:t>
      </w:r>
      <w:bookmarkEnd w:id="814"/>
      <w:bookmarkEnd w:id="815"/>
      <w:bookmarkEnd w:id="816"/>
      <w:bookmarkEnd w:id="817"/>
      <w:bookmarkEnd w:id="818"/>
    </w:p>
    <w:p w14:paraId="4454FAD9">
      <w:pPr>
        <w:pStyle w:val="32"/>
        <w:widowControl/>
        <w:overflowPunct w:val="0"/>
        <w:topLinePunct/>
        <w:spacing w:after="0"/>
        <w:ind w:left="0" w:leftChars="0" w:firstLine="48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rPr>
        <w:t>尾矿回水系统必须做好正常和定期的维护、检修和管理工作，使设备保持良好状态，一旦发生事故，为防止事故状态下尾矿水四处漫流，造成环境污染</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本环评要求</w:t>
      </w:r>
      <w:r>
        <w:rPr>
          <w:rFonts w:hint="default" w:ascii="Times New Roman" w:hAnsi="Times New Roman" w:cs="Times New Roman"/>
          <w:color w:val="auto"/>
          <w:sz w:val="24"/>
          <w:highlight w:val="none"/>
          <w:lang w:eastAsia="zh-CN"/>
        </w:rPr>
        <w:t>选矿厂</w:t>
      </w:r>
      <w:r>
        <w:rPr>
          <w:rFonts w:hint="default" w:ascii="Times New Roman" w:hAnsi="Times New Roman" w:cs="Times New Roman"/>
          <w:color w:val="auto"/>
          <w:sz w:val="24"/>
          <w:highlight w:val="none"/>
        </w:rPr>
        <w:t>设置</w:t>
      </w:r>
      <w:r>
        <w:rPr>
          <w:rFonts w:hint="eastAsia" w:cs="Times New Roman"/>
          <w:color w:val="auto"/>
          <w:sz w:val="24"/>
          <w:highlight w:val="none"/>
          <w:lang w:val="en-US" w:eastAsia="zh-CN"/>
        </w:rPr>
        <w:t>240</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事故池以容纳事故</w:t>
      </w:r>
      <w:r>
        <w:rPr>
          <w:rFonts w:hint="default" w:ascii="Times New Roman" w:hAnsi="Times New Roman" w:cs="Times New Roman"/>
          <w:color w:val="auto"/>
          <w:sz w:val="24"/>
          <w:highlight w:val="none"/>
          <w:lang w:eastAsia="zh-CN"/>
        </w:rPr>
        <w:t>废水</w:t>
      </w:r>
      <w:r>
        <w:rPr>
          <w:rFonts w:hint="default" w:ascii="Times New Roman" w:hAnsi="Times New Roman" w:cs="Times New Roman"/>
          <w:color w:val="auto"/>
          <w:sz w:val="24"/>
          <w:highlight w:val="none"/>
        </w:rPr>
        <w:t>。一旦发生尾矿水的跑冒事故，立即通知选矿厂启动应急预案，停止尾矿输送</w:t>
      </w:r>
      <w:r>
        <w:rPr>
          <w:rFonts w:hint="eastAsia" w:cs="Times New Roman"/>
          <w:color w:val="auto"/>
          <w:sz w:val="24"/>
          <w:highlight w:val="none"/>
          <w:lang w:eastAsia="zh-CN"/>
        </w:rPr>
        <w:t>，事</w:t>
      </w:r>
      <w:r>
        <w:rPr>
          <w:rFonts w:hint="default" w:ascii="Times New Roman" w:hAnsi="Times New Roman" w:cs="Times New Roman"/>
          <w:color w:val="auto"/>
          <w:sz w:val="24"/>
          <w:highlight w:val="none"/>
        </w:rPr>
        <w:t>故溢出的尾矿量很少，企业及时组织清理转运，溢流尾矿对事故区域的环境影响可控。待故障排除后，再将尾矿浆送至尾矿输送系统排入尾矿库。</w:t>
      </w:r>
    </w:p>
    <w:p w14:paraId="166AD6D9">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本环评要求</w:t>
      </w:r>
      <w:r>
        <w:rPr>
          <w:rFonts w:hint="default" w:ascii="Times New Roman" w:hAnsi="Times New Roman" w:cs="Times New Roman"/>
          <w:color w:val="auto"/>
          <w:sz w:val="24"/>
          <w:highlight w:val="none"/>
          <w:lang w:eastAsia="zh-CN"/>
        </w:rPr>
        <w:t>尾矿库周边</w:t>
      </w:r>
      <w:r>
        <w:rPr>
          <w:rFonts w:hint="default" w:ascii="Times New Roman" w:hAnsi="Times New Roman" w:cs="Times New Roman"/>
          <w:color w:val="auto"/>
          <w:sz w:val="24"/>
          <w:highlight w:val="none"/>
        </w:rPr>
        <w:t>设置</w:t>
      </w:r>
      <w:r>
        <w:rPr>
          <w:rFonts w:hint="eastAsia" w:cs="Times New Roman"/>
          <w:color w:val="auto"/>
          <w:sz w:val="24"/>
          <w:highlight w:val="none"/>
          <w:lang w:val="en-US" w:eastAsia="zh-CN"/>
        </w:rPr>
        <w:t>350</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事故池以容纳事故尾矿。事故池要求如下：</w:t>
      </w:r>
    </w:p>
    <w:p w14:paraId="7ECD01B5">
      <w:pPr>
        <w:pStyle w:val="32"/>
        <w:widowControl/>
        <w:overflowPunct w:val="0"/>
        <w:topLinePunct/>
        <w:spacing w:after="0"/>
        <w:ind w:left="0" w:leftChars="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（1）按100年一遇24小时暴雨强度设计截水沟，防止洪水进入尾矿库。</w:t>
      </w:r>
    </w:p>
    <w:p w14:paraId="10428B23">
      <w:pPr>
        <w:pStyle w:val="32"/>
        <w:widowControl/>
        <w:overflowPunct w:val="0"/>
        <w:topLinePunct/>
        <w:spacing w:after="0"/>
        <w:ind w:left="0" w:leftChars="0"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highlight w:val="none"/>
        </w:rPr>
        <w:t>（2）事故池应定期清理，经常保</w:t>
      </w:r>
      <w:r>
        <w:rPr>
          <w:rFonts w:hint="default" w:ascii="Times New Roman" w:hAnsi="Times New Roman" w:cs="Times New Roman"/>
          <w:color w:val="auto"/>
          <w:sz w:val="24"/>
          <w:szCs w:val="24"/>
          <w:highlight w:val="none"/>
        </w:rPr>
        <w:t>持足够的储存容积。</w:t>
      </w:r>
    </w:p>
    <w:p w14:paraId="2D813F2E">
      <w:pPr>
        <w:pStyle w:val="32"/>
        <w:widowControl/>
        <w:overflowPunct w:val="0"/>
        <w:topLinePunct/>
        <w:spacing w:after="0"/>
        <w:ind w:left="0" w:leftChars="0"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（3）尾矿库服务期满后，应及时进行封存。</w:t>
      </w:r>
    </w:p>
    <w:p w14:paraId="05949677">
      <w:pPr>
        <w:pStyle w:val="32"/>
        <w:widowControl/>
        <w:overflowPunct w:val="0"/>
        <w:topLinePunct/>
        <w:spacing w:after="0"/>
        <w:ind w:left="0" w:leftChars="0"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事故池容积合理性分析：项目回水管道长</w:t>
      </w:r>
      <w:r>
        <w:rPr>
          <w:rFonts w:hint="default" w:ascii="Times New Roman" w:hAnsi="Times New Roman" w:cs="Times New Roman"/>
          <w:color w:val="auto"/>
          <w:sz w:val="24"/>
          <w:szCs w:val="24"/>
          <w:highlight w:val="none"/>
          <w:lang w:val="en-US" w:eastAsia="zh-CN"/>
        </w:rPr>
        <w:t>35</w:t>
      </w:r>
      <w:r>
        <w:rPr>
          <w:rFonts w:hint="default" w:ascii="Times New Roman" w:hAnsi="Times New Roman" w:cs="Times New Roman"/>
          <w:color w:val="auto"/>
          <w:sz w:val="24"/>
          <w:szCs w:val="24"/>
          <w:highlight w:val="none"/>
        </w:rPr>
        <w:t>00m，直径为0.2</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m，倒空产生的</w:t>
      </w:r>
      <w:r>
        <w:rPr>
          <w:rFonts w:hint="default" w:ascii="Times New Roman" w:hAnsi="Times New Roman" w:cs="Times New Roman"/>
          <w:color w:val="auto"/>
          <w:sz w:val="24"/>
          <w:szCs w:val="24"/>
          <w:highlight w:val="none"/>
          <w:lang w:val="en-GB" w:eastAsia="zh-CN"/>
        </w:rPr>
        <w:t>水</w:t>
      </w:r>
      <w:r>
        <w:rPr>
          <w:rFonts w:hint="default" w:ascii="Times New Roman" w:hAnsi="Times New Roman" w:cs="Times New Roman"/>
          <w:color w:val="auto"/>
          <w:sz w:val="24"/>
          <w:szCs w:val="24"/>
          <w:highlight w:val="none"/>
          <w:lang w:val="en-GB"/>
        </w:rPr>
        <w:t>量为</w:t>
      </w:r>
      <w:r>
        <w:rPr>
          <w:rFonts w:hint="default" w:ascii="Times New Roman" w:hAnsi="Times New Roman" w:cs="Times New Roman"/>
          <w:color w:val="auto"/>
          <w:sz w:val="24"/>
          <w:szCs w:val="24"/>
          <w:highlight w:val="none"/>
          <w:lang w:val="en-US" w:eastAsia="zh-CN"/>
        </w:rPr>
        <w:t>172</w:t>
      </w:r>
      <w:r>
        <w:rPr>
          <w:rFonts w:hint="default" w:ascii="Times New Roman" w:hAnsi="Times New Roman" w:cs="Times New Roman"/>
          <w:color w:val="auto"/>
          <w:sz w:val="24"/>
          <w:szCs w:val="24"/>
          <w:highlight w:val="none"/>
          <w:lang w:val="en-GB"/>
        </w:rPr>
        <w:t>m</w:t>
      </w:r>
      <w:r>
        <w:rPr>
          <w:rFonts w:hint="default" w:ascii="Times New Roman" w:hAnsi="Times New Roman" w:cs="Times New Roman"/>
          <w:color w:val="auto"/>
          <w:sz w:val="24"/>
          <w:szCs w:val="24"/>
          <w:highlight w:val="none"/>
          <w:vertAlign w:val="superscript"/>
          <w:lang w:val="en-GB"/>
        </w:rPr>
        <w:t>3</w:t>
      </w:r>
      <w:r>
        <w:rPr>
          <w:rFonts w:hint="default" w:ascii="Times New Roman" w:hAnsi="Times New Roman" w:cs="Times New Roman"/>
          <w:color w:val="auto"/>
          <w:sz w:val="24"/>
          <w:szCs w:val="24"/>
          <w:highlight w:val="none"/>
          <w:lang w:val="en-GB"/>
        </w:rPr>
        <w:t>。事故</w:t>
      </w:r>
      <w:r>
        <w:rPr>
          <w:rFonts w:hint="default" w:ascii="Times New Roman" w:hAnsi="Times New Roman" w:cs="Times New Roman"/>
          <w:color w:val="auto"/>
          <w:sz w:val="24"/>
          <w:szCs w:val="24"/>
          <w:highlight w:val="none"/>
        </w:rPr>
        <w:t>状态下产生的总量为</w:t>
      </w:r>
      <w:r>
        <w:rPr>
          <w:rFonts w:hint="default" w:ascii="Times New Roman" w:hAnsi="Times New Roman" w:cs="Times New Roman"/>
          <w:color w:val="auto"/>
          <w:sz w:val="24"/>
          <w:szCs w:val="24"/>
          <w:highlight w:val="none"/>
          <w:lang w:val="en-US" w:eastAsia="zh-CN"/>
        </w:rPr>
        <w:t>302</w:t>
      </w:r>
      <w:r>
        <w:rPr>
          <w:rFonts w:hint="default" w:ascii="Times New Roman" w:hAnsi="Times New Roman" w:cs="Times New Roman"/>
          <w:color w:val="auto"/>
          <w:sz w:val="24"/>
          <w:szCs w:val="24"/>
          <w:highlight w:val="none"/>
          <w:lang w:val="en-GB"/>
        </w:rPr>
        <w:t>m</w:t>
      </w:r>
      <w:r>
        <w:rPr>
          <w:rFonts w:hint="default" w:ascii="Times New Roman" w:hAnsi="Times New Roman" w:cs="Times New Roman"/>
          <w:color w:val="auto"/>
          <w:sz w:val="24"/>
          <w:szCs w:val="24"/>
          <w:highlight w:val="none"/>
          <w:vertAlign w:val="superscript"/>
          <w:lang w:val="en-GB"/>
        </w:rPr>
        <w:t>3</w:t>
      </w:r>
      <w:r>
        <w:rPr>
          <w:rFonts w:hint="default" w:ascii="Times New Roman" w:hAnsi="Times New Roman" w:cs="Times New Roman"/>
          <w:color w:val="auto"/>
          <w:sz w:val="24"/>
          <w:szCs w:val="24"/>
          <w:highlight w:val="none"/>
        </w:rPr>
        <w:t>，本项目设置</w:t>
      </w:r>
      <w:r>
        <w:rPr>
          <w:rFonts w:hint="default" w:ascii="Times New Roman" w:hAnsi="Times New Roman" w:cs="Times New Roman"/>
          <w:color w:val="auto"/>
          <w:sz w:val="24"/>
          <w:szCs w:val="24"/>
          <w:highlight w:val="none"/>
          <w:lang w:val="en-GB"/>
        </w:rPr>
        <w:t>1座</w:t>
      </w:r>
      <w:r>
        <w:rPr>
          <w:rFonts w:hint="default" w:ascii="Times New Roman" w:hAnsi="Times New Roman" w:cs="Times New Roman"/>
          <w:color w:val="auto"/>
          <w:sz w:val="24"/>
          <w:szCs w:val="24"/>
          <w:highlight w:val="none"/>
          <w:lang w:val="en-US" w:eastAsia="zh-CN"/>
        </w:rPr>
        <w:t>350</w:t>
      </w:r>
      <w:r>
        <w:rPr>
          <w:rFonts w:hint="default" w:ascii="Times New Roman" w:hAnsi="Times New Roman" w:cs="Times New Roman"/>
          <w:color w:val="auto"/>
          <w:sz w:val="24"/>
          <w:szCs w:val="24"/>
          <w:highlight w:val="none"/>
          <w:lang w:val="en-GB"/>
        </w:rPr>
        <w:t>m</w:t>
      </w:r>
      <w:r>
        <w:rPr>
          <w:rFonts w:hint="default" w:ascii="Times New Roman" w:hAnsi="Times New Roman" w:cs="Times New Roman"/>
          <w:color w:val="auto"/>
          <w:sz w:val="24"/>
          <w:szCs w:val="24"/>
          <w:highlight w:val="none"/>
          <w:vertAlign w:val="superscript"/>
          <w:lang w:val="en-GB"/>
        </w:rPr>
        <w:t>3</w:t>
      </w:r>
      <w:r>
        <w:rPr>
          <w:rFonts w:hint="default" w:ascii="Times New Roman" w:hAnsi="Times New Roman" w:cs="Times New Roman"/>
          <w:color w:val="auto"/>
          <w:sz w:val="24"/>
          <w:szCs w:val="24"/>
          <w:highlight w:val="none"/>
          <w:lang w:val="en-GB"/>
        </w:rPr>
        <w:t>的事故池</w:t>
      </w:r>
      <w:r>
        <w:rPr>
          <w:rFonts w:hint="default" w:ascii="Times New Roman" w:hAnsi="Times New Roman" w:cs="Times New Roman"/>
          <w:color w:val="auto"/>
          <w:sz w:val="24"/>
          <w:szCs w:val="24"/>
          <w:highlight w:val="none"/>
        </w:rPr>
        <w:t>，可</w:t>
      </w:r>
      <w:r>
        <w:rPr>
          <w:rFonts w:hint="default" w:ascii="Times New Roman" w:hAnsi="Times New Roman" w:cs="Times New Roman"/>
          <w:color w:val="auto"/>
          <w:sz w:val="24"/>
          <w:szCs w:val="24"/>
          <w:highlight w:val="none"/>
          <w:lang w:val="en-GB"/>
        </w:rPr>
        <w:t>承纳规范要求的</w:t>
      </w:r>
      <w:r>
        <w:rPr>
          <w:rFonts w:hint="default" w:ascii="Times New Roman" w:hAnsi="Times New Roman" w:cs="Times New Roman"/>
          <w:color w:val="auto"/>
          <w:sz w:val="24"/>
          <w:szCs w:val="24"/>
          <w:highlight w:val="none"/>
        </w:rPr>
        <w:t>事故状态下</w:t>
      </w:r>
      <w:r>
        <w:rPr>
          <w:rFonts w:hint="default" w:ascii="Times New Roman" w:hAnsi="Times New Roman" w:cs="Times New Roman"/>
          <w:color w:val="auto"/>
          <w:sz w:val="24"/>
          <w:szCs w:val="24"/>
          <w:highlight w:val="none"/>
          <w:lang w:val="en-GB"/>
        </w:rPr>
        <w:t>矿浆量</w:t>
      </w:r>
      <w:r>
        <w:rPr>
          <w:rFonts w:hint="default" w:ascii="Times New Roman" w:hAnsi="Times New Roman" w:cs="Times New Roman"/>
          <w:color w:val="auto"/>
          <w:sz w:val="24"/>
          <w:szCs w:val="24"/>
          <w:highlight w:val="none"/>
          <w:lang w:val="en-GB" w:eastAsia="zh-CN"/>
        </w:rPr>
        <w:t>，</w:t>
      </w:r>
      <w:r>
        <w:rPr>
          <w:rFonts w:hint="default" w:ascii="Times New Roman" w:hAnsi="Times New Roman" w:cs="Times New Roman"/>
          <w:color w:val="auto"/>
          <w:sz w:val="24"/>
          <w:szCs w:val="24"/>
          <w:highlight w:val="none"/>
        </w:rPr>
        <w:t>该事故池容积设计合理。</w:t>
      </w:r>
    </w:p>
    <w:p w14:paraId="6CD04653">
      <w:pPr>
        <w:pStyle w:val="41"/>
        <w:overflowPunct w:val="0"/>
        <w:topLinePunct/>
        <w:autoSpaceDE/>
        <w:autoSpaceDN/>
        <w:spacing w:line="480" w:lineRule="exact"/>
        <w:ind w:firstLine="480" w:firstLineChars="200"/>
        <w:jc w:val="both"/>
        <w:rPr>
          <w:rFonts w:hint="default" w:ascii="Times New Roman" w:hAnsi="Times New Roman" w:cs="Times New Roman"/>
          <w:color w:val="auto"/>
          <w:highlight w:val="none"/>
          <w:lang w:val="zh-CN"/>
        </w:rPr>
      </w:pPr>
      <w:r>
        <w:rPr>
          <w:rFonts w:hint="default" w:ascii="Times New Roman" w:hAnsi="Times New Roman" w:cs="Times New Roman"/>
          <w:color w:val="auto"/>
          <w:kern w:val="2"/>
          <w:highlight w:val="none"/>
        </w:rPr>
        <w:t>综上，本</w:t>
      </w:r>
      <w:r>
        <w:rPr>
          <w:rFonts w:hint="eastAsia" w:ascii="Times New Roman" w:cs="Times New Roman"/>
          <w:color w:val="auto"/>
          <w:kern w:val="2"/>
          <w:highlight w:val="none"/>
          <w:lang w:eastAsia="zh-CN"/>
        </w:rPr>
        <w:t>项目区</w:t>
      </w:r>
      <w:r>
        <w:rPr>
          <w:rFonts w:hint="default" w:ascii="Times New Roman" w:hAnsi="Times New Roman" w:cs="Times New Roman"/>
          <w:color w:val="auto"/>
          <w:kern w:val="2"/>
          <w:highlight w:val="none"/>
        </w:rPr>
        <w:t>各监测点土壤监测指标均不超标，低于GB36600-2018第二类建设用地筛选值。本项目设置有完善的废水回用系统，重点区域均采取有效的防渗措施，能有效降低对土壤的污染影响。此外，本项目评价范围</w:t>
      </w:r>
      <w:r>
        <w:rPr>
          <w:rFonts w:hint="default" w:ascii="Times New Roman" w:hAnsi="Times New Roman" w:cs="Times New Roman"/>
          <w:color w:val="auto"/>
          <w:kern w:val="2"/>
          <w:highlight w:val="none"/>
          <w:lang w:eastAsia="zh-CN"/>
        </w:rPr>
        <w:t>沿线</w:t>
      </w:r>
      <w:r>
        <w:rPr>
          <w:rFonts w:hint="default" w:ascii="Times New Roman" w:hAnsi="Times New Roman" w:cs="Times New Roman"/>
          <w:color w:val="auto"/>
          <w:kern w:val="2"/>
          <w:highlight w:val="none"/>
        </w:rPr>
        <w:t>无土壤环境敏感目标。本项目在落实土壤保护措施的前提下，项目建设对项目区及周围土壤环境的影响可接受。</w:t>
      </w:r>
    </w:p>
    <w:p w14:paraId="1F5D6245">
      <w:pPr>
        <w:pStyle w:val="4"/>
        <w:rPr>
          <w:rFonts w:hint="default" w:ascii="Times New Roman" w:hAnsi="Times New Roman" w:cs="Times New Roman"/>
          <w:color w:val="auto"/>
          <w:highlight w:val="none"/>
        </w:rPr>
      </w:pPr>
      <w:bookmarkStart w:id="819" w:name="_Toc15022"/>
      <w:bookmarkStart w:id="820" w:name="_Toc26073"/>
      <w:bookmarkStart w:id="821" w:name="_Toc22459"/>
      <w:r>
        <w:rPr>
          <w:rFonts w:hint="default" w:ascii="Times New Roman" w:hAnsi="Times New Roman" w:cs="Times New Roman"/>
          <w:color w:val="auto"/>
          <w:highlight w:val="none"/>
        </w:rPr>
        <w:t>6.2.7生态环境保护措施</w:t>
      </w:r>
      <w:bookmarkEnd w:id="819"/>
      <w:bookmarkEnd w:id="820"/>
      <w:bookmarkEnd w:id="821"/>
    </w:p>
    <w:p w14:paraId="2F4B788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运营期选矿厂生产时，禁止随意排弃，必须堆存在指定地方，避免在项目区增加新的地表扰动和水土流失。选矿厂、尾矿库等应严格采取以下生态环境保护措施。</w:t>
      </w:r>
    </w:p>
    <w:p w14:paraId="0014A4BD">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6.2.7.1尾矿库生态环境保护措施</w:t>
      </w:r>
    </w:p>
    <w:p w14:paraId="4616EA88">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运行期生态环境保护措施主要为场地整治、表土覆盖及植被措施。依据尾矿库所在区域的地形环境条件，及时整治平台和边坡；在边坡形成期间和形成之后，应定期监测边坡的位移变形情况，当发现某一部位变形异常，立即进行修整边坡，使达到安全状态。尾矿库堆积坝边坡形成后，及时对尾矿库堆积坝边坡进行复垦。尾矿库闭库后复垦还地，恢复植被。</w:t>
      </w:r>
    </w:p>
    <w:p w14:paraId="5853803F">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尾矿库沉积滩风蚀是其最普遍、最重要的水土流失形式。并且随着尾矿堆积面积不断升高，风蚀程度会愈加严重。在尾矿库运行过程中应加强尾矿库的管理和放矿管理，特别是汛期加强尾矿库的巡检和在线监测，保持排洪设施畅通。</w:t>
      </w:r>
    </w:p>
    <w:p w14:paraId="39BED723">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6.2.7.2选矿厂生态环境保护措施</w:t>
      </w:r>
    </w:p>
    <w:p w14:paraId="3F065C9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绿化是项目区绿化的一个重要组成部分，工业场地是项目区的主要办公区，其良好绿化的实现，不仅可以提高项目区周围的环境质量，还可以为职工休闲提供一个良好的环境。工业场地在建设过程中应进行平整土地，排水设施、硬化等水土保持措施以及绿化措施。</w:t>
      </w:r>
    </w:p>
    <w:p w14:paraId="1459490C">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对工业场地自然土壤的剥离，一般对表土层进行单独剥离。如果表土层厚度小于20cm，则将表土层及其下面紧挨的心土层一起构成的至少20cm厚的土层进行单独剥离。土壤剥离应尽量和生态恢复工作相衔接，将剥离下来的土壤运往平整好的场地上铺覆，用于后续的绿化用土。</w:t>
      </w:r>
    </w:p>
    <w:p w14:paraId="77B0290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选矿厂绿化以</w:t>
      </w:r>
      <w:r>
        <w:rPr>
          <w:rFonts w:hint="default" w:ascii="Times New Roman" w:hAnsi="Times New Roman" w:cs="Times New Roman"/>
          <w:color w:val="auto"/>
          <w:highlight w:val="none"/>
          <w:lang w:eastAsia="zh-CN"/>
        </w:rPr>
        <w:t>耐旱</w:t>
      </w:r>
      <w:r>
        <w:rPr>
          <w:rFonts w:hint="eastAsia" w:cs="Times New Roman"/>
          <w:color w:val="auto"/>
          <w:highlight w:val="none"/>
          <w:lang w:eastAsia="zh-CN"/>
        </w:rPr>
        <w:t>的</w:t>
      </w:r>
      <w:r>
        <w:rPr>
          <w:rFonts w:hint="default" w:ascii="Times New Roman" w:hAnsi="Times New Roman" w:cs="Times New Roman"/>
          <w:color w:val="auto"/>
          <w:highlight w:val="none"/>
          <w:lang w:eastAsia="zh-CN"/>
        </w:rPr>
        <w:t>当地</w:t>
      </w:r>
      <w:r>
        <w:rPr>
          <w:rFonts w:hint="default" w:ascii="Times New Roman" w:hAnsi="Times New Roman" w:cs="Times New Roman"/>
          <w:color w:val="auto"/>
          <w:highlight w:val="none"/>
        </w:rPr>
        <w:t>草本植物为主进行绿化</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这部分植被为本土优势种群，具有广泛的适应性。</w:t>
      </w:r>
    </w:p>
    <w:p w14:paraId="281E3FC5">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6.2.7.3生态功能区保护措施</w:t>
      </w:r>
    </w:p>
    <w:p w14:paraId="4FA23D6A">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在《新疆生态功能区划》中，</w:t>
      </w:r>
      <w:r>
        <w:rPr>
          <w:rFonts w:hint="default" w:ascii="Times New Roman" w:hAnsi="Times New Roman" w:cs="Times New Roman"/>
          <w:color w:val="auto"/>
          <w:szCs w:val="24"/>
          <w:highlight w:val="none"/>
          <w:lang w:val="zh-CN"/>
        </w:rPr>
        <w:t>项目所在地属于Ⅲ天山山地温性草原、森林生态区—Ⅲ</w:t>
      </w:r>
      <w:r>
        <w:rPr>
          <w:rFonts w:hint="default" w:ascii="Times New Roman" w:hAnsi="Times New Roman" w:cs="Times New Roman"/>
          <w:color w:val="auto"/>
          <w:szCs w:val="24"/>
          <w:highlight w:val="none"/>
          <w:vertAlign w:val="subscript"/>
          <w:lang w:val="zh-CN"/>
        </w:rPr>
        <w:t>4</w:t>
      </w:r>
      <w:r>
        <w:rPr>
          <w:rFonts w:hint="default" w:ascii="Times New Roman" w:hAnsi="Times New Roman" w:cs="Times New Roman"/>
          <w:color w:val="auto"/>
          <w:szCs w:val="24"/>
          <w:highlight w:val="none"/>
          <w:lang w:val="zh-CN"/>
        </w:rPr>
        <w:t>天山南坡吐鲁番—哈密盆地戈壁荒漠、绿洲农业生态亚区—53.嘎顺—南湖戈壁荒漠风蚀敏感生态功能区。</w:t>
      </w:r>
      <w:r>
        <w:rPr>
          <w:rFonts w:hint="default" w:ascii="Times New Roman" w:hAnsi="Times New Roman" w:cs="Times New Roman"/>
          <w:color w:val="auto"/>
          <w:highlight w:val="none"/>
        </w:rPr>
        <w:t>项目建设期应严格按照施工范围施工，规范施工作业，避免</w:t>
      </w:r>
      <w:r>
        <w:rPr>
          <w:rFonts w:hint="eastAsia" w:cs="Times New Roman"/>
          <w:color w:val="auto"/>
          <w:highlight w:val="none"/>
          <w:lang w:val="en-US" w:eastAsia="zh-CN"/>
        </w:rPr>
        <w:t>大规模破坏地表植被</w:t>
      </w:r>
      <w:r>
        <w:rPr>
          <w:rFonts w:hint="default" w:ascii="Times New Roman" w:hAnsi="Times New Roman" w:cs="Times New Roman"/>
          <w:color w:val="auto"/>
          <w:highlight w:val="none"/>
        </w:rPr>
        <w:t>。各道路及管线等施工完毕后及时恢复</w:t>
      </w:r>
      <w:r>
        <w:rPr>
          <w:rFonts w:hint="eastAsia" w:cs="Times New Roman"/>
          <w:color w:val="auto"/>
          <w:highlight w:val="none"/>
          <w:lang w:val="en-US" w:eastAsia="zh-CN"/>
        </w:rPr>
        <w:t>原有地貌</w:t>
      </w:r>
      <w:r>
        <w:rPr>
          <w:rFonts w:hint="default" w:ascii="Times New Roman" w:hAnsi="Times New Roman" w:cs="Times New Roman"/>
          <w:color w:val="auto"/>
          <w:highlight w:val="none"/>
        </w:rPr>
        <w:t>。</w:t>
      </w:r>
    </w:p>
    <w:p w14:paraId="5FED634F">
      <w:pPr>
        <w:pStyle w:val="15"/>
        <w:widowControl/>
        <w:overflowPunct w:val="0"/>
        <w:topLinePun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重视景观生态的保护，尽量避免露天作业、地面生产应尽量密闭作业避免扬尘逸散，优化项目区建筑及道路，从设计、施工、运营等各个环节充分考虑对景观的保护。运行期应大力进行项目区人工绿化，在不影响运输、消防的前提下，绿化区域主要放在未被建（构）筑物覆盖的地表及厂区道路两侧，同时包括项目区周围的场地。</w:t>
      </w:r>
    </w:p>
    <w:p w14:paraId="7800308E">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6.2.7.4土地复垦及生态恢复措施</w:t>
      </w:r>
    </w:p>
    <w:p w14:paraId="37191F83">
      <w:pPr>
        <w:pStyle w:val="15"/>
        <w:widowControl/>
        <w:overflowPunct w:val="0"/>
        <w:topLinePunct/>
        <w:ind w:firstLine="480"/>
        <w:rPr>
          <w:rFonts w:hint="default" w:ascii="Times New Roman" w:hAnsi="Times New Roman" w:cs="Times New Roman"/>
          <w:color w:val="auto"/>
          <w:szCs w:val="24"/>
          <w:highlight w:val="none"/>
        </w:rPr>
      </w:pPr>
      <w:r>
        <w:rPr>
          <w:rFonts w:hint="eastAsia" w:ascii="Times New Roman" w:hAnsi="Times New Roman" w:cs="Times New Roman"/>
          <w:color w:val="auto"/>
          <w:szCs w:val="24"/>
          <w:highlight w:val="none"/>
          <w:lang w:val="en-US" w:eastAsia="zh-CN"/>
        </w:rPr>
        <w:t>根据</w:t>
      </w:r>
      <w:r>
        <w:rPr>
          <w:rFonts w:hint="default" w:ascii="Times New Roman" w:hAnsi="Times New Roman" w:cs="Times New Roman"/>
          <w:color w:val="auto"/>
          <w:szCs w:val="24"/>
          <w:highlight w:val="none"/>
        </w:rPr>
        <w:t>《</w:t>
      </w:r>
      <w:r>
        <w:rPr>
          <w:rFonts w:hint="default" w:ascii="Times New Roman" w:hAnsi="Times New Roman" w:cs="Times New Roman"/>
          <w:color w:val="auto"/>
          <w:szCs w:val="24"/>
          <w:highlight w:val="none"/>
          <w:lang w:eastAsia="zh-CN"/>
        </w:rPr>
        <w:t>新疆嘉西矿业有限公司哈密市伊州区雅满苏镇M1033三支萤石矿</w:t>
      </w:r>
      <w:r>
        <w:rPr>
          <w:rFonts w:hint="default" w:ascii="Times New Roman" w:hAnsi="Times New Roman" w:cs="Times New Roman"/>
          <w:color w:val="auto"/>
          <w:szCs w:val="24"/>
          <w:highlight w:val="none"/>
        </w:rPr>
        <w:t>矿产资源开发利用与生态保护修复方案》，提出本项目土地复垦及生态恢复措施。</w:t>
      </w:r>
    </w:p>
    <w:p w14:paraId="5B0B3844">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本项目涉及</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个重点防治区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尾矿库，总面积</w:t>
      </w:r>
      <w:r>
        <w:rPr>
          <w:rFonts w:hint="eastAsia" w:cs="Times New Roman"/>
          <w:color w:val="auto"/>
          <w:highlight w:val="none"/>
          <w:lang w:val="en-US" w:eastAsia="zh-CN"/>
        </w:rPr>
        <w:t>16.6</w:t>
      </w:r>
      <w:r>
        <w:rPr>
          <w:rFonts w:hint="default" w:ascii="Times New Roman" w:hAnsi="Times New Roman" w:cs="Times New Roman"/>
          <w:color w:val="auto"/>
          <w:highlight w:val="none"/>
          <w:lang w:val="en-US" w:eastAsia="zh-CN"/>
        </w:rPr>
        <w:t>hm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rPr>
        <w:t>；涉及的次重点防治区</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个：选矿厂，总面积</w:t>
      </w:r>
      <w:r>
        <w:rPr>
          <w:rFonts w:hint="eastAsia" w:cs="Times New Roman"/>
          <w:color w:val="auto"/>
          <w:highlight w:val="none"/>
          <w:lang w:val="en-US" w:eastAsia="zh-CN"/>
        </w:rPr>
        <w:t>1.78</w:t>
      </w:r>
      <w:r>
        <w:rPr>
          <w:rFonts w:hint="default" w:ascii="Times New Roman" w:hAnsi="Times New Roman" w:cs="Times New Roman"/>
          <w:color w:val="auto"/>
          <w:highlight w:val="none"/>
          <w:lang w:val="en-US" w:eastAsia="zh-CN"/>
        </w:rPr>
        <w:t>hm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rPr>
        <w:t>。</w:t>
      </w:r>
    </w:p>
    <w:p w14:paraId="037BDF2D">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针对项目区的防治分区，方案中提出如下土地复垦及生态恢复计划。</w:t>
      </w:r>
    </w:p>
    <w:p w14:paraId="3702777A">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（1）西北干旱地区土地复垦质量控制标准</w:t>
      </w:r>
    </w:p>
    <w:p w14:paraId="262DB521">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矿山位于新疆</w:t>
      </w:r>
      <w:r>
        <w:rPr>
          <w:rFonts w:hint="eastAsia" w:cs="Times New Roman"/>
          <w:color w:val="auto"/>
          <w:highlight w:val="none"/>
          <w:lang w:val="en-US" w:eastAsia="zh-CN"/>
        </w:rPr>
        <w:t>哈密市伊州区</w:t>
      </w:r>
      <w:r>
        <w:rPr>
          <w:rFonts w:hint="default" w:ascii="Times New Roman" w:hAnsi="Times New Roman" w:cs="Times New Roman"/>
          <w:color w:val="auto"/>
          <w:highlight w:val="none"/>
        </w:rPr>
        <w:t>，根据《土地复垦质量控制标准》（TD/T 1036-2013），评估区复垦类型区属于干旱区，土源极度匮乏，土层薄，有机质含量低，复垦方向以裸岩石砾地为主。</w:t>
      </w:r>
    </w:p>
    <w:p w14:paraId="5DBF88C7">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（2）土地复垦及生态恢复工程</w:t>
      </w:r>
    </w:p>
    <w:p w14:paraId="5A0714D5">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1）土地损毁预防措施</w:t>
      </w:r>
    </w:p>
    <w:p w14:paraId="29AF593B">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按照</w:t>
      </w:r>
      <w:r>
        <w:rPr>
          <w:rFonts w:hint="eastAsia" w:cs="Times New Roman"/>
          <w:color w:val="auto"/>
          <w:highlight w:val="none"/>
          <w:lang w:eastAsia="zh-CN"/>
        </w:rPr>
        <w:t>“</w:t>
      </w:r>
      <w:r>
        <w:rPr>
          <w:rFonts w:hint="default" w:ascii="Times New Roman" w:hAnsi="Times New Roman" w:cs="Times New Roman"/>
          <w:color w:val="auto"/>
          <w:highlight w:val="none"/>
        </w:rPr>
        <w:t>统一规划、源头控制、防复结合</w:t>
      </w:r>
      <w:r>
        <w:rPr>
          <w:rFonts w:hint="eastAsia" w:cs="Times New Roman"/>
          <w:color w:val="auto"/>
          <w:highlight w:val="none"/>
          <w:lang w:eastAsia="zh-CN"/>
        </w:rPr>
        <w:t>”</w:t>
      </w:r>
      <w:r>
        <w:rPr>
          <w:rFonts w:hint="default" w:ascii="Times New Roman" w:hAnsi="Times New Roman" w:cs="Times New Roman"/>
          <w:color w:val="auto"/>
          <w:highlight w:val="none"/>
        </w:rPr>
        <w:t>的原则，根据该项目特点、前期生产方式与工艺，在闭</w:t>
      </w:r>
      <w:r>
        <w:rPr>
          <w:rFonts w:hint="eastAsia" w:cs="Times New Roman"/>
          <w:color w:val="auto"/>
          <w:highlight w:val="none"/>
          <w:lang w:val="en-US" w:eastAsia="zh-CN"/>
        </w:rPr>
        <w:t>库</w:t>
      </w:r>
      <w:r>
        <w:rPr>
          <w:rFonts w:hint="default" w:ascii="Times New Roman" w:hAnsi="Times New Roman" w:cs="Times New Roman"/>
          <w:color w:val="auto"/>
          <w:highlight w:val="none"/>
        </w:rPr>
        <w:t>前生产和闭</w:t>
      </w:r>
      <w:r>
        <w:rPr>
          <w:rFonts w:hint="eastAsia" w:cs="Times New Roman"/>
          <w:color w:val="auto"/>
          <w:highlight w:val="none"/>
          <w:lang w:val="en-US" w:eastAsia="zh-CN"/>
        </w:rPr>
        <w:t>库</w:t>
      </w:r>
      <w:r>
        <w:rPr>
          <w:rFonts w:hint="default" w:ascii="Times New Roman" w:hAnsi="Times New Roman" w:cs="Times New Roman"/>
          <w:color w:val="auto"/>
          <w:highlight w:val="none"/>
        </w:rPr>
        <w:t>后治理恢复过程中，可以采取一些合理的预防与控制措施，以减小和控制损毁土地的面积和程度，为土地复垦工程的开展创造良好的基础。主要保护目标是保护地貌和地表植被，防止泥石流发生，具体措施如下：</w:t>
      </w:r>
    </w:p>
    <w:p w14:paraId="49FF1764">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A.合理堆放土方，尽量减少压占土地，避免污染土地，防止对原生态的破坏。</w:t>
      </w:r>
    </w:p>
    <w:p w14:paraId="49EEFB70">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B.建立地表变形和土壤监测系统，加强对土地资源破坏和已复垦区域进行监测，通过人工、无人机监测数据资料做好土地使用规划，指导土地复垦工作，尽量减少土地损毁影响。</w:t>
      </w:r>
    </w:p>
    <w:p w14:paraId="2CE66FDF">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2）项目区土地复垦</w:t>
      </w:r>
    </w:p>
    <w:p w14:paraId="51805E76">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采取预防和控制措施，最大限度</w:t>
      </w:r>
      <w:r>
        <w:rPr>
          <w:rFonts w:hint="eastAsia" w:cs="Times New Roman"/>
          <w:color w:val="auto"/>
          <w:highlight w:val="none"/>
          <w:lang w:eastAsia="zh-CN"/>
        </w:rPr>
        <w:t>地</w:t>
      </w:r>
      <w:r>
        <w:rPr>
          <w:rFonts w:hint="default" w:ascii="Times New Roman" w:hAnsi="Times New Roman" w:cs="Times New Roman"/>
          <w:color w:val="auto"/>
          <w:highlight w:val="none"/>
        </w:rPr>
        <w:t>保护当地自然环境，以减少对土地的破坏，同时开展项目区土地复垦工作，恢复矿区环境，实现社会效益、环境效益和经济效益新的平衡。</w:t>
      </w:r>
    </w:p>
    <w:p w14:paraId="1BF4109C">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本项目确定土地复垦的目标为尽量确保土地复垦方向与土地利用总体规划保持一致、保持原有土地利用方向，与周边土地利用类型和景观相适应。复垦区面积</w:t>
      </w:r>
      <w:r>
        <w:rPr>
          <w:rFonts w:hint="eastAsia" w:cs="Times New Roman"/>
          <w:color w:val="auto"/>
          <w:highlight w:val="none"/>
          <w:lang w:val="en-US" w:eastAsia="zh-CN"/>
        </w:rPr>
        <w:t>18.38</w:t>
      </w:r>
      <w:r>
        <w:rPr>
          <w:rFonts w:hint="default" w:ascii="Times New Roman" w:hAnsi="Times New Roman" w:cs="Times New Roman"/>
          <w:color w:val="auto"/>
          <w:highlight w:val="none"/>
          <w:lang w:val="en-US" w:eastAsia="zh-CN"/>
        </w:rPr>
        <w:t>hm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rPr>
        <w:t>，复垦为</w:t>
      </w:r>
      <w:r>
        <w:rPr>
          <w:rFonts w:hint="default" w:ascii="Times New Roman" w:hAnsi="Times New Roman" w:cs="Times New Roman"/>
          <w:color w:val="auto"/>
          <w:highlight w:val="none"/>
          <w:lang w:eastAsia="zh-CN"/>
        </w:rPr>
        <w:t>裸岩石砾地</w:t>
      </w:r>
      <w:r>
        <w:rPr>
          <w:rFonts w:hint="default" w:ascii="Times New Roman" w:hAnsi="Times New Roman" w:cs="Times New Roman"/>
          <w:color w:val="auto"/>
          <w:highlight w:val="none"/>
        </w:rPr>
        <w:t>。从而保护生态环境，合理利用土地，实现土地资源的可持续利用，促进经济和环境和谐发展。</w:t>
      </w:r>
    </w:p>
    <w:p w14:paraId="13755000">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通过土地复垦改善当地生态环境，使损毁的土地得到恢复。复垦的主要目的是保证受矿山开采影响的区域植被覆盖度不下降，并控制可能发生的水土流失。复垦工程采取的复垦措施主要有拆除建筑物、土地平整、覆土、撒播草籽和管护。</w:t>
      </w:r>
    </w:p>
    <w:p w14:paraId="19C6009A">
      <w:pPr>
        <w:numPr>
          <w:ilvl w:val="0"/>
          <w:numId w:val="0"/>
        </w:numPr>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工程设计</w:t>
      </w:r>
    </w:p>
    <w:p w14:paraId="78CA5AF9">
      <w:pPr>
        <w:widowControl/>
        <w:ind w:firstLine="480"/>
        <w:jc w:val="left"/>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①选矿厂土地复垦工程设计</w:t>
      </w:r>
    </w:p>
    <w:p w14:paraId="434D9AD5">
      <w:pPr>
        <w:widowControl/>
        <w:ind w:firstLine="480"/>
        <w:jc w:val="left"/>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A.建筑物及砌体拆除</w:t>
      </w:r>
    </w:p>
    <w:p w14:paraId="346A48D1">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借助推土机和机械翻斗车对选矿厂建筑物进行拆除、清运，选矿厂砖混建筑面积</w:t>
      </w:r>
      <w:r>
        <w:rPr>
          <w:rFonts w:hint="default" w:ascii="Times New Roman" w:hAnsi="Times New Roman" w:cs="Times New Roman"/>
          <w:color w:val="auto"/>
          <w:highlight w:val="none"/>
          <w:lang w:val="en-US" w:eastAsia="zh-CN"/>
        </w:rPr>
        <w:t>10959m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rPr>
        <w:t>，单位清理工程量按0.5</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rPr>
        <w:t>，砌体拆除工程量为</w:t>
      </w:r>
      <w:r>
        <w:rPr>
          <w:rFonts w:hint="default" w:ascii="Times New Roman" w:hAnsi="Times New Roman" w:cs="Times New Roman"/>
          <w:color w:val="auto"/>
          <w:highlight w:val="none"/>
          <w:lang w:val="en-US" w:eastAsia="zh-CN"/>
        </w:rPr>
        <w:t>5479.5m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w:t>
      </w:r>
    </w:p>
    <w:p w14:paraId="5DE2E74A">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B.平整土地</w:t>
      </w:r>
    </w:p>
    <w:p w14:paraId="13DEFA2D">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清理完毕后对场地进行平整，平整方式主要借助挖掘机、推土机进行削高填低，根据周边地形地貌特征，将土地平整后的地形起伏控制在10°以内。将平整场地划分成若干个小方格，采用方格网法计算，根据每个方格的填挖情况，平均平整厚度0.2</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rPr>
        <w:t>，平整总面积7.0</w:t>
      </w:r>
      <w:r>
        <w:rPr>
          <w:rFonts w:hint="default" w:ascii="Times New Roman" w:hAnsi="Times New Roman" w:cs="Times New Roman"/>
          <w:color w:val="auto"/>
          <w:highlight w:val="none"/>
          <w:lang w:val="en-US" w:eastAsia="zh-CN"/>
        </w:rPr>
        <w:t>hm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rPr>
        <w:t>，预计平整土地的工程量约14000</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w:t>
      </w:r>
    </w:p>
    <w:p w14:paraId="0A41442F">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C.废弃物清运</w:t>
      </w:r>
    </w:p>
    <w:p w14:paraId="22F0A51D">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拆除的废弃物拉运至</w:t>
      </w:r>
      <w:r>
        <w:rPr>
          <w:rFonts w:hint="eastAsia" w:cs="Times New Roman"/>
          <w:color w:val="auto"/>
          <w:highlight w:val="none"/>
          <w:lang w:val="en-US" w:eastAsia="zh-CN"/>
        </w:rPr>
        <w:t>就近的</w:t>
      </w:r>
      <w:r>
        <w:rPr>
          <w:rFonts w:hint="default" w:ascii="Times New Roman" w:hAnsi="Times New Roman" w:cs="Times New Roman"/>
          <w:color w:val="auto"/>
          <w:highlight w:val="none"/>
        </w:rPr>
        <w:t>建筑垃圾填埋场回填处理。</w:t>
      </w:r>
    </w:p>
    <w:p w14:paraId="49EDA749">
      <w:pPr>
        <w:ind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②</w:t>
      </w:r>
      <w:r>
        <w:rPr>
          <w:rFonts w:hint="default" w:ascii="Times New Roman" w:hAnsi="Times New Roman" w:cs="Times New Roman"/>
          <w:color w:val="auto"/>
          <w:highlight w:val="none"/>
        </w:rPr>
        <w:t>尾矿库</w:t>
      </w:r>
    </w:p>
    <w:p w14:paraId="0CD2A0E1">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矿山闭坑后，对尾矿库进行封场防渗处理，并在表层覆盖一层0.5</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rPr>
        <w:t>厚的废石，然后对表层进行平整压实，防止大气降水渗入尾矿库体。</w:t>
      </w:r>
    </w:p>
    <w:p w14:paraId="2CA38CF9">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A.封场防渗</w:t>
      </w:r>
    </w:p>
    <w:p w14:paraId="64E18087">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在库体表层全部敷设一层1.5</w:t>
      </w:r>
      <w:r>
        <w:rPr>
          <w:rFonts w:hint="default" w:ascii="Times New Roman" w:hAnsi="Times New Roman" w:cs="Times New Roman"/>
          <w:color w:val="auto"/>
          <w:highlight w:val="none"/>
          <w:lang w:val="en-US" w:eastAsia="zh-CN"/>
        </w:rPr>
        <w:t>mm</w:t>
      </w:r>
      <w:r>
        <w:rPr>
          <w:rFonts w:hint="default" w:ascii="Times New Roman" w:hAnsi="Times New Roman" w:cs="Times New Roman"/>
          <w:color w:val="auto"/>
          <w:highlight w:val="none"/>
        </w:rPr>
        <w:t>厚HDPE膜，防止大气降水渗入尾矿库体，敷膜84.0万</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rPr>
        <w:t>。</w:t>
      </w:r>
    </w:p>
    <w:p w14:paraId="6642BBC3">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B.废石覆盖</w:t>
      </w:r>
    </w:p>
    <w:p w14:paraId="600D6559">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铺设防渗膜后，在表层覆盖一层0.5</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rPr>
        <w:t>厚的废石</w:t>
      </w:r>
      <w:r>
        <w:rPr>
          <w:rFonts w:hint="eastAsia" w:cs="Times New Roman"/>
          <w:color w:val="auto"/>
          <w:highlight w:val="none"/>
          <w:lang w:eastAsia="zh-CN"/>
        </w:rPr>
        <w:t>，</w:t>
      </w:r>
      <w:r>
        <w:rPr>
          <w:rFonts w:hint="default" w:ascii="Times New Roman" w:hAnsi="Times New Roman" w:cs="Times New Roman"/>
          <w:color w:val="auto"/>
          <w:highlight w:val="none"/>
        </w:rPr>
        <w:t>所需废石由规划废石堆放场拉运。</w:t>
      </w:r>
    </w:p>
    <w:p w14:paraId="658931D2">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C.场地平整</w:t>
      </w:r>
    </w:p>
    <w:p w14:paraId="3BF91DE0">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最后对尾矿库表层进行平整压实，主要借助挖掘机、推土机进行，根据周边地形地貌特征，将平整场地划分成若干个小方格，采用方格网法计算，根据每个方格的填挖情况，平均平整厚度0.2</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rPr>
        <w:t>，平整总面积</w:t>
      </w:r>
      <w:r>
        <w:rPr>
          <w:rFonts w:hint="eastAsia" w:cs="Times New Roman"/>
          <w:color w:val="auto"/>
          <w:highlight w:val="none"/>
          <w:lang w:val="en-US" w:eastAsia="zh-CN"/>
        </w:rPr>
        <w:t>8.66</w:t>
      </w:r>
      <w:r>
        <w:rPr>
          <w:rFonts w:hint="default" w:ascii="Times New Roman" w:hAnsi="Times New Roman" w:cs="Times New Roman"/>
          <w:color w:val="auto"/>
          <w:highlight w:val="none"/>
        </w:rPr>
        <w:t>万</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rPr>
        <w:t>，预计平整土地的工程量约</w:t>
      </w:r>
      <w:r>
        <w:rPr>
          <w:rFonts w:hint="eastAsia" w:cs="Times New Roman"/>
          <w:color w:val="auto"/>
          <w:highlight w:val="none"/>
          <w:lang w:val="en-US" w:eastAsia="zh-CN"/>
        </w:rPr>
        <w:t>1.73</w:t>
      </w:r>
      <w:r>
        <w:rPr>
          <w:rFonts w:hint="default" w:ascii="Times New Roman" w:hAnsi="Times New Roman" w:cs="Times New Roman"/>
          <w:color w:val="auto"/>
          <w:highlight w:val="none"/>
        </w:rPr>
        <w:t>万</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rPr>
        <w:t>。</w:t>
      </w:r>
    </w:p>
    <w:p w14:paraId="2A6A1DD9">
      <w:pPr>
        <w:pStyle w:val="5"/>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6.2.7.</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服务期满生态环境保护措施</w:t>
      </w:r>
    </w:p>
    <w:p w14:paraId="61FA5B8F">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项目区选矿厂停止使用及尾矿库闭库后，应开展污染场地调查、风险评估与生态修复治理措施。项目区应修筑绿化场地，周边设置排水系统，覆土、栽种耐</w:t>
      </w:r>
      <w:r>
        <w:rPr>
          <w:rFonts w:hint="eastAsia" w:cs="Times New Roman"/>
          <w:color w:val="auto"/>
          <w:highlight w:val="none"/>
          <w:lang w:val="en-US" w:eastAsia="zh-CN"/>
        </w:rPr>
        <w:t>旱</w:t>
      </w:r>
      <w:r>
        <w:rPr>
          <w:rFonts w:hint="default" w:ascii="Times New Roman" w:hAnsi="Times New Roman" w:cs="Times New Roman"/>
          <w:color w:val="auto"/>
          <w:highlight w:val="none"/>
        </w:rPr>
        <w:t>植被，形成永久植被覆盖。</w:t>
      </w:r>
    </w:p>
    <w:p w14:paraId="375C50DC">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尾矿库闭库后，坝体和坝内应视尾矿库所处地区气象条件、尾矿污染物毒性、植被恢复方式、土源情况进行不同厚度进行覆土，因地制宜进行植被恢复和综合利用，恢复植被的覆土厚度应不低于10cm。</w:t>
      </w:r>
    </w:p>
    <w:p w14:paraId="5064F846">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项目服务期满后应进行覆土回填、平整等工程技术措施，最后种植适合当地生长的</w:t>
      </w:r>
      <w:r>
        <w:rPr>
          <w:rFonts w:hint="default" w:ascii="Times New Roman" w:hAnsi="Times New Roman" w:cs="Times New Roman"/>
          <w:color w:val="auto"/>
          <w:highlight w:val="none"/>
          <w:lang w:eastAsia="zh-CN"/>
        </w:rPr>
        <w:t>耐旱植被</w:t>
      </w:r>
      <w:r>
        <w:rPr>
          <w:rFonts w:hint="default" w:ascii="Times New Roman" w:hAnsi="Times New Roman" w:cs="Times New Roman"/>
          <w:color w:val="auto"/>
          <w:highlight w:val="none"/>
        </w:rPr>
        <w:t>。根据项目区实际情况，各复垦区主要采取以下几种工程技术措施：</w:t>
      </w:r>
    </w:p>
    <w:p w14:paraId="733915BA">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平整：项目占压土地后，使原有的土地形态发生改变，导致原有土地的表层起伏不平，难以达到预期的土地利用方向。根据相关标准，需对区域进行土地平整，使平整后的地面坡度不超过5°。</w:t>
      </w:r>
    </w:p>
    <w:p w14:paraId="0A7C9D76">
      <w:pPr>
        <w:pStyle w:val="15"/>
        <w:widowControl/>
        <w:overflowPunct w:val="0"/>
        <w:topLinePunct/>
        <w:ind w:firstLine="480"/>
        <w:rPr>
          <w:rFonts w:hint="default" w:ascii="Times New Roman" w:hAnsi="Times New Roman" w:cs="Times New Roman"/>
          <w:color w:val="auto"/>
          <w:szCs w:val="24"/>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植被：复垦区土壤有机质含量较低、土壤改良期内，采用绿肥的种植结构，基肥以有机肥为主，最好是腐熟的堆厩肥，要合理施用化肥，提倡平衡施肥，以达到培肥土壤的目的。</w:t>
      </w:r>
    </w:p>
    <w:p w14:paraId="032D570F">
      <w:pPr>
        <w:pStyle w:val="4"/>
        <w:rPr>
          <w:rFonts w:hint="default" w:ascii="Times New Roman" w:hAnsi="Times New Roman" w:cs="Times New Roman"/>
          <w:color w:val="auto"/>
          <w:highlight w:val="none"/>
        </w:rPr>
      </w:pPr>
      <w:bookmarkStart w:id="822" w:name="_Toc8684"/>
      <w:bookmarkStart w:id="823" w:name="_Toc3586"/>
      <w:bookmarkStart w:id="824" w:name="_Toc17083"/>
      <w:r>
        <w:rPr>
          <w:rFonts w:hint="default" w:ascii="Times New Roman" w:hAnsi="Times New Roman" w:cs="Times New Roman"/>
          <w:color w:val="auto"/>
          <w:highlight w:val="none"/>
        </w:rPr>
        <w:t>6.2.8水土保持措施</w:t>
      </w:r>
      <w:bookmarkEnd w:id="822"/>
      <w:bookmarkEnd w:id="823"/>
      <w:bookmarkEnd w:id="824"/>
    </w:p>
    <w:p w14:paraId="46441EBA">
      <w:pPr>
        <w:pStyle w:val="43"/>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根据</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谁开发，谁保护；谁破坏，谁治理</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的原则，依据本工程所处区域的自然、社会环境条件和工程</w:t>
      </w:r>
      <w:r>
        <w:rPr>
          <w:rFonts w:hint="eastAsia" w:cs="Times New Roman"/>
          <w:color w:val="auto"/>
          <w:szCs w:val="24"/>
          <w:highlight w:val="none"/>
          <w:lang w:eastAsia="zh-CN"/>
        </w:rPr>
        <w:t>对</w:t>
      </w:r>
      <w:r>
        <w:rPr>
          <w:rFonts w:hint="default" w:ascii="Times New Roman" w:hAnsi="Times New Roman" w:cs="Times New Roman"/>
          <w:color w:val="auto"/>
          <w:szCs w:val="24"/>
          <w:highlight w:val="none"/>
        </w:rPr>
        <w:t>水土流失的实际影响，提出如下水土保持的方案。</w:t>
      </w:r>
    </w:p>
    <w:p w14:paraId="6D40B66E">
      <w:pPr>
        <w:pStyle w:val="43"/>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lang w:val="en-US" w:eastAsia="zh-CN"/>
        </w:rPr>
        <w:t>1</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做好施工规划及施工组织设计</w:t>
      </w:r>
    </w:p>
    <w:p w14:paraId="72175C51">
      <w:pPr>
        <w:pStyle w:val="43"/>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在项目开工前，重视做好施工规划工作，合理布设施工场地，减少占用土地，建筑物按天然地势布置，减少挖填方量。在尽量减轻生态不利影响的前提下进行有序开采。在选矿厂的厂区完善排洪工程。</w:t>
      </w:r>
    </w:p>
    <w:p w14:paraId="5EDBD644">
      <w:pPr>
        <w:pStyle w:val="43"/>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施工过</w:t>
      </w:r>
      <w:r>
        <w:rPr>
          <w:rFonts w:hint="eastAsia" w:cs="Times New Roman"/>
          <w:color w:val="auto"/>
          <w:szCs w:val="24"/>
          <w:highlight w:val="none"/>
          <w:lang w:eastAsia="zh-CN"/>
        </w:rPr>
        <w:t>程中</w:t>
      </w:r>
      <w:r>
        <w:rPr>
          <w:rFonts w:hint="default" w:ascii="Times New Roman" w:hAnsi="Times New Roman" w:cs="Times New Roman"/>
          <w:color w:val="auto"/>
          <w:szCs w:val="24"/>
          <w:highlight w:val="none"/>
        </w:rPr>
        <w:t>要加强施工监理，防止施工人员及施工机械超范围的活动，</w:t>
      </w:r>
      <w:r>
        <w:rPr>
          <w:rFonts w:hint="eastAsia" w:cs="Times New Roman"/>
          <w:color w:val="auto"/>
          <w:szCs w:val="24"/>
          <w:highlight w:val="none"/>
          <w:lang w:eastAsia="zh-CN"/>
        </w:rPr>
        <w:t>防止</w:t>
      </w:r>
      <w:r>
        <w:rPr>
          <w:rFonts w:hint="default" w:ascii="Times New Roman" w:hAnsi="Times New Roman" w:cs="Times New Roman"/>
          <w:color w:val="auto"/>
          <w:szCs w:val="24"/>
          <w:highlight w:val="none"/>
        </w:rPr>
        <w:t>超范围设置临时设施和堆放施工材料。对产生的弃土应合理及时进行填埋。</w:t>
      </w:r>
    </w:p>
    <w:p w14:paraId="6AA780D8">
      <w:pPr>
        <w:pStyle w:val="43"/>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施工结束后要对施工迹地进行清理平整与植被恢复工作。对无用的临时建筑应予以拆除，然后根据实施情况实施人工绿化或植被自然恢复工作。</w:t>
      </w:r>
    </w:p>
    <w:p w14:paraId="3834B901">
      <w:pPr>
        <w:pStyle w:val="43"/>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lang w:val="en-US" w:eastAsia="zh-CN"/>
        </w:rPr>
        <w:t>2</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场地道路应沿天然地形及便道进行修筑，以减少挖填方量。在山坡上开辟路基时，要做好护坡及挡土墙，完善排水系统。</w:t>
      </w:r>
    </w:p>
    <w:p w14:paraId="5C97CD47">
      <w:pPr>
        <w:pStyle w:val="43"/>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lang w:val="en-US" w:eastAsia="zh-CN"/>
        </w:rPr>
        <w:t>3</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做好选矿厂及场内道路两侧的绿化工作。选择适宜</w:t>
      </w:r>
      <w:r>
        <w:rPr>
          <w:rFonts w:hint="eastAsia" w:cs="Times New Roman"/>
          <w:color w:val="auto"/>
          <w:szCs w:val="24"/>
          <w:highlight w:val="none"/>
          <w:lang w:eastAsia="zh-CN"/>
        </w:rPr>
        <w:t>当地</w:t>
      </w:r>
      <w:r>
        <w:rPr>
          <w:rFonts w:hint="default" w:ascii="Times New Roman" w:hAnsi="Times New Roman" w:cs="Times New Roman"/>
          <w:color w:val="auto"/>
          <w:szCs w:val="24"/>
          <w:highlight w:val="none"/>
        </w:rPr>
        <w:t>生长的草本或灌木为种植对象。</w:t>
      </w:r>
    </w:p>
    <w:p w14:paraId="7FC8E485">
      <w:pPr>
        <w:pStyle w:val="43"/>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lang w:val="en-US" w:eastAsia="zh-CN"/>
        </w:rPr>
        <w:t>4</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闭库后要拆除一切无用设施，平整场地。</w:t>
      </w:r>
    </w:p>
    <w:p w14:paraId="38E4B04D">
      <w:pPr>
        <w:pStyle w:val="43"/>
        <w:overflowPunct w:val="0"/>
        <w:topLinePunct/>
        <w:spacing w:line="480" w:lineRule="exac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lang w:val="en-US" w:eastAsia="zh-CN"/>
        </w:rPr>
        <w:t>5</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根据《中华人民共和国水土保持法</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开发建设项目水土保持方案管理办法》等有关法律法规要求，尽早委托有资质相关单位编制本项目的水土保持方案。</w:t>
      </w:r>
    </w:p>
    <w:p w14:paraId="492190C0">
      <w:pPr>
        <w:pStyle w:val="4"/>
        <w:rPr>
          <w:rFonts w:hint="default" w:ascii="Times New Roman" w:hAnsi="Times New Roman" w:cs="Times New Roman"/>
          <w:color w:val="auto"/>
          <w:highlight w:val="none"/>
        </w:rPr>
      </w:pPr>
      <w:r>
        <w:rPr>
          <w:rFonts w:hint="default" w:ascii="Times New Roman" w:hAnsi="Times New Roman" w:cs="Times New Roman"/>
          <w:color w:val="auto"/>
          <w:highlight w:val="none"/>
        </w:rPr>
        <w:t>6.2.9退役期环境保护措施</w:t>
      </w:r>
    </w:p>
    <w:p w14:paraId="59135C97">
      <w:pPr>
        <w:keepNext/>
        <w:keepLines/>
        <w:ind w:firstLine="482"/>
        <w:jc w:val="left"/>
        <w:outlineLvl w:val="3"/>
        <w:rPr>
          <w:rFonts w:hint="default" w:ascii="Times New Roman" w:hAnsi="Times New Roman" w:cs="Times New Roman"/>
          <w:b/>
          <w:color w:val="auto"/>
          <w:kern w:val="0"/>
          <w:szCs w:val="22"/>
          <w:highlight w:val="none"/>
        </w:rPr>
      </w:pPr>
      <w:r>
        <w:rPr>
          <w:rFonts w:hint="default" w:ascii="Times New Roman" w:hAnsi="Times New Roman" w:cs="Times New Roman"/>
          <w:b/>
          <w:color w:val="auto"/>
          <w:kern w:val="0"/>
          <w:szCs w:val="22"/>
          <w:highlight w:val="none"/>
        </w:rPr>
        <w:t>6.2.9.1选矿厂恢复措施</w:t>
      </w:r>
    </w:p>
    <w:p w14:paraId="10AAB634">
      <w:pPr>
        <w:widowControl/>
        <w:ind w:firstLine="48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选矿厂拆除各建筑物、清理平整场地，可利用建筑材料全部回收利用，少量建筑垃圾送垃圾填埋场填埋。</w:t>
      </w:r>
    </w:p>
    <w:p w14:paraId="59DDE3DF">
      <w:pPr>
        <w:keepNext/>
        <w:keepLines/>
        <w:ind w:firstLine="482"/>
        <w:jc w:val="left"/>
        <w:outlineLvl w:val="3"/>
        <w:rPr>
          <w:rFonts w:hint="default" w:ascii="Times New Roman" w:hAnsi="Times New Roman" w:cs="Times New Roman"/>
          <w:b/>
          <w:color w:val="auto"/>
          <w:kern w:val="0"/>
          <w:szCs w:val="22"/>
          <w:highlight w:val="none"/>
        </w:rPr>
      </w:pPr>
      <w:r>
        <w:rPr>
          <w:rFonts w:hint="default" w:ascii="Times New Roman" w:hAnsi="Times New Roman" w:cs="Times New Roman"/>
          <w:b/>
          <w:color w:val="auto"/>
          <w:kern w:val="0"/>
          <w:szCs w:val="22"/>
          <w:highlight w:val="none"/>
        </w:rPr>
        <w:t>6.2.9.2尾矿库环境保护措施</w:t>
      </w:r>
    </w:p>
    <w:p w14:paraId="7146B1A7">
      <w:pPr>
        <w:pStyle w:val="10"/>
        <w:spacing w:after="0"/>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（1）闭库环境管理</w:t>
      </w:r>
    </w:p>
    <w:p w14:paraId="158D14B4">
      <w:pPr>
        <w:pStyle w:val="10"/>
        <w:spacing w:after="0"/>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在尾矿库停止使用后必须进行处置，保证坝体安全，不污染环境，消除污染事故隐患。尾矿库运行到设计最终标高或者不再进行排尾作业时，应当在一年内完成闭库。尾矿库经安全监管部门闭库验收合格后，方可对尾矿库的环境污染防治设施、生态保护工程进行闭库验收，验收时应对尾矿库中的尾砂进行环境达标监测。关闭尾矿设施必须经企业报</w:t>
      </w:r>
      <w:r>
        <w:rPr>
          <w:rFonts w:hint="default" w:ascii="Times New Roman" w:hAnsi="Times New Roman" w:cs="Times New Roman"/>
          <w:color w:val="auto"/>
          <w:highlight w:val="none"/>
          <w:lang w:eastAsia="zh-CN"/>
        </w:rPr>
        <w:t>自治区生态环境</w:t>
      </w:r>
      <w:r>
        <w:rPr>
          <w:rFonts w:hint="default" w:ascii="Times New Roman" w:hAnsi="Times New Roman" w:cs="Times New Roman"/>
          <w:color w:val="auto"/>
          <w:highlight w:val="none"/>
        </w:rPr>
        <w:t>行政</w:t>
      </w:r>
      <w:r>
        <w:rPr>
          <w:rFonts w:hint="default" w:ascii="Times New Roman" w:hAnsi="Times New Roman" w:cs="Times New Roman"/>
          <w:color w:val="auto"/>
          <w:highlight w:val="none"/>
          <w:lang w:eastAsia="zh-CN"/>
        </w:rPr>
        <w:t>主管</w:t>
      </w:r>
      <w:r>
        <w:rPr>
          <w:rFonts w:hint="default" w:ascii="Times New Roman" w:hAnsi="Times New Roman" w:cs="Times New Roman"/>
          <w:color w:val="auto"/>
          <w:highlight w:val="none"/>
        </w:rPr>
        <w:t>部门验收、批准。经验收移交后的尾矿设施其污染防治由接收单位负责。利用处置过的尾矿或其设施，需经</w:t>
      </w:r>
      <w:r>
        <w:rPr>
          <w:rFonts w:hint="default" w:ascii="Times New Roman" w:hAnsi="Times New Roman" w:cs="Times New Roman"/>
          <w:color w:val="auto"/>
          <w:highlight w:val="none"/>
          <w:lang w:eastAsia="zh-CN"/>
        </w:rPr>
        <w:t>生态环境</w:t>
      </w:r>
      <w:r>
        <w:rPr>
          <w:rFonts w:hint="default" w:ascii="Times New Roman" w:hAnsi="Times New Roman" w:cs="Times New Roman"/>
          <w:color w:val="auto"/>
          <w:highlight w:val="none"/>
        </w:rPr>
        <w:t>行政</w:t>
      </w:r>
      <w:r>
        <w:rPr>
          <w:rFonts w:hint="default" w:ascii="Times New Roman" w:hAnsi="Times New Roman" w:cs="Times New Roman"/>
          <w:color w:val="auto"/>
          <w:highlight w:val="none"/>
          <w:lang w:eastAsia="zh-CN"/>
        </w:rPr>
        <w:t>主管</w:t>
      </w:r>
      <w:r>
        <w:rPr>
          <w:rFonts w:hint="default" w:ascii="Times New Roman" w:hAnsi="Times New Roman" w:cs="Times New Roman"/>
          <w:color w:val="auto"/>
          <w:highlight w:val="none"/>
        </w:rPr>
        <w:t>部门批准，并报</w:t>
      </w:r>
      <w:r>
        <w:rPr>
          <w:rFonts w:hint="default" w:ascii="Times New Roman" w:hAnsi="Times New Roman" w:cs="Times New Roman"/>
          <w:color w:val="auto"/>
          <w:highlight w:val="none"/>
          <w:lang w:eastAsia="zh-CN"/>
        </w:rPr>
        <w:t>生态环境</w:t>
      </w:r>
      <w:r>
        <w:rPr>
          <w:rFonts w:hint="default" w:ascii="Times New Roman" w:hAnsi="Times New Roman" w:cs="Times New Roman"/>
          <w:color w:val="auto"/>
          <w:highlight w:val="none"/>
        </w:rPr>
        <w:t>行政</w:t>
      </w:r>
      <w:r>
        <w:rPr>
          <w:rFonts w:hint="default" w:ascii="Times New Roman" w:hAnsi="Times New Roman" w:cs="Times New Roman"/>
          <w:color w:val="auto"/>
          <w:highlight w:val="none"/>
          <w:lang w:eastAsia="zh-CN"/>
        </w:rPr>
        <w:t>主管</w:t>
      </w:r>
      <w:r>
        <w:rPr>
          <w:rFonts w:hint="default" w:ascii="Times New Roman" w:hAnsi="Times New Roman" w:cs="Times New Roman"/>
          <w:color w:val="auto"/>
          <w:highlight w:val="none"/>
        </w:rPr>
        <w:t>部门备案。闭库后的尾矿库，必须做好坝体及排洪设施的维护。未经论证和批准，不得蓄水、严禁在尾矿坝和库内进行乱采、滥挖、违章建筑和违章作业；未经设计论证和批准，不得重新启用或改作他用。</w:t>
      </w:r>
    </w:p>
    <w:p w14:paraId="4FD92EB9">
      <w:pPr>
        <w:pStyle w:val="10"/>
        <w:spacing w:after="0"/>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保留库内排水系统，闭库后尾矿库汇水面积内降水通过该系统排出库区。</w:t>
      </w:r>
    </w:p>
    <w:p w14:paraId="1EF3B64C">
      <w:pPr>
        <w:pStyle w:val="10"/>
        <w:spacing w:after="0"/>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（2）闭库后的生态恢复措施</w:t>
      </w:r>
    </w:p>
    <w:p w14:paraId="2E2A48A0">
      <w:pPr>
        <w:pStyle w:val="10"/>
        <w:spacing w:after="0"/>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闭库后的尾矿库，应加强监督检查与管理。观测设施应继续维持正常运转；坝体稳定性不足的，应采取削坡、压坡、降低浸润线等措施，使坝体稳定性满足标准要求；完善坝面排水沟、覆土及植被绿化、坝肩截水沟等。闭库后尾矿库占用区域应分期绿化，宜尽量恢复至利用前土地使用功能。经批准闭库的尾矿库重新启用或改作他用时，必须按照规定进行技术论证、工程设计、环境评价及安全评价。</w:t>
      </w:r>
    </w:p>
    <w:p w14:paraId="6D4C285A">
      <w:pPr>
        <w:pStyle w:val="10"/>
        <w:spacing w:after="0"/>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尾矿库封库后采取的生态恢复措施具体如下：</w:t>
      </w:r>
    </w:p>
    <w:p w14:paraId="3C172BD0">
      <w:pPr>
        <w:pStyle w:val="10"/>
        <w:spacing w:after="0"/>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（1）对尾矿库库面进行平整，使平整后的地面坡度不超过5°。</w:t>
      </w:r>
    </w:p>
    <w:p w14:paraId="52513893">
      <w:pPr>
        <w:pStyle w:val="10"/>
        <w:spacing w:after="0"/>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（2）采用人工和机械相结合的方式对平整后的表土进行必要的碾压，使其达到天然土壤的干密度。</w:t>
      </w:r>
    </w:p>
    <w:p w14:paraId="149F3A70">
      <w:pPr>
        <w:pStyle w:val="10"/>
        <w:spacing w:after="0"/>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（3）尾矿库生态恢复后应与周边环境相协调，尽量达到原土地使用功能。</w:t>
      </w:r>
    </w:p>
    <w:p w14:paraId="24EC7B19">
      <w:pPr>
        <w:pStyle w:val="10"/>
        <w:spacing w:after="0"/>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本项目各阶段生态恢复措施详见表6.2-3。</w:t>
      </w:r>
    </w:p>
    <w:p w14:paraId="6214B6C5">
      <w:pPr>
        <w:pStyle w:val="10"/>
        <w:tabs>
          <w:tab w:val="left" w:pos="4683"/>
        </w:tabs>
        <w:spacing w:after="0"/>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表6.2-3    生态恢复措施一览表</w:t>
      </w:r>
    </w:p>
    <w:tbl>
      <w:tblPr>
        <w:tblStyle w:val="33"/>
        <w:tblW w:w="0" w:type="auto"/>
        <w:tblInd w:w="-1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39"/>
        <w:gridCol w:w="5987"/>
        <w:gridCol w:w="1010"/>
      </w:tblGrid>
      <w:tr w14:paraId="777FF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1339" w:type="dxa"/>
            <w:vAlign w:val="center"/>
          </w:tcPr>
          <w:p w14:paraId="6D1D8804">
            <w:pPr>
              <w:pStyle w:val="47"/>
              <w:snapToGrid w:val="0"/>
              <w:spacing w:before="0" w:beforeAutospacing="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pacing w:val="-1"/>
                <w:sz w:val="21"/>
                <w:szCs w:val="21"/>
                <w:highlight w:val="none"/>
              </w:rPr>
              <w:t>环境问题</w:t>
            </w:r>
          </w:p>
        </w:tc>
        <w:tc>
          <w:tcPr>
            <w:tcW w:w="5987" w:type="dxa"/>
            <w:vAlign w:val="center"/>
          </w:tcPr>
          <w:p w14:paraId="2A0EABFE">
            <w:pPr>
              <w:pStyle w:val="47"/>
              <w:snapToGrid w:val="0"/>
              <w:spacing w:before="0" w:beforeAutospacing="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pacing w:val="-1"/>
                <w:sz w:val="21"/>
                <w:szCs w:val="21"/>
                <w:highlight w:val="none"/>
              </w:rPr>
              <w:t>措施概要</w:t>
            </w:r>
          </w:p>
        </w:tc>
        <w:tc>
          <w:tcPr>
            <w:tcW w:w="1010" w:type="dxa"/>
            <w:vAlign w:val="center"/>
          </w:tcPr>
          <w:p w14:paraId="7262500E">
            <w:pPr>
              <w:pStyle w:val="47"/>
              <w:snapToGrid w:val="0"/>
              <w:spacing w:before="0" w:beforeAutospacing="0"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备注</w:t>
            </w:r>
          </w:p>
        </w:tc>
      </w:tr>
      <w:tr w14:paraId="60BCA0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39" w:type="dxa"/>
            <w:vAlign w:val="center"/>
          </w:tcPr>
          <w:p w14:paraId="15D5C089">
            <w:pPr>
              <w:pStyle w:val="47"/>
              <w:snapToGrid w:val="0"/>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1、施工期</w:t>
            </w:r>
          </w:p>
        </w:tc>
        <w:tc>
          <w:tcPr>
            <w:tcW w:w="5987" w:type="dxa"/>
            <w:vAlign w:val="center"/>
          </w:tcPr>
          <w:p w14:paraId="3E3A7C26">
            <w:pPr>
              <w:pStyle w:val="47"/>
              <w:snapToGrid w:val="0"/>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环保措施实施阶段</w:t>
            </w:r>
          </w:p>
        </w:tc>
        <w:tc>
          <w:tcPr>
            <w:tcW w:w="1010" w:type="dxa"/>
            <w:vAlign w:val="center"/>
          </w:tcPr>
          <w:p w14:paraId="6D91FA40">
            <w:pPr>
              <w:snapToGri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kern w:val="0"/>
                <w:sz w:val="21"/>
                <w:szCs w:val="21"/>
                <w:highlight w:val="none"/>
              </w:rPr>
              <w:t>落实单位</w:t>
            </w:r>
          </w:p>
        </w:tc>
      </w:tr>
      <w:tr w14:paraId="4AA705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39" w:type="dxa"/>
            <w:vAlign w:val="center"/>
          </w:tcPr>
          <w:p w14:paraId="07AEE560">
            <w:pPr>
              <w:pStyle w:val="47"/>
              <w:snapToGrid w:val="0"/>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w:t>
            </w:r>
          </w:p>
        </w:tc>
        <w:tc>
          <w:tcPr>
            <w:tcW w:w="5987" w:type="dxa"/>
            <w:vAlign w:val="center"/>
          </w:tcPr>
          <w:p w14:paraId="0444D4B0">
            <w:pPr>
              <w:pStyle w:val="47"/>
              <w:snapToGrid w:val="0"/>
              <w:spacing w:before="0" w:beforeAutospacing="0" w:line="360" w:lineRule="exact"/>
              <w:ind w:firstLine="0" w:firstLineChars="0"/>
              <w:rPr>
                <w:rFonts w:hint="default" w:ascii="Times New Roman" w:hAnsi="Times New Roman" w:cs="Times New Roman"/>
                <w:color w:val="auto"/>
                <w:spacing w:val="21"/>
                <w:sz w:val="21"/>
                <w:szCs w:val="21"/>
                <w:highlight w:val="none"/>
              </w:rPr>
            </w:pPr>
            <w:r>
              <w:rPr>
                <w:rFonts w:hint="default" w:ascii="Times New Roman" w:hAnsi="Times New Roman" w:cs="Times New Roman"/>
                <w:color w:val="auto"/>
                <w:spacing w:val="-2"/>
                <w:sz w:val="21"/>
                <w:szCs w:val="21"/>
                <w:highlight w:val="none"/>
              </w:rPr>
              <w:t>1、施工机械和运输工具不应在工区内、外的地段随意碾压植被，应遵守</w:t>
            </w:r>
            <w:r>
              <w:rPr>
                <w:rFonts w:hint="eastAsia"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rPr>
              <w:t>一字型</w:t>
            </w:r>
            <w:r>
              <w:rPr>
                <w:rFonts w:hint="eastAsia"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rPr>
              <w:t>交通规划，行驶车辆走同一车辙，以减少对地表结构</w:t>
            </w:r>
            <w:r>
              <w:rPr>
                <w:rFonts w:hint="default" w:ascii="Times New Roman" w:hAnsi="Times New Roman" w:cs="Times New Roman"/>
                <w:color w:val="auto"/>
                <w:spacing w:val="-1"/>
                <w:sz w:val="21"/>
                <w:szCs w:val="21"/>
                <w:highlight w:val="none"/>
              </w:rPr>
              <w:t>的破坏。</w:t>
            </w:r>
          </w:p>
          <w:p w14:paraId="3C6CD1EC">
            <w:pPr>
              <w:pStyle w:val="47"/>
              <w:snapToGrid w:val="0"/>
              <w:spacing w:before="0" w:beforeAutospacing="0"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2、施工结束后，及时对施工迹地进行清理平整与复原工作，对无用的施工临时建筑应予以拆除，然后根据区域情况，恢复其原貌。</w:t>
            </w:r>
          </w:p>
        </w:tc>
        <w:tc>
          <w:tcPr>
            <w:tcW w:w="1010" w:type="dxa"/>
            <w:vAlign w:val="center"/>
          </w:tcPr>
          <w:p w14:paraId="310DE629">
            <w:pPr>
              <w:pStyle w:val="47"/>
              <w:snapToGrid w:val="0"/>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施工单位</w:t>
            </w:r>
            <w:r>
              <w:rPr>
                <w:rFonts w:hint="default" w:ascii="Times New Roman" w:hAnsi="Times New Roman" w:cs="Times New Roman"/>
                <w:color w:val="auto"/>
                <w:sz w:val="21"/>
                <w:szCs w:val="21"/>
                <w:highlight w:val="none"/>
              </w:rPr>
              <w:t>负责</w:t>
            </w:r>
          </w:p>
        </w:tc>
      </w:tr>
      <w:tr w14:paraId="28BC91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39" w:type="dxa"/>
            <w:vAlign w:val="center"/>
          </w:tcPr>
          <w:p w14:paraId="5DCDE0B2">
            <w:pPr>
              <w:pStyle w:val="47"/>
              <w:snapToGrid w:val="0"/>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水土保持</w:t>
            </w:r>
          </w:p>
        </w:tc>
        <w:tc>
          <w:tcPr>
            <w:tcW w:w="5987" w:type="dxa"/>
            <w:vAlign w:val="center"/>
          </w:tcPr>
          <w:p w14:paraId="629059C8">
            <w:pPr>
              <w:pStyle w:val="47"/>
              <w:snapToGrid w:val="0"/>
              <w:spacing w:before="0" w:beforeAutospacing="0"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1、对建设中的施工迹地和弃方进行合理平整和清运或再利用，以减少对区域水土流失的增加。</w:t>
            </w:r>
          </w:p>
          <w:p w14:paraId="7B846813">
            <w:pPr>
              <w:pStyle w:val="47"/>
              <w:snapToGrid w:val="0"/>
              <w:spacing w:before="0" w:beforeAutospacing="0"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2、施工过程中生产生活固体废弃物及时清运至当地环保部门指定的地点，废石及时运至废石场堆放，避免因起风引起的扬尘。</w:t>
            </w:r>
          </w:p>
          <w:p w14:paraId="5B871D8E">
            <w:pPr>
              <w:pStyle w:val="47"/>
              <w:snapToGrid w:val="0"/>
              <w:spacing w:before="0" w:beforeAutospacing="0"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3、保证工业场地的地面平整。</w:t>
            </w:r>
          </w:p>
        </w:tc>
        <w:tc>
          <w:tcPr>
            <w:tcW w:w="1010" w:type="dxa"/>
            <w:vAlign w:val="center"/>
          </w:tcPr>
          <w:p w14:paraId="10141B4E">
            <w:pPr>
              <w:pStyle w:val="47"/>
              <w:snapToGrid w:val="0"/>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生产单位和管理部</w:t>
            </w:r>
            <w:r>
              <w:rPr>
                <w:rFonts w:hint="default" w:ascii="Times New Roman" w:hAnsi="Times New Roman" w:cs="Times New Roman"/>
                <w:color w:val="auto"/>
                <w:sz w:val="21"/>
                <w:szCs w:val="21"/>
                <w:highlight w:val="none"/>
              </w:rPr>
              <w:t>门负责</w:t>
            </w:r>
          </w:p>
        </w:tc>
      </w:tr>
      <w:tr w14:paraId="330797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39" w:type="dxa"/>
            <w:vAlign w:val="center"/>
          </w:tcPr>
          <w:p w14:paraId="022ACD98">
            <w:pPr>
              <w:pStyle w:val="47"/>
              <w:snapToGrid w:val="0"/>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2、运营期</w:t>
            </w:r>
          </w:p>
        </w:tc>
        <w:tc>
          <w:tcPr>
            <w:tcW w:w="5987" w:type="dxa"/>
            <w:vAlign w:val="center"/>
          </w:tcPr>
          <w:p w14:paraId="181714DC">
            <w:pPr>
              <w:pStyle w:val="47"/>
              <w:snapToGrid w:val="0"/>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环保措施实施阶段</w:t>
            </w:r>
          </w:p>
        </w:tc>
        <w:tc>
          <w:tcPr>
            <w:tcW w:w="1010" w:type="dxa"/>
            <w:vAlign w:val="center"/>
          </w:tcPr>
          <w:p w14:paraId="1F778B25">
            <w:pPr>
              <w:snapToGri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kern w:val="0"/>
                <w:sz w:val="21"/>
                <w:szCs w:val="21"/>
                <w:highlight w:val="none"/>
              </w:rPr>
              <w:t>落实单位</w:t>
            </w:r>
          </w:p>
        </w:tc>
      </w:tr>
      <w:tr w14:paraId="32A292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39" w:type="dxa"/>
            <w:vAlign w:val="center"/>
          </w:tcPr>
          <w:p w14:paraId="59961E44">
            <w:pPr>
              <w:pStyle w:val="47"/>
              <w:snapToGrid w:val="0"/>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w:t>
            </w:r>
          </w:p>
        </w:tc>
        <w:tc>
          <w:tcPr>
            <w:tcW w:w="5987" w:type="dxa"/>
            <w:vAlign w:val="center"/>
          </w:tcPr>
          <w:p w14:paraId="7E7343EB">
            <w:pPr>
              <w:pStyle w:val="47"/>
              <w:snapToGrid w:val="0"/>
              <w:spacing w:before="0" w:beforeAutospacing="0"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1、应做好本项目的施工组织规划工作，明确工程可能扰动和破坏的范围，要</w:t>
            </w:r>
            <w:r>
              <w:rPr>
                <w:rFonts w:hint="eastAsia" w:cs="Times New Roman"/>
                <w:color w:val="auto"/>
                <w:spacing w:val="-2"/>
                <w:sz w:val="21"/>
                <w:szCs w:val="21"/>
                <w:highlight w:val="none"/>
                <w:lang w:eastAsia="zh-CN"/>
              </w:rPr>
              <w:t>做到</w:t>
            </w:r>
            <w:r>
              <w:rPr>
                <w:rFonts w:hint="default" w:ascii="Times New Roman" w:hAnsi="Times New Roman" w:cs="Times New Roman"/>
                <w:color w:val="auto"/>
                <w:spacing w:val="-2"/>
                <w:sz w:val="21"/>
                <w:szCs w:val="21"/>
                <w:highlight w:val="none"/>
              </w:rPr>
              <w:t>少占地。</w:t>
            </w:r>
          </w:p>
          <w:p w14:paraId="41E30D2B">
            <w:pPr>
              <w:pStyle w:val="47"/>
              <w:snapToGrid w:val="0"/>
              <w:spacing w:before="0" w:beforeAutospacing="0"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2、继续进行施工期临时占地生态恢复治理。</w:t>
            </w:r>
          </w:p>
          <w:p w14:paraId="6DCBA004">
            <w:pPr>
              <w:pStyle w:val="47"/>
              <w:snapToGrid w:val="0"/>
              <w:spacing w:before="0" w:beforeAutospacing="0"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3、本建设项目产生的生态影响的防护和恢复应按照</w:t>
            </w:r>
            <w:r>
              <w:rPr>
                <w:rFonts w:hint="eastAsia"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rPr>
              <w:t>避免→消减→补偿</w:t>
            </w:r>
            <w:r>
              <w:rPr>
                <w:rFonts w:hint="eastAsia"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rPr>
              <w:t>的顺序最大限度地减少人为开发活动对自然资源和生态环境的破坏，以实现</w:t>
            </w:r>
            <w:r>
              <w:rPr>
                <w:rFonts w:hint="eastAsia"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rPr>
              <w:t>开发中保护、保护中开发</w:t>
            </w:r>
            <w:r>
              <w:rPr>
                <w:rFonts w:hint="eastAsia"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rPr>
              <w:t>的目标。</w:t>
            </w:r>
          </w:p>
          <w:p w14:paraId="0D03311F">
            <w:pPr>
              <w:pStyle w:val="47"/>
              <w:snapToGrid w:val="0"/>
              <w:spacing w:before="0" w:beforeAutospacing="0"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4、建设单位应加强绿化与复垦意识，做好复垦规划与计划，落实措施。有条件时，即实行复垦，恢复并改善生态环境质量。</w:t>
            </w:r>
          </w:p>
        </w:tc>
        <w:tc>
          <w:tcPr>
            <w:tcW w:w="1010" w:type="dxa"/>
            <w:vAlign w:val="center"/>
          </w:tcPr>
          <w:p w14:paraId="3E04BF75">
            <w:pPr>
              <w:pStyle w:val="47"/>
              <w:snapToGrid w:val="0"/>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生产单位和管理部</w:t>
            </w:r>
            <w:r>
              <w:rPr>
                <w:rFonts w:hint="default" w:ascii="Times New Roman" w:hAnsi="Times New Roman" w:cs="Times New Roman"/>
                <w:color w:val="auto"/>
                <w:sz w:val="21"/>
                <w:szCs w:val="21"/>
                <w:highlight w:val="none"/>
              </w:rPr>
              <w:t>门负责</w:t>
            </w:r>
          </w:p>
        </w:tc>
      </w:tr>
      <w:tr w14:paraId="363F56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39" w:type="dxa"/>
            <w:vAlign w:val="center"/>
          </w:tcPr>
          <w:p w14:paraId="249B4627">
            <w:pPr>
              <w:pStyle w:val="47"/>
              <w:snapToGrid w:val="0"/>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3、服役后期</w:t>
            </w:r>
          </w:p>
        </w:tc>
        <w:tc>
          <w:tcPr>
            <w:tcW w:w="5987" w:type="dxa"/>
            <w:vAlign w:val="center"/>
          </w:tcPr>
          <w:p w14:paraId="7DAEC8CA">
            <w:pPr>
              <w:pStyle w:val="47"/>
              <w:snapToGrid w:val="0"/>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环保措施实施阶段</w:t>
            </w:r>
          </w:p>
        </w:tc>
        <w:tc>
          <w:tcPr>
            <w:tcW w:w="1010" w:type="dxa"/>
            <w:vAlign w:val="center"/>
          </w:tcPr>
          <w:p w14:paraId="39CAFBFE">
            <w:pPr>
              <w:snapToGri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kern w:val="0"/>
                <w:sz w:val="21"/>
                <w:szCs w:val="21"/>
                <w:highlight w:val="none"/>
              </w:rPr>
              <w:t>落实单位</w:t>
            </w:r>
          </w:p>
        </w:tc>
      </w:tr>
      <w:tr w14:paraId="4DCCFD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39" w:type="dxa"/>
            <w:vAlign w:val="center"/>
          </w:tcPr>
          <w:p w14:paraId="2D13900B">
            <w:pPr>
              <w:pStyle w:val="47"/>
              <w:snapToGrid w:val="0"/>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生态恢复方</w:t>
            </w:r>
          </w:p>
          <w:p w14:paraId="716E0B70">
            <w:pPr>
              <w:pStyle w:val="47"/>
              <w:snapToGrid w:val="0"/>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案</w:t>
            </w:r>
          </w:p>
        </w:tc>
        <w:tc>
          <w:tcPr>
            <w:tcW w:w="5987" w:type="dxa"/>
            <w:vAlign w:val="center"/>
          </w:tcPr>
          <w:p w14:paraId="76E47D25">
            <w:pPr>
              <w:pStyle w:val="47"/>
              <w:snapToGrid w:val="0"/>
              <w:spacing w:before="0" w:beforeAutospacing="0"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1.制定选矿厂、生活区及库区土地复垦计划，其内容包括利用土地的方式、复垦方法，且与生产建设统一规划。</w:t>
            </w:r>
          </w:p>
          <w:p w14:paraId="52C5C997">
            <w:pPr>
              <w:pStyle w:val="47"/>
              <w:snapToGrid w:val="0"/>
              <w:spacing w:before="0" w:beforeAutospacing="0"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
                <w:sz w:val="21"/>
                <w:szCs w:val="21"/>
                <w:highlight w:val="none"/>
              </w:rPr>
              <w:t>2．尾矿库服务期满后开展闭矿设计，闭矿后根据当地原地貌情况，尽可能</w:t>
            </w:r>
            <w:r>
              <w:rPr>
                <w:rFonts w:hint="eastAsia" w:cs="Times New Roman"/>
                <w:color w:val="auto"/>
                <w:spacing w:val="-2"/>
                <w:sz w:val="21"/>
                <w:szCs w:val="21"/>
                <w:highlight w:val="none"/>
                <w:lang w:eastAsia="zh-CN"/>
              </w:rPr>
              <w:t>地</w:t>
            </w:r>
            <w:r>
              <w:rPr>
                <w:rFonts w:hint="default" w:ascii="Times New Roman" w:hAnsi="Times New Roman" w:cs="Times New Roman"/>
                <w:color w:val="auto"/>
                <w:spacing w:val="-2"/>
                <w:sz w:val="21"/>
                <w:szCs w:val="21"/>
                <w:highlight w:val="none"/>
              </w:rPr>
              <w:t>覆土植草，植物种类选用当地草种，尽量使尾矿库闭矿后地貌与周边环境相协调。</w:t>
            </w:r>
          </w:p>
        </w:tc>
        <w:tc>
          <w:tcPr>
            <w:tcW w:w="1010" w:type="dxa"/>
            <w:vAlign w:val="center"/>
          </w:tcPr>
          <w:p w14:paraId="3ED5E049">
            <w:pPr>
              <w:pStyle w:val="47"/>
              <w:snapToGrid w:val="0"/>
              <w:spacing w:before="0" w:beforeAutospacing="0" w:line="360" w:lineRule="exact"/>
              <w:ind w:firstLine="0" w:firstLineChars="0"/>
              <w:jc w:val="center"/>
              <w:rPr>
                <w:rFonts w:hint="default" w:ascii="Times New Roman" w:hAnsi="Times New Roman" w:cs="Times New Roman"/>
                <w:color w:val="auto"/>
                <w:spacing w:val="-1"/>
                <w:sz w:val="21"/>
                <w:szCs w:val="21"/>
                <w:highlight w:val="none"/>
              </w:rPr>
            </w:pPr>
            <w:r>
              <w:rPr>
                <w:rFonts w:hint="default" w:ascii="Times New Roman" w:hAnsi="Times New Roman" w:cs="Times New Roman"/>
                <w:color w:val="auto"/>
                <w:spacing w:val="-1"/>
                <w:sz w:val="21"/>
                <w:szCs w:val="21"/>
                <w:highlight w:val="none"/>
              </w:rPr>
              <w:t>生产单位</w:t>
            </w:r>
          </w:p>
          <w:p w14:paraId="5D8BF5DF">
            <w:pPr>
              <w:pStyle w:val="47"/>
              <w:snapToGrid w:val="0"/>
              <w:spacing w:before="0" w:beforeAutospacing="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负责</w:t>
            </w:r>
          </w:p>
        </w:tc>
      </w:tr>
    </w:tbl>
    <w:p w14:paraId="0EB2D24A">
      <w:pPr>
        <w:pStyle w:val="43"/>
        <w:overflowPunct w:val="0"/>
        <w:topLinePunct/>
        <w:spacing w:line="480" w:lineRule="exact"/>
        <w:ind w:firstLine="480"/>
        <w:rPr>
          <w:rFonts w:hint="default" w:ascii="Times New Roman" w:hAnsi="Times New Roman" w:cs="Times New Roman"/>
          <w:color w:val="auto"/>
          <w:szCs w:val="24"/>
          <w:highlight w:val="none"/>
        </w:rPr>
      </w:pPr>
    </w:p>
    <w:p w14:paraId="40048DC7">
      <w:pPr>
        <w:pStyle w:val="43"/>
        <w:ind w:firstLine="480"/>
        <w:rPr>
          <w:rFonts w:hint="default" w:ascii="Times New Roman" w:hAnsi="Times New Roman" w:cs="Times New Roman"/>
          <w:color w:val="auto"/>
          <w:szCs w:val="24"/>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E671E7E">
      <w:pPr>
        <w:pStyle w:val="2"/>
        <w:spacing w:line="720" w:lineRule="exact"/>
        <w:rPr>
          <w:rFonts w:hint="default" w:ascii="Times New Roman" w:hAnsi="Times New Roman" w:cs="Times New Roman"/>
          <w:color w:val="auto"/>
          <w:highlight w:val="none"/>
        </w:rPr>
      </w:pPr>
      <w:bookmarkStart w:id="825" w:name="_Toc27674"/>
      <w:bookmarkStart w:id="826" w:name="_Toc107414671"/>
      <w:bookmarkStart w:id="827" w:name="_Toc28922"/>
      <w:bookmarkStart w:id="828" w:name="_Toc28259"/>
      <w:bookmarkStart w:id="829" w:name="_Toc11356"/>
      <w:bookmarkStart w:id="830" w:name="_Toc107413904"/>
      <w:bookmarkStart w:id="831" w:name="_Toc5354"/>
      <w:r>
        <w:rPr>
          <w:rFonts w:hint="default" w:ascii="Times New Roman" w:hAnsi="Times New Roman" w:cs="Times New Roman"/>
          <w:color w:val="auto"/>
          <w:highlight w:val="none"/>
        </w:rPr>
        <w:t>7环境影响经济损益分析</w:t>
      </w:r>
      <w:bookmarkEnd w:id="825"/>
      <w:bookmarkEnd w:id="826"/>
      <w:bookmarkEnd w:id="827"/>
      <w:bookmarkEnd w:id="828"/>
      <w:bookmarkEnd w:id="829"/>
      <w:bookmarkEnd w:id="830"/>
      <w:bookmarkEnd w:id="831"/>
    </w:p>
    <w:p w14:paraId="04C93AEA">
      <w:pPr>
        <w:overflowPunct w:val="0"/>
        <w:topLinePunct/>
        <w:spacing w:line="480" w:lineRule="atLeast"/>
        <w:ind w:firstLine="480"/>
        <w:rPr>
          <w:rFonts w:hint="default" w:ascii="Times New Roman" w:hAnsi="Times New Roman" w:cs="Times New Roman"/>
          <w:color w:val="auto"/>
          <w:highlight w:val="none"/>
        </w:rPr>
      </w:pPr>
      <w:bookmarkStart w:id="832" w:name="_Toc426642706"/>
      <w:bookmarkStart w:id="833" w:name="_Toc447541234"/>
      <w:bookmarkStart w:id="834" w:name="_Toc446160746"/>
      <w:bookmarkStart w:id="835" w:name="_Toc18124"/>
      <w:r>
        <w:rPr>
          <w:rFonts w:hint="default" w:ascii="Times New Roman" w:hAnsi="Times New Roman" w:cs="Times New Roman"/>
          <w:color w:val="auto"/>
          <w:highlight w:val="none"/>
        </w:rPr>
        <w:t>环境影响经济损益分析主要是衡量项目的</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"http://www.51ehs.com/anhuanguanli/" </w:instrText>
      </w:r>
      <w:r>
        <w:rPr>
          <w:rFonts w:hint="default" w:ascii="Times New Roman" w:hAnsi="Times New Roman" w:cs="Times New Roman"/>
          <w:color w:val="auto"/>
          <w:highlight w:val="none"/>
        </w:rPr>
        <w:fldChar w:fldCharType="separate"/>
      </w:r>
      <w:r>
        <w:rPr>
          <w:rStyle w:val="39"/>
          <w:rFonts w:hint="default" w:ascii="Times New Roman" w:hAnsi="Times New Roman" w:cs="Times New Roman"/>
          <w:color w:val="auto"/>
          <w:highlight w:val="none"/>
          <w:u w:val="none"/>
        </w:rPr>
        <w:t>环保</w:t>
      </w:r>
      <w:r>
        <w:rPr>
          <w:rStyle w:val="39"/>
          <w:rFonts w:hint="default" w:ascii="Times New Roman" w:hAnsi="Times New Roman" w:cs="Times New Roman"/>
          <w:color w:val="auto"/>
          <w:highlight w:val="none"/>
          <w:u w:val="none"/>
        </w:rPr>
        <w:fldChar w:fldCharType="end"/>
      </w:r>
      <w:r>
        <w:rPr>
          <w:rFonts w:hint="default" w:ascii="Times New Roman" w:hAnsi="Times New Roman" w:cs="Times New Roman"/>
          <w:color w:val="auto"/>
          <w:highlight w:val="none"/>
        </w:rPr>
        <w:t>投资所能</w:t>
      </w:r>
      <w:r>
        <w:rPr>
          <w:rFonts w:hint="eastAsia" w:cs="Times New Roman"/>
          <w:color w:val="auto"/>
          <w:highlight w:val="none"/>
          <w:lang w:eastAsia="zh-CN"/>
        </w:rPr>
        <w:t>受到</w:t>
      </w:r>
      <w:r>
        <w:rPr>
          <w:rFonts w:hint="default" w:ascii="Times New Roman" w:hAnsi="Times New Roman" w:cs="Times New Roman"/>
          <w:color w:val="auto"/>
          <w:highlight w:val="none"/>
        </w:rPr>
        <w:t>的环境效益和经济效益，建设项目应力争达到社会效益、环境效益、经济效益的统一，这样才能符合可持续发展的要求，实现经济</w:t>
      </w:r>
      <w:r>
        <w:rPr>
          <w:rFonts w:hint="eastAsia" w:cs="Times New Roman"/>
          <w:color w:val="auto"/>
          <w:highlight w:val="none"/>
          <w:lang w:eastAsia="zh-CN"/>
        </w:rPr>
        <w:t>的可</w:t>
      </w:r>
      <w:r>
        <w:rPr>
          <w:rFonts w:hint="default" w:ascii="Times New Roman" w:hAnsi="Times New Roman" w:cs="Times New Roman"/>
          <w:color w:val="auto"/>
          <w:highlight w:val="none"/>
        </w:rPr>
        <w:t>持续发展和环境质量的不断改善。</w:t>
      </w:r>
    </w:p>
    <w:p w14:paraId="0E844A2E">
      <w:pPr>
        <w:pStyle w:val="3"/>
        <w:rPr>
          <w:rFonts w:hint="default" w:ascii="Times New Roman" w:hAnsi="Times New Roman" w:cs="Times New Roman" w:eastAsiaTheme="minorEastAsia"/>
          <w:color w:val="auto"/>
          <w:highlight w:val="none"/>
        </w:rPr>
      </w:pPr>
      <w:bookmarkStart w:id="836" w:name="_Toc20588"/>
      <w:bookmarkStart w:id="837" w:name="_Toc107414672"/>
      <w:bookmarkStart w:id="838" w:name="_Toc13364"/>
      <w:bookmarkStart w:id="839" w:name="_Toc4693"/>
      <w:bookmarkStart w:id="840" w:name="_Toc107413905"/>
      <w:bookmarkStart w:id="841" w:name="_Toc4868"/>
      <w:bookmarkStart w:id="842" w:name="_Toc312"/>
      <w:bookmarkStart w:id="843" w:name="_Toc9141"/>
      <w:bookmarkStart w:id="844" w:name="_Toc27495"/>
      <w:r>
        <w:rPr>
          <w:rFonts w:hint="default" w:ascii="Times New Roman" w:hAnsi="Times New Roman" w:cs="Times New Roman" w:eastAsiaTheme="minorEastAsia"/>
          <w:color w:val="auto"/>
          <w:highlight w:val="none"/>
        </w:rPr>
        <w:t>7.1</w:t>
      </w:r>
      <w:bookmarkEnd w:id="832"/>
      <w:bookmarkEnd w:id="833"/>
      <w:bookmarkEnd w:id="834"/>
      <w:bookmarkEnd w:id="835"/>
      <w:r>
        <w:rPr>
          <w:rFonts w:hint="default" w:ascii="Times New Roman" w:hAnsi="Times New Roman" w:cs="Times New Roman" w:eastAsiaTheme="minorEastAsia"/>
          <w:color w:val="auto"/>
          <w:highlight w:val="none"/>
        </w:rPr>
        <w:t>经济效益分析</w:t>
      </w:r>
      <w:bookmarkEnd w:id="836"/>
      <w:bookmarkEnd w:id="837"/>
      <w:bookmarkEnd w:id="838"/>
      <w:bookmarkEnd w:id="839"/>
      <w:bookmarkEnd w:id="840"/>
      <w:bookmarkEnd w:id="841"/>
      <w:bookmarkEnd w:id="842"/>
      <w:bookmarkEnd w:id="843"/>
      <w:bookmarkEnd w:id="844"/>
    </w:p>
    <w:p w14:paraId="4CDCF465">
      <w:pPr>
        <w:pStyle w:val="4"/>
        <w:rPr>
          <w:rFonts w:hint="default" w:ascii="Times New Roman" w:hAnsi="Times New Roman" w:cs="Times New Roman"/>
          <w:color w:val="auto"/>
          <w:highlight w:val="none"/>
        </w:rPr>
      </w:pPr>
      <w:bookmarkStart w:id="845" w:name="_Toc23728"/>
      <w:bookmarkStart w:id="846" w:name="_Toc4865"/>
      <w:bookmarkStart w:id="847" w:name="_Toc20201"/>
      <w:bookmarkStart w:id="848" w:name="_Toc23259"/>
      <w:bookmarkStart w:id="849" w:name="_Toc365647381"/>
      <w:bookmarkStart w:id="850" w:name="_Toc12953"/>
      <w:bookmarkStart w:id="851" w:name="_Toc15786"/>
      <w:bookmarkStart w:id="852" w:name="_Toc426642707"/>
      <w:bookmarkStart w:id="853" w:name="_Toc447541235"/>
      <w:bookmarkStart w:id="854" w:name="_Toc446160747"/>
      <w:bookmarkStart w:id="855" w:name="_Toc29130"/>
      <w:bookmarkStart w:id="856" w:name="_Toc355784248"/>
      <w:r>
        <w:rPr>
          <w:rFonts w:hint="default" w:ascii="Times New Roman" w:hAnsi="Times New Roman" w:cs="Times New Roman"/>
          <w:color w:val="auto"/>
          <w:highlight w:val="none"/>
        </w:rPr>
        <w:t>7.1.1损益估算</w:t>
      </w:r>
      <w:bookmarkEnd w:id="845"/>
      <w:bookmarkEnd w:id="846"/>
      <w:bookmarkEnd w:id="847"/>
    </w:p>
    <w:p w14:paraId="4BA96DE3">
      <w:pPr>
        <w:widowControl/>
        <w:overflowPunct w:val="0"/>
        <w:topLinePunct/>
        <w:spacing w:line="480" w:lineRule="atLeas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1、产品方案</w:t>
      </w:r>
    </w:p>
    <w:p w14:paraId="09672527">
      <w:pPr>
        <w:widowControl/>
        <w:overflowPunct w:val="0"/>
        <w:topLinePunct/>
        <w:spacing w:line="480" w:lineRule="atLeas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项目的最终产品方案为</w:t>
      </w:r>
      <w:r>
        <w:rPr>
          <w:rFonts w:hint="default" w:ascii="Times New Roman" w:hAnsi="Times New Roman" w:cs="Times New Roman"/>
          <w:color w:val="auto"/>
          <w:highlight w:val="none"/>
          <w:lang w:eastAsia="zh-CN"/>
        </w:rPr>
        <w:t>萤石</w:t>
      </w:r>
      <w:r>
        <w:rPr>
          <w:rFonts w:hint="default" w:ascii="Times New Roman" w:hAnsi="Times New Roman" w:cs="Times New Roman"/>
          <w:color w:val="auto"/>
          <w:highlight w:val="none"/>
        </w:rPr>
        <w:t>精矿。</w:t>
      </w:r>
    </w:p>
    <w:p w14:paraId="3DECE7E6">
      <w:pPr>
        <w:widowControl/>
        <w:overflowPunct w:val="0"/>
        <w:topLinePunct/>
        <w:spacing w:line="480" w:lineRule="atLeas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2、产品销售</w:t>
      </w:r>
    </w:p>
    <w:p w14:paraId="746F00C3">
      <w:pPr>
        <w:widowControl/>
        <w:overflowPunct w:val="0"/>
        <w:topLinePunct/>
        <w:spacing w:line="480" w:lineRule="atLeas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项目每年生产</w:t>
      </w:r>
      <w:r>
        <w:rPr>
          <w:rFonts w:hint="default" w:ascii="Times New Roman" w:hAnsi="Times New Roman" w:cs="Times New Roman"/>
          <w:color w:val="auto"/>
          <w:highlight w:val="none"/>
          <w:lang w:eastAsia="zh-CN"/>
        </w:rPr>
        <w:t>萤石</w:t>
      </w:r>
      <w:r>
        <w:rPr>
          <w:rFonts w:hint="default" w:ascii="Times New Roman" w:hAnsi="Times New Roman" w:cs="Times New Roman"/>
          <w:color w:val="auto"/>
          <w:highlight w:val="none"/>
        </w:rPr>
        <w:t>精矿主要销往新疆</w:t>
      </w:r>
      <w:r>
        <w:rPr>
          <w:rFonts w:hint="default" w:ascii="Times New Roman" w:hAnsi="Times New Roman" w:cs="Times New Roman"/>
          <w:color w:val="auto"/>
          <w:highlight w:val="none"/>
          <w:lang w:eastAsia="zh-CN"/>
        </w:rPr>
        <w:t>及外省</w:t>
      </w:r>
      <w:r>
        <w:rPr>
          <w:rFonts w:hint="default" w:ascii="Times New Roman" w:hAnsi="Times New Roman" w:cs="Times New Roman"/>
          <w:color w:val="auto"/>
          <w:highlight w:val="none"/>
        </w:rPr>
        <w:t>等地，受内外部环境及供需市场影响，区域内各客户需求量持续猛增，</w:t>
      </w:r>
      <w:r>
        <w:rPr>
          <w:rFonts w:hint="default" w:ascii="Times New Roman" w:hAnsi="Times New Roman" w:cs="Times New Roman"/>
          <w:color w:val="auto"/>
          <w:highlight w:val="none"/>
          <w:lang w:val="en-US" w:eastAsia="zh-CN"/>
        </w:rPr>
        <w:t>萤石矿</w:t>
      </w:r>
      <w:r>
        <w:rPr>
          <w:rFonts w:hint="default" w:ascii="Times New Roman" w:hAnsi="Times New Roman" w:cs="Times New Roman"/>
          <w:color w:val="auto"/>
          <w:highlight w:val="none"/>
        </w:rPr>
        <w:t>市场</w:t>
      </w:r>
      <w:r>
        <w:rPr>
          <w:rFonts w:hint="eastAsia" w:cs="Times New Roman"/>
          <w:color w:val="auto"/>
          <w:highlight w:val="none"/>
          <w:lang w:eastAsia="zh-CN"/>
        </w:rPr>
        <w:t>处于</w:t>
      </w:r>
      <w:r>
        <w:rPr>
          <w:rFonts w:hint="default" w:ascii="Times New Roman" w:hAnsi="Times New Roman" w:cs="Times New Roman"/>
          <w:color w:val="auto"/>
          <w:highlight w:val="none"/>
        </w:rPr>
        <w:t>供不应求状态，且</w:t>
      </w:r>
      <w:r>
        <w:rPr>
          <w:rFonts w:hint="default" w:ascii="Times New Roman" w:hAnsi="Times New Roman" w:cs="Times New Roman"/>
          <w:color w:val="auto"/>
          <w:highlight w:val="none"/>
          <w:lang w:val="en-US" w:eastAsia="zh-CN"/>
        </w:rPr>
        <w:t>萤石矿</w:t>
      </w:r>
      <w:r>
        <w:rPr>
          <w:rFonts w:hint="default" w:ascii="Times New Roman" w:hAnsi="Times New Roman" w:cs="Times New Roman"/>
          <w:color w:val="auto"/>
          <w:highlight w:val="none"/>
        </w:rPr>
        <w:t>价格上涨趋势坚挺。</w:t>
      </w:r>
    </w:p>
    <w:p w14:paraId="38794A0A">
      <w:pPr>
        <w:widowControl/>
        <w:overflowPunct w:val="0"/>
        <w:topLinePunct/>
        <w:spacing w:line="480" w:lineRule="atLeas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3、产品销售价格</w:t>
      </w:r>
    </w:p>
    <w:p w14:paraId="292A75EF">
      <w:pPr>
        <w:widowControl/>
        <w:overflowPunct w:val="0"/>
        <w:topLinePunct/>
        <w:spacing w:line="480" w:lineRule="atLeas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val="en-US" w:eastAsia="zh-CN"/>
        </w:rPr>
        <w:t>萤石矿</w:t>
      </w:r>
      <w:r>
        <w:rPr>
          <w:rFonts w:hint="default" w:ascii="Times New Roman" w:hAnsi="Times New Roman" w:cs="Times New Roman"/>
          <w:color w:val="auto"/>
          <w:highlight w:val="none"/>
        </w:rPr>
        <w:t>价格</w:t>
      </w:r>
      <w:r>
        <w:rPr>
          <w:rFonts w:hint="eastAsia" w:cs="Times New Roman"/>
          <w:color w:val="auto"/>
          <w:highlight w:val="none"/>
          <w:lang w:eastAsia="zh-CN"/>
        </w:rPr>
        <w:t>由</w:t>
      </w:r>
      <w:r>
        <w:rPr>
          <w:rFonts w:hint="default" w:ascii="Times New Roman" w:hAnsi="Times New Roman" w:cs="Times New Roman"/>
          <w:color w:val="auto"/>
          <w:highlight w:val="none"/>
        </w:rPr>
        <w:t>业主提供近三年销售均价选取，按</w:t>
      </w:r>
      <w:r>
        <w:rPr>
          <w:rFonts w:hint="default" w:ascii="Times New Roman" w:hAnsi="Times New Roman" w:cs="Times New Roman"/>
          <w:color w:val="auto"/>
          <w:highlight w:val="none"/>
          <w:lang w:val="en-US" w:eastAsia="zh-CN"/>
        </w:rPr>
        <w:t>2831.86</w:t>
      </w:r>
      <w:r>
        <w:rPr>
          <w:rFonts w:hint="default" w:ascii="Times New Roman" w:hAnsi="Times New Roman" w:cs="Times New Roman"/>
          <w:color w:val="auto"/>
          <w:highlight w:val="none"/>
        </w:rPr>
        <w:t>元/t（不含税，出厂价）计算。</w:t>
      </w:r>
    </w:p>
    <w:p w14:paraId="69050D62">
      <w:pPr>
        <w:widowControl/>
        <w:overflowPunct w:val="0"/>
        <w:topLinePunct/>
        <w:spacing w:line="480" w:lineRule="atLeas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4、销售收入</w:t>
      </w:r>
    </w:p>
    <w:p w14:paraId="236614A8">
      <w:pPr>
        <w:widowControl/>
        <w:overflowPunct w:val="0"/>
        <w:topLinePunct/>
        <w:spacing w:line="480" w:lineRule="atLeas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项目达产年平均销售收入</w:t>
      </w:r>
      <w:r>
        <w:rPr>
          <w:rFonts w:hint="default" w:ascii="Times New Roman" w:hAnsi="Times New Roman" w:cs="Times New Roman"/>
          <w:color w:val="auto"/>
          <w:highlight w:val="none"/>
          <w:lang w:val="en-US" w:eastAsia="zh-CN"/>
        </w:rPr>
        <w:t>37890.27</w:t>
      </w:r>
      <w:r>
        <w:rPr>
          <w:rFonts w:hint="default" w:ascii="Times New Roman" w:hAnsi="Times New Roman" w:cs="Times New Roman"/>
          <w:color w:val="auto"/>
          <w:highlight w:val="none"/>
        </w:rPr>
        <w:t>万元。</w:t>
      </w:r>
    </w:p>
    <w:p w14:paraId="4BA7E37C">
      <w:pPr>
        <w:widowControl/>
        <w:overflowPunct w:val="0"/>
        <w:topLinePunct/>
        <w:spacing w:line="480" w:lineRule="atLeas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5、利润总额</w:t>
      </w:r>
    </w:p>
    <w:p w14:paraId="6F277F14">
      <w:pPr>
        <w:widowControl/>
        <w:overflowPunct w:val="0"/>
        <w:topLinePunct/>
        <w:spacing w:line="480" w:lineRule="atLeas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年均利润总额：4967.78万元</w:t>
      </w:r>
    </w:p>
    <w:p w14:paraId="70798A62">
      <w:pPr>
        <w:widowControl/>
        <w:overflowPunct w:val="0"/>
        <w:topLinePunct/>
        <w:spacing w:line="480" w:lineRule="atLeas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年均所得税：1241.94万元</w:t>
      </w:r>
    </w:p>
    <w:p w14:paraId="549CADE8">
      <w:pPr>
        <w:widowControl/>
        <w:overflowPunct w:val="0"/>
        <w:topLinePunct/>
        <w:spacing w:line="480" w:lineRule="atLeas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年均净利润：3725.83万元</w:t>
      </w:r>
    </w:p>
    <w:p w14:paraId="6018E07D">
      <w:pPr>
        <w:widowControl/>
        <w:overflowPunct w:val="0"/>
        <w:topLinePunct/>
        <w:spacing w:line="480" w:lineRule="atLeas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总投资收益率：30.85%</w:t>
      </w:r>
    </w:p>
    <w:p w14:paraId="42E1BEBE">
      <w:pPr>
        <w:pStyle w:val="4"/>
        <w:rPr>
          <w:rFonts w:hint="default" w:ascii="Times New Roman" w:hAnsi="Times New Roman" w:cs="Times New Roman"/>
          <w:color w:val="auto"/>
          <w:highlight w:val="none"/>
        </w:rPr>
      </w:pPr>
      <w:bookmarkStart w:id="857" w:name="_Toc2763"/>
      <w:bookmarkStart w:id="858" w:name="_Toc12545"/>
      <w:bookmarkStart w:id="859" w:name="_Toc10114"/>
      <w:r>
        <w:rPr>
          <w:rFonts w:hint="default" w:ascii="Times New Roman" w:hAnsi="Times New Roman" w:cs="Times New Roman"/>
          <w:color w:val="auto"/>
          <w:highlight w:val="none"/>
        </w:rPr>
        <w:t>7.1.2建设投资</w:t>
      </w:r>
      <w:bookmarkEnd w:id="857"/>
      <w:bookmarkEnd w:id="858"/>
      <w:bookmarkEnd w:id="859"/>
    </w:p>
    <w:p w14:paraId="15DB678F">
      <w:pPr>
        <w:pStyle w:val="55"/>
        <w:overflowPunct w:val="0"/>
        <w:topLinePunct/>
        <w:snapToGrid w:val="0"/>
        <w:spacing w:line="480" w:lineRule="atLeast"/>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本项目总投资为</w:t>
      </w:r>
      <w:r>
        <w:rPr>
          <w:rFonts w:hint="default" w:ascii="Times New Roman" w:hAnsi="Times New Roman" w:cs="Times New Roman"/>
          <w:color w:val="auto"/>
          <w:highlight w:val="none"/>
          <w:lang w:val="en-US" w:eastAsia="zh-CN"/>
        </w:rPr>
        <w:t>17672.96</w:t>
      </w:r>
      <w:r>
        <w:rPr>
          <w:rFonts w:hint="default" w:ascii="Times New Roman" w:hAnsi="Times New Roman" w:cs="Times New Roman"/>
          <w:color w:val="auto"/>
          <w:highlight w:val="none"/>
        </w:rPr>
        <w:t>万元，其中：工程费用</w:t>
      </w:r>
      <w:r>
        <w:rPr>
          <w:rFonts w:hint="default" w:ascii="Times New Roman" w:hAnsi="Times New Roman" w:cs="Times New Roman"/>
          <w:color w:val="auto"/>
          <w:highlight w:val="none"/>
          <w:lang w:val="en-US" w:eastAsia="zh-CN"/>
        </w:rPr>
        <w:t>11576.15</w:t>
      </w:r>
      <w:r>
        <w:rPr>
          <w:rFonts w:hint="default" w:ascii="Times New Roman" w:hAnsi="Times New Roman" w:cs="Times New Roman"/>
          <w:color w:val="auto"/>
          <w:highlight w:val="none"/>
        </w:rPr>
        <w:t>万元，工程建设其他费用</w:t>
      </w:r>
      <w:r>
        <w:rPr>
          <w:rFonts w:hint="default" w:ascii="Times New Roman" w:hAnsi="Times New Roman" w:cs="Times New Roman"/>
          <w:color w:val="auto"/>
          <w:highlight w:val="none"/>
          <w:lang w:val="en-US" w:eastAsia="zh-CN"/>
        </w:rPr>
        <w:t>2327.34</w:t>
      </w:r>
      <w:r>
        <w:rPr>
          <w:rFonts w:hint="default" w:ascii="Times New Roman" w:hAnsi="Times New Roman" w:cs="Times New Roman"/>
          <w:color w:val="auto"/>
          <w:highlight w:val="none"/>
        </w:rPr>
        <w:t>万元，预备费</w:t>
      </w:r>
      <w:r>
        <w:rPr>
          <w:rFonts w:hint="default" w:ascii="Times New Roman" w:hAnsi="Times New Roman" w:cs="Times New Roman"/>
          <w:color w:val="auto"/>
          <w:highlight w:val="none"/>
          <w:lang w:val="en-US" w:eastAsia="zh-CN"/>
        </w:rPr>
        <w:t>3769.47</w:t>
      </w:r>
      <w:r>
        <w:rPr>
          <w:rFonts w:hint="default" w:ascii="Times New Roman" w:hAnsi="Times New Roman" w:cs="Times New Roman"/>
          <w:color w:val="auto"/>
          <w:highlight w:val="none"/>
        </w:rPr>
        <w:t>万元。均为企业自筹。</w:t>
      </w:r>
    </w:p>
    <w:p w14:paraId="57728AE9">
      <w:pPr>
        <w:pStyle w:val="98"/>
        <w:overflowPunct w:val="0"/>
        <w:topLinePunct/>
        <w:spacing w:beforeLines="0" w:line="480" w:lineRule="atLeast"/>
        <w:ind w:firstLine="480"/>
        <w:rPr>
          <w:rFonts w:hint="default" w:ascii="Times New Roman" w:hAnsi="Times New Roman" w:cs="Times New Roman"/>
          <w:color w:val="auto"/>
          <w:highlight w:val="none"/>
        </w:rPr>
      </w:pPr>
      <w:bookmarkStart w:id="860" w:name="_Toc26224"/>
      <w:bookmarkStart w:id="861" w:name="_Toc14827"/>
      <w:bookmarkStart w:id="862" w:name="_Toc16399"/>
      <w:r>
        <w:rPr>
          <w:rFonts w:hint="default" w:ascii="Times New Roman" w:hAnsi="Times New Roman" w:cs="Times New Roman"/>
          <w:color w:val="auto"/>
          <w:highlight w:val="none"/>
        </w:rPr>
        <w:t>所得税前投资回收期</w:t>
      </w:r>
      <w:r>
        <w:rPr>
          <w:rFonts w:hint="eastAsia" w:cs="Times New Roman"/>
          <w:color w:val="auto"/>
          <w:highlight w:val="none"/>
          <w:lang w:val="en-US" w:eastAsia="zh-CN"/>
        </w:rPr>
        <w:t>3.95</w:t>
      </w:r>
      <w:r>
        <w:rPr>
          <w:rFonts w:hint="default" w:ascii="Times New Roman" w:hAnsi="Times New Roman" w:cs="Times New Roman"/>
          <w:color w:val="auto"/>
          <w:highlight w:val="none"/>
        </w:rPr>
        <w:t>年，所得税后投资回收期为</w:t>
      </w:r>
      <w:r>
        <w:rPr>
          <w:rFonts w:hint="eastAsia" w:cs="Times New Roman"/>
          <w:color w:val="auto"/>
          <w:highlight w:val="none"/>
          <w:lang w:val="en-US" w:eastAsia="zh-CN"/>
        </w:rPr>
        <w:t>4.73</w:t>
      </w:r>
      <w:r>
        <w:rPr>
          <w:rFonts w:hint="default" w:ascii="Times New Roman" w:hAnsi="Times New Roman" w:cs="Times New Roman"/>
          <w:color w:val="auto"/>
          <w:highlight w:val="none"/>
        </w:rPr>
        <w:t>年，含建设期</w:t>
      </w:r>
      <w:r>
        <w:rPr>
          <w:rFonts w:hint="eastAsia" w:cs="Times New Roman"/>
          <w:color w:val="auto"/>
          <w:highlight w:val="none"/>
          <w:lang w:val="en-US" w:eastAsia="zh-CN"/>
        </w:rPr>
        <w:t>一年</w:t>
      </w:r>
      <w:r>
        <w:rPr>
          <w:rFonts w:hint="default" w:ascii="Times New Roman" w:hAnsi="Times New Roman" w:cs="Times New Roman"/>
          <w:color w:val="auto"/>
          <w:highlight w:val="none"/>
        </w:rPr>
        <w:t>。</w:t>
      </w:r>
    </w:p>
    <w:p w14:paraId="4C94256E">
      <w:pPr>
        <w:pStyle w:val="3"/>
        <w:rPr>
          <w:rFonts w:hint="default" w:ascii="Times New Roman" w:hAnsi="Times New Roman" w:cs="Times New Roman" w:eastAsiaTheme="minorEastAsia"/>
          <w:color w:val="auto"/>
          <w:highlight w:val="none"/>
        </w:rPr>
      </w:pPr>
      <w:bookmarkStart w:id="863" w:name="_Toc29176"/>
      <w:bookmarkStart w:id="864" w:name="_Toc20385"/>
      <w:bookmarkStart w:id="865" w:name="_Toc107414673"/>
      <w:bookmarkStart w:id="866" w:name="_Toc19151"/>
      <w:bookmarkStart w:id="867" w:name="_Toc107413906"/>
      <w:bookmarkStart w:id="868" w:name="_Toc22850"/>
      <w:r>
        <w:rPr>
          <w:rFonts w:hint="default" w:ascii="Times New Roman" w:hAnsi="Times New Roman" w:cs="Times New Roman" w:eastAsiaTheme="minorEastAsia"/>
          <w:color w:val="auto"/>
          <w:highlight w:val="none"/>
        </w:rPr>
        <w:t>7.2社会效益分析</w:t>
      </w:r>
      <w:bookmarkEnd w:id="860"/>
      <w:bookmarkEnd w:id="861"/>
      <w:bookmarkEnd w:id="862"/>
      <w:bookmarkEnd w:id="863"/>
      <w:bookmarkEnd w:id="864"/>
      <w:bookmarkEnd w:id="865"/>
      <w:bookmarkEnd w:id="866"/>
      <w:bookmarkEnd w:id="867"/>
      <w:bookmarkEnd w:id="868"/>
    </w:p>
    <w:p w14:paraId="6BBFE2AD">
      <w:pPr>
        <w:widowControl/>
        <w:overflowPunct w:val="0"/>
        <w:topLinePunct/>
        <w:spacing w:line="480" w:lineRule="atLeast"/>
        <w:ind w:firstLine="480"/>
        <w:rPr>
          <w:rFonts w:hint="default" w:ascii="Times New Roman" w:hAnsi="Times New Roman" w:cs="Times New Roman"/>
          <w:color w:val="auto"/>
          <w:highlight w:val="none"/>
        </w:rPr>
      </w:pPr>
      <w:bookmarkStart w:id="869" w:name="_Toc17476"/>
      <w:bookmarkStart w:id="870" w:name="_Toc19156"/>
      <w:r>
        <w:rPr>
          <w:rFonts w:hint="default" w:ascii="Times New Roman" w:hAnsi="Times New Roman" w:cs="Times New Roman"/>
          <w:color w:val="auto"/>
          <w:highlight w:val="none"/>
        </w:rPr>
        <w:t>本项目实施有利于促进当地</w:t>
      </w:r>
      <w:r>
        <w:rPr>
          <w:rFonts w:hint="default" w:ascii="Times New Roman" w:hAnsi="Times New Roman" w:cs="Times New Roman"/>
          <w:color w:val="auto"/>
          <w:highlight w:val="none"/>
          <w:lang w:val="en-US" w:eastAsia="zh-CN"/>
        </w:rPr>
        <w:t>萤石矿</w:t>
      </w:r>
      <w:r>
        <w:rPr>
          <w:rFonts w:hint="default" w:ascii="Times New Roman" w:hAnsi="Times New Roman" w:cs="Times New Roman"/>
          <w:color w:val="auto"/>
          <w:highlight w:val="none"/>
        </w:rPr>
        <w:t>采掘行业的快速发展，可有效缓解当地市场压力，有利于市场竞争，并可带动当地相关产业发展，为当地下游行业提供发展机遇，可扩大当地相关产品消费市场，创造较大经济效益同时在一定程度上增加区域经济竞争力，促进当地社会可持续发展。</w:t>
      </w:r>
    </w:p>
    <w:p w14:paraId="6155FB11">
      <w:pPr>
        <w:widowControl/>
        <w:overflowPunct w:val="0"/>
        <w:topLinePunct/>
        <w:spacing w:line="480" w:lineRule="atLeas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综上所述，本项目具有良好社会效益。</w:t>
      </w:r>
    </w:p>
    <w:p w14:paraId="7740B665">
      <w:pPr>
        <w:pStyle w:val="3"/>
        <w:rPr>
          <w:rFonts w:hint="default" w:ascii="Times New Roman" w:hAnsi="Times New Roman" w:cs="Times New Roman" w:eastAsiaTheme="minorEastAsia"/>
          <w:color w:val="auto"/>
          <w:highlight w:val="none"/>
        </w:rPr>
      </w:pPr>
      <w:bookmarkStart w:id="871" w:name="_Toc1362"/>
      <w:bookmarkStart w:id="872" w:name="_Toc16313"/>
      <w:bookmarkStart w:id="873" w:name="_Toc107413907"/>
      <w:bookmarkStart w:id="874" w:name="_Toc28572"/>
      <w:bookmarkStart w:id="875" w:name="_Toc14552"/>
      <w:bookmarkStart w:id="876" w:name="_Toc9249"/>
      <w:bookmarkStart w:id="877" w:name="_Toc107414674"/>
      <w:r>
        <w:rPr>
          <w:rFonts w:hint="default" w:ascii="Times New Roman" w:hAnsi="Times New Roman" w:cs="Times New Roman" w:eastAsiaTheme="minorEastAsia"/>
          <w:color w:val="auto"/>
          <w:highlight w:val="none"/>
        </w:rPr>
        <w:t>7.3环境效益分析</w:t>
      </w:r>
      <w:bookmarkEnd w:id="869"/>
      <w:bookmarkEnd w:id="870"/>
      <w:bookmarkEnd w:id="871"/>
      <w:bookmarkEnd w:id="872"/>
      <w:bookmarkEnd w:id="873"/>
      <w:bookmarkEnd w:id="874"/>
      <w:bookmarkEnd w:id="875"/>
      <w:bookmarkEnd w:id="876"/>
      <w:bookmarkEnd w:id="877"/>
    </w:p>
    <w:p w14:paraId="77DA8CFE">
      <w:pPr>
        <w:widowControl/>
        <w:overflowPunct w:val="0"/>
        <w:topLinePunct/>
        <w:spacing w:line="480" w:lineRule="atLeas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环境效益集中体现在对生产中污染物的排放控制、资源的集中合理利用以及废物再利用，不仅可以减少企业在能源方面的投入，更重要的是使原本分散、未经任何处理的污染物得到了综合利用，并且实现达标排放。</w:t>
      </w:r>
    </w:p>
    <w:p w14:paraId="2F9BD67C">
      <w:pPr>
        <w:widowControl/>
        <w:overflowPunct w:val="0"/>
        <w:topLinePunct/>
        <w:spacing w:line="480" w:lineRule="atLeas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default" w:ascii="Times New Roman" w:hAnsi="Times New Roman" w:cs="Times New Roman"/>
          <w:color w:val="auto"/>
          <w:kern w:val="0"/>
          <w:szCs w:val="28"/>
          <w:highlight w:val="none"/>
        </w:rPr>
        <w:t>秉承绿色、高质量发展的宗旨，以建设矿业领域生态文明为目标，做到资源开发与环境保护相互协调，促进经济社会可持续发展。</w:t>
      </w:r>
      <w:r>
        <w:rPr>
          <w:rFonts w:hint="default" w:ascii="Times New Roman" w:hAnsi="Times New Roman" w:cs="Times New Roman"/>
          <w:color w:val="auto"/>
          <w:highlight w:val="none"/>
        </w:rPr>
        <w:t>本项目在采用设计和环评提出的污染治理措施后，虽仍对区域环境产生一定的负面影响，但只要确保达标排放，其环境影响则可控制在允许范围之内。</w:t>
      </w:r>
    </w:p>
    <w:p w14:paraId="246DB773">
      <w:pPr>
        <w:overflowPunct w:val="0"/>
        <w:topLinePunct/>
        <w:spacing w:line="480" w:lineRule="atLeast"/>
        <w:ind w:firstLine="48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本项目环保设施包括废水、废气、固体废物、噪声防治等，其中废气、噪声部分和工艺治理相结合，其工程内容见表7.3-1</w:t>
      </w:r>
      <w:r>
        <w:rPr>
          <w:rFonts w:hint="default" w:ascii="Times New Roman" w:hAnsi="Times New Roman" w:cs="Times New Roman"/>
          <w:color w:val="auto"/>
          <w:highlight w:val="none"/>
          <w:lang w:eastAsia="zh-CN"/>
        </w:rPr>
        <w:t>。</w:t>
      </w:r>
    </w:p>
    <w:bookmarkEnd w:id="848"/>
    <w:bookmarkEnd w:id="849"/>
    <w:bookmarkEnd w:id="850"/>
    <w:bookmarkEnd w:id="851"/>
    <w:bookmarkEnd w:id="852"/>
    <w:bookmarkEnd w:id="853"/>
    <w:bookmarkEnd w:id="854"/>
    <w:bookmarkEnd w:id="855"/>
    <w:bookmarkEnd w:id="856"/>
    <w:p w14:paraId="399EFEDF">
      <w:pPr>
        <w:pStyle w:val="70"/>
        <w:spacing w:line="480" w:lineRule="exact"/>
        <w:ind w:right="0" w:rightChars="0" w:firstLine="0" w:firstLineChars="0"/>
        <w:jc w:val="center"/>
        <w:rPr>
          <w:rFonts w:hint="default" w:ascii="Times New Roman" w:hAnsi="Times New Roman" w:cs="Times New Roman"/>
          <w:b/>
          <w:bCs/>
          <w:color w:val="auto"/>
          <w:highlight w:val="none"/>
        </w:rPr>
      </w:pPr>
      <w:bookmarkStart w:id="878" w:name="_Toc426642711"/>
      <w:bookmarkStart w:id="879" w:name="_Toc390077140"/>
      <w:bookmarkStart w:id="880" w:name="_Toc446160751"/>
      <w:bookmarkStart w:id="881" w:name="_Toc447541239"/>
      <w:bookmarkStart w:id="882" w:name="_Toc11785"/>
      <w:bookmarkStart w:id="883" w:name="_Toc10410"/>
      <w:bookmarkStart w:id="884" w:name="_Toc12153"/>
      <w:r>
        <w:rPr>
          <w:rFonts w:hint="default" w:ascii="Times New Roman" w:hAnsi="Times New Roman" w:cs="Times New Roman"/>
          <w:b/>
          <w:bCs/>
          <w:color w:val="auto"/>
          <w:highlight w:val="none"/>
        </w:rPr>
        <w:t>表7.3-1    环保投资费用估算表</w:t>
      </w:r>
    </w:p>
    <w:tbl>
      <w:tblPr>
        <w:tblStyle w:val="3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1616"/>
        <w:gridCol w:w="4569"/>
        <w:gridCol w:w="1466"/>
      </w:tblGrid>
      <w:tr w14:paraId="6BD140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57" w:type="pct"/>
            <w:gridSpan w:val="2"/>
            <w:tcBorders>
              <w:tl2br w:val="nil"/>
              <w:tr2bl w:val="nil"/>
            </w:tcBorders>
            <w:vAlign w:val="center"/>
          </w:tcPr>
          <w:p w14:paraId="6C15B0A4">
            <w:pPr>
              <w:pStyle w:val="54"/>
              <w:widowControl w:val="0"/>
              <w:spacing w:after="0" w:line="360" w:lineRule="exact"/>
              <w:ind w:firstLine="0" w:firstLineChars="0"/>
              <w:outlineLvl w:val="9"/>
              <w:rPr>
                <w:rFonts w:hint="default" w:ascii="Times New Roman" w:hAnsi="Times New Roman" w:eastAsia="宋体" w:cs="Times New Roman"/>
                <w:color w:val="auto"/>
                <w:sz w:val="21"/>
                <w:highlight w:val="none"/>
                <w:lang w:eastAsia="zh-CN"/>
              </w:rPr>
            </w:pPr>
            <w:bookmarkStart w:id="885" w:name="_Toc8535"/>
            <w:bookmarkStart w:id="886" w:name="_Toc28771"/>
            <w:bookmarkStart w:id="887" w:name="_Toc30431"/>
            <w:r>
              <w:rPr>
                <w:rFonts w:hint="default" w:ascii="Times New Roman" w:hAnsi="Times New Roman" w:eastAsia="宋体" w:cs="Times New Roman"/>
                <w:color w:val="auto"/>
                <w:sz w:val="21"/>
                <w:highlight w:val="none"/>
                <w:lang w:eastAsia="zh-CN"/>
              </w:rPr>
              <w:t>项目</w:t>
            </w:r>
            <w:bookmarkEnd w:id="885"/>
            <w:bookmarkEnd w:id="886"/>
            <w:bookmarkEnd w:id="887"/>
          </w:p>
        </w:tc>
        <w:tc>
          <w:tcPr>
            <w:tcW w:w="2681" w:type="pct"/>
            <w:tcBorders>
              <w:tl2br w:val="nil"/>
              <w:tr2bl w:val="nil"/>
            </w:tcBorders>
            <w:vAlign w:val="center"/>
          </w:tcPr>
          <w:p w14:paraId="0D13F5A3">
            <w:pPr>
              <w:pStyle w:val="54"/>
              <w:widowControl w:val="0"/>
              <w:spacing w:after="0" w:line="360" w:lineRule="exact"/>
              <w:ind w:firstLine="0" w:firstLineChars="0"/>
              <w:outlineLvl w:val="9"/>
              <w:rPr>
                <w:rFonts w:hint="default" w:ascii="Times New Roman" w:hAnsi="Times New Roman" w:eastAsia="宋体" w:cs="Times New Roman"/>
                <w:color w:val="auto"/>
                <w:sz w:val="21"/>
                <w:highlight w:val="none"/>
                <w:lang w:eastAsia="zh-CN"/>
              </w:rPr>
            </w:pPr>
            <w:bookmarkStart w:id="888" w:name="_Toc1879"/>
            <w:bookmarkStart w:id="889" w:name="_Toc13441"/>
            <w:bookmarkStart w:id="890" w:name="_Toc155"/>
            <w:r>
              <w:rPr>
                <w:rFonts w:hint="default" w:ascii="Times New Roman" w:hAnsi="Times New Roman" w:eastAsia="宋体" w:cs="Times New Roman"/>
                <w:color w:val="auto"/>
                <w:sz w:val="21"/>
                <w:highlight w:val="none"/>
                <w:lang w:eastAsia="zh-CN"/>
              </w:rPr>
              <w:t>环保措施概要</w:t>
            </w:r>
            <w:bookmarkEnd w:id="888"/>
            <w:bookmarkEnd w:id="889"/>
            <w:bookmarkEnd w:id="890"/>
          </w:p>
        </w:tc>
        <w:tc>
          <w:tcPr>
            <w:tcW w:w="860" w:type="pct"/>
            <w:tcBorders>
              <w:tl2br w:val="nil"/>
              <w:tr2bl w:val="nil"/>
            </w:tcBorders>
            <w:vAlign w:val="center"/>
          </w:tcPr>
          <w:p w14:paraId="2852CA03">
            <w:pPr>
              <w:pStyle w:val="54"/>
              <w:widowControl w:val="0"/>
              <w:spacing w:after="0" w:line="360" w:lineRule="exact"/>
              <w:ind w:firstLine="0" w:firstLineChars="0"/>
              <w:outlineLvl w:val="9"/>
              <w:rPr>
                <w:rFonts w:hint="default" w:ascii="Times New Roman" w:hAnsi="Times New Roman" w:eastAsia="宋体" w:cs="Times New Roman"/>
                <w:color w:val="auto"/>
                <w:sz w:val="21"/>
                <w:highlight w:val="none"/>
                <w:lang w:eastAsia="zh-CN"/>
              </w:rPr>
            </w:pPr>
            <w:bookmarkStart w:id="891" w:name="_Toc19718"/>
            <w:bookmarkStart w:id="892" w:name="_Toc1107"/>
            <w:bookmarkStart w:id="893" w:name="_Toc17765"/>
            <w:r>
              <w:rPr>
                <w:rFonts w:hint="default" w:ascii="Times New Roman" w:hAnsi="Times New Roman" w:eastAsia="宋体" w:cs="Times New Roman"/>
                <w:color w:val="auto"/>
                <w:sz w:val="21"/>
                <w:highlight w:val="none"/>
                <w:lang w:eastAsia="zh-CN"/>
              </w:rPr>
              <w:t>投资（万元）</w:t>
            </w:r>
            <w:bookmarkEnd w:id="891"/>
            <w:bookmarkEnd w:id="892"/>
            <w:bookmarkEnd w:id="893"/>
          </w:p>
        </w:tc>
      </w:tr>
      <w:tr w14:paraId="2E9B2B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9" w:type="pct"/>
            <w:vMerge w:val="restart"/>
            <w:tcBorders>
              <w:tl2br w:val="nil"/>
              <w:tr2bl w:val="nil"/>
            </w:tcBorders>
            <w:vAlign w:val="center"/>
          </w:tcPr>
          <w:p w14:paraId="609C9A42">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bookmarkStart w:id="894" w:name="_Toc23697"/>
            <w:bookmarkStart w:id="895" w:name="_Toc25229"/>
            <w:bookmarkStart w:id="896" w:name="_Toc24260"/>
            <w:r>
              <w:rPr>
                <w:rFonts w:hint="default" w:ascii="Times New Roman" w:hAnsi="Times New Roman" w:eastAsia="宋体" w:cs="Times New Roman"/>
                <w:b w:val="0"/>
                <w:color w:val="auto"/>
                <w:sz w:val="21"/>
                <w:highlight w:val="none"/>
                <w:lang w:eastAsia="zh-CN"/>
              </w:rPr>
              <w:t>施工期</w:t>
            </w:r>
            <w:bookmarkEnd w:id="894"/>
            <w:bookmarkEnd w:id="895"/>
            <w:bookmarkEnd w:id="896"/>
          </w:p>
        </w:tc>
        <w:tc>
          <w:tcPr>
            <w:tcW w:w="948" w:type="pct"/>
            <w:tcBorders>
              <w:tl2br w:val="nil"/>
              <w:tr2bl w:val="nil"/>
            </w:tcBorders>
            <w:vAlign w:val="center"/>
          </w:tcPr>
          <w:p w14:paraId="6AD55CA9">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r>
              <w:rPr>
                <w:rFonts w:hint="default" w:ascii="Times New Roman" w:hAnsi="Times New Roman" w:eastAsia="宋体" w:cs="Times New Roman"/>
                <w:b w:val="0"/>
                <w:color w:val="auto"/>
                <w:sz w:val="21"/>
                <w:highlight w:val="none"/>
                <w:lang w:eastAsia="zh-CN"/>
              </w:rPr>
              <w:t>废气</w:t>
            </w:r>
          </w:p>
        </w:tc>
        <w:tc>
          <w:tcPr>
            <w:tcW w:w="2681" w:type="pct"/>
            <w:tcBorders>
              <w:tl2br w:val="nil"/>
              <w:tr2bl w:val="nil"/>
            </w:tcBorders>
            <w:vAlign w:val="center"/>
          </w:tcPr>
          <w:p w14:paraId="30BE5752">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bookmarkStart w:id="897" w:name="_Toc9311"/>
            <w:bookmarkStart w:id="898" w:name="_Toc15200"/>
            <w:bookmarkStart w:id="899" w:name="_Toc10452"/>
            <w:r>
              <w:rPr>
                <w:rFonts w:hint="default" w:ascii="Times New Roman" w:hAnsi="Times New Roman" w:eastAsia="宋体" w:cs="Times New Roman"/>
                <w:b w:val="0"/>
                <w:color w:val="auto"/>
                <w:sz w:val="21"/>
                <w:highlight w:val="none"/>
                <w:lang w:eastAsia="zh-CN"/>
              </w:rPr>
              <w:t>施工场地、道路洒水，运输物料遮盖等</w:t>
            </w:r>
            <w:bookmarkEnd w:id="897"/>
            <w:bookmarkEnd w:id="898"/>
            <w:bookmarkEnd w:id="899"/>
          </w:p>
        </w:tc>
        <w:tc>
          <w:tcPr>
            <w:tcW w:w="860" w:type="pct"/>
            <w:tcBorders>
              <w:tl2br w:val="nil"/>
              <w:tr2bl w:val="nil"/>
            </w:tcBorders>
            <w:vAlign w:val="center"/>
          </w:tcPr>
          <w:p w14:paraId="1AD7C5B6">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r>
              <w:rPr>
                <w:rFonts w:hint="default" w:ascii="Times New Roman" w:hAnsi="Times New Roman" w:eastAsia="宋体" w:cs="Times New Roman"/>
                <w:b w:val="0"/>
                <w:color w:val="auto"/>
                <w:sz w:val="21"/>
                <w:highlight w:val="none"/>
                <w:lang w:eastAsia="zh-CN"/>
              </w:rPr>
              <w:t>20</w:t>
            </w:r>
          </w:p>
        </w:tc>
      </w:tr>
      <w:tr w14:paraId="4F3483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9" w:type="pct"/>
            <w:vMerge w:val="continue"/>
            <w:tcBorders>
              <w:tl2br w:val="nil"/>
              <w:tr2bl w:val="nil"/>
            </w:tcBorders>
            <w:vAlign w:val="center"/>
          </w:tcPr>
          <w:p w14:paraId="336F4576">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p>
        </w:tc>
        <w:tc>
          <w:tcPr>
            <w:tcW w:w="948" w:type="pct"/>
            <w:tcBorders>
              <w:tl2br w:val="nil"/>
              <w:tr2bl w:val="nil"/>
            </w:tcBorders>
            <w:vAlign w:val="center"/>
          </w:tcPr>
          <w:p w14:paraId="6D0589E6">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r>
              <w:rPr>
                <w:rFonts w:hint="default" w:ascii="Times New Roman" w:hAnsi="Times New Roman" w:eastAsia="宋体" w:cs="Times New Roman"/>
                <w:b w:val="0"/>
                <w:color w:val="auto"/>
                <w:sz w:val="21"/>
                <w:highlight w:val="none"/>
                <w:lang w:eastAsia="zh-CN"/>
              </w:rPr>
              <w:t>废水</w:t>
            </w:r>
          </w:p>
        </w:tc>
        <w:tc>
          <w:tcPr>
            <w:tcW w:w="2681" w:type="pct"/>
            <w:tcBorders>
              <w:tl2br w:val="nil"/>
              <w:tr2bl w:val="nil"/>
            </w:tcBorders>
            <w:vAlign w:val="center"/>
          </w:tcPr>
          <w:p w14:paraId="13C4C62B">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val="en-US" w:eastAsia="zh-CN"/>
              </w:rPr>
            </w:pPr>
            <w:bookmarkStart w:id="900" w:name="_Toc16332"/>
            <w:bookmarkStart w:id="901" w:name="_Toc4166"/>
            <w:bookmarkStart w:id="902" w:name="_Toc1823"/>
            <w:r>
              <w:rPr>
                <w:rFonts w:hint="default" w:ascii="Times New Roman" w:hAnsi="Times New Roman" w:eastAsia="宋体" w:cs="Times New Roman"/>
                <w:b w:val="0"/>
                <w:color w:val="auto"/>
                <w:sz w:val="21"/>
                <w:highlight w:val="none"/>
                <w:lang w:eastAsia="zh-CN"/>
              </w:rPr>
              <w:t>施工期临时沉淀池</w:t>
            </w:r>
            <w:bookmarkEnd w:id="900"/>
            <w:bookmarkEnd w:id="901"/>
            <w:bookmarkEnd w:id="902"/>
            <w:r>
              <w:rPr>
                <w:rFonts w:hint="eastAsia" w:ascii="Times New Roman" w:hAnsi="Times New Roman" w:eastAsia="宋体" w:cs="Times New Roman"/>
                <w:b w:val="0"/>
                <w:color w:val="auto"/>
                <w:sz w:val="21"/>
                <w:highlight w:val="none"/>
                <w:lang w:eastAsia="zh-CN"/>
              </w:rPr>
              <w:t>、</w:t>
            </w:r>
            <w:r>
              <w:rPr>
                <w:rFonts w:hint="eastAsia" w:ascii="Times New Roman" w:hAnsi="Times New Roman" w:eastAsia="宋体" w:cs="Times New Roman"/>
                <w:b w:val="0"/>
                <w:color w:val="auto"/>
                <w:sz w:val="21"/>
                <w:highlight w:val="none"/>
                <w:lang w:val="en-US" w:eastAsia="zh-CN"/>
              </w:rPr>
              <w:t>隔油池</w:t>
            </w:r>
          </w:p>
        </w:tc>
        <w:tc>
          <w:tcPr>
            <w:tcW w:w="860" w:type="pct"/>
            <w:tcBorders>
              <w:tl2br w:val="nil"/>
              <w:tr2bl w:val="nil"/>
            </w:tcBorders>
            <w:vAlign w:val="center"/>
          </w:tcPr>
          <w:p w14:paraId="1597DCF7">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r>
              <w:rPr>
                <w:rFonts w:hint="default" w:ascii="Times New Roman" w:hAnsi="Times New Roman" w:eastAsia="宋体" w:cs="Times New Roman"/>
                <w:b w:val="0"/>
                <w:color w:val="auto"/>
                <w:sz w:val="21"/>
                <w:highlight w:val="none"/>
                <w:lang w:eastAsia="zh-CN"/>
              </w:rPr>
              <w:t>8</w:t>
            </w:r>
          </w:p>
        </w:tc>
      </w:tr>
      <w:tr w14:paraId="67FFE2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9" w:type="pct"/>
            <w:vMerge w:val="continue"/>
            <w:tcBorders>
              <w:tl2br w:val="nil"/>
              <w:tr2bl w:val="nil"/>
            </w:tcBorders>
            <w:vAlign w:val="center"/>
          </w:tcPr>
          <w:p w14:paraId="68E68CFE">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p>
        </w:tc>
        <w:tc>
          <w:tcPr>
            <w:tcW w:w="948" w:type="pct"/>
            <w:tcBorders>
              <w:tl2br w:val="nil"/>
              <w:tr2bl w:val="nil"/>
            </w:tcBorders>
            <w:vAlign w:val="center"/>
          </w:tcPr>
          <w:p w14:paraId="50C891EB">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bookmarkStart w:id="903" w:name="_Toc31736"/>
            <w:bookmarkStart w:id="904" w:name="_Toc11434"/>
            <w:bookmarkStart w:id="905" w:name="_Toc9015"/>
            <w:r>
              <w:rPr>
                <w:rFonts w:hint="default" w:ascii="Times New Roman" w:hAnsi="Times New Roman" w:eastAsia="宋体" w:cs="Times New Roman"/>
                <w:b w:val="0"/>
                <w:color w:val="auto"/>
                <w:sz w:val="21"/>
                <w:highlight w:val="none"/>
                <w:lang w:eastAsia="zh-CN"/>
              </w:rPr>
              <w:t>噪声</w:t>
            </w:r>
            <w:bookmarkEnd w:id="903"/>
            <w:bookmarkEnd w:id="904"/>
            <w:bookmarkEnd w:id="905"/>
          </w:p>
        </w:tc>
        <w:tc>
          <w:tcPr>
            <w:tcW w:w="2681" w:type="pct"/>
            <w:tcBorders>
              <w:tl2br w:val="nil"/>
              <w:tr2bl w:val="nil"/>
            </w:tcBorders>
            <w:vAlign w:val="center"/>
          </w:tcPr>
          <w:p w14:paraId="4D300E81">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bookmarkStart w:id="906" w:name="_Toc5758"/>
            <w:bookmarkStart w:id="907" w:name="_Toc32063"/>
            <w:bookmarkStart w:id="908" w:name="_Toc2332"/>
            <w:r>
              <w:rPr>
                <w:rFonts w:hint="default" w:ascii="Times New Roman" w:hAnsi="Times New Roman" w:eastAsia="宋体" w:cs="Times New Roman"/>
                <w:b w:val="0"/>
                <w:color w:val="auto"/>
                <w:sz w:val="21"/>
                <w:highlight w:val="none"/>
                <w:lang w:eastAsia="zh-CN"/>
              </w:rPr>
              <w:t>合理布局，基础减振</w:t>
            </w:r>
            <w:bookmarkEnd w:id="906"/>
            <w:bookmarkEnd w:id="907"/>
            <w:bookmarkEnd w:id="908"/>
          </w:p>
        </w:tc>
        <w:tc>
          <w:tcPr>
            <w:tcW w:w="860" w:type="pct"/>
            <w:tcBorders>
              <w:tl2br w:val="nil"/>
              <w:tr2bl w:val="nil"/>
            </w:tcBorders>
            <w:vAlign w:val="center"/>
          </w:tcPr>
          <w:p w14:paraId="01FEADC3">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r>
              <w:rPr>
                <w:rFonts w:hint="default" w:ascii="Times New Roman" w:hAnsi="Times New Roman" w:eastAsia="宋体" w:cs="Times New Roman"/>
                <w:b w:val="0"/>
                <w:color w:val="auto"/>
                <w:sz w:val="21"/>
                <w:highlight w:val="none"/>
                <w:lang w:eastAsia="zh-CN"/>
              </w:rPr>
              <w:t>10</w:t>
            </w:r>
          </w:p>
        </w:tc>
      </w:tr>
      <w:tr w14:paraId="0186F0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9" w:type="pct"/>
            <w:vMerge w:val="continue"/>
            <w:tcBorders>
              <w:tl2br w:val="nil"/>
              <w:tr2bl w:val="nil"/>
            </w:tcBorders>
            <w:vAlign w:val="center"/>
          </w:tcPr>
          <w:p w14:paraId="337B78D6">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p>
        </w:tc>
        <w:tc>
          <w:tcPr>
            <w:tcW w:w="948" w:type="pct"/>
            <w:tcBorders>
              <w:tl2br w:val="nil"/>
              <w:tr2bl w:val="nil"/>
            </w:tcBorders>
            <w:vAlign w:val="center"/>
          </w:tcPr>
          <w:p w14:paraId="1ADBF1E8">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r>
              <w:rPr>
                <w:rFonts w:hint="default" w:ascii="Times New Roman" w:hAnsi="Times New Roman" w:eastAsia="宋体" w:cs="Times New Roman"/>
                <w:b w:val="0"/>
                <w:color w:val="auto"/>
                <w:sz w:val="21"/>
                <w:highlight w:val="none"/>
                <w:lang w:eastAsia="zh-CN"/>
              </w:rPr>
              <w:t>固体废物</w:t>
            </w:r>
          </w:p>
        </w:tc>
        <w:tc>
          <w:tcPr>
            <w:tcW w:w="2681" w:type="pct"/>
            <w:tcBorders>
              <w:tl2br w:val="nil"/>
              <w:tr2bl w:val="nil"/>
            </w:tcBorders>
            <w:vAlign w:val="center"/>
          </w:tcPr>
          <w:p w14:paraId="5F5948B3">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bookmarkStart w:id="909" w:name="_Toc5161"/>
            <w:bookmarkStart w:id="910" w:name="_Toc8830"/>
            <w:bookmarkStart w:id="911" w:name="_Toc9017"/>
            <w:r>
              <w:rPr>
                <w:rFonts w:hint="default" w:ascii="Times New Roman" w:hAnsi="Times New Roman" w:eastAsia="宋体" w:cs="Times New Roman"/>
                <w:b w:val="0"/>
                <w:color w:val="auto"/>
                <w:sz w:val="21"/>
                <w:highlight w:val="none"/>
                <w:lang w:eastAsia="zh-CN"/>
              </w:rPr>
              <w:t>弃土、弃方、建筑垃圾的处置，施工期生活垃圾的处置</w:t>
            </w:r>
            <w:bookmarkEnd w:id="909"/>
            <w:bookmarkEnd w:id="910"/>
            <w:bookmarkEnd w:id="911"/>
          </w:p>
        </w:tc>
        <w:tc>
          <w:tcPr>
            <w:tcW w:w="860" w:type="pct"/>
            <w:tcBorders>
              <w:tl2br w:val="nil"/>
              <w:tr2bl w:val="nil"/>
            </w:tcBorders>
            <w:vAlign w:val="center"/>
          </w:tcPr>
          <w:p w14:paraId="109B33EF">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r>
              <w:rPr>
                <w:rFonts w:hint="default" w:ascii="Times New Roman" w:hAnsi="Times New Roman" w:eastAsia="宋体" w:cs="Times New Roman"/>
                <w:b w:val="0"/>
                <w:color w:val="auto"/>
                <w:sz w:val="21"/>
                <w:highlight w:val="none"/>
                <w:lang w:eastAsia="zh-CN"/>
              </w:rPr>
              <w:t>30</w:t>
            </w:r>
          </w:p>
        </w:tc>
      </w:tr>
      <w:tr w14:paraId="0D038C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9" w:type="pct"/>
            <w:vMerge w:val="continue"/>
            <w:tcBorders>
              <w:tl2br w:val="nil"/>
              <w:tr2bl w:val="nil"/>
            </w:tcBorders>
            <w:vAlign w:val="center"/>
          </w:tcPr>
          <w:p w14:paraId="1F075F16">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p>
        </w:tc>
        <w:tc>
          <w:tcPr>
            <w:tcW w:w="948" w:type="pct"/>
            <w:tcBorders>
              <w:tl2br w:val="nil"/>
              <w:tr2bl w:val="nil"/>
            </w:tcBorders>
            <w:vAlign w:val="center"/>
          </w:tcPr>
          <w:p w14:paraId="7C81B6E3">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bookmarkStart w:id="912" w:name="_Toc12157"/>
            <w:bookmarkStart w:id="913" w:name="_Toc32678"/>
            <w:bookmarkStart w:id="914" w:name="_Toc28272"/>
            <w:r>
              <w:rPr>
                <w:rFonts w:hint="default" w:ascii="Times New Roman" w:hAnsi="Times New Roman" w:eastAsia="宋体" w:cs="Times New Roman"/>
                <w:b w:val="0"/>
                <w:color w:val="auto"/>
                <w:sz w:val="21"/>
                <w:highlight w:val="none"/>
                <w:lang w:eastAsia="zh-CN"/>
              </w:rPr>
              <w:t>生态环境</w:t>
            </w:r>
            <w:bookmarkEnd w:id="912"/>
            <w:bookmarkEnd w:id="913"/>
            <w:bookmarkEnd w:id="914"/>
          </w:p>
        </w:tc>
        <w:tc>
          <w:tcPr>
            <w:tcW w:w="2681" w:type="pct"/>
            <w:tcBorders>
              <w:tl2br w:val="nil"/>
              <w:tr2bl w:val="nil"/>
            </w:tcBorders>
            <w:vAlign w:val="center"/>
          </w:tcPr>
          <w:p w14:paraId="43E96F31">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bookmarkStart w:id="915" w:name="_Toc8876"/>
            <w:bookmarkStart w:id="916" w:name="_Toc8786"/>
            <w:bookmarkStart w:id="917" w:name="_Toc12817"/>
            <w:r>
              <w:rPr>
                <w:rFonts w:hint="default" w:ascii="Times New Roman" w:hAnsi="Times New Roman" w:eastAsia="宋体" w:cs="Times New Roman"/>
                <w:b w:val="0"/>
                <w:color w:val="auto"/>
                <w:sz w:val="21"/>
                <w:highlight w:val="none"/>
                <w:lang w:eastAsia="zh-CN"/>
              </w:rPr>
              <w:t>场地平整、绿化</w:t>
            </w:r>
            <w:bookmarkEnd w:id="915"/>
            <w:bookmarkEnd w:id="916"/>
            <w:bookmarkEnd w:id="917"/>
          </w:p>
        </w:tc>
        <w:tc>
          <w:tcPr>
            <w:tcW w:w="860" w:type="pct"/>
            <w:tcBorders>
              <w:tl2br w:val="nil"/>
              <w:tr2bl w:val="nil"/>
            </w:tcBorders>
            <w:vAlign w:val="center"/>
          </w:tcPr>
          <w:p w14:paraId="6B88C518">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r>
              <w:rPr>
                <w:rFonts w:hint="default" w:ascii="Times New Roman" w:hAnsi="Times New Roman" w:eastAsia="宋体" w:cs="Times New Roman"/>
                <w:b w:val="0"/>
                <w:color w:val="auto"/>
                <w:sz w:val="21"/>
                <w:highlight w:val="none"/>
                <w:lang w:eastAsia="zh-CN"/>
              </w:rPr>
              <w:t>50</w:t>
            </w:r>
          </w:p>
        </w:tc>
      </w:tr>
      <w:tr w14:paraId="2ABC77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509" w:type="pct"/>
            <w:vMerge w:val="restart"/>
            <w:tcBorders>
              <w:tl2br w:val="nil"/>
              <w:tr2bl w:val="nil"/>
            </w:tcBorders>
            <w:vAlign w:val="center"/>
          </w:tcPr>
          <w:p w14:paraId="5AB5DD7F">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bookmarkStart w:id="918" w:name="_Toc6862"/>
            <w:bookmarkStart w:id="919" w:name="_Toc15459"/>
            <w:bookmarkStart w:id="920" w:name="_Toc20766"/>
            <w:r>
              <w:rPr>
                <w:rFonts w:hint="default" w:ascii="Times New Roman" w:hAnsi="Times New Roman" w:eastAsia="宋体" w:cs="Times New Roman"/>
                <w:b w:val="0"/>
                <w:color w:val="auto"/>
                <w:sz w:val="21"/>
                <w:highlight w:val="none"/>
                <w:lang w:eastAsia="zh-CN"/>
              </w:rPr>
              <w:t>运营期</w:t>
            </w:r>
            <w:bookmarkEnd w:id="918"/>
            <w:bookmarkEnd w:id="919"/>
            <w:bookmarkEnd w:id="920"/>
          </w:p>
        </w:tc>
        <w:tc>
          <w:tcPr>
            <w:tcW w:w="948" w:type="pct"/>
            <w:vMerge w:val="restart"/>
            <w:tcBorders>
              <w:tl2br w:val="nil"/>
              <w:tr2bl w:val="nil"/>
            </w:tcBorders>
            <w:vAlign w:val="center"/>
          </w:tcPr>
          <w:p w14:paraId="26119840">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bookmarkStart w:id="921" w:name="_Toc26769"/>
            <w:bookmarkStart w:id="922" w:name="_Toc16526"/>
            <w:bookmarkStart w:id="923" w:name="_Toc14285"/>
            <w:r>
              <w:rPr>
                <w:rFonts w:hint="default" w:ascii="Times New Roman" w:hAnsi="Times New Roman" w:eastAsia="宋体" w:cs="Times New Roman"/>
                <w:b w:val="0"/>
                <w:color w:val="auto"/>
                <w:sz w:val="21"/>
                <w:highlight w:val="none"/>
                <w:lang w:eastAsia="zh-CN"/>
              </w:rPr>
              <w:t>废气</w:t>
            </w:r>
            <w:bookmarkEnd w:id="921"/>
            <w:bookmarkEnd w:id="922"/>
            <w:bookmarkEnd w:id="923"/>
          </w:p>
        </w:tc>
        <w:tc>
          <w:tcPr>
            <w:tcW w:w="2681" w:type="pct"/>
            <w:tcBorders>
              <w:tl2br w:val="nil"/>
              <w:tr2bl w:val="nil"/>
            </w:tcBorders>
            <w:vAlign w:val="center"/>
          </w:tcPr>
          <w:p w14:paraId="3BA795D6">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bookmarkStart w:id="924" w:name="_Toc24771"/>
            <w:bookmarkStart w:id="925" w:name="_Toc12183"/>
            <w:bookmarkStart w:id="926" w:name="_Toc24893"/>
            <w:r>
              <w:rPr>
                <w:rFonts w:hint="default" w:ascii="Times New Roman" w:hAnsi="Times New Roman" w:eastAsia="宋体" w:cs="Times New Roman"/>
                <w:b w:val="0"/>
                <w:color w:val="auto"/>
                <w:sz w:val="21"/>
                <w:highlight w:val="none"/>
                <w:lang w:eastAsia="zh-CN"/>
              </w:rPr>
              <w:t>集气罩+布袋除尘除尘器（</w:t>
            </w:r>
            <w:r>
              <w:rPr>
                <w:rFonts w:hint="eastAsia" w:ascii="Times New Roman" w:hAnsi="Times New Roman" w:eastAsia="宋体" w:cs="Times New Roman"/>
                <w:b w:val="0"/>
                <w:color w:val="auto"/>
                <w:sz w:val="21"/>
                <w:highlight w:val="none"/>
                <w:lang w:val="en-US" w:eastAsia="zh-CN"/>
              </w:rPr>
              <w:t>2</w:t>
            </w:r>
            <w:r>
              <w:rPr>
                <w:rFonts w:hint="default" w:ascii="Times New Roman" w:hAnsi="Times New Roman" w:eastAsia="宋体" w:cs="Times New Roman"/>
                <w:b w:val="0"/>
                <w:color w:val="auto"/>
                <w:sz w:val="21"/>
                <w:highlight w:val="none"/>
                <w:lang w:eastAsia="zh-CN"/>
              </w:rPr>
              <w:t>套）</w:t>
            </w:r>
            <w:bookmarkEnd w:id="924"/>
            <w:bookmarkEnd w:id="925"/>
            <w:bookmarkEnd w:id="926"/>
          </w:p>
        </w:tc>
        <w:tc>
          <w:tcPr>
            <w:tcW w:w="860" w:type="pct"/>
            <w:tcBorders>
              <w:tl2br w:val="nil"/>
              <w:tr2bl w:val="nil"/>
            </w:tcBorders>
            <w:vAlign w:val="center"/>
          </w:tcPr>
          <w:p w14:paraId="1142EE30">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val="en-US" w:eastAsia="zh-CN"/>
              </w:rPr>
            </w:pPr>
            <w:r>
              <w:rPr>
                <w:rFonts w:hint="eastAsia" w:ascii="Times New Roman" w:hAnsi="Times New Roman" w:eastAsia="宋体" w:cs="Times New Roman"/>
                <w:b w:val="0"/>
                <w:color w:val="auto"/>
                <w:sz w:val="21"/>
                <w:highlight w:val="none"/>
                <w:lang w:val="en-US" w:eastAsia="zh-CN"/>
              </w:rPr>
              <w:t>100</w:t>
            </w:r>
          </w:p>
        </w:tc>
      </w:tr>
      <w:tr w14:paraId="1FB234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509" w:type="pct"/>
            <w:vMerge w:val="continue"/>
            <w:tcBorders>
              <w:tl2br w:val="nil"/>
              <w:tr2bl w:val="nil"/>
            </w:tcBorders>
            <w:vAlign w:val="center"/>
          </w:tcPr>
          <w:p w14:paraId="15FB71B4">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p>
        </w:tc>
        <w:tc>
          <w:tcPr>
            <w:tcW w:w="948" w:type="pct"/>
            <w:vMerge w:val="continue"/>
            <w:tcBorders>
              <w:tl2br w:val="nil"/>
              <w:tr2bl w:val="nil"/>
            </w:tcBorders>
            <w:vAlign w:val="center"/>
          </w:tcPr>
          <w:p w14:paraId="1A370CB1">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p>
        </w:tc>
        <w:tc>
          <w:tcPr>
            <w:tcW w:w="2681" w:type="pct"/>
            <w:tcBorders>
              <w:tl2br w:val="nil"/>
              <w:tr2bl w:val="nil"/>
            </w:tcBorders>
            <w:vAlign w:val="center"/>
          </w:tcPr>
          <w:p w14:paraId="782831AC">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r>
              <w:rPr>
                <w:rFonts w:hint="default" w:ascii="Times New Roman" w:hAnsi="Times New Roman" w:eastAsia="宋体" w:cs="Times New Roman"/>
                <w:b w:val="0"/>
                <w:color w:val="auto"/>
                <w:sz w:val="21"/>
                <w:highlight w:val="none"/>
                <w:lang w:val="en-US" w:eastAsia="zh-CN"/>
              </w:rPr>
              <w:t>1套高温</w:t>
            </w:r>
            <w:r>
              <w:rPr>
                <w:rFonts w:hint="default" w:ascii="Times New Roman" w:hAnsi="Times New Roman" w:eastAsia="宋体" w:cs="Times New Roman"/>
                <w:b w:val="0"/>
                <w:color w:val="auto"/>
                <w:sz w:val="21"/>
                <w:highlight w:val="none"/>
                <w:lang w:eastAsia="zh-CN"/>
              </w:rPr>
              <w:t>袋式除尘</w:t>
            </w:r>
            <w:r>
              <w:rPr>
                <w:rFonts w:hint="default" w:ascii="Times New Roman" w:hAnsi="Times New Roman" w:eastAsia="宋体" w:cs="Times New Roman"/>
                <w:b w:val="0"/>
                <w:color w:val="auto"/>
                <w:sz w:val="21"/>
                <w:highlight w:val="none"/>
                <w:lang w:val="en-US" w:eastAsia="zh-CN"/>
              </w:rPr>
              <w:t>设施+1套SNCR脱硝设施+1套水膜脱硫除尘设施+40m高</w:t>
            </w:r>
            <w:r>
              <w:rPr>
                <w:rFonts w:hint="eastAsia" w:ascii="Times New Roman" w:hAnsi="Times New Roman" w:eastAsia="宋体" w:cs="Times New Roman"/>
                <w:b w:val="0"/>
                <w:color w:val="auto"/>
                <w:sz w:val="21"/>
                <w:highlight w:val="none"/>
                <w:lang w:val="en-US" w:eastAsia="zh-CN"/>
              </w:rPr>
              <w:t>排气筒</w:t>
            </w:r>
          </w:p>
        </w:tc>
        <w:tc>
          <w:tcPr>
            <w:tcW w:w="860" w:type="pct"/>
            <w:tcBorders>
              <w:tl2br w:val="nil"/>
              <w:tr2bl w:val="nil"/>
            </w:tcBorders>
            <w:vAlign w:val="center"/>
          </w:tcPr>
          <w:p w14:paraId="4748948B">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val="en-US" w:eastAsia="zh-CN"/>
              </w:rPr>
            </w:pPr>
            <w:r>
              <w:rPr>
                <w:rFonts w:hint="eastAsia" w:ascii="Times New Roman" w:hAnsi="Times New Roman" w:eastAsia="宋体" w:cs="Times New Roman"/>
                <w:b w:val="0"/>
                <w:color w:val="auto"/>
                <w:sz w:val="21"/>
                <w:highlight w:val="none"/>
                <w:lang w:val="en-US" w:eastAsia="zh-CN"/>
              </w:rPr>
              <w:t>100</w:t>
            </w:r>
          </w:p>
        </w:tc>
      </w:tr>
      <w:tr w14:paraId="30502D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509" w:type="pct"/>
            <w:vMerge w:val="continue"/>
            <w:tcBorders>
              <w:tl2br w:val="nil"/>
              <w:tr2bl w:val="nil"/>
            </w:tcBorders>
            <w:vAlign w:val="center"/>
          </w:tcPr>
          <w:p w14:paraId="0B69B82E">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p>
        </w:tc>
        <w:tc>
          <w:tcPr>
            <w:tcW w:w="948" w:type="pct"/>
            <w:vMerge w:val="continue"/>
            <w:tcBorders>
              <w:tl2br w:val="nil"/>
              <w:tr2bl w:val="nil"/>
            </w:tcBorders>
            <w:vAlign w:val="center"/>
          </w:tcPr>
          <w:p w14:paraId="1B03A272">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p>
        </w:tc>
        <w:tc>
          <w:tcPr>
            <w:tcW w:w="2681" w:type="pct"/>
            <w:tcBorders>
              <w:tl2br w:val="nil"/>
              <w:tr2bl w:val="nil"/>
            </w:tcBorders>
            <w:vAlign w:val="center"/>
          </w:tcPr>
          <w:p w14:paraId="34213C52">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r>
              <w:rPr>
                <w:rFonts w:hint="default" w:ascii="Times New Roman" w:hAnsi="Times New Roman" w:eastAsia="宋体" w:cs="Times New Roman"/>
                <w:b w:val="0"/>
                <w:color w:val="auto"/>
                <w:sz w:val="21"/>
                <w:highlight w:val="none"/>
                <w:lang w:eastAsia="zh-CN"/>
              </w:rPr>
              <w:t>微雾抑尘系统降尘（</w:t>
            </w:r>
            <w:r>
              <w:rPr>
                <w:rFonts w:hint="default" w:ascii="Times New Roman" w:hAnsi="Times New Roman" w:eastAsia="宋体" w:cs="Times New Roman"/>
                <w:b w:val="0"/>
                <w:color w:val="auto"/>
                <w:sz w:val="21"/>
                <w:highlight w:val="none"/>
                <w:lang w:val="en-US" w:eastAsia="zh-CN"/>
              </w:rPr>
              <w:t>2</w:t>
            </w:r>
            <w:r>
              <w:rPr>
                <w:rFonts w:hint="default" w:ascii="Times New Roman" w:hAnsi="Times New Roman" w:eastAsia="宋体" w:cs="Times New Roman"/>
                <w:b w:val="0"/>
                <w:color w:val="auto"/>
                <w:sz w:val="21"/>
                <w:highlight w:val="none"/>
                <w:lang w:eastAsia="zh-CN"/>
              </w:rPr>
              <w:t>套）</w:t>
            </w:r>
          </w:p>
        </w:tc>
        <w:tc>
          <w:tcPr>
            <w:tcW w:w="860" w:type="pct"/>
            <w:tcBorders>
              <w:tl2br w:val="nil"/>
              <w:tr2bl w:val="nil"/>
            </w:tcBorders>
            <w:vAlign w:val="center"/>
          </w:tcPr>
          <w:p w14:paraId="4B5EC47A">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r>
              <w:rPr>
                <w:rFonts w:hint="default" w:ascii="Times New Roman" w:hAnsi="Times New Roman" w:eastAsia="宋体" w:cs="Times New Roman"/>
                <w:b w:val="0"/>
                <w:color w:val="auto"/>
                <w:sz w:val="21"/>
                <w:highlight w:val="none"/>
                <w:lang w:eastAsia="zh-CN"/>
              </w:rPr>
              <w:t>35</w:t>
            </w:r>
          </w:p>
        </w:tc>
      </w:tr>
      <w:tr w14:paraId="6955E7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509" w:type="pct"/>
            <w:vMerge w:val="continue"/>
            <w:tcBorders>
              <w:tl2br w:val="nil"/>
              <w:tr2bl w:val="nil"/>
            </w:tcBorders>
            <w:vAlign w:val="center"/>
          </w:tcPr>
          <w:p w14:paraId="49484186">
            <w:pPr>
              <w:pStyle w:val="54"/>
              <w:widowControl w:val="0"/>
              <w:spacing w:after="0" w:line="360" w:lineRule="exact"/>
              <w:ind w:firstLine="0" w:firstLineChars="0"/>
              <w:outlineLvl w:val="9"/>
              <w:rPr>
                <w:rFonts w:hint="default" w:ascii="Times New Roman" w:hAnsi="Times New Roman" w:eastAsia="宋体" w:cs="Times New Roman"/>
                <w:color w:val="auto"/>
                <w:sz w:val="21"/>
                <w:highlight w:val="none"/>
              </w:rPr>
            </w:pPr>
          </w:p>
        </w:tc>
        <w:tc>
          <w:tcPr>
            <w:tcW w:w="948" w:type="pct"/>
            <w:vMerge w:val="continue"/>
            <w:tcBorders>
              <w:tl2br w:val="nil"/>
              <w:tr2bl w:val="nil"/>
            </w:tcBorders>
            <w:vAlign w:val="center"/>
          </w:tcPr>
          <w:p w14:paraId="7C498254">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p>
        </w:tc>
        <w:tc>
          <w:tcPr>
            <w:tcW w:w="2681" w:type="pct"/>
            <w:tcBorders>
              <w:tl2br w:val="nil"/>
              <w:tr2bl w:val="nil"/>
            </w:tcBorders>
            <w:vAlign w:val="center"/>
          </w:tcPr>
          <w:p w14:paraId="5A61E7DA">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r>
              <w:rPr>
                <w:rFonts w:hint="default" w:ascii="Times New Roman" w:hAnsi="Times New Roman" w:eastAsia="宋体" w:cs="Times New Roman"/>
                <w:b w:val="0"/>
                <w:color w:val="auto"/>
                <w:sz w:val="21"/>
                <w:highlight w:val="none"/>
                <w:lang w:eastAsia="zh-CN"/>
              </w:rPr>
              <w:t>路面硬化、采取洒水降尘、出入车辆冲洗</w:t>
            </w:r>
          </w:p>
        </w:tc>
        <w:tc>
          <w:tcPr>
            <w:tcW w:w="860" w:type="pct"/>
            <w:tcBorders>
              <w:tl2br w:val="nil"/>
              <w:tr2bl w:val="nil"/>
            </w:tcBorders>
            <w:vAlign w:val="center"/>
          </w:tcPr>
          <w:p w14:paraId="50CFB9B8">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r>
              <w:rPr>
                <w:rFonts w:hint="default" w:ascii="Times New Roman" w:hAnsi="Times New Roman" w:eastAsia="宋体" w:cs="Times New Roman"/>
                <w:b w:val="0"/>
                <w:color w:val="auto"/>
                <w:sz w:val="21"/>
                <w:highlight w:val="none"/>
                <w:lang w:eastAsia="zh-CN"/>
              </w:rPr>
              <w:t>20</w:t>
            </w:r>
          </w:p>
        </w:tc>
      </w:tr>
      <w:tr w14:paraId="5BD2A2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509" w:type="pct"/>
            <w:vMerge w:val="continue"/>
            <w:tcBorders>
              <w:tl2br w:val="nil"/>
              <w:tr2bl w:val="nil"/>
            </w:tcBorders>
            <w:vAlign w:val="center"/>
          </w:tcPr>
          <w:p w14:paraId="0F99BB6B">
            <w:pPr>
              <w:pStyle w:val="54"/>
              <w:widowControl w:val="0"/>
              <w:spacing w:after="0" w:line="360" w:lineRule="exact"/>
              <w:ind w:firstLine="0" w:firstLineChars="0"/>
              <w:outlineLvl w:val="9"/>
              <w:rPr>
                <w:rFonts w:hint="default" w:ascii="Times New Roman" w:hAnsi="Times New Roman" w:eastAsia="宋体" w:cs="Times New Roman"/>
                <w:color w:val="auto"/>
                <w:sz w:val="21"/>
                <w:highlight w:val="none"/>
              </w:rPr>
            </w:pPr>
          </w:p>
        </w:tc>
        <w:tc>
          <w:tcPr>
            <w:tcW w:w="948" w:type="pct"/>
            <w:tcBorders>
              <w:tl2br w:val="nil"/>
              <w:tr2bl w:val="nil"/>
            </w:tcBorders>
            <w:vAlign w:val="center"/>
          </w:tcPr>
          <w:p w14:paraId="352511CD">
            <w:pPr>
              <w:pStyle w:val="54"/>
              <w:widowControl w:val="0"/>
              <w:spacing w:after="0" w:line="360" w:lineRule="exact"/>
              <w:ind w:firstLine="0" w:firstLineChars="0"/>
              <w:outlineLvl w:val="9"/>
              <w:rPr>
                <w:rFonts w:hint="default" w:ascii="Times New Roman" w:hAnsi="Times New Roman" w:eastAsia="宋体" w:cs="Times New Roman"/>
                <w:color w:val="auto"/>
                <w:sz w:val="21"/>
                <w:highlight w:val="none"/>
              </w:rPr>
            </w:pPr>
            <w:bookmarkStart w:id="927" w:name="_Toc17516"/>
            <w:bookmarkStart w:id="928" w:name="_Toc23974"/>
            <w:bookmarkStart w:id="929" w:name="_Toc22041"/>
            <w:r>
              <w:rPr>
                <w:rFonts w:hint="default" w:ascii="Times New Roman" w:hAnsi="Times New Roman" w:eastAsia="宋体" w:cs="Times New Roman"/>
                <w:b w:val="0"/>
                <w:color w:val="auto"/>
                <w:sz w:val="21"/>
                <w:highlight w:val="none"/>
                <w:lang w:eastAsia="zh-CN"/>
              </w:rPr>
              <w:t>废水</w:t>
            </w:r>
            <w:bookmarkEnd w:id="927"/>
            <w:bookmarkEnd w:id="928"/>
            <w:bookmarkEnd w:id="929"/>
          </w:p>
        </w:tc>
        <w:tc>
          <w:tcPr>
            <w:tcW w:w="2681" w:type="pct"/>
            <w:tcBorders>
              <w:tl2br w:val="nil"/>
              <w:tr2bl w:val="nil"/>
            </w:tcBorders>
            <w:vAlign w:val="center"/>
          </w:tcPr>
          <w:p w14:paraId="19453276">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r>
              <w:rPr>
                <w:rFonts w:hint="default" w:ascii="Times New Roman" w:hAnsi="Times New Roman" w:eastAsia="宋体" w:cs="Times New Roman"/>
                <w:b w:val="0"/>
                <w:color w:val="auto"/>
                <w:sz w:val="21"/>
                <w:highlight w:val="none"/>
                <w:lang w:val="en-US" w:eastAsia="zh-CN"/>
              </w:rPr>
              <w:t>各沉淀</w:t>
            </w:r>
            <w:r>
              <w:rPr>
                <w:rFonts w:hint="default" w:ascii="Times New Roman" w:hAnsi="Times New Roman" w:eastAsia="宋体" w:cs="Times New Roman"/>
                <w:b w:val="0"/>
                <w:color w:val="auto"/>
                <w:sz w:val="21"/>
                <w:highlight w:val="none"/>
                <w:lang w:eastAsia="zh-CN"/>
              </w:rPr>
              <w:t>池、</w:t>
            </w:r>
            <w:r>
              <w:rPr>
                <w:rFonts w:hint="eastAsia" w:ascii="Times New Roman" w:hAnsi="Times New Roman" w:eastAsia="宋体" w:cs="Times New Roman"/>
                <w:b w:val="0"/>
                <w:color w:val="auto"/>
                <w:sz w:val="21"/>
                <w:highlight w:val="none"/>
                <w:lang w:val="en-US" w:eastAsia="zh-CN"/>
              </w:rPr>
              <w:t>化粪池</w:t>
            </w:r>
          </w:p>
        </w:tc>
        <w:tc>
          <w:tcPr>
            <w:tcW w:w="860" w:type="pct"/>
            <w:tcBorders>
              <w:tl2br w:val="nil"/>
              <w:tr2bl w:val="nil"/>
            </w:tcBorders>
            <w:vAlign w:val="center"/>
          </w:tcPr>
          <w:p w14:paraId="668373EE">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r>
              <w:rPr>
                <w:rFonts w:hint="default" w:ascii="Times New Roman" w:hAnsi="Times New Roman" w:eastAsia="宋体" w:cs="Times New Roman"/>
                <w:b w:val="0"/>
                <w:color w:val="auto"/>
                <w:sz w:val="21"/>
                <w:highlight w:val="none"/>
                <w:lang w:val="en-US" w:eastAsia="zh-CN"/>
              </w:rPr>
              <w:t>35</w:t>
            </w:r>
          </w:p>
        </w:tc>
      </w:tr>
      <w:tr w14:paraId="481946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9" w:type="pct"/>
            <w:vMerge w:val="continue"/>
            <w:tcBorders>
              <w:tl2br w:val="nil"/>
              <w:tr2bl w:val="nil"/>
            </w:tcBorders>
            <w:vAlign w:val="center"/>
          </w:tcPr>
          <w:p w14:paraId="3A3F66A9">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p>
        </w:tc>
        <w:tc>
          <w:tcPr>
            <w:tcW w:w="948" w:type="pct"/>
            <w:tcBorders>
              <w:tl2br w:val="nil"/>
              <w:tr2bl w:val="nil"/>
            </w:tcBorders>
            <w:vAlign w:val="center"/>
          </w:tcPr>
          <w:p w14:paraId="46B43B47">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r>
              <w:rPr>
                <w:rFonts w:hint="default" w:ascii="Times New Roman" w:hAnsi="Times New Roman" w:eastAsia="宋体" w:cs="Times New Roman"/>
                <w:b w:val="0"/>
                <w:color w:val="auto"/>
                <w:sz w:val="21"/>
                <w:highlight w:val="none"/>
                <w:lang w:eastAsia="zh-CN"/>
              </w:rPr>
              <w:t>噪声</w:t>
            </w:r>
          </w:p>
        </w:tc>
        <w:tc>
          <w:tcPr>
            <w:tcW w:w="2681" w:type="pct"/>
            <w:tcBorders>
              <w:tl2br w:val="nil"/>
              <w:tr2bl w:val="nil"/>
            </w:tcBorders>
            <w:vAlign w:val="center"/>
          </w:tcPr>
          <w:p w14:paraId="5732D958">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bookmarkStart w:id="930" w:name="_Toc20327"/>
            <w:bookmarkStart w:id="931" w:name="_Toc11328"/>
            <w:bookmarkStart w:id="932" w:name="_Toc25839"/>
            <w:r>
              <w:rPr>
                <w:rFonts w:hint="default" w:ascii="Times New Roman" w:hAnsi="Times New Roman" w:eastAsia="宋体" w:cs="Times New Roman"/>
                <w:b w:val="0"/>
                <w:color w:val="auto"/>
                <w:sz w:val="21"/>
                <w:highlight w:val="none"/>
                <w:lang w:eastAsia="zh-CN"/>
              </w:rPr>
              <w:t>高噪声设备进行基础减振，设备养护</w:t>
            </w:r>
            <w:bookmarkEnd w:id="930"/>
            <w:bookmarkEnd w:id="931"/>
            <w:bookmarkEnd w:id="932"/>
          </w:p>
        </w:tc>
        <w:tc>
          <w:tcPr>
            <w:tcW w:w="860" w:type="pct"/>
            <w:tcBorders>
              <w:tl2br w:val="nil"/>
              <w:tr2bl w:val="nil"/>
            </w:tcBorders>
            <w:vAlign w:val="center"/>
          </w:tcPr>
          <w:p w14:paraId="7C21BB0F">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val="en-US" w:eastAsia="zh-CN"/>
              </w:rPr>
              <w:t>10</w:t>
            </w:r>
          </w:p>
        </w:tc>
      </w:tr>
      <w:tr w14:paraId="6E50D4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509" w:type="pct"/>
            <w:vMerge w:val="continue"/>
            <w:tcBorders>
              <w:tl2br w:val="nil"/>
              <w:tr2bl w:val="nil"/>
            </w:tcBorders>
            <w:vAlign w:val="center"/>
          </w:tcPr>
          <w:p w14:paraId="7BECD17A">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p>
        </w:tc>
        <w:tc>
          <w:tcPr>
            <w:tcW w:w="948" w:type="pct"/>
            <w:tcBorders>
              <w:tl2br w:val="nil"/>
              <w:tr2bl w:val="nil"/>
            </w:tcBorders>
            <w:vAlign w:val="center"/>
          </w:tcPr>
          <w:p w14:paraId="0C191BE9">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r>
              <w:rPr>
                <w:rFonts w:hint="default" w:ascii="Times New Roman" w:hAnsi="Times New Roman" w:eastAsia="宋体" w:cs="Times New Roman"/>
                <w:b w:val="0"/>
                <w:color w:val="auto"/>
                <w:sz w:val="21"/>
                <w:highlight w:val="none"/>
                <w:lang w:eastAsia="zh-CN"/>
              </w:rPr>
              <w:t>固体废物</w:t>
            </w:r>
          </w:p>
        </w:tc>
        <w:tc>
          <w:tcPr>
            <w:tcW w:w="2681" w:type="pct"/>
            <w:tcBorders>
              <w:tl2br w:val="nil"/>
              <w:tr2bl w:val="nil"/>
            </w:tcBorders>
            <w:vAlign w:val="center"/>
          </w:tcPr>
          <w:p w14:paraId="2CCFDB9F">
            <w:pPr>
              <w:pStyle w:val="54"/>
              <w:widowControl w:val="0"/>
              <w:spacing w:after="0" w:line="360" w:lineRule="exact"/>
              <w:ind w:firstLine="0" w:firstLineChars="0"/>
              <w:outlineLvl w:val="9"/>
              <w:rPr>
                <w:rFonts w:hint="default" w:ascii="Times New Roman" w:hAnsi="Times New Roman" w:eastAsia="黑体" w:cs="Times New Roman"/>
                <w:b w:val="0"/>
                <w:color w:val="auto"/>
                <w:sz w:val="21"/>
                <w:highlight w:val="none"/>
                <w:lang w:val="en-US" w:eastAsia="zh-CN"/>
              </w:rPr>
            </w:pPr>
            <w:r>
              <w:rPr>
                <w:rFonts w:hint="default" w:ascii="Times New Roman" w:hAnsi="Times New Roman" w:eastAsia="宋体" w:cs="Times New Roman"/>
                <w:b w:val="0"/>
                <w:color w:val="auto"/>
                <w:sz w:val="21"/>
                <w:highlight w:val="none"/>
                <w:lang w:eastAsia="zh-CN"/>
              </w:rPr>
              <w:t>尾矿库防渗系统</w:t>
            </w:r>
            <w:r>
              <w:rPr>
                <w:rFonts w:hint="eastAsia" w:ascii="Times New Roman" w:hAnsi="Times New Roman" w:eastAsia="宋体" w:cs="Times New Roman"/>
                <w:b w:val="0"/>
                <w:color w:val="auto"/>
                <w:sz w:val="21"/>
                <w:highlight w:val="none"/>
                <w:lang w:eastAsia="zh-CN"/>
              </w:rPr>
              <w:t>、</w:t>
            </w:r>
            <w:r>
              <w:rPr>
                <w:rFonts w:hint="eastAsia" w:ascii="Times New Roman" w:hAnsi="Times New Roman" w:eastAsia="宋体" w:cs="Times New Roman"/>
                <w:b w:val="0"/>
                <w:color w:val="auto"/>
                <w:sz w:val="21"/>
                <w:highlight w:val="none"/>
                <w:lang w:val="en-US" w:eastAsia="zh-CN"/>
              </w:rPr>
              <w:t>危废贮存点</w:t>
            </w:r>
          </w:p>
        </w:tc>
        <w:tc>
          <w:tcPr>
            <w:tcW w:w="860" w:type="pct"/>
            <w:tcBorders>
              <w:tl2br w:val="nil"/>
              <w:tr2bl w:val="nil"/>
            </w:tcBorders>
            <w:vAlign w:val="center"/>
          </w:tcPr>
          <w:p w14:paraId="16250FCE">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val="en-US" w:eastAsia="zh-CN"/>
              </w:rPr>
            </w:pPr>
            <w:r>
              <w:rPr>
                <w:rFonts w:hint="eastAsia" w:ascii="Times New Roman" w:hAnsi="Times New Roman" w:eastAsia="宋体" w:cs="Times New Roman"/>
                <w:b w:val="0"/>
                <w:color w:val="auto"/>
                <w:sz w:val="21"/>
                <w:highlight w:val="none"/>
                <w:lang w:val="en-US" w:eastAsia="zh-CN"/>
              </w:rPr>
              <w:t>465</w:t>
            </w:r>
          </w:p>
        </w:tc>
      </w:tr>
      <w:tr w14:paraId="06FC93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9" w:type="pct"/>
            <w:vMerge w:val="continue"/>
            <w:tcBorders>
              <w:tl2br w:val="nil"/>
              <w:tr2bl w:val="nil"/>
            </w:tcBorders>
            <w:vAlign w:val="center"/>
          </w:tcPr>
          <w:p w14:paraId="40E94AB3">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p>
        </w:tc>
        <w:tc>
          <w:tcPr>
            <w:tcW w:w="948" w:type="pct"/>
            <w:tcBorders>
              <w:tl2br w:val="nil"/>
              <w:tr2bl w:val="nil"/>
            </w:tcBorders>
            <w:vAlign w:val="center"/>
          </w:tcPr>
          <w:p w14:paraId="1BE4652E">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bookmarkStart w:id="933" w:name="_Toc11844"/>
            <w:bookmarkStart w:id="934" w:name="_Toc28396"/>
            <w:bookmarkStart w:id="935" w:name="_Toc28800"/>
            <w:r>
              <w:rPr>
                <w:rFonts w:hint="default" w:ascii="Times New Roman" w:hAnsi="Times New Roman" w:eastAsia="宋体" w:cs="Times New Roman"/>
                <w:b w:val="0"/>
                <w:color w:val="auto"/>
                <w:sz w:val="21"/>
                <w:highlight w:val="none"/>
                <w:lang w:eastAsia="zh-CN"/>
              </w:rPr>
              <w:t>水土保持及绿化</w:t>
            </w:r>
            <w:bookmarkEnd w:id="933"/>
            <w:bookmarkEnd w:id="934"/>
            <w:bookmarkEnd w:id="935"/>
          </w:p>
        </w:tc>
        <w:tc>
          <w:tcPr>
            <w:tcW w:w="2681" w:type="pct"/>
            <w:tcBorders>
              <w:tl2br w:val="nil"/>
              <w:tr2bl w:val="nil"/>
            </w:tcBorders>
            <w:vAlign w:val="center"/>
          </w:tcPr>
          <w:p w14:paraId="7B45D6C0">
            <w:pPr>
              <w:spacing w:line="360" w:lineRule="exact"/>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sz w:val="21"/>
                <w:szCs w:val="21"/>
                <w:highlight w:val="none"/>
              </w:rPr>
              <w:t>恢复植被、绿化</w:t>
            </w:r>
          </w:p>
        </w:tc>
        <w:tc>
          <w:tcPr>
            <w:tcW w:w="860" w:type="pct"/>
            <w:tcBorders>
              <w:tl2br w:val="nil"/>
              <w:tr2bl w:val="nil"/>
            </w:tcBorders>
            <w:vAlign w:val="center"/>
          </w:tcPr>
          <w:p w14:paraId="07E8C556">
            <w:pPr>
              <w:spacing w:line="360" w:lineRule="exact"/>
              <w:ind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sz w:val="21"/>
                <w:szCs w:val="21"/>
                <w:highlight w:val="none"/>
                <w:lang w:val="en-US" w:eastAsia="zh-CN"/>
              </w:rPr>
              <w:t>70</w:t>
            </w:r>
          </w:p>
        </w:tc>
      </w:tr>
      <w:tr w14:paraId="18F379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9" w:type="pct"/>
            <w:vMerge w:val="continue"/>
            <w:tcBorders>
              <w:tl2br w:val="nil"/>
              <w:tr2bl w:val="nil"/>
            </w:tcBorders>
            <w:vAlign w:val="center"/>
          </w:tcPr>
          <w:p w14:paraId="7A2CFA9A">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bookmarkStart w:id="936" w:name="_Toc27831"/>
            <w:bookmarkStart w:id="937" w:name="_Toc2175"/>
            <w:bookmarkStart w:id="938" w:name="_Toc26669"/>
          </w:p>
        </w:tc>
        <w:tc>
          <w:tcPr>
            <w:tcW w:w="948" w:type="pct"/>
            <w:tcBorders>
              <w:tl2br w:val="nil"/>
              <w:tr2bl w:val="nil"/>
            </w:tcBorders>
            <w:vAlign w:val="center"/>
          </w:tcPr>
          <w:p w14:paraId="1D1DFA93">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r>
              <w:rPr>
                <w:rFonts w:hint="default" w:ascii="Times New Roman" w:hAnsi="Times New Roman" w:eastAsia="宋体" w:cs="Times New Roman"/>
                <w:b w:val="0"/>
                <w:color w:val="auto"/>
                <w:sz w:val="21"/>
                <w:highlight w:val="none"/>
                <w:lang w:eastAsia="zh-CN"/>
              </w:rPr>
              <w:t>环境风险</w:t>
            </w:r>
          </w:p>
        </w:tc>
        <w:tc>
          <w:tcPr>
            <w:tcW w:w="2681" w:type="pct"/>
            <w:tcBorders>
              <w:tl2br w:val="nil"/>
              <w:tr2bl w:val="nil"/>
            </w:tcBorders>
            <w:vAlign w:val="center"/>
          </w:tcPr>
          <w:p w14:paraId="697A8935">
            <w:pPr>
              <w:pStyle w:val="54"/>
              <w:widowControl w:val="0"/>
              <w:spacing w:after="0" w:line="360" w:lineRule="exact"/>
              <w:ind w:firstLine="0" w:firstLineChars="0"/>
              <w:outlineLvl w:val="9"/>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b w:val="0"/>
                <w:color w:val="auto"/>
                <w:sz w:val="21"/>
                <w:highlight w:val="none"/>
                <w:lang w:eastAsia="zh-CN"/>
              </w:rPr>
              <w:t>拦挡坝</w:t>
            </w:r>
            <w:r>
              <w:rPr>
                <w:rFonts w:hint="eastAsia" w:ascii="Times New Roman" w:hAnsi="Times New Roman" w:eastAsia="宋体" w:cs="Times New Roman"/>
                <w:b w:val="0"/>
                <w:color w:val="auto"/>
                <w:sz w:val="21"/>
                <w:highlight w:val="none"/>
                <w:lang w:eastAsia="zh-CN"/>
              </w:rPr>
              <w:t>、</w:t>
            </w:r>
            <w:r>
              <w:rPr>
                <w:rFonts w:hint="eastAsia" w:ascii="Times New Roman" w:hAnsi="Times New Roman" w:eastAsia="宋体" w:cs="Times New Roman"/>
                <w:b w:val="0"/>
                <w:color w:val="auto"/>
                <w:sz w:val="21"/>
                <w:highlight w:val="none"/>
                <w:lang w:val="en-US" w:eastAsia="zh-CN"/>
              </w:rPr>
              <w:t>事故池、分区防渗措施</w:t>
            </w:r>
          </w:p>
        </w:tc>
        <w:tc>
          <w:tcPr>
            <w:tcW w:w="860" w:type="pct"/>
            <w:tcBorders>
              <w:tl2br w:val="nil"/>
              <w:tr2bl w:val="nil"/>
            </w:tcBorders>
            <w:vAlign w:val="center"/>
          </w:tcPr>
          <w:p w14:paraId="1C4435D6">
            <w:pPr>
              <w:pStyle w:val="54"/>
              <w:widowControl w:val="0"/>
              <w:spacing w:after="0" w:line="360" w:lineRule="exact"/>
              <w:ind w:firstLine="0" w:firstLineChars="0"/>
              <w:outlineLvl w:val="9"/>
              <w:rPr>
                <w:rFonts w:hint="default" w:ascii="Times New Roman" w:hAnsi="Times New Roman" w:cs="Times New Roman"/>
                <w:color w:val="auto"/>
                <w:sz w:val="21"/>
                <w:szCs w:val="21"/>
                <w:highlight w:val="none"/>
                <w:lang w:val="en-US"/>
              </w:rPr>
            </w:pPr>
            <w:r>
              <w:rPr>
                <w:rFonts w:hint="eastAsia" w:ascii="Times New Roman" w:hAnsi="Times New Roman" w:eastAsia="宋体" w:cs="Times New Roman"/>
                <w:b w:val="0"/>
                <w:color w:val="auto"/>
                <w:sz w:val="21"/>
                <w:highlight w:val="none"/>
                <w:lang w:val="en-US" w:eastAsia="zh-CN"/>
              </w:rPr>
              <w:t>90</w:t>
            </w:r>
          </w:p>
        </w:tc>
      </w:tr>
      <w:tr w14:paraId="434EC2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9" w:type="pct"/>
            <w:vMerge w:val="restart"/>
            <w:tcBorders>
              <w:tl2br w:val="nil"/>
              <w:tr2bl w:val="nil"/>
            </w:tcBorders>
            <w:vAlign w:val="center"/>
          </w:tcPr>
          <w:p w14:paraId="79D1F2F9">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r>
              <w:rPr>
                <w:rFonts w:hint="default" w:ascii="Times New Roman" w:hAnsi="Times New Roman" w:eastAsia="宋体" w:cs="Times New Roman"/>
                <w:b w:val="0"/>
                <w:color w:val="auto"/>
                <w:sz w:val="21"/>
                <w:highlight w:val="none"/>
                <w:lang w:eastAsia="zh-CN"/>
              </w:rPr>
              <w:t>闭矿期</w:t>
            </w:r>
            <w:bookmarkEnd w:id="936"/>
            <w:bookmarkEnd w:id="937"/>
            <w:bookmarkEnd w:id="938"/>
          </w:p>
        </w:tc>
        <w:tc>
          <w:tcPr>
            <w:tcW w:w="948" w:type="pct"/>
            <w:tcBorders>
              <w:tl2br w:val="nil"/>
              <w:tr2bl w:val="nil"/>
            </w:tcBorders>
            <w:vAlign w:val="center"/>
          </w:tcPr>
          <w:p w14:paraId="026CB5D5">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bookmarkStart w:id="939" w:name="_Toc15959"/>
            <w:bookmarkStart w:id="940" w:name="_Toc11086"/>
            <w:bookmarkStart w:id="941" w:name="_Toc31788"/>
            <w:r>
              <w:rPr>
                <w:rFonts w:hint="default" w:ascii="Times New Roman" w:hAnsi="Times New Roman" w:eastAsia="宋体" w:cs="Times New Roman"/>
                <w:b w:val="0"/>
                <w:color w:val="auto"/>
                <w:sz w:val="21"/>
                <w:highlight w:val="none"/>
                <w:lang w:eastAsia="zh-CN"/>
              </w:rPr>
              <w:t>地面隐患区</w:t>
            </w:r>
            <w:bookmarkEnd w:id="939"/>
            <w:bookmarkEnd w:id="940"/>
            <w:bookmarkEnd w:id="941"/>
          </w:p>
        </w:tc>
        <w:tc>
          <w:tcPr>
            <w:tcW w:w="2681" w:type="pct"/>
            <w:tcBorders>
              <w:tl2br w:val="nil"/>
              <w:tr2bl w:val="nil"/>
            </w:tcBorders>
            <w:vAlign w:val="center"/>
          </w:tcPr>
          <w:p w14:paraId="1D795E82">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bookmarkStart w:id="942" w:name="_Toc30722"/>
            <w:bookmarkStart w:id="943" w:name="_Toc26876"/>
            <w:bookmarkStart w:id="944" w:name="_Toc9987"/>
            <w:r>
              <w:rPr>
                <w:rFonts w:hint="default" w:ascii="Times New Roman" w:hAnsi="Times New Roman" w:eastAsia="宋体" w:cs="Times New Roman"/>
                <w:b w:val="0"/>
                <w:color w:val="auto"/>
                <w:sz w:val="21"/>
                <w:highlight w:val="none"/>
                <w:lang w:eastAsia="zh-CN"/>
              </w:rPr>
              <w:t>外围铁丝网围栏、外围设置警示牌</w:t>
            </w:r>
            <w:bookmarkEnd w:id="942"/>
            <w:bookmarkEnd w:id="943"/>
            <w:bookmarkEnd w:id="944"/>
          </w:p>
        </w:tc>
        <w:tc>
          <w:tcPr>
            <w:tcW w:w="860" w:type="pct"/>
            <w:tcBorders>
              <w:tl2br w:val="nil"/>
              <w:tr2bl w:val="nil"/>
            </w:tcBorders>
            <w:vAlign w:val="center"/>
          </w:tcPr>
          <w:p w14:paraId="1417C9EF">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r>
              <w:rPr>
                <w:rFonts w:hint="default" w:ascii="Times New Roman" w:hAnsi="Times New Roman" w:eastAsia="宋体" w:cs="Times New Roman"/>
                <w:b w:val="0"/>
                <w:color w:val="auto"/>
                <w:sz w:val="21"/>
                <w:highlight w:val="none"/>
                <w:lang w:eastAsia="zh-CN"/>
              </w:rPr>
              <w:t>20</w:t>
            </w:r>
          </w:p>
        </w:tc>
      </w:tr>
      <w:tr w14:paraId="7C14C2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9" w:type="pct"/>
            <w:vMerge w:val="continue"/>
            <w:tcBorders>
              <w:tl2br w:val="nil"/>
              <w:tr2bl w:val="nil"/>
            </w:tcBorders>
            <w:vAlign w:val="center"/>
          </w:tcPr>
          <w:p w14:paraId="767DCEEE">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p>
        </w:tc>
        <w:tc>
          <w:tcPr>
            <w:tcW w:w="948" w:type="pct"/>
            <w:tcBorders>
              <w:tl2br w:val="nil"/>
              <w:tr2bl w:val="nil"/>
            </w:tcBorders>
            <w:vAlign w:val="center"/>
          </w:tcPr>
          <w:p w14:paraId="09CE3717">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bookmarkStart w:id="945" w:name="_Toc29309"/>
            <w:bookmarkStart w:id="946" w:name="_Toc8873"/>
            <w:bookmarkStart w:id="947" w:name="_Toc23140"/>
            <w:r>
              <w:rPr>
                <w:rFonts w:hint="default" w:ascii="Times New Roman" w:hAnsi="Times New Roman" w:eastAsia="宋体" w:cs="Times New Roman"/>
                <w:b w:val="0"/>
                <w:color w:val="auto"/>
                <w:sz w:val="21"/>
                <w:highlight w:val="none"/>
                <w:lang w:eastAsia="zh-CN"/>
              </w:rPr>
              <w:t>矿山闭矿后地面治理</w:t>
            </w:r>
            <w:bookmarkEnd w:id="945"/>
            <w:bookmarkEnd w:id="946"/>
            <w:bookmarkEnd w:id="947"/>
          </w:p>
        </w:tc>
        <w:tc>
          <w:tcPr>
            <w:tcW w:w="2681" w:type="pct"/>
            <w:tcBorders>
              <w:tl2br w:val="nil"/>
              <w:tr2bl w:val="nil"/>
            </w:tcBorders>
            <w:vAlign w:val="center"/>
          </w:tcPr>
          <w:p w14:paraId="2558D784">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bookmarkStart w:id="948" w:name="_Toc10132"/>
            <w:bookmarkStart w:id="949" w:name="_Toc17436"/>
            <w:bookmarkStart w:id="950" w:name="_Toc14480"/>
            <w:r>
              <w:rPr>
                <w:rFonts w:hint="default" w:ascii="Times New Roman" w:hAnsi="Times New Roman" w:eastAsia="宋体" w:cs="Times New Roman"/>
                <w:b w:val="0"/>
                <w:color w:val="auto"/>
                <w:sz w:val="21"/>
                <w:highlight w:val="none"/>
                <w:lang w:eastAsia="zh-CN"/>
              </w:rPr>
              <w:t>尾矿库闭库，工业广场建筑设施拆除、清理</w:t>
            </w:r>
            <w:bookmarkEnd w:id="948"/>
            <w:bookmarkEnd w:id="949"/>
            <w:bookmarkEnd w:id="950"/>
          </w:p>
        </w:tc>
        <w:tc>
          <w:tcPr>
            <w:tcW w:w="860" w:type="pct"/>
            <w:tcBorders>
              <w:tl2br w:val="nil"/>
              <w:tr2bl w:val="nil"/>
            </w:tcBorders>
            <w:vAlign w:val="center"/>
          </w:tcPr>
          <w:p w14:paraId="16BF4300">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val="en-US" w:eastAsia="zh-CN"/>
              </w:rPr>
            </w:pPr>
            <w:r>
              <w:rPr>
                <w:rFonts w:hint="eastAsia" w:ascii="Times New Roman" w:hAnsi="Times New Roman" w:eastAsia="宋体" w:cs="Times New Roman"/>
                <w:b w:val="0"/>
                <w:color w:val="auto"/>
                <w:sz w:val="21"/>
                <w:highlight w:val="none"/>
                <w:lang w:val="en-US" w:eastAsia="zh-CN"/>
              </w:rPr>
              <w:t>100</w:t>
            </w:r>
          </w:p>
        </w:tc>
      </w:tr>
      <w:tr w14:paraId="5155C6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57" w:type="pct"/>
            <w:gridSpan w:val="2"/>
            <w:tcBorders>
              <w:tl2br w:val="nil"/>
              <w:tr2bl w:val="nil"/>
            </w:tcBorders>
            <w:vAlign w:val="center"/>
          </w:tcPr>
          <w:p w14:paraId="7934973C">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bookmarkStart w:id="951" w:name="_Toc29484"/>
            <w:bookmarkStart w:id="952" w:name="_Toc25323"/>
            <w:bookmarkStart w:id="953" w:name="_Toc28636"/>
            <w:r>
              <w:rPr>
                <w:rFonts w:hint="default" w:ascii="Times New Roman" w:hAnsi="Times New Roman" w:eastAsia="宋体" w:cs="Times New Roman"/>
                <w:b w:val="0"/>
                <w:color w:val="auto"/>
                <w:sz w:val="21"/>
                <w:highlight w:val="none"/>
                <w:lang w:eastAsia="zh-CN"/>
              </w:rPr>
              <w:t>合计</w:t>
            </w:r>
            <w:bookmarkEnd w:id="951"/>
            <w:bookmarkEnd w:id="952"/>
            <w:bookmarkEnd w:id="953"/>
          </w:p>
        </w:tc>
        <w:tc>
          <w:tcPr>
            <w:tcW w:w="2681" w:type="pct"/>
            <w:tcBorders>
              <w:tl2br w:val="nil"/>
              <w:tr2bl w:val="nil"/>
            </w:tcBorders>
            <w:vAlign w:val="center"/>
          </w:tcPr>
          <w:p w14:paraId="63E853E0">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eastAsia="zh-CN"/>
              </w:rPr>
            </w:pPr>
            <w:bookmarkStart w:id="954" w:name="_Toc24750"/>
            <w:bookmarkStart w:id="955" w:name="_Toc6568"/>
            <w:bookmarkStart w:id="956" w:name="_Toc31786"/>
            <w:r>
              <w:rPr>
                <w:rFonts w:hint="default" w:ascii="Times New Roman" w:hAnsi="Times New Roman" w:eastAsia="宋体" w:cs="Times New Roman"/>
                <w:b w:val="0"/>
                <w:color w:val="auto"/>
                <w:sz w:val="21"/>
                <w:highlight w:val="none"/>
                <w:lang w:eastAsia="zh-CN"/>
              </w:rPr>
              <w:t>/</w:t>
            </w:r>
            <w:bookmarkEnd w:id="954"/>
            <w:bookmarkEnd w:id="955"/>
            <w:bookmarkEnd w:id="956"/>
          </w:p>
        </w:tc>
        <w:tc>
          <w:tcPr>
            <w:tcW w:w="860" w:type="pct"/>
            <w:tcBorders>
              <w:tl2br w:val="nil"/>
              <w:tr2bl w:val="nil"/>
            </w:tcBorders>
            <w:vAlign w:val="center"/>
          </w:tcPr>
          <w:p w14:paraId="0E91C87E">
            <w:pPr>
              <w:pStyle w:val="54"/>
              <w:widowControl w:val="0"/>
              <w:spacing w:after="0" w:line="360" w:lineRule="exact"/>
              <w:ind w:firstLine="0" w:firstLineChars="0"/>
              <w:outlineLvl w:val="9"/>
              <w:rPr>
                <w:rFonts w:hint="default" w:ascii="Times New Roman" w:hAnsi="Times New Roman" w:eastAsia="宋体" w:cs="Times New Roman"/>
                <w:b w:val="0"/>
                <w:color w:val="auto"/>
                <w:sz w:val="21"/>
                <w:highlight w:val="none"/>
                <w:lang w:val="en-US" w:eastAsia="zh-CN"/>
              </w:rPr>
            </w:pPr>
            <w:r>
              <w:rPr>
                <w:rFonts w:hint="eastAsia" w:ascii="Times New Roman" w:hAnsi="Times New Roman" w:eastAsia="宋体" w:cs="Times New Roman"/>
                <w:b w:val="0"/>
                <w:color w:val="auto"/>
                <w:sz w:val="21"/>
                <w:highlight w:val="none"/>
                <w:lang w:val="en-US" w:eastAsia="zh-CN"/>
              </w:rPr>
              <w:t>1163</w:t>
            </w:r>
          </w:p>
        </w:tc>
      </w:tr>
    </w:tbl>
    <w:p w14:paraId="5A48AFB3">
      <w:pPr>
        <w:overflowPunct w:val="0"/>
        <w:topLinePunct/>
        <w:spacing w:line="480" w:lineRule="atLeast"/>
        <w:ind w:firstLine="480"/>
        <w:rPr>
          <w:rFonts w:hint="default" w:ascii="Times New Roman" w:hAnsi="Times New Roman" w:cs="Times New Roman"/>
          <w:color w:val="auto"/>
          <w:szCs w:val="20"/>
          <w:highlight w:val="none"/>
        </w:rPr>
      </w:pPr>
      <w:r>
        <w:rPr>
          <w:rFonts w:hint="default" w:ascii="Times New Roman" w:hAnsi="Times New Roman" w:cs="Times New Roman"/>
          <w:color w:val="auto"/>
          <w:highlight w:val="none"/>
        </w:rPr>
        <w:t>本项目建设总投资</w:t>
      </w:r>
      <w:r>
        <w:rPr>
          <w:rFonts w:hint="default" w:ascii="Times New Roman" w:hAnsi="Times New Roman" w:cs="Times New Roman"/>
          <w:color w:val="auto"/>
          <w:highlight w:val="none"/>
          <w:lang w:val="en-US" w:eastAsia="zh-CN"/>
        </w:rPr>
        <w:t>17672.96</w:t>
      </w:r>
      <w:r>
        <w:rPr>
          <w:rFonts w:hint="default" w:ascii="Times New Roman" w:hAnsi="Times New Roman" w:cs="Times New Roman"/>
          <w:color w:val="auto"/>
          <w:highlight w:val="none"/>
        </w:rPr>
        <w:t>万元。其中环保投资为</w:t>
      </w:r>
      <w:r>
        <w:rPr>
          <w:rFonts w:hint="eastAsia" w:cs="Times New Roman"/>
          <w:color w:val="auto"/>
          <w:highlight w:val="none"/>
          <w:lang w:val="en-US" w:eastAsia="zh-CN"/>
        </w:rPr>
        <w:t>1163</w:t>
      </w:r>
      <w:r>
        <w:rPr>
          <w:rFonts w:hint="default" w:ascii="Times New Roman" w:hAnsi="Times New Roman" w:cs="Times New Roman"/>
          <w:color w:val="auto"/>
          <w:highlight w:val="none"/>
        </w:rPr>
        <w:t>万元，占总投资的</w:t>
      </w:r>
      <w:r>
        <w:rPr>
          <w:rFonts w:hint="eastAsia" w:cs="Times New Roman"/>
          <w:color w:val="auto"/>
          <w:highlight w:val="none"/>
          <w:lang w:val="en-US" w:eastAsia="zh-CN"/>
        </w:rPr>
        <w:t>6.58</w:t>
      </w:r>
      <w:r>
        <w:rPr>
          <w:rFonts w:hint="default" w:ascii="Times New Roman" w:hAnsi="Times New Roman" w:cs="Times New Roman"/>
          <w:color w:val="auto"/>
          <w:highlight w:val="none"/>
        </w:rPr>
        <w:t>%。</w:t>
      </w:r>
    </w:p>
    <w:p w14:paraId="58E4CCCA">
      <w:pPr>
        <w:pStyle w:val="3"/>
        <w:rPr>
          <w:rFonts w:hint="default" w:ascii="Times New Roman" w:hAnsi="Times New Roman" w:cs="Times New Roman" w:eastAsiaTheme="minorEastAsia"/>
          <w:color w:val="auto"/>
          <w:highlight w:val="none"/>
        </w:rPr>
      </w:pPr>
      <w:bookmarkStart w:id="957" w:name="_Toc12992"/>
      <w:bookmarkStart w:id="958" w:name="_Toc9241"/>
      <w:bookmarkStart w:id="959" w:name="_Toc20963"/>
      <w:bookmarkStart w:id="960" w:name="_Toc107414675"/>
      <w:bookmarkStart w:id="961" w:name="_Toc1610"/>
      <w:bookmarkStart w:id="962" w:name="_Toc107413908"/>
      <w:bookmarkStart w:id="963" w:name="_Toc11263"/>
      <w:r>
        <w:rPr>
          <w:rFonts w:hint="default" w:ascii="Times New Roman" w:hAnsi="Times New Roman" w:cs="Times New Roman" w:eastAsiaTheme="minorEastAsia"/>
          <w:color w:val="auto"/>
          <w:highlight w:val="none"/>
        </w:rPr>
        <w:t>7.4</w:t>
      </w:r>
      <w:bookmarkEnd w:id="878"/>
      <w:bookmarkEnd w:id="879"/>
      <w:bookmarkEnd w:id="880"/>
      <w:bookmarkEnd w:id="881"/>
      <w:bookmarkEnd w:id="882"/>
      <w:r>
        <w:rPr>
          <w:rFonts w:hint="default" w:ascii="Times New Roman" w:hAnsi="Times New Roman" w:cs="Times New Roman" w:eastAsiaTheme="minorEastAsia"/>
          <w:color w:val="auto"/>
          <w:highlight w:val="none"/>
        </w:rPr>
        <w:t>结论</w:t>
      </w:r>
      <w:bookmarkEnd w:id="883"/>
      <w:bookmarkEnd w:id="884"/>
      <w:bookmarkEnd w:id="957"/>
      <w:bookmarkEnd w:id="958"/>
      <w:bookmarkEnd w:id="959"/>
      <w:bookmarkEnd w:id="960"/>
      <w:bookmarkEnd w:id="961"/>
      <w:bookmarkEnd w:id="962"/>
      <w:bookmarkEnd w:id="963"/>
    </w:p>
    <w:p w14:paraId="24A5666B">
      <w:pPr>
        <w:pStyle w:val="43"/>
        <w:overflowPunct w:val="0"/>
        <w:topLinePunct/>
        <w:spacing w:line="480" w:lineRule="atLeast"/>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综上所述，本项目具有较好的经济效益和社会效益，同时也对环境产生负面影响较小。但一定要重视建设项目的环境保护工作，落实环境保护治理投资。尽管环保设施投资所产生的直接经济效益不明显，却获得了较好的环境效益和社会效益，其长期效益是显著的。</w:t>
      </w:r>
    </w:p>
    <w:p w14:paraId="206C5795">
      <w:pPr>
        <w:pStyle w:val="43"/>
        <w:overflowPunct w:val="0"/>
        <w:topLinePunct/>
        <w:spacing w:line="480" w:lineRule="atLeast"/>
        <w:ind w:firstLine="480"/>
        <w:rPr>
          <w:rFonts w:hint="default" w:ascii="Times New Roman" w:hAnsi="Times New Roman" w:cs="Times New Roman"/>
          <w:color w:val="auto"/>
          <w:szCs w:val="24"/>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40544FE">
      <w:pPr>
        <w:pStyle w:val="2"/>
        <w:spacing w:line="720" w:lineRule="exact"/>
        <w:rPr>
          <w:rFonts w:hint="default" w:ascii="Times New Roman" w:hAnsi="Times New Roman" w:cs="Times New Roman"/>
          <w:color w:val="auto"/>
          <w:highlight w:val="none"/>
        </w:rPr>
      </w:pPr>
      <w:bookmarkStart w:id="964" w:name="_Toc8512"/>
      <w:bookmarkStart w:id="965" w:name="_Toc107414676"/>
      <w:bookmarkStart w:id="966" w:name="_Toc25365"/>
      <w:bookmarkStart w:id="967" w:name="_Toc107413909"/>
      <w:bookmarkStart w:id="968" w:name="_Toc17678"/>
      <w:bookmarkStart w:id="969" w:name="_Toc10256"/>
      <w:bookmarkStart w:id="970" w:name="_Toc32202"/>
      <w:r>
        <w:rPr>
          <w:rFonts w:hint="default" w:ascii="Times New Roman" w:hAnsi="Times New Roman" w:cs="Times New Roman"/>
          <w:color w:val="auto"/>
          <w:highlight w:val="none"/>
        </w:rPr>
        <w:t>8环境管理与监测计划</w:t>
      </w:r>
      <w:bookmarkEnd w:id="964"/>
      <w:bookmarkEnd w:id="965"/>
      <w:bookmarkEnd w:id="966"/>
      <w:bookmarkEnd w:id="967"/>
      <w:bookmarkEnd w:id="968"/>
      <w:bookmarkEnd w:id="969"/>
      <w:bookmarkEnd w:id="970"/>
    </w:p>
    <w:p w14:paraId="6BFA22CC">
      <w:pPr>
        <w:pStyle w:val="3"/>
        <w:rPr>
          <w:rFonts w:hint="default" w:ascii="Times New Roman" w:hAnsi="Times New Roman" w:cs="Times New Roman"/>
          <w:color w:val="auto"/>
          <w:highlight w:val="none"/>
        </w:rPr>
      </w:pPr>
      <w:bookmarkStart w:id="971" w:name="_Toc107414677"/>
      <w:bookmarkStart w:id="972" w:name="_Toc107413910"/>
      <w:bookmarkStart w:id="973" w:name="_Toc31363"/>
      <w:bookmarkStart w:id="974" w:name="_Toc2909"/>
      <w:bookmarkStart w:id="975" w:name="_Toc15335"/>
      <w:bookmarkStart w:id="976" w:name="_Toc29094"/>
      <w:bookmarkStart w:id="977" w:name="_Toc21186"/>
      <w:bookmarkStart w:id="978" w:name="_Toc483589667"/>
      <w:bookmarkStart w:id="979" w:name="_Toc22224"/>
      <w:bookmarkStart w:id="980" w:name="_Toc20113"/>
      <w:r>
        <w:rPr>
          <w:rFonts w:hint="default" w:ascii="Times New Roman" w:hAnsi="Times New Roman" w:cs="Times New Roman"/>
          <w:color w:val="auto"/>
          <w:highlight w:val="none"/>
        </w:rPr>
        <w:t>8.1建设项目环境管理</w:t>
      </w:r>
      <w:bookmarkEnd w:id="971"/>
      <w:bookmarkEnd w:id="972"/>
      <w:bookmarkEnd w:id="973"/>
      <w:bookmarkEnd w:id="974"/>
      <w:bookmarkEnd w:id="975"/>
      <w:bookmarkEnd w:id="976"/>
      <w:bookmarkEnd w:id="977"/>
      <w:bookmarkEnd w:id="978"/>
      <w:bookmarkEnd w:id="979"/>
      <w:bookmarkEnd w:id="980"/>
    </w:p>
    <w:p w14:paraId="56A02B32">
      <w:pPr>
        <w:overflowPunct w:val="0"/>
        <w:topLinePunct/>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环境管理是现代企业管理制度的重要内容之一。通过实行全面、系统的环境管理使企业的各环境因素得到有效控制，更重要的是通过落实环境计划和环境政策对企业的环境状况进行调控，以达到改善环境绩效的目的。</w:t>
      </w:r>
    </w:p>
    <w:p w14:paraId="7BDE1A53">
      <w:pPr>
        <w:overflowPunct w:val="0"/>
        <w:topLinePunct/>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企业环境管理涉及的范围包括：企业发展规划的制定、基础设施建设、环境目标制定等各项环境管理、环境监督活动等。目前企业的环境管理比较薄弱，人员配置和管理制度还不完善，针对企业存在的主要环境问题，环境管理应包括以下具体内容：</w:t>
      </w:r>
    </w:p>
    <w:p w14:paraId="294E9FAE">
      <w:pPr>
        <w:pStyle w:val="4"/>
        <w:rPr>
          <w:rFonts w:hint="default" w:ascii="Times New Roman" w:hAnsi="Times New Roman" w:cs="Times New Roman"/>
          <w:color w:val="auto"/>
          <w:highlight w:val="none"/>
        </w:rPr>
      </w:pPr>
      <w:bookmarkStart w:id="981" w:name="_Toc28996"/>
      <w:bookmarkStart w:id="982" w:name="_Toc1591"/>
      <w:bookmarkStart w:id="983" w:name="_Toc14972"/>
      <w:bookmarkStart w:id="984" w:name="_Toc6110"/>
      <w:r>
        <w:rPr>
          <w:rFonts w:hint="default" w:ascii="Times New Roman" w:hAnsi="Times New Roman" w:cs="Times New Roman"/>
          <w:color w:val="auto"/>
          <w:highlight w:val="none"/>
        </w:rPr>
        <w:t>8.1.1环境管理依据</w:t>
      </w:r>
      <w:bookmarkEnd w:id="981"/>
      <w:bookmarkEnd w:id="982"/>
      <w:bookmarkEnd w:id="983"/>
      <w:bookmarkEnd w:id="984"/>
    </w:p>
    <w:p w14:paraId="284BE4AF">
      <w:pPr>
        <w:overflowPunct w:val="0"/>
        <w:topLinePunct/>
        <w:ind w:firstLine="480"/>
        <w:jc w:val="left"/>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环境管理是运用计划、组织、协调、控制、监督等手段，为达到预期</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"http://baike.baidu.com/view/630548.htm" </w:instrText>
      </w:r>
      <w:r>
        <w:rPr>
          <w:rFonts w:hint="default" w:ascii="Times New Roman" w:hAnsi="Times New Roman" w:cs="Times New Roman"/>
          <w:color w:val="auto"/>
          <w:highlight w:val="none"/>
        </w:rPr>
        <w:fldChar w:fldCharType="separate"/>
      </w:r>
      <w:r>
        <w:rPr>
          <w:rFonts w:hint="default" w:ascii="Times New Roman" w:hAnsi="Times New Roman" w:cs="Times New Roman" w:eastAsiaTheme="minorEastAsia"/>
          <w:color w:val="auto"/>
          <w:szCs w:val="21"/>
          <w:highlight w:val="none"/>
        </w:rPr>
        <w:t>环境目标</w:t>
      </w:r>
      <w:r>
        <w:rPr>
          <w:rFonts w:hint="default" w:ascii="Times New Roman" w:hAnsi="Times New Roman" w:cs="Times New Roman" w:eastAsiaTheme="minorEastAsia"/>
          <w:color w:val="auto"/>
          <w:szCs w:val="21"/>
          <w:highlight w:val="none"/>
        </w:rPr>
        <w:fldChar w:fldCharType="end"/>
      </w:r>
      <w:r>
        <w:rPr>
          <w:rFonts w:hint="default" w:ascii="Times New Roman" w:hAnsi="Times New Roman" w:cs="Times New Roman" w:eastAsiaTheme="minorEastAsia"/>
          <w:color w:val="auto"/>
          <w:szCs w:val="21"/>
          <w:highlight w:val="none"/>
        </w:rPr>
        <w:t>而进行的一项综合性活动。根据《中华人民共和国</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"http://baike.baidu.com/view/9724.htm" </w:instrText>
      </w:r>
      <w:r>
        <w:rPr>
          <w:rFonts w:hint="default" w:ascii="Times New Roman" w:hAnsi="Times New Roman" w:cs="Times New Roman"/>
          <w:color w:val="auto"/>
          <w:highlight w:val="none"/>
        </w:rPr>
        <w:fldChar w:fldCharType="separate"/>
      </w:r>
      <w:r>
        <w:rPr>
          <w:rFonts w:hint="default" w:ascii="Times New Roman" w:hAnsi="Times New Roman" w:cs="Times New Roman" w:eastAsiaTheme="minorEastAsia"/>
          <w:color w:val="auto"/>
          <w:szCs w:val="21"/>
          <w:highlight w:val="none"/>
        </w:rPr>
        <w:t>环境保护</w:t>
      </w:r>
      <w:r>
        <w:rPr>
          <w:rFonts w:hint="default" w:ascii="Times New Roman" w:hAnsi="Times New Roman" w:cs="Times New Roman" w:eastAsiaTheme="minorEastAsia"/>
          <w:color w:val="auto"/>
          <w:szCs w:val="21"/>
          <w:highlight w:val="none"/>
        </w:rPr>
        <w:fldChar w:fldCharType="end"/>
      </w:r>
      <w:r>
        <w:rPr>
          <w:rFonts w:hint="default" w:ascii="Times New Roman" w:hAnsi="Times New Roman" w:cs="Times New Roman" w:eastAsiaTheme="minorEastAsia"/>
          <w:color w:val="auto"/>
          <w:szCs w:val="21"/>
          <w:highlight w:val="none"/>
        </w:rPr>
        <w:t>法》规定，</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"http://baike.baidu.com/view/17491.htm" </w:instrText>
      </w:r>
      <w:r>
        <w:rPr>
          <w:rFonts w:hint="default" w:ascii="Times New Roman" w:hAnsi="Times New Roman" w:cs="Times New Roman"/>
          <w:color w:val="auto"/>
          <w:highlight w:val="none"/>
        </w:rPr>
        <w:fldChar w:fldCharType="separate"/>
      </w:r>
      <w:r>
        <w:rPr>
          <w:rFonts w:hint="default" w:ascii="Times New Roman" w:hAnsi="Times New Roman" w:cs="Times New Roman" w:eastAsiaTheme="minorEastAsia"/>
          <w:color w:val="auto"/>
          <w:szCs w:val="21"/>
          <w:highlight w:val="none"/>
        </w:rPr>
        <w:t>国务院</w:t>
      </w:r>
      <w:r>
        <w:rPr>
          <w:rFonts w:hint="default" w:ascii="Times New Roman" w:hAnsi="Times New Roman" w:cs="Times New Roman" w:eastAsiaTheme="minorEastAsia"/>
          <w:color w:val="auto"/>
          <w:szCs w:val="21"/>
          <w:highlight w:val="none"/>
        </w:rPr>
        <w:fldChar w:fldCharType="end"/>
      </w:r>
      <w:r>
        <w:rPr>
          <w:rFonts w:hint="default" w:ascii="Times New Roman" w:hAnsi="Times New Roman" w:cs="Times New Roman" w:eastAsiaTheme="minorEastAsia"/>
          <w:color w:val="auto"/>
          <w:szCs w:val="21"/>
          <w:highlight w:val="none"/>
        </w:rPr>
        <w:t>环境保护行政主管部门对全国环境保护工作实施统一监督管理。</w:t>
      </w:r>
    </w:p>
    <w:p w14:paraId="15F604B4">
      <w:pPr>
        <w:overflowPunct w:val="0"/>
        <w:topLinePunct/>
        <w:ind w:firstLine="480"/>
        <w:jc w:val="left"/>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《中华人民共和国环境保护法》第四章对我国长期以来实行的行之有效的环境</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"http://baike.baidu.com/view/673434.htm" </w:instrText>
      </w:r>
      <w:r>
        <w:rPr>
          <w:rFonts w:hint="default" w:ascii="Times New Roman" w:hAnsi="Times New Roman" w:cs="Times New Roman"/>
          <w:color w:val="auto"/>
          <w:highlight w:val="none"/>
        </w:rPr>
        <w:fldChar w:fldCharType="separate"/>
      </w:r>
      <w:r>
        <w:rPr>
          <w:rFonts w:hint="default" w:ascii="Times New Roman" w:hAnsi="Times New Roman" w:cs="Times New Roman" w:eastAsiaTheme="minorEastAsia"/>
          <w:color w:val="auto"/>
          <w:szCs w:val="21"/>
          <w:highlight w:val="none"/>
        </w:rPr>
        <w:t>管理制度</w:t>
      </w:r>
      <w:r>
        <w:rPr>
          <w:rFonts w:hint="default" w:ascii="Times New Roman" w:hAnsi="Times New Roman" w:cs="Times New Roman" w:eastAsiaTheme="minorEastAsia"/>
          <w:color w:val="auto"/>
          <w:szCs w:val="21"/>
          <w:highlight w:val="none"/>
        </w:rPr>
        <w:fldChar w:fldCharType="end"/>
      </w:r>
      <w:r>
        <w:rPr>
          <w:rFonts w:hint="default" w:ascii="Times New Roman" w:hAnsi="Times New Roman" w:cs="Times New Roman" w:eastAsiaTheme="minorEastAsia"/>
          <w:color w:val="auto"/>
          <w:szCs w:val="21"/>
          <w:highlight w:val="none"/>
        </w:rPr>
        <w:t>进行了总结，并作出了11条规定。本次环境管理内容及制度均依据《中华人民共和国环境保护法》的规定严格</w:t>
      </w:r>
      <w:r>
        <w:rPr>
          <w:rFonts w:hint="eastAsia" w:cs="Times New Roman" w:eastAsiaTheme="minorEastAsia"/>
          <w:color w:val="auto"/>
          <w:szCs w:val="21"/>
          <w:highlight w:val="none"/>
          <w:lang w:eastAsia="zh-CN"/>
        </w:rPr>
        <w:t>制定</w:t>
      </w:r>
      <w:r>
        <w:rPr>
          <w:rFonts w:hint="default" w:ascii="Times New Roman" w:hAnsi="Times New Roman" w:cs="Times New Roman" w:eastAsiaTheme="minorEastAsia"/>
          <w:color w:val="auto"/>
          <w:szCs w:val="21"/>
          <w:highlight w:val="none"/>
        </w:rPr>
        <w:t>和执行。</w:t>
      </w:r>
    </w:p>
    <w:p w14:paraId="38B07295">
      <w:pPr>
        <w:pStyle w:val="4"/>
        <w:rPr>
          <w:rFonts w:hint="default" w:ascii="Times New Roman" w:hAnsi="Times New Roman" w:cs="Times New Roman"/>
          <w:color w:val="auto"/>
          <w:highlight w:val="none"/>
        </w:rPr>
      </w:pPr>
      <w:bookmarkStart w:id="985" w:name="_Toc11179"/>
      <w:bookmarkStart w:id="986" w:name="_Toc25378"/>
      <w:bookmarkStart w:id="987" w:name="_Toc21330"/>
      <w:bookmarkStart w:id="988" w:name="_Toc12770"/>
      <w:r>
        <w:rPr>
          <w:rFonts w:hint="default" w:ascii="Times New Roman" w:hAnsi="Times New Roman" w:cs="Times New Roman"/>
          <w:color w:val="auto"/>
          <w:highlight w:val="none"/>
        </w:rPr>
        <w:t>8.1.2环境管理的目的及任务</w:t>
      </w:r>
      <w:bookmarkEnd w:id="985"/>
      <w:bookmarkEnd w:id="986"/>
      <w:bookmarkEnd w:id="987"/>
      <w:bookmarkEnd w:id="988"/>
    </w:p>
    <w:p w14:paraId="051CD031">
      <w:pPr>
        <w:widowControl/>
        <w:overflowPunct w:val="0"/>
        <w:topLinePunct/>
        <w:ind w:firstLine="480"/>
        <w:jc w:val="left"/>
        <w:rPr>
          <w:rFonts w:hint="default" w:ascii="Times New Roman" w:hAnsi="Times New Roman" w:cs="Times New Roman"/>
          <w:color w:val="auto"/>
          <w:kern w:val="0"/>
          <w:szCs w:val="21"/>
          <w:highlight w:val="none"/>
        </w:rPr>
      </w:pPr>
      <w:bookmarkStart w:id="989" w:name="_Toc99975509"/>
      <w:bookmarkStart w:id="990" w:name="_Toc99950977"/>
      <w:bookmarkStart w:id="991" w:name="_Toc21951"/>
      <w:bookmarkStart w:id="992" w:name="_Toc12054"/>
      <w:bookmarkStart w:id="993" w:name="_Toc149680834"/>
      <w:bookmarkStart w:id="994" w:name="_Toc168317239"/>
      <w:bookmarkStart w:id="995" w:name="_Toc149680597"/>
      <w:bookmarkStart w:id="996" w:name="_Toc170970694"/>
      <w:bookmarkStart w:id="997" w:name="_Toc164774412"/>
      <w:bookmarkStart w:id="998" w:name="_Toc153689586"/>
      <w:bookmarkStart w:id="999" w:name="_Toc170869098"/>
      <w:bookmarkStart w:id="1000" w:name="_Toc179653310"/>
      <w:bookmarkStart w:id="1001" w:name="_Toc180891809"/>
      <w:bookmarkStart w:id="1002" w:name="_Toc179522850"/>
      <w:bookmarkStart w:id="1003" w:name="_Toc172698697"/>
      <w:bookmarkStart w:id="1004" w:name="_Toc187800072"/>
      <w:bookmarkStart w:id="1005" w:name="_Toc245882805"/>
      <w:r>
        <w:rPr>
          <w:rFonts w:hint="default" w:ascii="Times New Roman" w:hAnsi="Times New Roman" w:cs="Times New Roman"/>
          <w:color w:val="auto"/>
          <w:kern w:val="0"/>
          <w:szCs w:val="21"/>
          <w:highlight w:val="none"/>
        </w:rPr>
        <w:t>1、环境管理的目的</w:t>
      </w:r>
    </w:p>
    <w:p w14:paraId="6287B0C2">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环境管理是环境保护工作的重要内容之一，是现代企业管理的重要组成部分，与企业内部生产管理、劳动管理、财务管理、安全管理同等重要。</w:t>
      </w:r>
      <w:bookmarkEnd w:id="989"/>
      <w:bookmarkEnd w:id="990"/>
    </w:p>
    <w:p w14:paraId="56AACC89">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随着国家环境管理力度的加强，环保</w:t>
      </w:r>
      <w:r>
        <w:rPr>
          <w:rFonts w:hint="eastAsia" w:cs="Times New Roman"/>
          <w:color w:val="auto"/>
          <w:kern w:val="0"/>
          <w:szCs w:val="21"/>
          <w:highlight w:val="none"/>
          <w:lang w:eastAsia="zh-CN"/>
        </w:rPr>
        <w:t>法律法规</w:t>
      </w:r>
      <w:r>
        <w:rPr>
          <w:rFonts w:hint="default" w:ascii="Times New Roman" w:hAnsi="Times New Roman" w:cs="Times New Roman"/>
          <w:color w:val="auto"/>
          <w:kern w:val="0"/>
          <w:szCs w:val="21"/>
          <w:highlight w:val="none"/>
        </w:rPr>
        <w:t>的完善及全民环境意识的增强，对企业环境保护工作要求也不断提高，这就</w:t>
      </w:r>
      <w:r>
        <w:rPr>
          <w:rFonts w:hint="eastAsia" w:cs="Times New Roman"/>
          <w:color w:val="auto"/>
          <w:kern w:val="0"/>
          <w:szCs w:val="21"/>
          <w:highlight w:val="none"/>
          <w:lang w:eastAsia="zh-CN"/>
        </w:rPr>
        <w:t>要求</w:t>
      </w:r>
      <w:r>
        <w:rPr>
          <w:rFonts w:hint="default" w:ascii="Times New Roman" w:hAnsi="Times New Roman" w:cs="Times New Roman"/>
          <w:color w:val="auto"/>
          <w:kern w:val="0"/>
          <w:szCs w:val="21"/>
          <w:highlight w:val="none"/>
        </w:rPr>
        <w:t>企业要加强自身环境管理机构建设，健全环境管理制度，制定环境管理职责，并将其列入企业议事日程，对企业内部生产、经营过程中发生或可能发生的环境问题进行深入细致</w:t>
      </w:r>
      <w:r>
        <w:rPr>
          <w:rFonts w:hint="eastAsia" w:cs="Times New Roman"/>
          <w:color w:val="auto"/>
          <w:kern w:val="0"/>
          <w:szCs w:val="21"/>
          <w:highlight w:val="none"/>
          <w:lang w:eastAsia="zh-CN"/>
        </w:rPr>
        <w:t>地</w:t>
      </w:r>
      <w:r>
        <w:rPr>
          <w:rFonts w:hint="default" w:ascii="Times New Roman" w:hAnsi="Times New Roman" w:cs="Times New Roman"/>
          <w:color w:val="auto"/>
          <w:kern w:val="0"/>
          <w:szCs w:val="21"/>
          <w:highlight w:val="none"/>
        </w:rPr>
        <w:t>研究，制定合理污染防治方案以达到既发展生产，增加经济效益，又保护环境的目的。</w:t>
      </w:r>
    </w:p>
    <w:p w14:paraId="4E8C8E74">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2、环境管理的任务</w:t>
      </w:r>
    </w:p>
    <w:p w14:paraId="6994AEDC">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对于项目来说，环境管理的基本任务是：控制污染物排放量，避免污染物对环境质量的损害。</w:t>
      </w:r>
    </w:p>
    <w:p w14:paraId="52A83656">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为了控制污染物的排放，就需要加强计划、生产、技术、质量、设备、劳动、财务等方面的管理，把环境管理渗透到整个企业管理中，将环境管理融合在一起，以减少从生产过程中各环节排出的污染物。</w:t>
      </w:r>
    </w:p>
    <w:p w14:paraId="21185286">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项目应该将环境管理作为工业企业管理的重要组成部分，建立环境污染管理系统、制度、环境规划、协调发展生</w:t>
      </w:r>
      <w:r>
        <w:rPr>
          <w:rFonts w:hint="eastAsia" w:cs="Times New Roman"/>
          <w:color w:val="auto"/>
          <w:kern w:val="0"/>
          <w:szCs w:val="21"/>
          <w:highlight w:val="none"/>
          <w:lang w:eastAsia="zh-CN"/>
        </w:rPr>
        <w:t>产和</w:t>
      </w:r>
      <w:r>
        <w:rPr>
          <w:rFonts w:hint="default" w:ascii="Times New Roman" w:hAnsi="Times New Roman" w:cs="Times New Roman"/>
          <w:color w:val="auto"/>
          <w:kern w:val="0"/>
          <w:szCs w:val="21"/>
          <w:highlight w:val="none"/>
        </w:rPr>
        <w:t>保护环境的关系，使生产管理系统、制度、环境污染规划协调生产与保护环境的关系，使生产目标与环境目标统一起来，经济效益与环境效益统一起来。</w:t>
      </w:r>
    </w:p>
    <w:p w14:paraId="6A2E82F2">
      <w:pPr>
        <w:pStyle w:val="4"/>
        <w:rPr>
          <w:rFonts w:hint="default" w:ascii="Times New Roman" w:hAnsi="Times New Roman" w:cs="Times New Roman"/>
          <w:color w:val="auto"/>
          <w:highlight w:val="none"/>
        </w:rPr>
      </w:pPr>
      <w:bookmarkStart w:id="1006" w:name="_Toc21074"/>
      <w:bookmarkStart w:id="1007" w:name="_Toc2616"/>
      <w:bookmarkStart w:id="1008" w:name="_Toc13368"/>
      <w:bookmarkStart w:id="1009" w:name="_Toc25678"/>
      <w:r>
        <w:rPr>
          <w:rFonts w:hint="default" w:ascii="Times New Roman" w:hAnsi="Times New Roman" w:cs="Times New Roman"/>
          <w:color w:val="auto"/>
          <w:highlight w:val="none"/>
        </w:rPr>
        <w:t>8.1.3环境管理机构</w:t>
      </w:r>
      <w:bookmarkEnd w:id="991"/>
      <w:bookmarkEnd w:id="992"/>
      <w:bookmarkEnd w:id="1006"/>
      <w:bookmarkEnd w:id="1007"/>
      <w:bookmarkEnd w:id="1008"/>
      <w:bookmarkEnd w:id="1009"/>
    </w:p>
    <w:p w14:paraId="65E043C7">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项目应成立</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事故防范和应急处理指挥小组</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和</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环保工作领导小组</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由2～3名专职管理人员组成，负责项目环保管理工作和处理环保日常事务。公司生产组织采用董事会领导下的总经理负责制，在总经理的领导下实行三级管理：一级为公司主管领导；二级为安全环保处、技术科室和环卫办；三级为各生产环节专、兼职环保人员。</w:t>
      </w:r>
    </w:p>
    <w:p w14:paraId="65EC5207">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环境管理机构的职责：</w:t>
      </w:r>
    </w:p>
    <w:p w14:paraId="6EDB33EC">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（1）贯彻执行环境污染保护法和标准；</w:t>
      </w:r>
    </w:p>
    <w:p w14:paraId="612CA227">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（2）组织制定和修改企业的环境污染保护管理体</w:t>
      </w:r>
      <w:r>
        <w:rPr>
          <w:rFonts w:hint="eastAsia" w:cs="Times New Roman"/>
          <w:color w:val="auto"/>
          <w:kern w:val="0"/>
          <w:szCs w:val="21"/>
          <w:highlight w:val="none"/>
          <w:lang w:eastAsia="zh-CN"/>
        </w:rPr>
        <w:t>制和</w:t>
      </w:r>
      <w:r>
        <w:rPr>
          <w:rFonts w:hint="default" w:ascii="Times New Roman" w:hAnsi="Times New Roman" w:cs="Times New Roman"/>
          <w:color w:val="auto"/>
          <w:kern w:val="0"/>
          <w:szCs w:val="21"/>
          <w:highlight w:val="none"/>
        </w:rPr>
        <w:t>规章制度，并监督执行；</w:t>
      </w:r>
    </w:p>
    <w:p w14:paraId="3274133A">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（3）制定并组织实施环境保护规划和标准；</w:t>
      </w:r>
    </w:p>
    <w:p w14:paraId="73B1B0C2">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（4）检查企业环境保护规划和计划；</w:t>
      </w:r>
    </w:p>
    <w:p w14:paraId="21AE2EEA">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（5）建立资料库，管理污染源监测数据及资料的收集与存档；</w:t>
      </w:r>
    </w:p>
    <w:p w14:paraId="645697C2">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（6）加强安全生产教育，制定定期维修机器设备制度；</w:t>
      </w:r>
    </w:p>
    <w:p w14:paraId="323F4D0F">
      <w:pPr>
        <w:widowControl/>
        <w:overflowPunct w:val="0"/>
        <w:topLinePunct/>
        <w:ind w:firstLine="480"/>
        <w:jc w:val="left"/>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（7）监督</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三同时</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的执行情况，尤其重视污染处理措施的运行效果</w:t>
      </w:r>
      <w:r>
        <w:rPr>
          <w:rFonts w:hint="default" w:ascii="Times New Roman" w:hAnsi="Times New Roman" w:cs="Times New Roman"/>
          <w:color w:val="auto"/>
          <w:kern w:val="0"/>
          <w:szCs w:val="21"/>
          <w:highlight w:val="none"/>
          <w:lang w:eastAsia="zh-CN"/>
        </w:rPr>
        <w:t>；</w:t>
      </w:r>
    </w:p>
    <w:p w14:paraId="2A6C9D81">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（8）监督检查环保处理设施和环保设备的运行情况；</w:t>
      </w:r>
    </w:p>
    <w:p w14:paraId="550593BB">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（9）负责企业生产过程中发生的各种环境污染事故的调查及应急处理；</w:t>
      </w:r>
    </w:p>
    <w:p w14:paraId="6AD895B2">
      <w:pPr>
        <w:widowControl/>
        <w:overflowPunct w:val="0"/>
        <w:topLinePunct/>
        <w:ind w:firstLine="480"/>
        <w:jc w:val="left"/>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（10）负责企业其他日常环境管理工作</w:t>
      </w:r>
      <w:r>
        <w:rPr>
          <w:rFonts w:hint="default" w:ascii="Times New Roman" w:hAnsi="Times New Roman" w:cs="Times New Roman"/>
          <w:color w:val="auto"/>
          <w:kern w:val="0"/>
          <w:szCs w:val="21"/>
          <w:highlight w:val="none"/>
          <w:lang w:eastAsia="zh-CN"/>
        </w:rPr>
        <w:t>；</w:t>
      </w:r>
    </w:p>
    <w:p w14:paraId="00509141">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（11）积极配合当地</w:t>
      </w:r>
      <w:r>
        <w:rPr>
          <w:rFonts w:hint="default" w:ascii="Times New Roman" w:hAnsi="Times New Roman" w:cs="Times New Roman"/>
          <w:color w:val="auto"/>
          <w:szCs w:val="21"/>
          <w:highlight w:val="none"/>
        </w:rPr>
        <w:t>生态环境主管部门</w:t>
      </w:r>
      <w:r>
        <w:rPr>
          <w:rFonts w:hint="default" w:ascii="Times New Roman" w:hAnsi="Times New Roman" w:cs="Times New Roman"/>
          <w:color w:val="auto"/>
          <w:kern w:val="0"/>
          <w:szCs w:val="21"/>
          <w:highlight w:val="none"/>
        </w:rPr>
        <w:t>的环境管理和环境监测工作。</w:t>
      </w:r>
    </w:p>
    <w:p w14:paraId="67AFF2C1">
      <w:pPr>
        <w:pStyle w:val="4"/>
        <w:rPr>
          <w:rFonts w:hint="default" w:ascii="Times New Roman" w:hAnsi="Times New Roman" w:cs="Times New Roman"/>
          <w:color w:val="auto"/>
          <w:highlight w:val="none"/>
        </w:rPr>
      </w:pPr>
      <w:bookmarkStart w:id="1010" w:name="_Toc22883"/>
      <w:bookmarkStart w:id="1011" w:name="_Toc9743"/>
      <w:bookmarkStart w:id="1012" w:name="_Toc1073"/>
      <w:bookmarkStart w:id="1013" w:name="_Toc26018"/>
      <w:r>
        <w:rPr>
          <w:rFonts w:hint="default" w:ascii="Times New Roman" w:hAnsi="Times New Roman" w:cs="Times New Roman"/>
          <w:color w:val="auto"/>
          <w:highlight w:val="none"/>
        </w:rPr>
        <w:t>8.1.4环境管理内容</w:t>
      </w:r>
      <w:bookmarkEnd w:id="1010"/>
      <w:bookmarkEnd w:id="1011"/>
      <w:bookmarkEnd w:id="1012"/>
      <w:bookmarkEnd w:id="1013"/>
    </w:p>
    <w:p w14:paraId="493D13B9">
      <w:pPr>
        <w:overflowPunct w:val="0"/>
        <w:topLinePunct/>
        <w:ind w:firstLine="480"/>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1、施工期环境管理内容</w:t>
      </w:r>
    </w:p>
    <w:p w14:paraId="776CE50C">
      <w:pPr>
        <w:overflowPunct w:val="0"/>
        <w:topLinePunct/>
        <w:ind w:firstLine="480"/>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highlight w:val="none"/>
        </w:rPr>
        <w:t>（1）</w:t>
      </w:r>
      <w:r>
        <w:rPr>
          <w:rFonts w:hint="default" w:ascii="Times New Roman" w:hAnsi="Times New Roman" w:cs="Times New Roman"/>
          <w:snapToGrid w:val="0"/>
          <w:color w:val="auto"/>
          <w:highlight w:val="none"/>
          <w:lang w:eastAsia="zh-CN"/>
        </w:rPr>
        <w:t>新疆嘉西矿业有限公司</w:t>
      </w:r>
      <w:r>
        <w:rPr>
          <w:rFonts w:hint="default" w:ascii="Times New Roman" w:hAnsi="Times New Roman" w:cs="Times New Roman"/>
          <w:snapToGrid w:val="0"/>
          <w:color w:val="auto"/>
          <w:highlight w:val="none"/>
        </w:rPr>
        <w:t>应与拟建项目的施工单位协商，将施工期环境保护责任纳入双方合同文本，要求施工单位认真落实施工的环境保护措施。</w:t>
      </w:r>
    </w:p>
    <w:p w14:paraId="2D6220DD">
      <w:pPr>
        <w:overflowPunct w:val="0"/>
        <w:topLinePunct/>
        <w:ind w:firstLine="480"/>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highlight w:val="none"/>
        </w:rPr>
        <w:t>（2）项目建设区生态环境较为脆弱，施工单位严格按照环评报告书及批复要求优化施工方案，优化施工道路建设方案，尽最大可能地减少地表扰动面积。</w:t>
      </w:r>
    </w:p>
    <w:p w14:paraId="64634BBF">
      <w:pPr>
        <w:overflowPunct w:val="0"/>
        <w:topLinePunct/>
        <w:ind w:firstLine="480"/>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highlight w:val="none"/>
        </w:rPr>
        <w:t>（3）施工单位应配备专职环境管理人员，负责各类污染源的现场监控和管理，尤其是应严格控制高噪声、高振动施工设备的施工时间；严格限制粉状物料的露天堆放；严格控制进出施工场地车辆物料遗撒。</w:t>
      </w:r>
    </w:p>
    <w:p w14:paraId="398701CC">
      <w:pPr>
        <w:overflowPunct w:val="0"/>
        <w:topLinePunct/>
        <w:ind w:firstLine="480"/>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highlight w:val="none"/>
        </w:rPr>
        <w:t>（4）专职环境管理人员应做好文明施工的宣传工作，借助宣传栏等工具对施工工人进行环境保护教育。</w:t>
      </w:r>
    </w:p>
    <w:p w14:paraId="7805D9C8">
      <w:pPr>
        <w:overflowPunct w:val="0"/>
        <w:topLinePunct/>
        <w:ind w:firstLine="480"/>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highlight w:val="none"/>
        </w:rPr>
        <w:t>（5）工程施工单位应自觉接受</w:t>
      </w:r>
      <w:r>
        <w:rPr>
          <w:rFonts w:hint="default" w:ascii="Times New Roman" w:hAnsi="Times New Roman" w:cs="Times New Roman"/>
          <w:color w:val="auto"/>
          <w:szCs w:val="21"/>
          <w:highlight w:val="none"/>
        </w:rPr>
        <w:t>生态环境主管部门</w:t>
      </w:r>
      <w:r>
        <w:rPr>
          <w:rFonts w:hint="default" w:ascii="Times New Roman" w:hAnsi="Times New Roman" w:cs="Times New Roman"/>
          <w:snapToGrid w:val="0"/>
          <w:color w:val="auto"/>
          <w:highlight w:val="none"/>
        </w:rPr>
        <w:t>的监督指导，主动配合环境保护主管部门搞好项目施工期的环境保护工作。</w:t>
      </w:r>
    </w:p>
    <w:p w14:paraId="0AB81309">
      <w:pPr>
        <w:overflowPunct w:val="0"/>
        <w:topLinePunct/>
        <w:ind w:firstLine="480"/>
        <w:rPr>
          <w:rFonts w:hint="default" w:ascii="Times New Roman" w:hAnsi="Times New Roman" w:cs="Times New Roman"/>
          <w:snapToGrid w:val="0"/>
          <w:color w:val="auto"/>
          <w:highlight w:val="none"/>
        </w:rPr>
      </w:pPr>
      <w:r>
        <w:rPr>
          <w:rFonts w:hint="default" w:ascii="Times New Roman" w:hAnsi="Times New Roman" w:cs="Times New Roman"/>
          <w:snapToGrid w:val="0"/>
          <w:color w:val="auto"/>
          <w:highlight w:val="none"/>
        </w:rPr>
        <w:t>（6）建设单位应按有关施工招标程序设置环境监理，并在当地</w:t>
      </w:r>
      <w:r>
        <w:rPr>
          <w:rFonts w:hint="default" w:ascii="Times New Roman" w:hAnsi="Times New Roman" w:cs="Times New Roman"/>
          <w:color w:val="auto"/>
          <w:szCs w:val="21"/>
          <w:highlight w:val="none"/>
        </w:rPr>
        <w:t>生态环境主管部门</w:t>
      </w:r>
      <w:r>
        <w:rPr>
          <w:rFonts w:hint="default" w:ascii="Times New Roman" w:hAnsi="Times New Roman" w:cs="Times New Roman"/>
          <w:snapToGrid w:val="0"/>
          <w:color w:val="auto"/>
          <w:highlight w:val="none"/>
        </w:rPr>
        <w:t>的监督指导下，全面、规范地进行施工期的环境监理，以确保将施工期的生态环境影响降到最低。</w:t>
      </w:r>
    </w:p>
    <w:p w14:paraId="0F46927E">
      <w:pPr>
        <w:overflowPunct w:val="0"/>
        <w:topLinePunct/>
        <w:ind w:firstLine="480"/>
        <w:jc w:val="left"/>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2、运营期环境管理内容</w:t>
      </w:r>
    </w:p>
    <w:p w14:paraId="08CDBF83">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（1）公司领导管理内容</w:t>
      </w:r>
    </w:p>
    <w:p w14:paraId="23F476EC">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①负责贯彻国家环境保护法、环境保护方针和政策。</w:t>
      </w:r>
    </w:p>
    <w:p w14:paraId="17041BF3">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②负责建立完整的环保机构，保证人员的落实。</w:t>
      </w:r>
    </w:p>
    <w:p w14:paraId="2F5EEC53">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（2）安全环保处管理内容</w:t>
      </w:r>
    </w:p>
    <w:p w14:paraId="240026C2">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①贯彻公司或上级</w:t>
      </w:r>
      <w:r>
        <w:rPr>
          <w:rFonts w:hint="default" w:ascii="Times New Roman" w:hAnsi="Times New Roman" w:cs="Times New Roman"/>
          <w:color w:val="auto"/>
          <w:szCs w:val="21"/>
          <w:highlight w:val="none"/>
        </w:rPr>
        <w:t>生态环境主管部门</w:t>
      </w:r>
      <w:r>
        <w:rPr>
          <w:rFonts w:hint="default" w:ascii="Times New Roman" w:hAnsi="Times New Roman" w:cs="Times New Roman"/>
          <w:snapToGrid w:val="0"/>
          <w:color w:val="auto"/>
          <w:kern w:val="24"/>
          <w:highlight w:val="none"/>
        </w:rPr>
        <w:t>有关的环保制度和规定。</w:t>
      </w:r>
    </w:p>
    <w:p w14:paraId="522D4738">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②汇总、编报环保年度计划及规划，并监督、检查执行情况。</w:t>
      </w:r>
    </w:p>
    <w:p w14:paraId="22DCA28E">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③制定环境质量控制指标，提出环保考核项目和经济承包有关奖罚规定。</w:t>
      </w:r>
    </w:p>
    <w:p w14:paraId="5EF7F0D8">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④参与污染事故调查，并向上级主管部门提出书面报告。</w:t>
      </w:r>
    </w:p>
    <w:p w14:paraId="7406E7A5">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⑤对污染源进行监督管理，贯彻预防为主的方针，发现问题，及时向上级主管部门汇报，下达环保整改通知书，强化管理。</w:t>
      </w:r>
    </w:p>
    <w:p w14:paraId="12368653">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⑥对环境保护的先进经验、先进技术进行推广和应用。</w:t>
      </w:r>
    </w:p>
    <w:p w14:paraId="64453C2F">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⑦对环境监测技术资料进行整理、统计、上报和存档。</w:t>
      </w:r>
    </w:p>
    <w:p w14:paraId="0E7AD649">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⑧监督公司内环保设备的日常运行情况，包括收尘设备、噪声控制设备等，每月考核一次设备的运行情况，并负责对环保设备大、中修的质量验收。</w:t>
      </w:r>
    </w:p>
    <w:p w14:paraId="41235935">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（3）环卫办管理内容</w:t>
      </w:r>
    </w:p>
    <w:p w14:paraId="6B52B89E">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①在公司领导下，做好生产区、办公区及其所属道路的绿化、美化工作。</w:t>
      </w:r>
    </w:p>
    <w:p w14:paraId="021FEFB6">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②组织安排职工参加植树等绿化及生态恢复工作。</w:t>
      </w:r>
    </w:p>
    <w:p w14:paraId="73B931CA">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③按</w:t>
      </w:r>
      <w:r>
        <w:rPr>
          <w:rFonts w:hint="eastAsia" w:cs="Times New Roman"/>
          <w:snapToGrid w:val="0"/>
          <w:color w:val="auto"/>
          <w:kern w:val="24"/>
          <w:highlight w:val="none"/>
          <w:lang w:eastAsia="zh-CN"/>
        </w:rPr>
        <w:t>“</w:t>
      </w:r>
      <w:r>
        <w:rPr>
          <w:rFonts w:hint="default" w:ascii="Times New Roman" w:hAnsi="Times New Roman" w:cs="Times New Roman"/>
          <w:snapToGrid w:val="0"/>
          <w:color w:val="auto"/>
          <w:kern w:val="24"/>
          <w:highlight w:val="none"/>
        </w:rPr>
        <w:t>门前三包卫生责任制</w:t>
      </w:r>
      <w:r>
        <w:rPr>
          <w:rFonts w:hint="eastAsia" w:cs="Times New Roman"/>
          <w:snapToGrid w:val="0"/>
          <w:color w:val="auto"/>
          <w:kern w:val="24"/>
          <w:highlight w:val="none"/>
          <w:lang w:eastAsia="zh-CN"/>
        </w:rPr>
        <w:t>”</w:t>
      </w:r>
      <w:r>
        <w:rPr>
          <w:rFonts w:hint="default" w:ascii="Times New Roman" w:hAnsi="Times New Roman" w:cs="Times New Roman"/>
          <w:snapToGrid w:val="0"/>
          <w:color w:val="auto"/>
          <w:kern w:val="24"/>
          <w:highlight w:val="none"/>
        </w:rPr>
        <w:t>，检查、督促各车间、处室做好卫生、绿化工作。</w:t>
      </w:r>
    </w:p>
    <w:p w14:paraId="5BC52DF0">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④组织做好垃圾的定点堆放和清运工作。</w:t>
      </w:r>
    </w:p>
    <w:p w14:paraId="1E240090">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⑤保证清洁人员按指定地段每日将道路清扫干净，控制路面扬尘、减少无组织排放。</w:t>
      </w:r>
    </w:p>
    <w:p w14:paraId="5729598B">
      <w:pPr>
        <w:overflowPunct w:val="0"/>
        <w:topLinePunct/>
        <w:ind w:firstLine="480"/>
        <w:jc w:val="left"/>
        <w:rPr>
          <w:rFonts w:hint="default" w:ascii="Times New Roman" w:hAnsi="Times New Roman" w:cs="Times New Roman"/>
          <w:snapToGrid w:val="0"/>
          <w:color w:val="auto"/>
          <w:kern w:val="24"/>
          <w:highlight w:val="none"/>
        </w:rPr>
      </w:pPr>
      <w:bookmarkStart w:id="1014" w:name="_Toc19637"/>
      <w:bookmarkStart w:id="1015" w:name="_Toc8987"/>
      <w:bookmarkStart w:id="1016" w:name="_Toc321501717"/>
      <w:r>
        <w:rPr>
          <w:rFonts w:hint="default" w:ascii="Times New Roman" w:hAnsi="Times New Roman" w:cs="Times New Roman"/>
          <w:snapToGrid w:val="0"/>
          <w:color w:val="auto"/>
          <w:kern w:val="24"/>
          <w:highlight w:val="none"/>
        </w:rPr>
        <w:t>（4）车间环保员管理内容</w:t>
      </w:r>
    </w:p>
    <w:p w14:paraId="44986CB2">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①各处、室、车间主管生产的领导及环保监督员，负责本单位环境保护工作。</w:t>
      </w:r>
    </w:p>
    <w:p w14:paraId="6E8771D3">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②按公司管理部门统一部署，提出本单位环保治理项目计划，报安全环保处及各职能部门。</w:t>
      </w:r>
    </w:p>
    <w:p w14:paraId="385C245E">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③负责本单位环保设施使用、管理和检查，保证环保设施处于最佳状态。每半月车间主管环保的领导和环保员</w:t>
      </w:r>
      <w:r>
        <w:rPr>
          <w:rFonts w:hint="eastAsia" w:cs="Times New Roman"/>
          <w:snapToGrid w:val="0"/>
          <w:color w:val="auto"/>
          <w:kern w:val="24"/>
          <w:highlight w:val="none"/>
          <w:lang w:eastAsia="zh-CN"/>
        </w:rPr>
        <w:t>至少</w:t>
      </w:r>
      <w:r>
        <w:rPr>
          <w:rFonts w:hint="default" w:ascii="Times New Roman" w:hAnsi="Times New Roman" w:cs="Times New Roman"/>
          <w:snapToGrid w:val="0"/>
          <w:color w:val="auto"/>
          <w:kern w:val="24"/>
          <w:highlight w:val="none"/>
        </w:rPr>
        <w:t>应对所辖范围内的环保设备工作情况进行一次巡回检查。</w:t>
      </w:r>
    </w:p>
    <w:p w14:paraId="4085F2B2">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④负责本单位各生产岗位文明生产的严格管理，为员工创造良好的工作、劳动环境。</w:t>
      </w:r>
    </w:p>
    <w:p w14:paraId="4DBFC8EE">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⑤参加公司环保会议和污染事故调查，并提出本单位出现的污染事故报告。</w:t>
      </w:r>
    </w:p>
    <w:p w14:paraId="04519157">
      <w:pPr>
        <w:overflowPunct w:val="0"/>
        <w:topLinePunct/>
        <w:ind w:firstLine="480"/>
        <w:jc w:val="left"/>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3、退役期环境管理内容</w:t>
      </w:r>
    </w:p>
    <w:p w14:paraId="6C653661">
      <w:pPr>
        <w:overflowPunct w:val="0"/>
        <w:topLinePunct/>
        <w:ind w:firstLine="480"/>
        <w:jc w:val="left"/>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退役期各管理机构主要的管理内容是监督生态恢复工作的落实，选厂、尾矿库必须按照矿山安全、地质恢复、环境保护工作的有关规定拆除无用的地面建筑物，将破坏的地表推平，对受破坏的地表恢复原貌等工作。</w:t>
      </w:r>
    </w:p>
    <w:p w14:paraId="1007A6F9">
      <w:pPr>
        <w:pStyle w:val="4"/>
        <w:rPr>
          <w:rFonts w:hint="default" w:ascii="Times New Roman" w:hAnsi="Times New Roman" w:cs="Times New Roman"/>
          <w:color w:val="auto"/>
          <w:highlight w:val="none"/>
        </w:rPr>
      </w:pPr>
      <w:bookmarkStart w:id="1017" w:name="_Toc4499"/>
      <w:bookmarkStart w:id="1018" w:name="_Toc3798"/>
      <w:bookmarkStart w:id="1019" w:name="_Toc3930"/>
      <w:bookmarkStart w:id="1020" w:name="_Toc23561"/>
      <w:r>
        <w:rPr>
          <w:rFonts w:hint="default" w:ascii="Times New Roman" w:hAnsi="Times New Roman" w:cs="Times New Roman"/>
          <w:color w:val="auto"/>
          <w:highlight w:val="none"/>
        </w:rPr>
        <w:t>8.1.5环境管理</w:t>
      </w:r>
      <w:bookmarkEnd w:id="993"/>
      <w:bookmarkEnd w:id="994"/>
      <w:bookmarkEnd w:id="995"/>
      <w:bookmarkEnd w:id="996"/>
      <w:bookmarkEnd w:id="997"/>
      <w:bookmarkEnd w:id="998"/>
      <w:bookmarkEnd w:id="999"/>
      <w:bookmarkEnd w:id="1000"/>
      <w:bookmarkEnd w:id="1001"/>
      <w:bookmarkEnd w:id="1002"/>
      <w:bookmarkEnd w:id="1003"/>
      <w:r>
        <w:rPr>
          <w:rFonts w:hint="default" w:ascii="Times New Roman" w:hAnsi="Times New Roman" w:cs="Times New Roman"/>
          <w:color w:val="auto"/>
          <w:highlight w:val="none"/>
        </w:rPr>
        <w:t>制度</w:t>
      </w:r>
      <w:bookmarkEnd w:id="1004"/>
      <w:bookmarkEnd w:id="1005"/>
      <w:bookmarkEnd w:id="1014"/>
      <w:bookmarkEnd w:id="1015"/>
      <w:bookmarkEnd w:id="1016"/>
      <w:bookmarkEnd w:id="1017"/>
      <w:bookmarkEnd w:id="1018"/>
      <w:bookmarkEnd w:id="1019"/>
      <w:bookmarkEnd w:id="1020"/>
    </w:p>
    <w:p w14:paraId="47BF37A6">
      <w:pPr>
        <w:widowControl/>
        <w:overflowPunct w:val="0"/>
        <w:topLinePunct/>
        <w:ind w:firstLine="480"/>
        <w:jc w:val="left"/>
        <w:rPr>
          <w:rFonts w:hint="default" w:ascii="Times New Roman" w:hAnsi="Times New Roman" w:cs="Times New Roman"/>
          <w:color w:val="auto"/>
          <w:kern w:val="0"/>
          <w:szCs w:val="21"/>
          <w:highlight w:val="none"/>
        </w:rPr>
      </w:pPr>
      <w:bookmarkStart w:id="1021" w:name="_Toc164774413"/>
      <w:bookmarkStart w:id="1022" w:name="_Toc168317240"/>
      <w:bookmarkStart w:id="1023" w:name="_Toc149680598"/>
      <w:bookmarkStart w:id="1024" w:name="_Toc153689587"/>
      <w:bookmarkStart w:id="1025" w:name="_Toc149680835"/>
      <w:bookmarkStart w:id="1026" w:name="_Toc180891810"/>
      <w:bookmarkStart w:id="1027" w:name="_Toc179522851"/>
      <w:bookmarkStart w:id="1028" w:name="_Toc172698698"/>
      <w:bookmarkStart w:id="1029" w:name="_Toc170970695"/>
      <w:bookmarkStart w:id="1030" w:name="_Toc179653311"/>
      <w:bookmarkStart w:id="1031" w:name="_Toc170869099"/>
      <w:r>
        <w:rPr>
          <w:rFonts w:hint="default" w:ascii="Times New Roman" w:hAnsi="Times New Roman" w:cs="Times New Roman"/>
          <w:color w:val="auto"/>
          <w:kern w:val="0"/>
          <w:szCs w:val="21"/>
          <w:highlight w:val="none"/>
        </w:rPr>
        <w:t>建立健全必要的环境管理规章制度，并把它作为企业领导和全体职工必须严格遵守的一种规范和准则，</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有规可循，执规必严</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是环境管理计划得以顺利实施的重要保证。各项规章制度要体现环境管理的任务、内容和准则，使环境管理的特点和要求渗透到企业的各项管理工作之中。</w:t>
      </w:r>
    </w:p>
    <w:p w14:paraId="27BDCC50">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最基本的环境管理制度有如下几个方面：</w:t>
      </w:r>
    </w:p>
    <w:p w14:paraId="65BCA78D">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（1）环境保护</w:t>
      </w:r>
      <w:r>
        <w:rPr>
          <w:rFonts w:hint="eastAsia" w:cs="Times New Roman"/>
          <w:color w:val="auto"/>
          <w:kern w:val="0"/>
          <w:szCs w:val="21"/>
          <w:highlight w:val="none"/>
          <w:lang w:eastAsia="zh-CN"/>
        </w:rPr>
        <w:t>管理条例</w:t>
      </w:r>
      <w:r>
        <w:rPr>
          <w:rFonts w:hint="default" w:ascii="Times New Roman" w:hAnsi="Times New Roman" w:cs="Times New Roman"/>
          <w:color w:val="auto"/>
          <w:kern w:val="0"/>
          <w:szCs w:val="21"/>
          <w:highlight w:val="none"/>
        </w:rPr>
        <w:t>；</w:t>
      </w:r>
    </w:p>
    <w:p w14:paraId="1A5FBC48">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（2）环境质量管理规程；</w:t>
      </w:r>
    </w:p>
    <w:p w14:paraId="2CBA00E8">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（3）环境管理的经济责任制；</w:t>
      </w:r>
    </w:p>
    <w:p w14:paraId="3ECEB309">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（4）环境保护业务管理制度；</w:t>
      </w:r>
    </w:p>
    <w:p w14:paraId="54DFBB77">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（5）环境管理岗位责任制；</w:t>
      </w:r>
    </w:p>
    <w:p w14:paraId="53F68A17">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（6）环境技术管理规程；</w:t>
      </w:r>
    </w:p>
    <w:p w14:paraId="4772B664">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（7）环境保护考核制度；</w:t>
      </w:r>
    </w:p>
    <w:p w14:paraId="19F25C73">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（8）污染物防治、控制措施及达标排放实施办法；</w:t>
      </w:r>
    </w:p>
    <w:p w14:paraId="4E55762C">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（9）环境污染事故管理规定；</w:t>
      </w:r>
    </w:p>
    <w:p w14:paraId="3444C6CF">
      <w:pPr>
        <w:widowControl/>
        <w:overflowPunct w:val="0"/>
        <w:topLinePunct/>
        <w:ind w:firstLine="48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（10）清洁生产审计制度。</w:t>
      </w:r>
    </w:p>
    <w:p w14:paraId="636B59F3">
      <w:pPr>
        <w:pStyle w:val="4"/>
        <w:rPr>
          <w:rFonts w:hint="default" w:ascii="Times New Roman" w:hAnsi="Times New Roman" w:cs="Times New Roman"/>
          <w:color w:val="auto"/>
          <w:highlight w:val="none"/>
        </w:rPr>
      </w:pPr>
      <w:bookmarkStart w:id="1032" w:name="_Toc27111"/>
      <w:bookmarkStart w:id="1033" w:name="_Toc762"/>
      <w:bookmarkStart w:id="1034" w:name="_Toc26711"/>
      <w:bookmarkStart w:id="1035" w:name="_Toc26322"/>
      <w:r>
        <w:rPr>
          <w:rFonts w:hint="default" w:ascii="Times New Roman" w:hAnsi="Times New Roman" w:cs="Times New Roman"/>
          <w:color w:val="auto"/>
          <w:highlight w:val="none"/>
        </w:rPr>
        <w:t>8.1.6排污口规范化</w:t>
      </w:r>
      <w:bookmarkEnd w:id="1032"/>
      <w:bookmarkEnd w:id="1033"/>
      <w:bookmarkEnd w:id="1034"/>
      <w:bookmarkEnd w:id="1035"/>
    </w:p>
    <w:p w14:paraId="479A7B15">
      <w:pPr>
        <w:overflowPunct w:val="0"/>
        <w:topLinePunct/>
        <w:ind w:firstLine="480"/>
        <w:jc w:val="both"/>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排污口是企业污染物进入环境、污染环境的通道，强化排污口的管理是实施污染物总量控制的基础工作之一，也是区域环境管理逐步实现污染物排放科学化、定量化的重要手段。具体管理原则如下：</w:t>
      </w:r>
    </w:p>
    <w:p w14:paraId="04E621FA">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（1）向环境排放的污染物的排放口必须规范化；</w:t>
      </w:r>
    </w:p>
    <w:p w14:paraId="4A9F82E1">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（2）排污口应便于采样与计量监测，便于日常现场监督检查；</w:t>
      </w:r>
    </w:p>
    <w:p w14:paraId="5BE562CF">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（3）如实向环保管理部门申报排污口数量、位置及所排放的主要污染物种类、数量、浓度、排放去向等情况；</w:t>
      </w:r>
    </w:p>
    <w:p w14:paraId="7D5ABED6">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（4）废气排气装置应设置便于采样、监测的采样孔和采样平台，设置应符合《排污单位污染物排放口监测点位设置技术规范》；</w:t>
      </w:r>
    </w:p>
    <w:p w14:paraId="17BCDC42">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（5）固体废物堆存场地要有防扬散、防流失措施。</w:t>
      </w:r>
    </w:p>
    <w:p w14:paraId="697566E9">
      <w:pPr>
        <w:overflowPunct w:val="0"/>
        <w:topLinePunct/>
        <w:ind w:firstLine="480"/>
        <w:jc w:val="left"/>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t>环境保护图形标志具体设置图形见表8.1-1。</w:t>
      </w:r>
    </w:p>
    <w:p w14:paraId="4CD0B9E8">
      <w:pPr>
        <w:rPr>
          <w:rFonts w:hint="default" w:ascii="Times New Roman" w:hAnsi="Times New Roman" w:cs="Times New Roman"/>
          <w:snapToGrid w:val="0"/>
          <w:color w:val="auto"/>
          <w:kern w:val="24"/>
          <w:highlight w:val="none"/>
        </w:rPr>
      </w:pPr>
      <w:r>
        <w:rPr>
          <w:rFonts w:hint="default" w:ascii="Times New Roman" w:hAnsi="Times New Roman" w:cs="Times New Roman"/>
          <w:snapToGrid w:val="0"/>
          <w:color w:val="auto"/>
          <w:kern w:val="24"/>
          <w:highlight w:val="none"/>
        </w:rPr>
        <w:br w:type="page"/>
      </w:r>
    </w:p>
    <w:p w14:paraId="08BFD02C">
      <w:pPr>
        <w:widowControl/>
        <w:ind w:firstLine="0" w:firstLineChars="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表8.1-1    环境保护图形标志设置图形表</w:t>
      </w:r>
    </w:p>
    <w:tbl>
      <w:tblPr>
        <w:tblStyle w:val="33"/>
        <w:tblW w:w="841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78"/>
        <w:gridCol w:w="1786"/>
        <w:gridCol w:w="1649"/>
        <w:gridCol w:w="1711"/>
        <w:gridCol w:w="1787"/>
      </w:tblGrid>
      <w:tr w14:paraId="12DF4A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78" w:type="dxa"/>
            <w:vAlign w:val="center"/>
          </w:tcPr>
          <w:p w14:paraId="07F16518">
            <w:pPr>
              <w:widowControl/>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排放口</w:t>
            </w:r>
          </w:p>
        </w:tc>
        <w:tc>
          <w:tcPr>
            <w:tcW w:w="1786" w:type="dxa"/>
            <w:vAlign w:val="center"/>
          </w:tcPr>
          <w:p w14:paraId="29CFA2AC">
            <w:pPr>
              <w:widowControl/>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废水排口</w:t>
            </w:r>
          </w:p>
        </w:tc>
        <w:tc>
          <w:tcPr>
            <w:tcW w:w="1649" w:type="dxa"/>
            <w:vAlign w:val="center"/>
          </w:tcPr>
          <w:p w14:paraId="5E2BCA1B">
            <w:pPr>
              <w:widowControl/>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废气排口</w:t>
            </w:r>
          </w:p>
        </w:tc>
        <w:tc>
          <w:tcPr>
            <w:tcW w:w="1711" w:type="dxa"/>
            <w:vAlign w:val="center"/>
          </w:tcPr>
          <w:p w14:paraId="66495B44">
            <w:pPr>
              <w:widowControl/>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固废堆场</w:t>
            </w:r>
          </w:p>
        </w:tc>
        <w:tc>
          <w:tcPr>
            <w:tcW w:w="1787" w:type="dxa"/>
            <w:vAlign w:val="center"/>
          </w:tcPr>
          <w:p w14:paraId="245F8FF4">
            <w:pPr>
              <w:widowControl/>
              <w:spacing w:line="360" w:lineRule="exact"/>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噪声源</w:t>
            </w:r>
          </w:p>
        </w:tc>
      </w:tr>
      <w:tr w14:paraId="5FC198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82" w:hRule="atLeast"/>
          <w:jc w:val="center"/>
        </w:trPr>
        <w:tc>
          <w:tcPr>
            <w:tcW w:w="1478" w:type="dxa"/>
            <w:vAlign w:val="center"/>
          </w:tcPr>
          <w:p w14:paraId="1418E0B5">
            <w:pPr>
              <w:widowControl/>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图形符号</w:t>
            </w:r>
          </w:p>
        </w:tc>
        <w:tc>
          <w:tcPr>
            <w:tcW w:w="1786" w:type="dxa"/>
            <w:vAlign w:val="center"/>
          </w:tcPr>
          <w:p w14:paraId="368A5ADD">
            <w:pPr>
              <w:widowControl/>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drawing>
                <wp:anchor distT="0" distB="0" distL="114300" distR="114300" simplePos="0" relativeHeight="251670528" behindDoc="0" locked="0" layoutInCell="1" allowOverlap="1">
                  <wp:simplePos x="0" y="0"/>
                  <wp:positionH relativeFrom="column">
                    <wp:posOffset>15875</wp:posOffset>
                  </wp:positionH>
                  <wp:positionV relativeFrom="paragraph">
                    <wp:posOffset>31115</wp:posOffset>
                  </wp:positionV>
                  <wp:extent cx="948055" cy="948055"/>
                  <wp:effectExtent l="0" t="0" r="4445" b="4445"/>
                  <wp:wrapNone/>
                  <wp:docPr id="211" name="Picture 166" descr="说明: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166" descr="说明: 001"/>
                          <pic:cNvPicPr>
                            <a:picLocks noChangeAspect="1"/>
                          </pic:cNvPicPr>
                        </pic:nvPicPr>
                        <pic:blipFill>
                          <a:blip r:embed="rId57" cstate="print">
                            <a:lum contrast="11998"/>
                          </a:blip>
                          <a:stretch>
                            <a:fillRect/>
                          </a:stretch>
                        </pic:blipFill>
                        <pic:spPr>
                          <a:xfrm>
                            <a:off x="0" y="0"/>
                            <a:ext cx="948055" cy="948055"/>
                          </a:xfrm>
                          <a:prstGeom prst="rect">
                            <a:avLst/>
                          </a:prstGeom>
                          <a:noFill/>
                          <a:ln w="9525">
                            <a:noFill/>
                          </a:ln>
                          <a:effectLst/>
                        </pic:spPr>
                      </pic:pic>
                    </a:graphicData>
                  </a:graphic>
                </wp:anchor>
              </w:drawing>
            </w:r>
          </w:p>
        </w:tc>
        <w:tc>
          <w:tcPr>
            <w:tcW w:w="1649" w:type="dxa"/>
            <w:vAlign w:val="center"/>
          </w:tcPr>
          <w:p w14:paraId="390E8D4B">
            <w:pPr>
              <w:widowControl/>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drawing>
                <wp:anchor distT="0" distB="0" distL="114300" distR="114300" simplePos="0" relativeHeight="251671552" behindDoc="0" locked="0" layoutInCell="1" allowOverlap="1">
                  <wp:simplePos x="0" y="0"/>
                  <wp:positionH relativeFrom="column">
                    <wp:posOffset>13335</wp:posOffset>
                  </wp:positionH>
                  <wp:positionV relativeFrom="paragraph">
                    <wp:posOffset>25400</wp:posOffset>
                  </wp:positionV>
                  <wp:extent cx="952500" cy="944880"/>
                  <wp:effectExtent l="0" t="0" r="0" b="7620"/>
                  <wp:wrapNone/>
                  <wp:docPr id="213" name="Picture 167" descr="说明: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167" descr="说明: 002"/>
                          <pic:cNvPicPr>
                            <a:picLocks noChangeAspect="1"/>
                          </pic:cNvPicPr>
                        </pic:nvPicPr>
                        <pic:blipFill>
                          <a:blip r:embed="rId58" cstate="print"/>
                          <a:stretch>
                            <a:fillRect/>
                          </a:stretch>
                        </pic:blipFill>
                        <pic:spPr>
                          <a:xfrm>
                            <a:off x="0" y="0"/>
                            <a:ext cx="952500" cy="944880"/>
                          </a:xfrm>
                          <a:prstGeom prst="rect">
                            <a:avLst/>
                          </a:prstGeom>
                          <a:noFill/>
                          <a:ln w="9525">
                            <a:noFill/>
                          </a:ln>
                          <a:effectLst/>
                        </pic:spPr>
                      </pic:pic>
                    </a:graphicData>
                  </a:graphic>
                </wp:anchor>
              </w:drawing>
            </w:r>
          </w:p>
        </w:tc>
        <w:tc>
          <w:tcPr>
            <w:tcW w:w="1711" w:type="dxa"/>
            <w:vAlign w:val="center"/>
          </w:tcPr>
          <w:p w14:paraId="7092E2F0">
            <w:pPr>
              <w:widowControl/>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drawing>
                <wp:anchor distT="0" distB="0" distL="114300" distR="114300" simplePos="0" relativeHeight="251672576" behindDoc="0" locked="0" layoutInCell="1" allowOverlap="1">
                  <wp:simplePos x="0" y="0"/>
                  <wp:positionH relativeFrom="column">
                    <wp:posOffset>-1270</wp:posOffset>
                  </wp:positionH>
                  <wp:positionV relativeFrom="paragraph">
                    <wp:posOffset>32385</wp:posOffset>
                  </wp:positionV>
                  <wp:extent cx="952500" cy="946785"/>
                  <wp:effectExtent l="0" t="0" r="0" b="5715"/>
                  <wp:wrapNone/>
                  <wp:docPr id="216" name="Picture 169" descr="说明: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169" descr="说明: 004"/>
                          <pic:cNvPicPr>
                            <a:picLocks noChangeAspect="1"/>
                          </pic:cNvPicPr>
                        </pic:nvPicPr>
                        <pic:blipFill>
                          <a:blip r:embed="rId59" cstate="print"/>
                          <a:stretch>
                            <a:fillRect/>
                          </a:stretch>
                        </pic:blipFill>
                        <pic:spPr>
                          <a:xfrm>
                            <a:off x="0" y="0"/>
                            <a:ext cx="952500" cy="946785"/>
                          </a:xfrm>
                          <a:prstGeom prst="rect">
                            <a:avLst/>
                          </a:prstGeom>
                          <a:noFill/>
                          <a:ln w="9525">
                            <a:noFill/>
                          </a:ln>
                          <a:effectLst/>
                        </pic:spPr>
                      </pic:pic>
                    </a:graphicData>
                  </a:graphic>
                </wp:anchor>
              </w:drawing>
            </w:r>
          </w:p>
        </w:tc>
        <w:tc>
          <w:tcPr>
            <w:tcW w:w="1787" w:type="dxa"/>
            <w:vAlign w:val="center"/>
          </w:tcPr>
          <w:p w14:paraId="204AA962">
            <w:pPr>
              <w:widowControl/>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drawing>
                <wp:anchor distT="0" distB="0" distL="114300" distR="114300" simplePos="0" relativeHeight="251673600" behindDoc="0" locked="0" layoutInCell="1" allowOverlap="1">
                  <wp:simplePos x="0" y="0"/>
                  <wp:positionH relativeFrom="column">
                    <wp:posOffset>72390</wp:posOffset>
                  </wp:positionH>
                  <wp:positionV relativeFrom="paragraph">
                    <wp:posOffset>38100</wp:posOffset>
                  </wp:positionV>
                  <wp:extent cx="952500" cy="942975"/>
                  <wp:effectExtent l="0" t="0" r="0" b="9525"/>
                  <wp:wrapNone/>
                  <wp:docPr id="217" name="Picture 168" descr="说明: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168" descr="说明: 003"/>
                          <pic:cNvPicPr>
                            <a:picLocks noChangeAspect="1"/>
                          </pic:cNvPicPr>
                        </pic:nvPicPr>
                        <pic:blipFill>
                          <a:blip r:embed="rId60" cstate="print"/>
                          <a:stretch>
                            <a:fillRect/>
                          </a:stretch>
                        </pic:blipFill>
                        <pic:spPr>
                          <a:xfrm>
                            <a:off x="0" y="0"/>
                            <a:ext cx="952500" cy="942975"/>
                          </a:xfrm>
                          <a:prstGeom prst="rect">
                            <a:avLst/>
                          </a:prstGeom>
                          <a:noFill/>
                          <a:ln w="9525">
                            <a:noFill/>
                          </a:ln>
                          <a:effectLst/>
                        </pic:spPr>
                      </pic:pic>
                    </a:graphicData>
                  </a:graphic>
                </wp:anchor>
              </w:drawing>
            </w:r>
          </w:p>
        </w:tc>
      </w:tr>
      <w:tr w14:paraId="0F9560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78" w:type="dxa"/>
            <w:vAlign w:val="center"/>
          </w:tcPr>
          <w:p w14:paraId="48A74083">
            <w:pPr>
              <w:widowControl/>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背景颜色</w:t>
            </w:r>
          </w:p>
        </w:tc>
        <w:tc>
          <w:tcPr>
            <w:tcW w:w="6933" w:type="dxa"/>
            <w:gridSpan w:val="4"/>
            <w:vAlign w:val="center"/>
          </w:tcPr>
          <w:p w14:paraId="40FD6490">
            <w:pPr>
              <w:widowControl/>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绿色</w:t>
            </w:r>
          </w:p>
        </w:tc>
      </w:tr>
      <w:tr w14:paraId="47FB2C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478" w:type="dxa"/>
            <w:vAlign w:val="center"/>
          </w:tcPr>
          <w:p w14:paraId="3413CA20">
            <w:pPr>
              <w:widowControl/>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图形颜色</w:t>
            </w:r>
          </w:p>
        </w:tc>
        <w:tc>
          <w:tcPr>
            <w:tcW w:w="6933" w:type="dxa"/>
            <w:gridSpan w:val="4"/>
            <w:vAlign w:val="center"/>
          </w:tcPr>
          <w:p w14:paraId="419ADFDF">
            <w:pPr>
              <w:widowControl/>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白色</w:t>
            </w:r>
          </w:p>
        </w:tc>
      </w:tr>
    </w:tbl>
    <w:p w14:paraId="7A9196CB">
      <w:pPr>
        <w:pStyle w:val="4"/>
        <w:rPr>
          <w:rFonts w:hint="default" w:ascii="Times New Roman" w:hAnsi="Times New Roman" w:cs="Times New Roman"/>
          <w:color w:val="auto"/>
          <w:highlight w:val="none"/>
        </w:rPr>
      </w:pPr>
      <w:bookmarkStart w:id="1036" w:name="_Toc2850"/>
      <w:bookmarkStart w:id="1037" w:name="_Toc68"/>
      <w:bookmarkStart w:id="1038" w:name="_Toc32723"/>
      <w:bookmarkStart w:id="1039" w:name="_Toc6368"/>
      <w:bookmarkStart w:id="1040" w:name="_Toc483589668"/>
      <w:bookmarkStart w:id="1041" w:name="_Toc351735261"/>
      <w:bookmarkStart w:id="1042" w:name="_Toc394997398"/>
      <w:bookmarkStart w:id="1043" w:name="_Toc9074"/>
      <w:bookmarkStart w:id="1044" w:name="_Toc245882806"/>
      <w:bookmarkStart w:id="1045" w:name="_Toc28920"/>
      <w:bookmarkStart w:id="1046" w:name="_Toc187800073"/>
      <w:bookmarkStart w:id="1047" w:name="_Toc321501718"/>
      <w:bookmarkStart w:id="1048" w:name="_Toc22210"/>
      <w:r>
        <w:rPr>
          <w:rFonts w:hint="default" w:ascii="Times New Roman" w:hAnsi="Times New Roman" w:cs="Times New Roman"/>
          <w:color w:val="auto"/>
          <w:highlight w:val="none"/>
        </w:rPr>
        <w:t>8.1.7排污许可证制度</w:t>
      </w:r>
      <w:bookmarkEnd w:id="1036"/>
      <w:bookmarkEnd w:id="1037"/>
      <w:bookmarkEnd w:id="1038"/>
    </w:p>
    <w:p w14:paraId="11B80905">
      <w:pPr>
        <w:overflowPunct w:val="0"/>
        <w:topLinePunct/>
        <w:ind w:firstLine="48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20</w:t>
      </w:r>
      <w:r>
        <w:rPr>
          <w:rFonts w:hint="eastAsia" w:cs="Times New Roman"/>
          <w:color w:val="auto"/>
          <w:highlight w:val="none"/>
          <w:lang w:val="en-US" w:eastAsia="zh-CN"/>
        </w:rPr>
        <w:t>24</w:t>
      </w:r>
      <w:r>
        <w:rPr>
          <w:rFonts w:hint="default" w:ascii="Times New Roman" w:hAnsi="Times New Roman" w:cs="Times New Roman"/>
          <w:color w:val="auto"/>
          <w:highlight w:val="none"/>
        </w:rPr>
        <w:t>年11月，生态环境部发布了关于印发《全面实行排污许可制实施方案》的通知，方案指出：</w:t>
      </w:r>
      <w:r>
        <w:rPr>
          <w:rFonts w:hint="eastAsia" w:cs="Times New Roman"/>
          <w:color w:val="auto"/>
          <w:highlight w:val="none"/>
          <w:lang w:eastAsia="zh-CN"/>
        </w:rPr>
        <w:t>“</w:t>
      </w:r>
      <w:r>
        <w:rPr>
          <w:rFonts w:hint="default" w:ascii="Times New Roman" w:hAnsi="Times New Roman" w:cs="Times New Roman"/>
          <w:color w:val="auto"/>
          <w:highlight w:val="none"/>
        </w:rPr>
        <w:t>排污许可制作为国家环境治理体系的重要组成部分，是固定污染源监管制度体系的核心制度。</w:t>
      </w:r>
      <w:r>
        <w:rPr>
          <w:rFonts w:hint="eastAsia" w:cs="Times New Roman"/>
          <w:color w:val="auto"/>
          <w:highlight w:val="none"/>
          <w:lang w:eastAsia="zh-CN"/>
        </w:rPr>
        <w:t>”</w:t>
      </w:r>
    </w:p>
    <w:p w14:paraId="3032340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因此，本项目在报批环评报告书后、实际运行前，应尽快</w:t>
      </w:r>
      <w:r>
        <w:rPr>
          <w:rFonts w:hint="default" w:ascii="Times New Roman" w:hAnsi="Times New Roman" w:cs="Times New Roman"/>
          <w:color w:val="auto"/>
          <w:highlight w:val="none"/>
          <w:lang w:eastAsia="zh-CN"/>
        </w:rPr>
        <w:t>申请</w:t>
      </w:r>
      <w:r>
        <w:rPr>
          <w:rFonts w:hint="default" w:ascii="Times New Roman" w:hAnsi="Times New Roman" w:cs="Times New Roman"/>
          <w:color w:val="auto"/>
          <w:highlight w:val="none"/>
        </w:rPr>
        <w:t>排污许可证，作为本项目合法运行的前提。排污许可证申请及核发按《排污许可证管理暂行规定》及《排污许可证申请与核发技术规范 水处理通用工序》（HJ1120-2020</w:t>
      </w:r>
      <w:r>
        <w:rPr>
          <w:rFonts w:hint="eastAsia" w:cs="Times New Roman"/>
          <w:color w:val="auto"/>
          <w:highlight w:val="none"/>
          <w:lang w:eastAsia="zh-CN"/>
        </w:rPr>
        <w:t>）、《排污许可证申请与核发技术规范 锅炉》（HJ953</w:t>
      </w:r>
      <w:r>
        <w:rPr>
          <w:rFonts w:hint="eastAsia" w:cs="Times New Roman"/>
          <w:color w:val="auto"/>
          <w:highlight w:val="none"/>
          <w:lang w:val="en-US" w:eastAsia="zh-CN"/>
        </w:rPr>
        <w:t>-</w:t>
      </w:r>
      <w:r>
        <w:rPr>
          <w:rFonts w:hint="eastAsia" w:cs="Times New Roman"/>
          <w:color w:val="auto"/>
          <w:highlight w:val="none"/>
          <w:lang w:eastAsia="zh-CN"/>
        </w:rPr>
        <w:t>2018）和《排污单位自行监测技术指南</w:t>
      </w:r>
      <w:r>
        <w:rPr>
          <w:rFonts w:hint="eastAsia" w:cs="Times New Roman"/>
          <w:color w:val="auto"/>
          <w:highlight w:val="none"/>
          <w:lang w:val="en-US" w:eastAsia="zh-CN"/>
        </w:rPr>
        <w:t xml:space="preserve"> </w:t>
      </w:r>
      <w:r>
        <w:rPr>
          <w:rFonts w:hint="eastAsia" w:cs="Times New Roman"/>
          <w:color w:val="auto"/>
          <w:highlight w:val="none"/>
          <w:lang w:eastAsia="zh-CN"/>
        </w:rPr>
        <w:t>火力发电及锅炉》（HJ</w:t>
      </w:r>
      <w:r>
        <w:rPr>
          <w:rFonts w:hint="eastAsia" w:cs="Times New Roman"/>
          <w:color w:val="auto"/>
          <w:highlight w:val="none"/>
          <w:lang w:val="en-US" w:eastAsia="zh-CN"/>
        </w:rPr>
        <w:t>820-</w:t>
      </w:r>
      <w:r>
        <w:rPr>
          <w:rFonts w:hint="eastAsia" w:cs="Times New Roman"/>
          <w:color w:val="auto"/>
          <w:highlight w:val="none"/>
          <w:lang w:eastAsia="zh-CN"/>
        </w:rPr>
        <w:t>201</w:t>
      </w:r>
      <w:r>
        <w:rPr>
          <w:rFonts w:hint="eastAsia" w:cs="Times New Roman"/>
          <w:color w:val="auto"/>
          <w:highlight w:val="none"/>
          <w:lang w:val="en-US" w:eastAsia="zh-CN"/>
        </w:rPr>
        <w:t>7</w:t>
      </w:r>
      <w:r>
        <w:rPr>
          <w:rFonts w:hint="eastAsia" w:cs="Times New Roman"/>
          <w:color w:val="auto"/>
          <w:highlight w:val="none"/>
          <w:lang w:eastAsia="zh-CN"/>
        </w:rPr>
        <w:t>）</w:t>
      </w:r>
      <w:r>
        <w:rPr>
          <w:rFonts w:hint="default" w:ascii="Times New Roman" w:hAnsi="Times New Roman" w:cs="Times New Roman"/>
          <w:color w:val="auto"/>
          <w:highlight w:val="none"/>
        </w:rPr>
        <w:t>填报执行。</w:t>
      </w:r>
    </w:p>
    <w:p w14:paraId="3FBB548F">
      <w:pPr>
        <w:pStyle w:val="4"/>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8.1.</w:t>
      </w:r>
      <w:r>
        <w:rPr>
          <w:rFonts w:hint="default" w:ascii="Times New Roman" w:hAnsi="Times New Roman" w:cs="Times New Roman"/>
          <w:color w:val="auto"/>
          <w:highlight w:val="none"/>
          <w:lang w:val="en-US" w:eastAsia="zh-CN"/>
        </w:rPr>
        <w:t>8环境信息披露</w:t>
      </w:r>
    </w:p>
    <w:p w14:paraId="13FAAE07">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企业是环境信息依法披露的责任主体。</w:t>
      </w:r>
      <w:r>
        <w:rPr>
          <w:rFonts w:hint="default" w:ascii="Times New Roman" w:hAnsi="Times New Roman" w:eastAsia="宋体" w:cs="Times New Roman"/>
          <w:color w:val="auto"/>
          <w:sz w:val="24"/>
          <w:highlight w:val="none"/>
          <w:lang w:eastAsia="zh-CN"/>
        </w:rPr>
        <w:t>企业</w:t>
      </w:r>
      <w:r>
        <w:rPr>
          <w:rFonts w:hint="default" w:ascii="Times New Roman" w:hAnsi="Times New Roman" w:eastAsia="宋体" w:cs="Times New Roman"/>
          <w:color w:val="auto"/>
          <w:sz w:val="24"/>
          <w:highlight w:val="none"/>
        </w:rPr>
        <w:t>应严格执行《企业环境信息依法披露管理办法》的有关规定。</w:t>
      </w:r>
    </w:p>
    <w:p w14:paraId="283445C8">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建立健全环境信息依法披露管理制度，规范工作规程，明确工作职责，建立准确的环境信息管理台账，妥善保存相关原始记录，科学统计归集相关环境信息。依法</w:t>
      </w:r>
      <w:r>
        <w:rPr>
          <w:rFonts w:hint="eastAsia" w:cs="Times New Roman"/>
          <w:color w:val="auto"/>
          <w:sz w:val="24"/>
          <w:highlight w:val="none"/>
          <w:lang w:eastAsia="zh-CN"/>
        </w:rPr>
        <w:t>及</w:t>
      </w:r>
      <w:r>
        <w:rPr>
          <w:rFonts w:hint="default" w:ascii="Times New Roman" w:hAnsi="Times New Roman" w:eastAsia="宋体" w:cs="Times New Roman"/>
          <w:color w:val="auto"/>
          <w:sz w:val="24"/>
          <w:highlight w:val="none"/>
        </w:rPr>
        <w:t>时、真实、准确、完整地披露环境信息，披露的环境信息应当简明清晰、通俗易懂，不得有虚假记载、误导性陈述或者重大遗漏。</w:t>
      </w:r>
    </w:p>
    <w:p w14:paraId="67A1E80D">
      <w:pPr>
        <w:pStyle w:val="10"/>
        <w:rPr>
          <w:rFonts w:hint="default" w:ascii="Times New Roman" w:hAnsi="Times New Roman" w:cs="Times New Roman"/>
          <w:color w:val="auto"/>
          <w:highlight w:val="none"/>
        </w:rPr>
      </w:pPr>
      <w:r>
        <w:rPr>
          <w:rFonts w:hint="default" w:ascii="Times New Roman" w:hAnsi="Times New Roman" w:eastAsia="宋体" w:cs="Times New Roman"/>
          <w:color w:val="auto"/>
          <w:sz w:val="24"/>
          <w:highlight w:val="none"/>
        </w:rPr>
        <w:t>企业应当按照准则编制年度环境信息依法披露报告和临时环境信息依法披露报告，并上传至企业环境信息依法披露系统，应当于每年3月15日前披露上一年度1月1日至12月31日的环境信息。</w:t>
      </w:r>
    </w:p>
    <w:p w14:paraId="3EE2B18A">
      <w:pPr>
        <w:pStyle w:val="3"/>
        <w:rPr>
          <w:rFonts w:hint="default" w:ascii="Times New Roman" w:hAnsi="Times New Roman" w:cs="Times New Roman"/>
          <w:color w:val="auto"/>
          <w:highlight w:val="none"/>
        </w:rPr>
      </w:pPr>
      <w:bookmarkStart w:id="1049" w:name="_Toc107413911"/>
      <w:bookmarkStart w:id="1050" w:name="_Toc15154"/>
      <w:bookmarkStart w:id="1051" w:name="_Toc3521"/>
      <w:bookmarkStart w:id="1052" w:name="_Toc30780"/>
      <w:bookmarkStart w:id="1053" w:name="_Toc107414678"/>
      <w:bookmarkStart w:id="1054" w:name="_Toc25445"/>
      <w:bookmarkStart w:id="1055" w:name="_Toc32016"/>
      <w:r>
        <w:rPr>
          <w:rFonts w:hint="default" w:ascii="Times New Roman" w:hAnsi="Times New Roman" w:cs="Times New Roman"/>
          <w:color w:val="auto"/>
          <w:highlight w:val="none"/>
        </w:rPr>
        <w:t>8.2施工期环境管理</w:t>
      </w:r>
      <w:bookmarkEnd w:id="1039"/>
      <w:bookmarkEnd w:id="1040"/>
      <w:bookmarkEnd w:id="1041"/>
      <w:bookmarkEnd w:id="1042"/>
      <w:bookmarkEnd w:id="1043"/>
      <w:bookmarkEnd w:id="1049"/>
      <w:bookmarkEnd w:id="1050"/>
      <w:bookmarkEnd w:id="1051"/>
      <w:bookmarkEnd w:id="1052"/>
      <w:bookmarkEnd w:id="1053"/>
      <w:bookmarkEnd w:id="1054"/>
      <w:bookmarkEnd w:id="1055"/>
    </w:p>
    <w:p w14:paraId="7A0B11CA">
      <w:pPr>
        <w:pStyle w:val="4"/>
        <w:rPr>
          <w:rFonts w:hint="default" w:ascii="Times New Roman" w:hAnsi="Times New Roman" w:cs="Times New Roman"/>
          <w:color w:val="auto"/>
          <w:highlight w:val="none"/>
        </w:rPr>
      </w:pPr>
      <w:bookmarkStart w:id="1056" w:name="_Toc23615"/>
      <w:bookmarkStart w:id="1057" w:name="_Toc394997399"/>
      <w:bookmarkStart w:id="1058" w:name="_Toc21803"/>
      <w:bookmarkStart w:id="1059" w:name="_Toc4186"/>
      <w:bookmarkStart w:id="1060" w:name="_Toc7109"/>
      <w:bookmarkStart w:id="1061" w:name="_Toc483589669"/>
      <w:bookmarkStart w:id="1062" w:name="_Toc2036"/>
      <w:bookmarkStart w:id="1063" w:name="_Toc13805"/>
      <w:r>
        <w:rPr>
          <w:rFonts w:hint="default" w:ascii="Times New Roman" w:hAnsi="Times New Roman" w:cs="Times New Roman"/>
          <w:color w:val="auto"/>
          <w:highlight w:val="none"/>
        </w:rPr>
        <w:t>8.2.1环境管理</w:t>
      </w:r>
      <w:bookmarkEnd w:id="1056"/>
      <w:bookmarkEnd w:id="1057"/>
      <w:bookmarkEnd w:id="1058"/>
      <w:bookmarkEnd w:id="1059"/>
      <w:bookmarkEnd w:id="1060"/>
    </w:p>
    <w:p w14:paraId="19AD9489">
      <w:pPr>
        <w:overflowPunct w:val="0"/>
        <w:topLinePunct/>
        <w:ind w:firstLine="480"/>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项目业主或者施工承包方进行工程施工前，应将施工期的环境污染控制列入施工工程内容，并在工程开工前和施工过程中制定相应的</w:t>
      </w:r>
      <w:r>
        <w:rPr>
          <w:rFonts w:hint="eastAsia" w:cs="Times New Roman" w:eastAsiaTheme="minorEastAsia"/>
          <w:color w:val="auto"/>
          <w:szCs w:val="21"/>
          <w:highlight w:val="none"/>
          <w:lang w:eastAsia="zh-CN"/>
        </w:rPr>
        <w:t>环境</w:t>
      </w:r>
      <w:r>
        <w:rPr>
          <w:rFonts w:hint="default" w:ascii="Times New Roman" w:hAnsi="Times New Roman" w:cs="Times New Roman" w:eastAsiaTheme="minorEastAsia"/>
          <w:color w:val="auto"/>
          <w:szCs w:val="21"/>
          <w:highlight w:val="none"/>
        </w:rPr>
        <w:t>防治措施和工程计划。设专人负责管理，培训工作人员，以正确的工作方法，控制施工中产生的不利环境影响；必要时，还需在监测和检查工程施工的环境影响和实施缓解措施方面进行培训，以确保项目施工各项环保控制措施的落实。工程建设单位有责任配合当地环保主管机构，对施工过程的环境影响进行环境监测，以保证施工期的环保措施得以完善和持续执行，使项目建设施工范围的环境质量得到充分有效保证。</w:t>
      </w:r>
    </w:p>
    <w:p w14:paraId="1EB57C31">
      <w:pPr>
        <w:overflowPunct w:val="0"/>
        <w:topLinePunct/>
        <w:ind w:firstLine="480"/>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应采取以下措施：</w:t>
      </w:r>
    </w:p>
    <w:p w14:paraId="43850301">
      <w:pPr>
        <w:overflowPunct w:val="0"/>
        <w:topLinePunct/>
        <w:ind w:firstLine="480"/>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（1）在拟建工程实施前，要制定详尽的环保措施方案，该方案经有关主管部门批准后要严格执行。施工过程中要设置环保人员，加强现场监督、管理与考核，以便及时发现问题及时解决。</w:t>
      </w:r>
    </w:p>
    <w:p w14:paraId="0113F2D0">
      <w:pPr>
        <w:overflowPunct w:val="0"/>
        <w:topLinePunct/>
        <w:ind w:firstLine="480"/>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（2）及时清运施工中产生生活垃圾，送到指定点进行处置，施工期间产生的生活污水严禁随意排放。</w:t>
      </w:r>
    </w:p>
    <w:p w14:paraId="07C0181B">
      <w:pPr>
        <w:overflowPunct w:val="0"/>
        <w:topLinePunct/>
        <w:ind w:firstLine="480"/>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（3）加强施工人员及施工机械的管理，增强环保意识，注意保护自然环境。</w:t>
      </w:r>
    </w:p>
    <w:p w14:paraId="1CA71686">
      <w:pPr>
        <w:overflowPunct w:val="0"/>
        <w:topLinePunct/>
        <w:ind w:firstLine="480"/>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（4）工程建设中，要做好施工区域及其周围的绿化工作。</w:t>
      </w:r>
    </w:p>
    <w:p w14:paraId="1F24BD53">
      <w:pPr>
        <w:pStyle w:val="4"/>
        <w:rPr>
          <w:rFonts w:hint="default" w:ascii="Times New Roman" w:hAnsi="Times New Roman" w:cs="Times New Roman"/>
          <w:color w:val="auto"/>
          <w:highlight w:val="none"/>
        </w:rPr>
      </w:pPr>
      <w:bookmarkStart w:id="1064" w:name="_Toc21568"/>
      <w:bookmarkStart w:id="1065" w:name="_Toc12892"/>
      <w:bookmarkStart w:id="1066" w:name="_Toc13614"/>
      <w:bookmarkStart w:id="1067" w:name="_Toc394997400"/>
      <w:bookmarkStart w:id="1068" w:name="_Toc29260"/>
      <w:r>
        <w:rPr>
          <w:rFonts w:hint="default" w:ascii="Times New Roman" w:hAnsi="Times New Roman" w:cs="Times New Roman"/>
          <w:color w:val="auto"/>
          <w:highlight w:val="none"/>
        </w:rPr>
        <w:t>8.2.2环境监理</w:t>
      </w:r>
      <w:bookmarkEnd w:id="1064"/>
      <w:bookmarkEnd w:id="1065"/>
      <w:bookmarkEnd w:id="1066"/>
      <w:bookmarkEnd w:id="1067"/>
      <w:bookmarkEnd w:id="1068"/>
    </w:p>
    <w:p w14:paraId="4FD9E91E">
      <w:pPr>
        <w:overflowPunct w:val="0"/>
        <w:topLinePunct/>
        <w:ind w:firstLine="480"/>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项目施工期环境监理内容详见表8.2-1。</w:t>
      </w:r>
    </w:p>
    <w:p w14:paraId="3CDBE5B5">
      <w:pPr>
        <w:widowControl/>
        <w:ind w:firstLine="241" w:firstLineChars="100"/>
        <w:jc w:val="center"/>
        <w:textAlignment w:val="baseline"/>
        <w:rPr>
          <w:rFonts w:hint="default" w:ascii="Times New Roman" w:hAnsi="Times New Roman" w:cs="Times New Roman"/>
          <w:bCs/>
          <w:color w:val="auto"/>
          <w:kern w:val="0"/>
          <w:highlight w:val="none"/>
        </w:rPr>
      </w:pPr>
      <w:r>
        <w:rPr>
          <w:rFonts w:hint="default" w:ascii="Times New Roman" w:hAnsi="Times New Roman" w:cs="Times New Roman"/>
          <w:b/>
          <w:color w:val="auto"/>
          <w:kern w:val="0"/>
          <w:highlight w:val="none"/>
        </w:rPr>
        <w:t>表8.2-1    施工期环境监理一览表</w:t>
      </w:r>
    </w:p>
    <w:tbl>
      <w:tblPr>
        <w:tblStyle w:val="33"/>
        <w:tblW w:w="851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07"/>
        <w:gridCol w:w="3797"/>
        <w:gridCol w:w="3615"/>
      </w:tblGrid>
      <w:tr w14:paraId="421993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07" w:type="dxa"/>
            <w:vAlign w:val="center"/>
          </w:tcPr>
          <w:p w14:paraId="4163836A">
            <w:pPr>
              <w:spacing w:line="360" w:lineRule="exact"/>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环境要素</w:t>
            </w:r>
          </w:p>
        </w:tc>
        <w:tc>
          <w:tcPr>
            <w:tcW w:w="3797" w:type="dxa"/>
            <w:vAlign w:val="center"/>
          </w:tcPr>
          <w:p w14:paraId="5957516D">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监理内容</w:t>
            </w:r>
          </w:p>
        </w:tc>
        <w:tc>
          <w:tcPr>
            <w:tcW w:w="3615" w:type="dxa"/>
            <w:vAlign w:val="center"/>
          </w:tcPr>
          <w:p w14:paraId="1D78C55B">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监理要求</w:t>
            </w:r>
          </w:p>
        </w:tc>
      </w:tr>
      <w:tr w14:paraId="4A5C9E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7" w:type="dxa"/>
            <w:vAlign w:val="center"/>
          </w:tcPr>
          <w:p w14:paraId="07551DD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大气环境</w:t>
            </w:r>
          </w:p>
        </w:tc>
        <w:tc>
          <w:tcPr>
            <w:tcW w:w="3797" w:type="dxa"/>
            <w:vAlign w:val="center"/>
          </w:tcPr>
          <w:p w14:paraId="79CA2883">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①对工地及进出口定期洒水抑尘，并清扫，保持工地整齐干净；</w:t>
            </w:r>
          </w:p>
          <w:p w14:paraId="7AA42829">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②运输车辆在运输砂石等粉料时应使用篷布遮盖；</w:t>
            </w:r>
          </w:p>
          <w:p w14:paraId="34EF4C8A">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③禁止在大风天气施工作业。</w:t>
            </w:r>
          </w:p>
        </w:tc>
        <w:tc>
          <w:tcPr>
            <w:tcW w:w="3615" w:type="dxa"/>
            <w:vMerge w:val="restart"/>
            <w:vAlign w:val="center"/>
          </w:tcPr>
          <w:p w14:paraId="47642CB0">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1、在施工招标文件、施工合同、环境监理招标文件和监理合同中明确施工单位、环境监理单位的环境保护责任和目标任务；</w:t>
            </w:r>
          </w:p>
          <w:p w14:paraId="15DF00F0">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2、委托有资质单位开展建设期的环境监理工作，加强施工过程的环境监理和环保设施建设的环境监理，定期向自治区、</w:t>
            </w:r>
            <w:r>
              <w:rPr>
                <w:rFonts w:hint="eastAsia" w:cs="Times New Roman"/>
                <w:color w:val="auto"/>
                <w:sz w:val="21"/>
                <w:szCs w:val="21"/>
                <w:highlight w:val="none"/>
                <w:lang w:val="en-US" w:eastAsia="zh-CN"/>
              </w:rPr>
              <w:t>哈密市</w:t>
            </w:r>
            <w:r>
              <w:rPr>
                <w:rFonts w:hint="default" w:ascii="Times New Roman" w:hAnsi="Times New Roman" w:cs="Times New Roman"/>
                <w:color w:val="auto"/>
                <w:sz w:val="21"/>
                <w:szCs w:val="21"/>
                <w:highlight w:val="none"/>
              </w:rPr>
              <w:t>生态环境主管部门备案；</w:t>
            </w:r>
          </w:p>
          <w:p w14:paraId="5650CA47">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3、结合环境监理报告，自查环评报告、批复文件及设计中规定的环保设施和生态保护措施建设及进展情况；严格落实环保投资和执行建设项目环境保护</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三同时</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制度；</w:t>
            </w:r>
          </w:p>
          <w:p w14:paraId="1A2646E2">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4、自觉接受当地</w:t>
            </w:r>
            <w:r>
              <w:rPr>
                <w:rFonts w:hint="default" w:ascii="Times New Roman" w:hAnsi="Times New Roman" w:cs="Times New Roman"/>
                <w:color w:val="auto"/>
                <w:sz w:val="21"/>
                <w:szCs w:val="21"/>
                <w:highlight w:val="none"/>
                <w:lang w:eastAsia="zh-CN"/>
              </w:rPr>
              <w:t>生态环境</w:t>
            </w:r>
            <w:r>
              <w:rPr>
                <w:rFonts w:hint="default" w:ascii="Times New Roman" w:hAnsi="Times New Roman" w:cs="Times New Roman"/>
                <w:color w:val="auto"/>
                <w:sz w:val="21"/>
                <w:szCs w:val="21"/>
                <w:highlight w:val="none"/>
              </w:rPr>
              <w:t>行政主管部门在建设期的环境监督与管理；</w:t>
            </w:r>
          </w:p>
          <w:p w14:paraId="340827BD">
            <w:pPr>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5、设立企业环保机构，建立健全环境管理、环保资料档案等制度。</w:t>
            </w:r>
          </w:p>
        </w:tc>
      </w:tr>
      <w:tr w14:paraId="488D3A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7" w:type="dxa"/>
            <w:vAlign w:val="center"/>
          </w:tcPr>
          <w:p w14:paraId="05D8122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水环境</w:t>
            </w:r>
          </w:p>
        </w:tc>
        <w:tc>
          <w:tcPr>
            <w:tcW w:w="3797" w:type="dxa"/>
            <w:vAlign w:val="center"/>
          </w:tcPr>
          <w:p w14:paraId="6DB21CC3">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①施工期生活污水依托现有生活区化粪池处理，定期清运至哈密市污水处理厂；</w:t>
            </w:r>
          </w:p>
          <w:p w14:paraId="2C4E43CB">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②施工废水（包括车辆冲洗水、泥浆水等）应设置临时隔油池和沉淀池，经隔油、沉淀处理后回用于施工场地洒水降尘，不得随意排放；</w:t>
            </w:r>
          </w:p>
          <w:p w14:paraId="3B394335">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③避免在雨季进行基础开挖施工，减少雨水冲刷造成的水土流失和污水漫流。</w:t>
            </w:r>
          </w:p>
        </w:tc>
        <w:tc>
          <w:tcPr>
            <w:tcW w:w="3615" w:type="dxa"/>
            <w:vMerge w:val="continue"/>
            <w:vAlign w:val="center"/>
          </w:tcPr>
          <w:p w14:paraId="4CDA122A">
            <w:pPr>
              <w:spacing w:line="360" w:lineRule="exact"/>
              <w:ind w:firstLine="420"/>
              <w:rPr>
                <w:rFonts w:hint="default" w:ascii="Times New Roman" w:hAnsi="Times New Roman" w:cs="Times New Roman"/>
                <w:color w:val="auto"/>
                <w:sz w:val="21"/>
                <w:szCs w:val="21"/>
                <w:highlight w:val="none"/>
              </w:rPr>
            </w:pPr>
          </w:p>
        </w:tc>
      </w:tr>
      <w:tr w14:paraId="4347D5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7" w:type="dxa"/>
            <w:vAlign w:val="center"/>
          </w:tcPr>
          <w:p w14:paraId="656017A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声环境</w:t>
            </w:r>
          </w:p>
        </w:tc>
        <w:tc>
          <w:tcPr>
            <w:tcW w:w="3797" w:type="dxa"/>
            <w:vAlign w:val="center"/>
          </w:tcPr>
          <w:p w14:paraId="60A4B5C7">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①合理布局施工设备，避免局部声级过高，对敏感点是否设置临时声屏障；</w:t>
            </w:r>
          </w:p>
          <w:p w14:paraId="62C3D52E">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②开工15日前向生态环境主管部门申报《建设施工环保审批表》。</w:t>
            </w:r>
          </w:p>
        </w:tc>
        <w:tc>
          <w:tcPr>
            <w:tcW w:w="3615" w:type="dxa"/>
            <w:vMerge w:val="continue"/>
            <w:vAlign w:val="center"/>
          </w:tcPr>
          <w:p w14:paraId="6754E430">
            <w:pPr>
              <w:spacing w:line="360" w:lineRule="exact"/>
              <w:ind w:firstLine="420"/>
              <w:rPr>
                <w:rFonts w:hint="default" w:ascii="Times New Roman" w:hAnsi="Times New Roman" w:cs="Times New Roman"/>
                <w:color w:val="auto"/>
                <w:sz w:val="21"/>
                <w:szCs w:val="21"/>
                <w:highlight w:val="none"/>
              </w:rPr>
            </w:pPr>
          </w:p>
        </w:tc>
      </w:tr>
      <w:tr w14:paraId="28EE7A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7" w:type="dxa"/>
            <w:vAlign w:val="center"/>
          </w:tcPr>
          <w:p w14:paraId="5ABE42B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固体废物</w:t>
            </w:r>
          </w:p>
        </w:tc>
        <w:tc>
          <w:tcPr>
            <w:tcW w:w="3797" w:type="dxa"/>
            <w:vAlign w:val="center"/>
          </w:tcPr>
          <w:p w14:paraId="3E381870">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①施工期废弃土石方用于场地平整；</w:t>
            </w:r>
          </w:p>
          <w:p w14:paraId="1D88248C">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②施工期生活垃圾集中收集，定期清运。</w:t>
            </w:r>
          </w:p>
        </w:tc>
        <w:tc>
          <w:tcPr>
            <w:tcW w:w="3615" w:type="dxa"/>
            <w:vMerge w:val="continue"/>
            <w:vAlign w:val="center"/>
          </w:tcPr>
          <w:p w14:paraId="3224F4BC">
            <w:pPr>
              <w:spacing w:line="360" w:lineRule="exact"/>
              <w:ind w:firstLine="420"/>
              <w:rPr>
                <w:rFonts w:hint="default" w:ascii="Times New Roman" w:hAnsi="Times New Roman" w:cs="Times New Roman"/>
                <w:color w:val="auto"/>
                <w:sz w:val="21"/>
                <w:szCs w:val="21"/>
                <w:highlight w:val="none"/>
              </w:rPr>
            </w:pPr>
          </w:p>
        </w:tc>
      </w:tr>
      <w:tr w14:paraId="3519FD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7" w:type="dxa"/>
            <w:vAlign w:val="center"/>
          </w:tcPr>
          <w:p w14:paraId="3E21077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生态影响</w:t>
            </w:r>
          </w:p>
        </w:tc>
        <w:tc>
          <w:tcPr>
            <w:tcW w:w="3797" w:type="dxa"/>
            <w:vAlign w:val="center"/>
          </w:tcPr>
          <w:p w14:paraId="7C9D4890">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①施工期间水土流失问题、主体工程开挖、弃渣及弃渣堆放应符合环境管理规范要求。</w:t>
            </w:r>
          </w:p>
          <w:p w14:paraId="74AB7850">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②绿化面积达到规划要求。</w:t>
            </w:r>
          </w:p>
        </w:tc>
        <w:tc>
          <w:tcPr>
            <w:tcW w:w="3615" w:type="dxa"/>
            <w:vMerge w:val="continue"/>
            <w:vAlign w:val="center"/>
          </w:tcPr>
          <w:p w14:paraId="1B06061A">
            <w:pPr>
              <w:spacing w:line="360" w:lineRule="exact"/>
              <w:ind w:firstLine="420"/>
              <w:rPr>
                <w:rFonts w:hint="default" w:ascii="Times New Roman" w:hAnsi="Times New Roman" w:cs="Times New Roman"/>
                <w:color w:val="auto"/>
                <w:sz w:val="21"/>
                <w:szCs w:val="21"/>
                <w:highlight w:val="none"/>
              </w:rPr>
            </w:pPr>
          </w:p>
        </w:tc>
      </w:tr>
    </w:tbl>
    <w:p w14:paraId="5FEA73A6">
      <w:pPr>
        <w:pStyle w:val="3"/>
        <w:rPr>
          <w:rFonts w:hint="default" w:ascii="Times New Roman" w:hAnsi="Times New Roman" w:cs="Times New Roman"/>
          <w:color w:val="auto"/>
          <w:highlight w:val="none"/>
        </w:rPr>
      </w:pPr>
      <w:bookmarkStart w:id="1069" w:name="_Toc31539"/>
      <w:bookmarkStart w:id="1070" w:name="_Toc107414679"/>
      <w:bookmarkStart w:id="1071" w:name="_Toc107413912"/>
      <w:bookmarkStart w:id="1072" w:name="_Toc29524"/>
      <w:bookmarkStart w:id="1073" w:name="_Toc23506"/>
      <w:bookmarkStart w:id="1074" w:name="_Toc8157"/>
      <w:bookmarkStart w:id="1075" w:name="_Toc22196"/>
      <w:r>
        <w:rPr>
          <w:rFonts w:hint="default" w:ascii="Times New Roman" w:hAnsi="Times New Roman" w:cs="Times New Roman"/>
          <w:color w:val="auto"/>
          <w:highlight w:val="none"/>
        </w:rPr>
        <w:t>8.3环境</w:t>
      </w:r>
      <w:bookmarkEnd w:id="1021"/>
      <w:bookmarkEnd w:id="1022"/>
      <w:bookmarkEnd w:id="1023"/>
      <w:bookmarkEnd w:id="1024"/>
      <w:bookmarkEnd w:id="1025"/>
      <w:r>
        <w:rPr>
          <w:rFonts w:hint="default" w:ascii="Times New Roman" w:hAnsi="Times New Roman" w:cs="Times New Roman"/>
          <w:color w:val="auto"/>
          <w:highlight w:val="none"/>
        </w:rPr>
        <w:t>监测计划</w:t>
      </w:r>
      <w:bookmarkEnd w:id="1026"/>
      <w:bookmarkEnd w:id="1027"/>
      <w:bookmarkEnd w:id="1028"/>
      <w:bookmarkEnd w:id="1029"/>
      <w:bookmarkEnd w:id="1030"/>
      <w:bookmarkEnd w:id="1031"/>
      <w:bookmarkEnd w:id="1044"/>
      <w:bookmarkEnd w:id="1045"/>
      <w:bookmarkEnd w:id="1046"/>
      <w:bookmarkEnd w:id="1047"/>
      <w:bookmarkEnd w:id="1048"/>
      <w:bookmarkEnd w:id="1061"/>
      <w:bookmarkEnd w:id="1062"/>
      <w:bookmarkEnd w:id="1063"/>
      <w:bookmarkEnd w:id="1069"/>
      <w:bookmarkEnd w:id="1070"/>
      <w:bookmarkEnd w:id="1071"/>
      <w:bookmarkEnd w:id="1072"/>
      <w:bookmarkEnd w:id="1073"/>
      <w:bookmarkEnd w:id="1074"/>
      <w:bookmarkEnd w:id="1075"/>
    </w:p>
    <w:p w14:paraId="2F0E0E73">
      <w:pPr>
        <w:widowControl/>
        <w:overflowPunct w:val="0"/>
        <w:topLinePunct/>
        <w:ind w:firstLine="48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监测制度是为环境管理服务的一项重要制度，通过环境监测，及时了解企业的环境状况，不断完善、改进防治措施，清洁生产，不断适应环境保护的发展要求，是实现企业环境管理定量化、规范化的重要技术支持。建立一套完善而行之有效的环境监测制度是企业环境保护工作的重要组成部分。</w:t>
      </w:r>
    </w:p>
    <w:p w14:paraId="28A38601">
      <w:pPr>
        <w:keepNext/>
        <w:keepLines/>
        <w:spacing w:before="60" w:after="60"/>
        <w:ind w:firstLine="0" w:firstLineChars="0"/>
        <w:outlineLvl w:val="2"/>
        <w:rPr>
          <w:rFonts w:hint="default" w:ascii="Times New Roman" w:hAnsi="Times New Roman" w:cs="Times New Roman"/>
          <w:b/>
          <w:bCs/>
          <w:color w:val="auto"/>
          <w:sz w:val="30"/>
          <w:szCs w:val="32"/>
          <w:highlight w:val="none"/>
        </w:rPr>
      </w:pPr>
      <w:bookmarkStart w:id="1076" w:name="_Toc15274"/>
      <w:bookmarkStart w:id="1077" w:name="_Toc32240"/>
      <w:bookmarkStart w:id="1078" w:name="_Toc15111"/>
      <w:bookmarkStart w:id="1079" w:name="_Toc18597"/>
      <w:bookmarkStart w:id="1080" w:name="_Toc5506"/>
      <w:bookmarkStart w:id="1081" w:name="_Toc16163"/>
      <w:r>
        <w:rPr>
          <w:rFonts w:hint="default" w:ascii="Times New Roman" w:hAnsi="Times New Roman" w:cs="Times New Roman"/>
          <w:b/>
          <w:bCs/>
          <w:color w:val="auto"/>
          <w:sz w:val="30"/>
          <w:szCs w:val="32"/>
          <w:highlight w:val="none"/>
        </w:rPr>
        <w:t>8.3.1监测机构</w:t>
      </w:r>
      <w:bookmarkEnd w:id="1076"/>
      <w:bookmarkEnd w:id="1077"/>
      <w:bookmarkEnd w:id="1078"/>
      <w:bookmarkEnd w:id="1079"/>
      <w:bookmarkEnd w:id="1080"/>
      <w:bookmarkEnd w:id="1081"/>
    </w:p>
    <w:p w14:paraId="64A6468A">
      <w:pPr>
        <w:widowControl/>
        <w:overflowPunct w:val="0"/>
        <w:topLinePunct/>
        <w:ind w:firstLine="48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考虑到厂区的实际条件，厂区可不设监测机构，有关的环境监测工作可委托第三方环境监测公司承担，确保监测计划的顺利实施。</w:t>
      </w:r>
    </w:p>
    <w:p w14:paraId="7CF5807C">
      <w:pPr>
        <w:keepNext/>
        <w:keepLines/>
        <w:spacing w:before="60" w:after="60"/>
        <w:ind w:firstLine="0" w:firstLineChars="0"/>
        <w:outlineLvl w:val="2"/>
        <w:rPr>
          <w:rFonts w:hint="default" w:ascii="Times New Roman" w:hAnsi="Times New Roman" w:cs="Times New Roman"/>
          <w:b/>
          <w:bCs/>
          <w:color w:val="auto"/>
          <w:sz w:val="30"/>
          <w:szCs w:val="32"/>
          <w:highlight w:val="none"/>
        </w:rPr>
      </w:pPr>
      <w:bookmarkStart w:id="1082" w:name="_Toc11984"/>
      <w:bookmarkStart w:id="1083" w:name="_Toc1751"/>
      <w:bookmarkStart w:id="1084" w:name="_Toc3635"/>
      <w:bookmarkStart w:id="1085" w:name="_Toc11465"/>
      <w:bookmarkStart w:id="1086" w:name="_Toc9548"/>
      <w:bookmarkStart w:id="1087" w:name="_Toc15947"/>
      <w:r>
        <w:rPr>
          <w:rFonts w:hint="default" w:ascii="Times New Roman" w:hAnsi="Times New Roman" w:cs="Times New Roman"/>
          <w:b/>
          <w:bCs/>
          <w:color w:val="auto"/>
          <w:sz w:val="30"/>
          <w:szCs w:val="32"/>
          <w:highlight w:val="none"/>
        </w:rPr>
        <w:t>8.3.2监测内容</w:t>
      </w:r>
      <w:bookmarkEnd w:id="1082"/>
      <w:bookmarkEnd w:id="1083"/>
      <w:bookmarkEnd w:id="1084"/>
      <w:bookmarkEnd w:id="1085"/>
      <w:bookmarkEnd w:id="1086"/>
      <w:bookmarkEnd w:id="1087"/>
    </w:p>
    <w:p w14:paraId="1ECD09FF">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8.3.2.1施工期监测内容</w:t>
      </w:r>
    </w:p>
    <w:p w14:paraId="2D31A5C3">
      <w:pPr>
        <w:overflowPunct w:val="0"/>
        <w:topLinePunct/>
        <w:ind w:firstLine="482"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为了及时了解和掌握拟建项目施工期主要污染物的排放情况，建设单位应委托有资质的环境监测部门对其污染源和施工场界周边的环境质量进行监测，监测要求见表8.3-1。</w:t>
      </w:r>
    </w:p>
    <w:p w14:paraId="2A160A6E">
      <w:pPr>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p w14:paraId="5B5E14B9">
      <w:pPr>
        <w:adjustRightInd w:val="0"/>
        <w:ind w:firstLine="0" w:firstLineChars="0"/>
        <w:jc w:val="center"/>
        <w:textAlignment w:val="baseline"/>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表8.3-1    施工期环境监测要求</w:t>
      </w:r>
    </w:p>
    <w:tbl>
      <w:tblPr>
        <w:tblStyle w:val="33"/>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28"/>
        <w:gridCol w:w="1074"/>
        <w:gridCol w:w="1271"/>
        <w:gridCol w:w="949"/>
        <w:gridCol w:w="1525"/>
        <w:gridCol w:w="2972"/>
      </w:tblGrid>
      <w:tr w14:paraId="66AFBA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27" w:type="pct"/>
            <w:vAlign w:val="center"/>
          </w:tcPr>
          <w:p w14:paraId="3EACFD89">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监测类别</w:t>
            </w:r>
          </w:p>
        </w:tc>
        <w:tc>
          <w:tcPr>
            <w:tcW w:w="630" w:type="pct"/>
            <w:vAlign w:val="center"/>
          </w:tcPr>
          <w:p w14:paraId="4232B248">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监测项目</w:t>
            </w:r>
          </w:p>
        </w:tc>
        <w:tc>
          <w:tcPr>
            <w:tcW w:w="746" w:type="pct"/>
            <w:vAlign w:val="center"/>
          </w:tcPr>
          <w:p w14:paraId="4499C4E0">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监测点位置</w:t>
            </w:r>
          </w:p>
        </w:tc>
        <w:tc>
          <w:tcPr>
            <w:tcW w:w="557" w:type="pct"/>
            <w:vAlign w:val="center"/>
          </w:tcPr>
          <w:p w14:paraId="68D91ABB">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测点数</w:t>
            </w:r>
          </w:p>
        </w:tc>
        <w:tc>
          <w:tcPr>
            <w:tcW w:w="895" w:type="pct"/>
            <w:vAlign w:val="center"/>
          </w:tcPr>
          <w:p w14:paraId="76F12869">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监测频次</w:t>
            </w:r>
          </w:p>
        </w:tc>
        <w:tc>
          <w:tcPr>
            <w:tcW w:w="1743" w:type="pct"/>
            <w:vAlign w:val="center"/>
          </w:tcPr>
          <w:p w14:paraId="2A623D09">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技术要求</w:t>
            </w:r>
          </w:p>
        </w:tc>
      </w:tr>
      <w:tr w14:paraId="5557D6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7" w:type="pct"/>
            <w:vAlign w:val="center"/>
          </w:tcPr>
          <w:p w14:paraId="138699B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场界噪声</w:t>
            </w:r>
          </w:p>
        </w:tc>
        <w:tc>
          <w:tcPr>
            <w:tcW w:w="630" w:type="pct"/>
            <w:vAlign w:val="center"/>
          </w:tcPr>
          <w:p w14:paraId="4AEF940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施工场界Leq（A）</w:t>
            </w:r>
          </w:p>
        </w:tc>
        <w:tc>
          <w:tcPr>
            <w:tcW w:w="746" w:type="pct"/>
            <w:vAlign w:val="center"/>
          </w:tcPr>
          <w:p w14:paraId="3C6F152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施工场界</w:t>
            </w:r>
          </w:p>
          <w:p w14:paraId="651886E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四周</w:t>
            </w:r>
          </w:p>
        </w:tc>
        <w:tc>
          <w:tcPr>
            <w:tcW w:w="557" w:type="pct"/>
            <w:vAlign w:val="center"/>
          </w:tcPr>
          <w:p w14:paraId="1064409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895" w:type="pct"/>
            <w:vAlign w:val="center"/>
          </w:tcPr>
          <w:p w14:paraId="3244519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施工期一次/季</w:t>
            </w:r>
          </w:p>
        </w:tc>
        <w:tc>
          <w:tcPr>
            <w:tcW w:w="1743" w:type="pct"/>
            <w:vAlign w:val="center"/>
          </w:tcPr>
          <w:p w14:paraId="6D536D2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满足《</w:t>
            </w:r>
            <w:r>
              <w:rPr>
                <w:rFonts w:hint="default" w:ascii="Times New Roman" w:hAnsi="Times New Roman" w:cs="Times New Roman"/>
                <w:color w:val="auto"/>
                <w:sz w:val="21"/>
                <w:szCs w:val="21"/>
                <w:highlight w:val="none"/>
                <w:lang w:eastAsia="zh-CN"/>
              </w:rPr>
              <w:t>建筑施工噪声排放标准</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GB12523-2025</w:t>
            </w:r>
            <w:r>
              <w:rPr>
                <w:rFonts w:hint="default" w:ascii="Times New Roman" w:hAnsi="Times New Roman" w:cs="Times New Roman"/>
                <w:color w:val="auto"/>
                <w:sz w:val="21"/>
                <w:szCs w:val="21"/>
                <w:highlight w:val="none"/>
              </w:rPr>
              <w:t>）</w:t>
            </w:r>
          </w:p>
        </w:tc>
      </w:tr>
      <w:tr w14:paraId="393EC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7" w:type="pct"/>
            <w:vAlign w:val="center"/>
          </w:tcPr>
          <w:p w14:paraId="040FF52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环境空气</w:t>
            </w:r>
          </w:p>
        </w:tc>
        <w:tc>
          <w:tcPr>
            <w:tcW w:w="630" w:type="pct"/>
            <w:vAlign w:val="center"/>
          </w:tcPr>
          <w:p w14:paraId="544A210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TSP</w:t>
            </w:r>
          </w:p>
        </w:tc>
        <w:tc>
          <w:tcPr>
            <w:tcW w:w="746" w:type="pct"/>
            <w:vAlign w:val="center"/>
          </w:tcPr>
          <w:p w14:paraId="4C6D472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施工场地上、下风向</w:t>
            </w:r>
          </w:p>
        </w:tc>
        <w:tc>
          <w:tcPr>
            <w:tcW w:w="557" w:type="pct"/>
            <w:vAlign w:val="center"/>
          </w:tcPr>
          <w:p w14:paraId="1754441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895" w:type="pct"/>
            <w:vAlign w:val="center"/>
          </w:tcPr>
          <w:p w14:paraId="7B2BD3D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施工期一次/季</w:t>
            </w:r>
          </w:p>
        </w:tc>
        <w:tc>
          <w:tcPr>
            <w:tcW w:w="1743" w:type="pct"/>
            <w:vAlign w:val="center"/>
          </w:tcPr>
          <w:p w14:paraId="0EF4366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满足《大气污染物综合排放标准》（16297-1996）</w:t>
            </w:r>
          </w:p>
        </w:tc>
      </w:tr>
      <w:tr w14:paraId="6F6C6E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7" w:type="pct"/>
            <w:vMerge w:val="restart"/>
            <w:vAlign w:val="center"/>
          </w:tcPr>
          <w:p w14:paraId="32C220F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生态环境</w:t>
            </w:r>
          </w:p>
        </w:tc>
        <w:tc>
          <w:tcPr>
            <w:tcW w:w="630" w:type="pct"/>
            <w:vAlign w:val="center"/>
          </w:tcPr>
          <w:p w14:paraId="593BEAD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施工现场清理</w:t>
            </w:r>
          </w:p>
        </w:tc>
        <w:tc>
          <w:tcPr>
            <w:tcW w:w="746" w:type="pct"/>
            <w:vAlign w:val="center"/>
          </w:tcPr>
          <w:p w14:paraId="15D1A89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施工场地</w:t>
            </w:r>
          </w:p>
        </w:tc>
        <w:tc>
          <w:tcPr>
            <w:tcW w:w="557" w:type="pct"/>
            <w:vAlign w:val="center"/>
          </w:tcPr>
          <w:p w14:paraId="3C06779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895" w:type="pct"/>
            <w:vAlign w:val="center"/>
          </w:tcPr>
          <w:p w14:paraId="5AAE6D5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施工结束后一次</w:t>
            </w:r>
          </w:p>
        </w:tc>
        <w:tc>
          <w:tcPr>
            <w:tcW w:w="1743" w:type="pct"/>
            <w:vAlign w:val="center"/>
          </w:tcPr>
          <w:p w14:paraId="4B12ADB4">
            <w:pPr>
              <w:spacing w:line="360" w:lineRule="exact"/>
              <w:ind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cs="Times New Roman"/>
                <w:color w:val="auto"/>
                <w:sz w:val="21"/>
                <w:szCs w:val="21"/>
                <w:highlight w:val="none"/>
              </w:rPr>
              <w:t>施工清理后，施工现场的弃土石方等废弃物的处置和生态环境恢复情况</w:t>
            </w:r>
          </w:p>
        </w:tc>
      </w:tr>
      <w:tr w14:paraId="348AFF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7" w:type="pct"/>
            <w:vMerge w:val="continue"/>
            <w:vAlign w:val="center"/>
          </w:tcPr>
          <w:p w14:paraId="26E115A1">
            <w:pPr>
              <w:spacing w:line="360" w:lineRule="exact"/>
              <w:ind w:firstLine="0" w:firstLineChars="0"/>
              <w:jc w:val="center"/>
              <w:rPr>
                <w:rFonts w:hint="default" w:ascii="Times New Roman" w:hAnsi="Times New Roman" w:cs="Times New Roman"/>
                <w:color w:val="auto"/>
                <w:sz w:val="21"/>
                <w:szCs w:val="21"/>
                <w:highlight w:val="none"/>
              </w:rPr>
            </w:pPr>
          </w:p>
        </w:tc>
        <w:tc>
          <w:tcPr>
            <w:tcW w:w="630" w:type="pct"/>
            <w:vAlign w:val="center"/>
          </w:tcPr>
          <w:p w14:paraId="049A80B7">
            <w:pPr>
              <w:spacing w:line="360" w:lineRule="exact"/>
              <w:ind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cs="Times New Roman"/>
                <w:color w:val="auto"/>
                <w:sz w:val="21"/>
                <w:szCs w:val="21"/>
                <w:highlight w:val="none"/>
              </w:rPr>
              <w:t>临时占地恢复</w:t>
            </w:r>
          </w:p>
        </w:tc>
        <w:tc>
          <w:tcPr>
            <w:tcW w:w="746" w:type="pct"/>
            <w:vAlign w:val="center"/>
          </w:tcPr>
          <w:p w14:paraId="1521DC1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施工临时占地</w:t>
            </w:r>
            <w:r>
              <w:rPr>
                <w:rFonts w:hint="default" w:ascii="Times New Roman" w:hAnsi="Times New Roman" w:cs="Times New Roman"/>
                <w:color w:val="auto"/>
                <w:sz w:val="21"/>
                <w:szCs w:val="21"/>
                <w:highlight w:val="none"/>
                <w:lang w:eastAsia="zh-CN"/>
              </w:rPr>
              <w:t>及</w:t>
            </w:r>
            <w:r>
              <w:rPr>
                <w:rFonts w:hint="default" w:ascii="Times New Roman" w:hAnsi="Times New Roman" w:cs="Times New Roman"/>
                <w:color w:val="auto"/>
                <w:sz w:val="21"/>
                <w:szCs w:val="21"/>
                <w:highlight w:val="none"/>
              </w:rPr>
              <w:t>施工营地</w:t>
            </w:r>
          </w:p>
        </w:tc>
        <w:tc>
          <w:tcPr>
            <w:tcW w:w="557" w:type="pct"/>
            <w:vAlign w:val="center"/>
          </w:tcPr>
          <w:p w14:paraId="3F05982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895" w:type="pct"/>
            <w:vAlign w:val="center"/>
          </w:tcPr>
          <w:p w14:paraId="52484D18">
            <w:pPr>
              <w:spacing w:line="360" w:lineRule="exact"/>
              <w:ind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cs="Times New Roman"/>
                <w:color w:val="auto"/>
                <w:sz w:val="21"/>
                <w:szCs w:val="21"/>
                <w:highlight w:val="none"/>
              </w:rPr>
              <w:t>施工结束后一次</w:t>
            </w:r>
          </w:p>
        </w:tc>
        <w:tc>
          <w:tcPr>
            <w:tcW w:w="1743" w:type="pct"/>
            <w:vAlign w:val="center"/>
          </w:tcPr>
          <w:p w14:paraId="0D4EF42B">
            <w:pPr>
              <w:spacing w:line="360" w:lineRule="exact"/>
              <w:ind w:firstLine="0" w:firstLineChars="0"/>
              <w:jc w:val="center"/>
              <w:rPr>
                <w:rFonts w:hint="default" w:ascii="Times New Roman" w:hAnsi="Times New Roman" w:eastAsia="Times New Roman" w:cs="Times New Roman"/>
                <w:color w:val="auto"/>
                <w:sz w:val="21"/>
                <w:szCs w:val="21"/>
                <w:highlight w:val="none"/>
              </w:rPr>
            </w:pPr>
            <w:r>
              <w:rPr>
                <w:rFonts w:hint="default" w:ascii="Times New Roman" w:hAnsi="Times New Roman" w:cs="Times New Roman"/>
                <w:color w:val="auto"/>
                <w:sz w:val="21"/>
                <w:szCs w:val="21"/>
                <w:highlight w:val="none"/>
              </w:rPr>
              <w:t>临时占地地表恢复或砾石压盖情况</w:t>
            </w:r>
          </w:p>
        </w:tc>
      </w:tr>
    </w:tbl>
    <w:p w14:paraId="7D037E36">
      <w:pPr>
        <w:pStyle w:val="5"/>
        <w:ind w:firstLine="48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8.3.2.2运营期监测内容</w:t>
      </w:r>
    </w:p>
    <w:p w14:paraId="562DD30D">
      <w:pPr>
        <w:overflowPunct w:val="0"/>
        <w:topLinePunct/>
        <w:ind w:firstLine="482"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本项目运营期环境监测计划见下表。</w:t>
      </w:r>
    </w:p>
    <w:p w14:paraId="7AE97189">
      <w:pPr>
        <w:adjustRightInd w:val="0"/>
        <w:spacing w:line="440" w:lineRule="exact"/>
        <w:ind w:firstLine="0" w:firstLineChars="0"/>
        <w:jc w:val="center"/>
        <w:textAlignment w:val="baseline"/>
        <w:rPr>
          <w:rFonts w:hint="default" w:ascii="Times New Roman" w:hAnsi="Times New Roman" w:cs="Times New Roman"/>
          <w:b/>
          <w:color w:val="auto"/>
          <w:spacing w:val="6"/>
          <w:kern w:val="0"/>
          <w:highlight w:val="none"/>
        </w:rPr>
      </w:pPr>
      <w:r>
        <w:rPr>
          <w:rFonts w:hint="default" w:ascii="Times New Roman" w:hAnsi="Times New Roman" w:cs="Times New Roman"/>
          <w:b/>
          <w:color w:val="auto"/>
          <w:highlight w:val="none"/>
        </w:rPr>
        <w:t>表8.3-2    运营期环境监测计划表</w:t>
      </w:r>
    </w:p>
    <w:tbl>
      <w:tblPr>
        <w:tblStyle w:val="33"/>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442"/>
        <w:gridCol w:w="707"/>
        <w:gridCol w:w="2734"/>
        <w:gridCol w:w="4476"/>
      </w:tblGrid>
      <w:tr w14:paraId="5B6659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tblHeader/>
          <w:jc w:val="center"/>
        </w:trPr>
        <w:tc>
          <w:tcPr>
            <w:tcW w:w="687" w:type="pct"/>
            <w:gridSpan w:val="2"/>
            <w:vAlign w:val="center"/>
          </w:tcPr>
          <w:p w14:paraId="11047322">
            <w:pPr>
              <w:adjustRightInd w:val="0"/>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监测内容</w:t>
            </w:r>
          </w:p>
        </w:tc>
        <w:tc>
          <w:tcPr>
            <w:tcW w:w="1635" w:type="pct"/>
            <w:vAlign w:val="center"/>
          </w:tcPr>
          <w:p w14:paraId="67F8C6C3">
            <w:pPr>
              <w:adjustRightInd w:val="0"/>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监测因子、频率</w:t>
            </w:r>
          </w:p>
        </w:tc>
        <w:tc>
          <w:tcPr>
            <w:tcW w:w="2676" w:type="pct"/>
            <w:vAlign w:val="center"/>
          </w:tcPr>
          <w:p w14:paraId="74308B17">
            <w:pPr>
              <w:adjustRightInd w:val="0"/>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监测点位</w:t>
            </w:r>
          </w:p>
        </w:tc>
      </w:tr>
      <w:tr w14:paraId="011D5E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64" w:type="pct"/>
            <w:vMerge w:val="restart"/>
            <w:vAlign w:val="center"/>
          </w:tcPr>
          <w:p w14:paraId="42CC7D12">
            <w:pPr>
              <w:adjustRightIn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生态景观监测</w:t>
            </w:r>
          </w:p>
        </w:tc>
        <w:tc>
          <w:tcPr>
            <w:tcW w:w="422" w:type="pct"/>
            <w:vAlign w:val="center"/>
          </w:tcPr>
          <w:p w14:paraId="598CE5CB">
            <w:pPr>
              <w:adjustRightIn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植被</w:t>
            </w:r>
          </w:p>
        </w:tc>
        <w:tc>
          <w:tcPr>
            <w:tcW w:w="1635" w:type="pct"/>
            <w:vAlign w:val="center"/>
          </w:tcPr>
          <w:p w14:paraId="58409AB2">
            <w:pPr>
              <w:adjustRightInd w:val="0"/>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1.调查项目：植被类型、植物的种类、组成、高度、盖度、产量</w:t>
            </w:r>
          </w:p>
          <w:p w14:paraId="401CD3F7">
            <w:pPr>
              <w:adjustRightInd w:val="0"/>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2.调查频率：1次/年</w:t>
            </w:r>
          </w:p>
        </w:tc>
        <w:tc>
          <w:tcPr>
            <w:tcW w:w="2676" w:type="pct"/>
            <w:vAlign w:val="center"/>
          </w:tcPr>
          <w:p w14:paraId="6A1E5AAB">
            <w:pPr>
              <w:adjustRightIn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进场道路两侧等布设3～5个调查点</w:t>
            </w:r>
          </w:p>
        </w:tc>
      </w:tr>
      <w:tr w14:paraId="50DC28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64" w:type="pct"/>
            <w:vMerge w:val="continue"/>
            <w:vAlign w:val="center"/>
          </w:tcPr>
          <w:p w14:paraId="11D48850">
            <w:pPr>
              <w:adjustRightInd w:val="0"/>
              <w:spacing w:line="360" w:lineRule="exact"/>
              <w:ind w:firstLine="0" w:firstLineChars="0"/>
              <w:jc w:val="center"/>
              <w:rPr>
                <w:rFonts w:hint="default" w:ascii="Times New Roman" w:hAnsi="Times New Roman" w:cs="Times New Roman"/>
                <w:color w:val="auto"/>
                <w:sz w:val="21"/>
                <w:szCs w:val="21"/>
                <w:highlight w:val="none"/>
              </w:rPr>
            </w:pPr>
          </w:p>
        </w:tc>
        <w:tc>
          <w:tcPr>
            <w:tcW w:w="422" w:type="pct"/>
            <w:vAlign w:val="center"/>
          </w:tcPr>
          <w:p w14:paraId="4197E106">
            <w:pPr>
              <w:adjustRightIn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en-US"/>
              </w:rPr>
              <w:t>生物多样性</w:t>
            </w:r>
          </w:p>
        </w:tc>
        <w:tc>
          <w:tcPr>
            <w:tcW w:w="1635" w:type="pct"/>
            <w:vAlign w:val="center"/>
          </w:tcPr>
          <w:p w14:paraId="4AED1374">
            <w:pPr>
              <w:adjustRightInd w:val="0"/>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1.调查项目：物种数</w:t>
            </w:r>
          </w:p>
          <w:p w14:paraId="74E32293">
            <w:pPr>
              <w:adjustRightInd w:val="0"/>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2.调查频率：1次/年</w:t>
            </w:r>
          </w:p>
        </w:tc>
        <w:tc>
          <w:tcPr>
            <w:tcW w:w="2676" w:type="pct"/>
            <w:vAlign w:val="center"/>
          </w:tcPr>
          <w:p w14:paraId="591C43E3">
            <w:pPr>
              <w:adjustRightIn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en-US"/>
              </w:rPr>
              <w:t>进场道路沿线</w:t>
            </w:r>
          </w:p>
        </w:tc>
      </w:tr>
      <w:tr w14:paraId="7AD2E7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64" w:type="pct"/>
            <w:vMerge w:val="restart"/>
            <w:vAlign w:val="center"/>
          </w:tcPr>
          <w:p w14:paraId="086400BC">
            <w:pPr>
              <w:adjustRightIn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大气环境监测</w:t>
            </w:r>
          </w:p>
        </w:tc>
        <w:tc>
          <w:tcPr>
            <w:tcW w:w="422" w:type="pct"/>
            <w:vAlign w:val="center"/>
          </w:tcPr>
          <w:p w14:paraId="1B4CBF94">
            <w:pPr>
              <w:pStyle w:val="31"/>
              <w:spacing w:after="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除尘器排口</w:t>
            </w:r>
          </w:p>
        </w:tc>
        <w:tc>
          <w:tcPr>
            <w:tcW w:w="1635" w:type="pct"/>
            <w:vAlign w:val="center"/>
          </w:tcPr>
          <w:p w14:paraId="4FEE9E76">
            <w:pPr>
              <w:adjustRightInd w:val="0"/>
              <w:spacing w:line="360" w:lineRule="exact"/>
              <w:ind w:firstLine="0" w:firstLineChars="0"/>
              <w:jc w:val="left"/>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rPr>
              <w:t>1.监测项目：PM</w:t>
            </w:r>
            <w:r>
              <w:rPr>
                <w:rFonts w:hint="default" w:ascii="Times New Roman" w:hAnsi="Times New Roman" w:cs="Times New Roman"/>
                <w:color w:val="auto"/>
                <w:sz w:val="21"/>
                <w:szCs w:val="21"/>
                <w:highlight w:val="none"/>
                <w:vertAlign w:val="subscript"/>
              </w:rPr>
              <w:t>10</w:t>
            </w:r>
            <w:r>
              <w:rPr>
                <w:rFonts w:hint="default" w:ascii="Times New Roman" w:hAnsi="Times New Roman" w:cs="Times New Roman"/>
                <w:color w:val="auto"/>
                <w:sz w:val="21"/>
                <w:szCs w:val="21"/>
                <w:highlight w:val="none"/>
                <w:vertAlign w:val="baseline"/>
                <w:lang w:eastAsia="zh-CN"/>
              </w:rPr>
              <w:t>、氟化物</w:t>
            </w:r>
          </w:p>
          <w:p w14:paraId="7E7AEF0E">
            <w:pPr>
              <w:adjustRightInd w:val="0"/>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2.监测频率：每季度一次。</w:t>
            </w:r>
          </w:p>
        </w:tc>
        <w:tc>
          <w:tcPr>
            <w:tcW w:w="2676" w:type="pct"/>
            <w:vAlign w:val="center"/>
          </w:tcPr>
          <w:p w14:paraId="05A41632">
            <w:pPr>
              <w:adjustRightIn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监测点：除尘器排口</w:t>
            </w:r>
          </w:p>
        </w:tc>
      </w:tr>
      <w:tr w14:paraId="263A40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64" w:type="pct"/>
            <w:vMerge w:val="continue"/>
            <w:vAlign w:val="center"/>
          </w:tcPr>
          <w:p w14:paraId="1D1E1F4A">
            <w:pPr>
              <w:adjustRightInd w:val="0"/>
              <w:spacing w:line="360" w:lineRule="exact"/>
              <w:ind w:firstLine="0" w:firstLineChars="0"/>
              <w:jc w:val="center"/>
              <w:rPr>
                <w:rFonts w:hint="default" w:ascii="Times New Roman" w:hAnsi="Times New Roman" w:cs="Times New Roman"/>
                <w:color w:val="auto"/>
                <w:sz w:val="21"/>
                <w:szCs w:val="21"/>
                <w:highlight w:val="none"/>
              </w:rPr>
            </w:pPr>
          </w:p>
        </w:tc>
        <w:tc>
          <w:tcPr>
            <w:tcW w:w="422" w:type="pct"/>
            <w:vAlign w:val="center"/>
          </w:tcPr>
          <w:p w14:paraId="4BE65BC2">
            <w:pPr>
              <w:pStyle w:val="31"/>
              <w:spacing w:after="0"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燃煤锅炉排口</w:t>
            </w:r>
          </w:p>
        </w:tc>
        <w:tc>
          <w:tcPr>
            <w:tcW w:w="1635" w:type="pct"/>
            <w:vAlign w:val="center"/>
          </w:tcPr>
          <w:p w14:paraId="596C88DF">
            <w:pPr>
              <w:adjustRightInd w:val="0"/>
              <w:spacing w:line="360" w:lineRule="exact"/>
              <w:ind w:firstLine="0" w:firstLineChars="0"/>
              <w:jc w:val="left"/>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rPr>
              <w:t>1.监测项目：</w:t>
            </w:r>
            <w:r>
              <w:rPr>
                <w:rFonts w:hint="eastAsia" w:cs="Times New Roman"/>
                <w:color w:val="auto"/>
                <w:sz w:val="21"/>
                <w:szCs w:val="21"/>
                <w:highlight w:val="none"/>
                <w:lang w:val="en-US" w:eastAsia="zh-CN"/>
              </w:rPr>
              <w:t>TSP、NO</w:t>
            </w:r>
            <w:r>
              <w:rPr>
                <w:rFonts w:hint="eastAsia" w:cs="Times New Roman"/>
                <w:color w:val="auto"/>
                <w:sz w:val="21"/>
                <w:szCs w:val="21"/>
                <w:highlight w:val="none"/>
                <w:vertAlign w:val="subscript"/>
                <w:lang w:val="en-US" w:eastAsia="zh-CN"/>
              </w:rPr>
              <w:t>X</w:t>
            </w:r>
            <w:r>
              <w:rPr>
                <w:rFonts w:hint="eastAsia" w:cs="Times New Roman"/>
                <w:color w:val="auto"/>
                <w:sz w:val="21"/>
                <w:szCs w:val="21"/>
                <w:highlight w:val="none"/>
                <w:lang w:val="en-US" w:eastAsia="zh-CN"/>
              </w:rPr>
              <w:t>、SO</w:t>
            </w:r>
            <w:r>
              <w:rPr>
                <w:rFonts w:hint="eastAsia" w:cs="Times New Roman"/>
                <w:color w:val="auto"/>
                <w:sz w:val="21"/>
                <w:szCs w:val="21"/>
                <w:highlight w:val="none"/>
                <w:vertAlign w:val="subscript"/>
                <w:lang w:val="en-US" w:eastAsia="zh-CN"/>
              </w:rPr>
              <w:t>2</w:t>
            </w:r>
            <w:r>
              <w:rPr>
                <w:rFonts w:hint="eastAsia" w:cs="Times New Roman"/>
                <w:color w:val="auto"/>
                <w:sz w:val="21"/>
                <w:szCs w:val="21"/>
                <w:highlight w:val="none"/>
                <w:lang w:val="en-US" w:eastAsia="zh-CN"/>
              </w:rPr>
              <w:t>、汞及其化合物、林格曼黑度</w:t>
            </w:r>
          </w:p>
          <w:p w14:paraId="7BAE693D">
            <w:pPr>
              <w:adjustRightInd w:val="0"/>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2.监测频率：每</w:t>
            </w:r>
            <w:r>
              <w:rPr>
                <w:rFonts w:hint="eastAsia" w:cs="Times New Roman"/>
                <w:color w:val="auto"/>
                <w:sz w:val="21"/>
                <w:szCs w:val="21"/>
                <w:highlight w:val="none"/>
                <w:lang w:val="en-US" w:eastAsia="zh-CN"/>
              </w:rPr>
              <w:t>月</w:t>
            </w:r>
            <w:r>
              <w:rPr>
                <w:rFonts w:hint="default" w:ascii="Times New Roman" w:hAnsi="Times New Roman" w:cs="Times New Roman"/>
                <w:color w:val="auto"/>
                <w:sz w:val="21"/>
                <w:szCs w:val="21"/>
                <w:highlight w:val="none"/>
              </w:rPr>
              <w:t>一次。</w:t>
            </w:r>
          </w:p>
        </w:tc>
        <w:tc>
          <w:tcPr>
            <w:tcW w:w="2676" w:type="pct"/>
            <w:vAlign w:val="center"/>
          </w:tcPr>
          <w:p w14:paraId="786F74FA">
            <w:pPr>
              <w:adjustRightIn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监测点：</w:t>
            </w:r>
            <w:r>
              <w:rPr>
                <w:rFonts w:hint="eastAsia" w:cs="Times New Roman"/>
                <w:color w:val="auto"/>
                <w:sz w:val="21"/>
                <w:szCs w:val="21"/>
                <w:highlight w:val="none"/>
                <w:lang w:val="en-US" w:eastAsia="zh-CN"/>
              </w:rPr>
              <w:t>锅炉</w:t>
            </w:r>
            <w:r>
              <w:rPr>
                <w:rFonts w:hint="default" w:ascii="Times New Roman" w:hAnsi="Times New Roman" w:cs="Times New Roman"/>
                <w:color w:val="auto"/>
                <w:sz w:val="21"/>
                <w:szCs w:val="21"/>
                <w:highlight w:val="none"/>
              </w:rPr>
              <w:t>排口</w:t>
            </w:r>
          </w:p>
        </w:tc>
      </w:tr>
      <w:tr w14:paraId="05A46D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64" w:type="pct"/>
            <w:vMerge w:val="continue"/>
            <w:vAlign w:val="center"/>
          </w:tcPr>
          <w:p w14:paraId="5281CEED">
            <w:pPr>
              <w:adjustRightInd w:val="0"/>
              <w:spacing w:line="360" w:lineRule="exact"/>
              <w:ind w:firstLine="0" w:firstLineChars="0"/>
              <w:jc w:val="center"/>
              <w:rPr>
                <w:rFonts w:hint="default" w:ascii="Times New Roman" w:hAnsi="Times New Roman" w:cs="Times New Roman"/>
                <w:color w:val="auto"/>
                <w:sz w:val="21"/>
                <w:szCs w:val="21"/>
                <w:highlight w:val="none"/>
              </w:rPr>
            </w:pPr>
          </w:p>
        </w:tc>
        <w:tc>
          <w:tcPr>
            <w:tcW w:w="422" w:type="pct"/>
            <w:vAlign w:val="center"/>
          </w:tcPr>
          <w:p w14:paraId="47929224">
            <w:pPr>
              <w:pStyle w:val="31"/>
              <w:spacing w:after="0"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厂界</w:t>
            </w:r>
          </w:p>
        </w:tc>
        <w:tc>
          <w:tcPr>
            <w:tcW w:w="1635" w:type="pct"/>
            <w:vAlign w:val="center"/>
          </w:tcPr>
          <w:p w14:paraId="29DE1FCA">
            <w:pPr>
              <w:adjustRightInd w:val="0"/>
              <w:spacing w:line="360" w:lineRule="exact"/>
              <w:ind w:firstLine="0" w:firstLineChars="0"/>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1.监测项目：TSP</w:t>
            </w:r>
            <w:r>
              <w:rPr>
                <w:rFonts w:hint="default" w:ascii="Times New Roman" w:hAnsi="Times New Roman" w:cs="Times New Roman"/>
                <w:color w:val="auto"/>
                <w:sz w:val="21"/>
                <w:szCs w:val="21"/>
                <w:highlight w:val="none"/>
                <w:lang w:eastAsia="zh-CN"/>
              </w:rPr>
              <w:t>、氟化物</w:t>
            </w:r>
          </w:p>
          <w:p w14:paraId="1B010F55">
            <w:pPr>
              <w:adjustRightInd w:val="0"/>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2.监测频率：每季度一次。</w:t>
            </w:r>
          </w:p>
        </w:tc>
        <w:tc>
          <w:tcPr>
            <w:tcW w:w="2676" w:type="pct"/>
            <w:vAlign w:val="center"/>
          </w:tcPr>
          <w:p w14:paraId="3B6683D5">
            <w:pPr>
              <w:adjustRightIn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监测点：选矿厂上、下风向</w:t>
            </w:r>
          </w:p>
        </w:tc>
      </w:tr>
      <w:tr w14:paraId="0F8FDB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87" w:type="pct"/>
            <w:gridSpan w:val="2"/>
            <w:vAlign w:val="center"/>
          </w:tcPr>
          <w:p w14:paraId="36A58ADA">
            <w:pPr>
              <w:adjustRightIn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地下水环境监测</w:t>
            </w:r>
          </w:p>
        </w:tc>
        <w:tc>
          <w:tcPr>
            <w:tcW w:w="1635" w:type="pct"/>
            <w:vAlign w:val="center"/>
          </w:tcPr>
          <w:p w14:paraId="3D9CB0CB">
            <w:pPr>
              <w:adjustRightInd w:val="0"/>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1.监测项目：pH、汞、铅、铬、镉、镍</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氟化物</w:t>
            </w:r>
            <w:r>
              <w:rPr>
                <w:rFonts w:hint="default" w:ascii="Times New Roman" w:hAnsi="Times New Roman" w:cs="Times New Roman"/>
                <w:color w:val="auto"/>
                <w:sz w:val="21"/>
                <w:szCs w:val="21"/>
                <w:highlight w:val="none"/>
              </w:rPr>
              <w:t>等</w:t>
            </w:r>
          </w:p>
          <w:p w14:paraId="69B221C8">
            <w:pPr>
              <w:adjustRightInd w:val="0"/>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2.监测频率：每季度一次。</w:t>
            </w:r>
          </w:p>
        </w:tc>
        <w:tc>
          <w:tcPr>
            <w:tcW w:w="2676" w:type="pct"/>
            <w:vAlign w:val="center"/>
          </w:tcPr>
          <w:p w14:paraId="51D06AC9">
            <w:pPr>
              <w:adjustRightIn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环境监测点：</w:t>
            </w:r>
            <w:r>
              <w:rPr>
                <w:rFonts w:hint="default" w:ascii="Times New Roman" w:hAnsi="Times New Roman" w:cs="Times New Roman"/>
                <w:color w:val="auto"/>
                <w:sz w:val="21"/>
                <w:szCs w:val="21"/>
                <w:highlight w:val="none"/>
                <w:lang w:val="en-US" w:eastAsia="zh-CN"/>
              </w:rPr>
              <w:t>项目区地下水监测井。</w:t>
            </w:r>
          </w:p>
        </w:tc>
      </w:tr>
      <w:tr w14:paraId="0B77FB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87" w:type="pct"/>
            <w:gridSpan w:val="2"/>
            <w:vAlign w:val="center"/>
          </w:tcPr>
          <w:p w14:paraId="769DEDCE">
            <w:pPr>
              <w:adjustRightIn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声环境质量监测</w:t>
            </w:r>
          </w:p>
        </w:tc>
        <w:tc>
          <w:tcPr>
            <w:tcW w:w="1635" w:type="pct"/>
            <w:vAlign w:val="center"/>
          </w:tcPr>
          <w:p w14:paraId="09060231">
            <w:pPr>
              <w:adjustRightInd w:val="0"/>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1.监测项目：厂界噪声</w:t>
            </w:r>
          </w:p>
          <w:p w14:paraId="5D6997BA">
            <w:pPr>
              <w:adjustRightInd w:val="0"/>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2.监测频率：</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次/</w:t>
            </w:r>
            <w:r>
              <w:rPr>
                <w:rFonts w:hint="eastAsia" w:cs="Times New Roman"/>
                <w:color w:val="auto"/>
                <w:sz w:val="21"/>
                <w:szCs w:val="21"/>
                <w:highlight w:val="none"/>
                <w:lang w:val="en-US" w:eastAsia="zh-CN"/>
              </w:rPr>
              <w:t>季度</w:t>
            </w:r>
            <w:r>
              <w:rPr>
                <w:rFonts w:hint="default" w:ascii="Times New Roman" w:hAnsi="Times New Roman" w:cs="Times New Roman"/>
                <w:color w:val="auto"/>
                <w:sz w:val="21"/>
                <w:szCs w:val="21"/>
                <w:highlight w:val="none"/>
              </w:rPr>
              <w:t>，昼、夜各一次</w:t>
            </w:r>
          </w:p>
        </w:tc>
        <w:tc>
          <w:tcPr>
            <w:tcW w:w="2676" w:type="pct"/>
            <w:vAlign w:val="center"/>
          </w:tcPr>
          <w:p w14:paraId="2F3E5605">
            <w:pPr>
              <w:adjustRightIn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选矿厂周界各布设4个监测点；</w:t>
            </w:r>
          </w:p>
        </w:tc>
      </w:tr>
      <w:tr w14:paraId="387C25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87" w:type="pct"/>
            <w:gridSpan w:val="2"/>
            <w:vAlign w:val="center"/>
          </w:tcPr>
          <w:p w14:paraId="426F04E0">
            <w:pPr>
              <w:adjustRightIn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土壤环境质量监测</w:t>
            </w:r>
          </w:p>
        </w:tc>
        <w:tc>
          <w:tcPr>
            <w:tcW w:w="1635" w:type="pct"/>
            <w:vAlign w:val="center"/>
          </w:tcPr>
          <w:p w14:paraId="591CD4DC">
            <w:pPr>
              <w:adjustRightInd w:val="0"/>
              <w:spacing w:line="360" w:lineRule="exact"/>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1.监测项目：pH、砷、汞，铅、铬、镉、铜、锌、镍、硫化物等</w:t>
            </w:r>
            <w:r>
              <w:rPr>
                <w:rFonts w:hint="eastAsia" w:cs="Times New Roman"/>
                <w:color w:val="auto"/>
                <w:sz w:val="21"/>
                <w:szCs w:val="21"/>
                <w:highlight w:val="none"/>
                <w:lang w:val="en-US" w:eastAsia="zh-CN"/>
              </w:rPr>
              <w:t>基本45项</w:t>
            </w:r>
          </w:p>
          <w:p w14:paraId="0978C8C0">
            <w:pPr>
              <w:adjustRightInd w:val="0"/>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2.监测频率：</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年</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次</w:t>
            </w:r>
          </w:p>
        </w:tc>
        <w:tc>
          <w:tcPr>
            <w:tcW w:w="2676" w:type="pct"/>
            <w:vAlign w:val="center"/>
          </w:tcPr>
          <w:p w14:paraId="47B6E05E">
            <w:pPr>
              <w:adjustRightIn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选矿厂及尾矿库附近</w:t>
            </w:r>
          </w:p>
        </w:tc>
      </w:tr>
      <w:tr w14:paraId="51C8E7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87" w:type="pct"/>
            <w:gridSpan w:val="2"/>
            <w:vAlign w:val="center"/>
          </w:tcPr>
          <w:p w14:paraId="3908B3B5">
            <w:pPr>
              <w:adjustRightIn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生态恢复监管内容</w:t>
            </w:r>
          </w:p>
        </w:tc>
        <w:tc>
          <w:tcPr>
            <w:tcW w:w="1635" w:type="pct"/>
            <w:vAlign w:val="center"/>
          </w:tcPr>
          <w:p w14:paraId="528061A2">
            <w:pPr>
              <w:adjustRightInd w:val="0"/>
              <w:spacing w:line="360" w:lineRule="exact"/>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kern w:val="24"/>
                <w:sz w:val="21"/>
                <w:szCs w:val="21"/>
                <w:highlight w:val="none"/>
              </w:rPr>
              <w:t>选矿厂、尾矿库的建设导致原有地形地貌发生变化，破坏了项目区地表植被和自然景观，同时也会影响物种的多样性，破坏原有的生态系统。</w:t>
            </w:r>
          </w:p>
        </w:tc>
        <w:tc>
          <w:tcPr>
            <w:tcW w:w="2676" w:type="pct"/>
            <w:vAlign w:val="center"/>
          </w:tcPr>
          <w:p w14:paraId="40512B73">
            <w:pPr>
              <w:adjustRightInd w:val="0"/>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4"/>
                <w:sz w:val="21"/>
                <w:szCs w:val="21"/>
                <w:highlight w:val="none"/>
              </w:rPr>
              <w:t>检查厂区周围、道路两侧绿化工作计划完成进度，以及水土流失的控制情况，并根据实际情况随时修正厂区生态恢复计划，保证各项计划落实到位。</w:t>
            </w:r>
          </w:p>
        </w:tc>
      </w:tr>
    </w:tbl>
    <w:p w14:paraId="6F49E371">
      <w:pPr>
        <w:pStyle w:val="3"/>
        <w:rPr>
          <w:rFonts w:hint="default" w:ascii="Times New Roman" w:hAnsi="Times New Roman" w:cs="Times New Roman"/>
          <w:color w:val="auto"/>
          <w:highlight w:val="none"/>
        </w:rPr>
      </w:pPr>
      <w:bookmarkStart w:id="1088" w:name="_Toc107413913"/>
      <w:bookmarkStart w:id="1089" w:name="_Toc107414680"/>
      <w:bookmarkStart w:id="1090" w:name="_Toc10835"/>
      <w:r>
        <w:rPr>
          <w:rFonts w:hint="default" w:ascii="Times New Roman" w:hAnsi="Times New Roman" w:cs="Times New Roman"/>
          <w:color w:val="auto"/>
          <w:highlight w:val="none"/>
        </w:rPr>
        <w:t>8.4环境管理措施及环保行动计划</w:t>
      </w:r>
      <w:bookmarkEnd w:id="1088"/>
      <w:bookmarkEnd w:id="1089"/>
      <w:bookmarkEnd w:id="1090"/>
    </w:p>
    <w:p w14:paraId="125A93D9">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本项目环境管理措施及环保行动计划见表8.4-1、8.4-2。</w:t>
      </w:r>
    </w:p>
    <w:p w14:paraId="31BDF8D9">
      <w:pPr>
        <w:ind w:firstLine="0" w:firstLineChars="0"/>
        <w:jc w:val="center"/>
        <w:rPr>
          <w:rFonts w:hint="default" w:ascii="Times New Roman" w:hAnsi="Times New Roman" w:cs="Times New Roman" w:eastAsiaTheme="minorEastAsia"/>
          <w:b/>
          <w:color w:val="auto"/>
          <w:highlight w:val="none"/>
        </w:rPr>
      </w:pPr>
      <w:r>
        <w:rPr>
          <w:rFonts w:hint="default" w:ascii="Times New Roman" w:hAnsi="Times New Roman" w:cs="Times New Roman" w:eastAsiaTheme="minorEastAsia"/>
          <w:b/>
          <w:color w:val="auto"/>
          <w:highlight w:val="none"/>
        </w:rPr>
        <w:t>表8.4-1    运营期环境管理措施</w:t>
      </w:r>
    </w:p>
    <w:tbl>
      <w:tblPr>
        <w:tblStyle w:val="33"/>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626"/>
        <w:gridCol w:w="1147"/>
        <w:gridCol w:w="1747"/>
      </w:tblGrid>
      <w:tr w14:paraId="6E8EC6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3301" w:type="pct"/>
            <w:vAlign w:val="center"/>
          </w:tcPr>
          <w:p w14:paraId="2DCA8674">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环境监控管理措施</w:t>
            </w:r>
          </w:p>
        </w:tc>
        <w:tc>
          <w:tcPr>
            <w:tcW w:w="673" w:type="pct"/>
            <w:vAlign w:val="center"/>
          </w:tcPr>
          <w:p w14:paraId="0CA1B95D">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实施方</w:t>
            </w:r>
          </w:p>
        </w:tc>
        <w:tc>
          <w:tcPr>
            <w:tcW w:w="1025" w:type="pct"/>
            <w:vAlign w:val="center"/>
          </w:tcPr>
          <w:p w14:paraId="7CBE164A">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监督管理</w:t>
            </w:r>
          </w:p>
        </w:tc>
      </w:tr>
      <w:tr w14:paraId="0709DC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301" w:type="pct"/>
            <w:vAlign w:val="center"/>
          </w:tcPr>
          <w:p w14:paraId="7E46B1EF">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（1）废气</w:t>
            </w:r>
          </w:p>
          <w:p w14:paraId="033A4F4A">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①工作面和</w:t>
            </w:r>
            <w:r>
              <w:rPr>
                <w:rFonts w:hint="default" w:ascii="Times New Roman" w:hAnsi="Times New Roman" w:cs="Times New Roman"/>
                <w:color w:val="auto"/>
                <w:sz w:val="21"/>
                <w:szCs w:val="21"/>
                <w:highlight w:val="none"/>
                <w:lang w:val="en-US" w:eastAsia="zh-CN"/>
              </w:rPr>
              <w:t>产尘</w:t>
            </w:r>
            <w:r>
              <w:rPr>
                <w:rFonts w:hint="default" w:ascii="Times New Roman" w:hAnsi="Times New Roman" w:cs="Times New Roman"/>
                <w:color w:val="auto"/>
                <w:sz w:val="21"/>
                <w:szCs w:val="21"/>
                <w:highlight w:val="none"/>
              </w:rPr>
              <w:t>点喷雾洒水降尘。</w:t>
            </w:r>
          </w:p>
          <w:p w14:paraId="45062975">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②矿石装卸过程控制落差，降低扬尘量。</w:t>
            </w:r>
          </w:p>
          <w:p w14:paraId="3635108E">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③矿区道路路面</w:t>
            </w:r>
            <w:r>
              <w:rPr>
                <w:rFonts w:hint="eastAsia" w:cs="Times New Roman"/>
                <w:color w:val="auto"/>
                <w:sz w:val="21"/>
                <w:szCs w:val="21"/>
                <w:highlight w:val="none"/>
                <w:lang w:eastAsia="zh-CN"/>
              </w:rPr>
              <w:t>做</w:t>
            </w:r>
            <w:r>
              <w:rPr>
                <w:rFonts w:hint="default" w:ascii="Times New Roman" w:hAnsi="Times New Roman" w:cs="Times New Roman"/>
                <w:color w:val="auto"/>
                <w:sz w:val="21"/>
                <w:szCs w:val="21"/>
                <w:highlight w:val="none"/>
              </w:rPr>
              <w:t>硬化处理及运输道路洒水。</w:t>
            </w:r>
          </w:p>
          <w:p w14:paraId="2D7C87F3">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④加强工人的个人防护。</w:t>
            </w:r>
          </w:p>
          <w:p w14:paraId="0797315E">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⑤定期进行监测。</w:t>
            </w:r>
          </w:p>
        </w:tc>
        <w:tc>
          <w:tcPr>
            <w:tcW w:w="673" w:type="pct"/>
            <w:vAlign w:val="center"/>
          </w:tcPr>
          <w:p w14:paraId="0769C18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建设单位</w:t>
            </w:r>
          </w:p>
        </w:tc>
        <w:tc>
          <w:tcPr>
            <w:tcW w:w="1025" w:type="pct"/>
            <w:vAlign w:val="center"/>
          </w:tcPr>
          <w:p w14:paraId="46FFFB5C">
            <w:pPr>
              <w:spacing w:line="360" w:lineRule="exact"/>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哈密市生态环境局伊州分局</w:t>
            </w:r>
          </w:p>
        </w:tc>
      </w:tr>
      <w:tr w14:paraId="567B25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301" w:type="pct"/>
            <w:vAlign w:val="center"/>
          </w:tcPr>
          <w:p w14:paraId="499AECEB">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（2）废水</w:t>
            </w:r>
          </w:p>
          <w:p w14:paraId="16FD438D">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①本项目生产废水闭路循环，不外排。</w:t>
            </w:r>
          </w:p>
          <w:p w14:paraId="4D04E91D">
            <w:pPr>
              <w:spacing w:line="360" w:lineRule="exact"/>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sz w:val="21"/>
                <w:szCs w:val="21"/>
                <w:highlight w:val="none"/>
              </w:rPr>
              <w:t>②生活污水</w:t>
            </w:r>
            <w:r>
              <w:rPr>
                <w:rFonts w:hint="eastAsia" w:cs="Times New Roman"/>
                <w:color w:val="auto"/>
                <w:sz w:val="21"/>
                <w:szCs w:val="21"/>
                <w:highlight w:val="none"/>
                <w:lang w:val="en-US" w:eastAsia="zh-CN"/>
              </w:rPr>
              <w:t>经化粪池处置后定期由吸污车拉运至哈密市污水处理厂。</w:t>
            </w:r>
          </w:p>
        </w:tc>
        <w:tc>
          <w:tcPr>
            <w:tcW w:w="673" w:type="pct"/>
            <w:vAlign w:val="center"/>
          </w:tcPr>
          <w:p w14:paraId="05FEA86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建设单位</w:t>
            </w:r>
          </w:p>
        </w:tc>
        <w:tc>
          <w:tcPr>
            <w:tcW w:w="1025" w:type="pct"/>
            <w:vAlign w:val="center"/>
          </w:tcPr>
          <w:p w14:paraId="4F547A1E">
            <w:pPr>
              <w:spacing w:line="360" w:lineRule="exact"/>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哈密市生态环境局伊州分局</w:t>
            </w:r>
          </w:p>
        </w:tc>
      </w:tr>
      <w:tr w14:paraId="158F7A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301" w:type="pct"/>
            <w:vAlign w:val="center"/>
          </w:tcPr>
          <w:p w14:paraId="14FE175A">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（3）固体废物</w:t>
            </w:r>
          </w:p>
          <w:p w14:paraId="5A4F6D3D">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①一般固废合理堆放，尽量综合利用。</w:t>
            </w:r>
          </w:p>
          <w:p w14:paraId="73F9FB7B">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②生活垃圾集中收集清运。</w:t>
            </w:r>
          </w:p>
          <w:p w14:paraId="5434B1EA">
            <w:pPr>
              <w:spacing w:line="360" w:lineRule="exact"/>
              <w:ind w:firstLine="0" w:firstLineChars="0"/>
              <w:rPr>
                <w:rFonts w:hint="default" w:ascii="Times New Roman" w:hAnsi="Times New Roman" w:cs="Times New Roman"/>
                <w:color w:val="auto"/>
                <w:highlight w:val="none"/>
              </w:rPr>
            </w:pPr>
            <w:r>
              <w:rPr>
                <w:rFonts w:hint="default" w:ascii="Times New Roman" w:hAnsi="Times New Roman" w:cs="Times New Roman"/>
                <w:color w:val="auto"/>
                <w:sz w:val="21"/>
                <w:szCs w:val="21"/>
                <w:highlight w:val="none"/>
              </w:rPr>
              <w:t>③危废暂存于</w:t>
            </w:r>
            <w:r>
              <w:rPr>
                <w:rFonts w:hint="eastAsia" w:cs="Times New Roman"/>
                <w:color w:val="auto"/>
                <w:sz w:val="21"/>
                <w:szCs w:val="21"/>
                <w:highlight w:val="none"/>
                <w:lang w:eastAsia="zh-CN"/>
              </w:rPr>
              <w:t>危废贮存点</w:t>
            </w:r>
            <w:r>
              <w:rPr>
                <w:rFonts w:hint="default" w:ascii="Times New Roman" w:hAnsi="Times New Roman" w:cs="Times New Roman"/>
                <w:color w:val="auto"/>
                <w:sz w:val="21"/>
                <w:szCs w:val="21"/>
                <w:highlight w:val="none"/>
              </w:rPr>
              <w:t>，定期委托有资质的单位处置。</w:t>
            </w:r>
          </w:p>
        </w:tc>
        <w:tc>
          <w:tcPr>
            <w:tcW w:w="673" w:type="pct"/>
            <w:vAlign w:val="center"/>
          </w:tcPr>
          <w:p w14:paraId="326B843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建设单位</w:t>
            </w:r>
          </w:p>
        </w:tc>
        <w:tc>
          <w:tcPr>
            <w:tcW w:w="1025" w:type="pct"/>
            <w:vAlign w:val="center"/>
          </w:tcPr>
          <w:p w14:paraId="686789A4">
            <w:pPr>
              <w:spacing w:line="360" w:lineRule="exact"/>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哈密市生态环境局伊州分局</w:t>
            </w:r>
          </w:p>
        </w:tc>
      </w:tr>
      <w:tr w14:paraId="230A3B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301" w:type="pct"/>
            <w:vAlign w:val="center"/>
          </w:tcPr>
          <w:p w14:paraId="16FD1F5F">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（4）噪声</w:t>
            </w:r>
          </w:p>
          <w:p w14:paraId="1EE49E3F">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①选用低噪声设备及必要的消声措施。</w:t>
            </w:r>
          </w:p>
          <w:p w14:paraId="03E23986">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②保持设备良好的运营工况，及时维修检修。</w:t>
            </w:r>
          </w:p>
          <w:p w14:paraId="34DB8FD5">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③加强个人防护。</w:t>
            </w:r>
          </w:p>
        </w:tc>
        <w:tc>
          <w:tcPr>
            <w:tcW w:w="673" w:type="pct"/>
            <w:vAlign w:val="center"/>
          </w:tcPr>
          <w:p w14:paraId="26F8F77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建设单位</w:t>
            </w:r>
          </w:p>
        </w:tc>
        <w:tc>
          <w:tcPr>
            <w:tcW w:w="1025" w:type="pct"/>
            <w:vAlign w:val="center"/>
          </w:tcPr>
          <w:p w14:paraId="28E4AC5F">
            <w:pPr>
              <w:spacing w:line="360" w:lineRule="exact"/>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哈密市生态环境局伊州分局</w:t>
            </w:r>
          </w:p>
        </w:tc>
      </w:tr>
      <w:tr w14:paraId="44F0D8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37" w:hRule="atLeast"/>
          <w:jc w:val="center"/>
        </w:trPr>
        <w:tc>
          <w:tcPr>
            <w:tcW w:w="3301" w:type="pct"/>
            <w:vAlign w:val="center"/>
          </w:tcPr>
          <w:p w14:paraId="6997E0B3">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（5）生态保护</w:t>
            </w:r>
          </w:p>
          <w:p w14:paraId="7493EFB6">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①控制地表扰动面积。</w:t>
            </w:r>
          </w:p>
          <w:p w14:paraId="0C689F4B">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②限制车辆行驶路线，减小影响范围。</w:t>
            </w:r>
          </w:p>
          <w:p w14:paraId="5CC8C6F3">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③做好水土保持工作。</w:t>
            </w:r>
          </w:p>
          <w:p w14:paraId="30036D31">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④退役期尽快开展生态恢复建设工作。</w:t>
            </w:r>
          </w:p>
        </w:tc>
        <w:tc>
          <w:tcPr>
            <w:tcW w:w="673" w:type="pct"/>
            <w:vAlign w:val="center"/>
          </w:tcPr>
          <w:p w14:paraId="774F297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建设单位</w:t>
            </w:r>
          </w:p>
        </w:tc>
        <w:tc>
          <w:tcPr>
            <w:tcW w:w="1025" w:type="pct"/>
            <w:vAlign w:val="center"/>
          </w:tcPr>
          <w:p w14:paraId="3E6E34EF">
            <w:pPr>
              <w:spacing w:line="360" w:lineRule="exact"/>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哈密市生态环境局伊州分局</w:t>
            </w:r>
          </w:p>
        </w:tc>
      </w:tr>
      <w:tr w14:paraId="6E5A6C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301" w:type="pct"/>
            <w:vAlign w:val="center"/>
          </w:tcPr>
          <w:p w14:paraId="3D882C60">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（6）安全措施</w:t>
            </w:r>
          </w:p>
          <w:p w14:paraId="2CCEECA3">
            <w:pPr>
              <w:spacing w:line="360" w:lineRule="exact"/>
              <w:ind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尾矿库周边设置相应标识（安全警示牌、铁丝围栏等），避免事故发生。</w:t>
            </w:r>
            <w:r>
              <w:rPr>
                <w:rFonts w:hint="default" w:ascii="Times New Roman" w:hAnsi="Times New Roman" w:cs="Times New Roman"/>
                <w:color w:val="auto"/>
                <w:sz w:val="21"/>
                <w:szCs w:val="21"/>
                <w:highlight w:val="none"/>
                <w:lang w:eastAsia="zh-CN"/>
              </w:rPr>
              <w:t>定期监测</w:t>
            </w:r>
            <w:r>
              <w:rPr>
                <w:rFonts w:hint="default" w:ascii="Times New Roman" w:hAnsi="Times New Roman" w:cs="Times New Roman"/>
                <w:color w:val="auto"/>
                <w:sz w:val="21"/>
                <w:szCs w:val="21"/>
                <w:highlight w:val="none"/>
                <w:lang w:val="en-US" w:eastAsia="zh-CN"/>
              </w:rPr>
              <w:t>应监测位移、浸润线、干滩、库水位、降水量。尾矿坝安全检查内容包括坝的轮廓尺寸，变形，裂缝、滑坡和渗漏，坝面保护等。尾矿坝的位移监测可采用视准线法和前方交汇法；尾矿坝的位移监测每月监测，位移异常变化时应增加监测次数；尾矿坝的水位监测包括洪水位监测和地下水浸润线监测；水位监测每季度不少于1次，暴雨期间和水位异常波动时应增加监测次数。</w:t>
            </w:r>
          </w:p>
        </w:tc>
        <w:tc>
          <w:tcPr>
            <w:tcW w:w="673" w:type="pct"/>
            <w:vAlign w:val="center"/>
          </w:tcPr>
          <w:p w14:paraId="3F119AD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建设单位</w:t>
            </w:r>
          </w:p>
        </w:tc>
        <w:tc>
          <w:tcPr>
            <w:tcW w:w="1025" w:type="pct"/>
            <w:vAlign w:val="center"/>
          </w:tcPr>
          <w:p w14:paraId="2DBA9136">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哈密市生态环境局伊州分局</w:t>
            </w:r>
            <w:r>
              <w:rPr>
                <w:rFonts w:hint="default" w:ascii="Times New Roman" w:hAnsi="Times New Roman" w:cs="Times New Roman"/>
                <w:color w:val="auto"/>
                <w:sz w:val="21"/>
                <w:szCs w:val="21"/>
                <w:highlight w:val="none"/>
                <w:lang w:eastAsia="zh-CN"/>
              </w:rPr>
              <w:t>、应急管理局</w:t>
            </w:r>
          </w:p>
        </w:tc>
      </w:tr>
      <w:tr w14:paraId="49FE3A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301" w:type="pct"/>
            <w:vAlign w:val="center"/>
          </w:tcPr>
          <w:p w14:paraId="49ACC846">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（7）环境管理</w:t>
            </w:r>
          </w:p>
          <w:p w14:paraId="1293080E">
            <w:pPr>
              <w:spacing w:line="360" w:lineRule="exact"/>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建立环境管理，制定环境管理手段，按要求开展环境监测，完善矿区环境管理工作。按照《生态环境档案管理规范 生态环境监测》（HJ8.2-2020）中相关要求，建立生态环境档案。</w:t>
            </w:r>
          </w:p>
        </w:tc>
        <w:tc>
          <w:tcPr>
            <w:tcW w:w="673" w:type="pct"/>
            <w:vAlign w:val="center"/>
          </w:tcPr>
          <w:p w14:paraId="20F2CE3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建设单位</w:t>
            </w:r>
          </w:p>
        </w:tc>
        <w:tc>
          <w:tcPr>
            <w:tcW w:w="1025" w:type="pct"/>
            <w:vAlign w:val="center"/>
          </w:tcPr>
          <w:p w14:paraId="3068B0AE">
            <w:pPr>
              <w:spacing w:line="360" w:lineRule="exact"/>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哈密市生态环境局伊州分局</w:t>
            </w:r>
          </w:p>
        </w:tc>
      </w:tr>
    </w:tbl>
    <w:p w14:paraId="755F80F8">
      <w:pPr>
        <w:ind w:firstLine="0" w:firstLineChars="0"/>
        <w:jc w:val="center"/>
        <w:rPr>
          <w:rFonts w:hint="default" w:ascii="Times New Roman" w:hAnsi="Times New Roman" w:cs="Times New Roman" w:eastAsiaTheme="minorEastAsia"/>
          <w:b/>
          <w:color w:val="auto"/>
          <w:highlight w:val="none"/>
        </w:rPr>
      </w:pPr>
      <w:r>
        <w:rPr>
          <w:rFonts w:hint="default" w:ascii="Times New Roman" w:hAnsi="Times New Roman" w:cs="Times New Roman" w:eastAsiaTheme="minorEastAsia"/>
          <w:b/>
          <w:color w:val="auto"/>
          <w:highlight w:val="none"/>
        </w:rPr>
        <w:t>表8.4-2    环保行动计划</w:t>
      </w:r>
    </w:p>
    <w:tbl>
      <w:tblPr>
        <w:tblStyle w:val="33"/>
        <w:tblW w:w="85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080"/>
        <w:gridCol w:w="4485"/>
        <w:gridCol w:w="1144"/>
        <w:gridCol w:w="962"/>
      </w:tblGrid>
      <w:tr w14:paraId="2729FE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vAlign w:val="center"/>
          </w:tcPr>
          <w:p w14:paraId="41745B1F">
            <w:pPr>
              <w:spacing w:line="360" w:lineRule="exact"/>
              <w:ind w:firstLine="0" w:firstLineChars="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时段</w:t>
            </w:r>
          </w:p>
        </w:tc>
        <w:tc>
          <w:tcPr>
            <w:tcW w:w="1080" w:type="dxa"/>
            <w:vAlign w:val="center"/>
          </w:tcPr>
          <w:p w14:paraId="23B165A6">
            <w:pPr>
              <w:spacing w:line="360" w:lineRule="exact"/>
              <w:ind w:firstLine="0" w:firstLineChars="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环境问题</w:t>
            </w:r>
          </w:p>
        </w:tc>
        <w:tc>
          <w:tcPr>
            <w:tcW w:w="4485" w:type="dxa"/>
            <w:vAlign w:val="center"/>
          </w:tcPr>
          <w:p w14:paraId="747C9654">
            <w:pPr>
              <w:spacing w:line="360" w:lineRule="exact"/>
              <w:ind w:firstLine="0" w:firstLineChars="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环境保护措施</w:t>
            </w:r>
          </w:p>
        </w:tc>
        <w:tc>
          <w:tcPr>
            <w:tcW w:w="1144" w:type="dxa"/>
            <w:vAlign w:val="center"/>
          </w:tcPr>
          <w:p w14:paraId="759EA9F9">
            <w:pPr>
              <w:spacing w:line="360" w:lineRule="exact"/>
              <w:ind w:firstLine="0" w:firstLineChars="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实施责任单位</w:t>
            </w:r>
          </w:p>
        </w:tc>
        <w:tc>
          <w:tcPr>
            <w:tcW w:w="962" w:type="dxa"/>
            <w:vAlign w:val="center"/>
          </w:tcPr>
          <w:p w14:paraId="51AB08E4">
            <w:pPr>
              <w:spacing w:line="360" w:lineRule="exact"/>
              <w:ind w:firstLine="0" w:firstLineChars="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监督责任单位</w:t>
            </w:r>
          </w:p>
        </w:tc>
      </w:tr>
      <w:tr w14:paraId="1BC1DA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vAlign w:val="center"/>
          </w:tcPr>
          <w:p w14:paraId="60CBE194">
            <w:pPr>
              <w:spacing w:line="360" w:lineRule="exact"/>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运营期</w:t>
            </w:r>
          </w:p>
        </w:tc>
        <w:tc>
          <w:tcPr>
            <w:tcW w:w="1080" w:type="dxa"/>
            <w:vAlign w:val="center"/>
          </w:tcPr>
          <w:p w14:paraId="7DAAD606">
            <w:pPr>
              <w:spacing w:line="360" w:lineRule="exact"/>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生态保护</w:t>
            </w:r>
          </w:p>
        </w:tc>
        <w:tc>
          <w:tcPr>
            <w:tcW w:w="4485" w:type="dxa"/>
            <w:vAlign w:val="center"/>
          </w:tcPr>
          <w:p w14:paraId="27E13057">
            <w:pPr>
              <w:spacing w:line="360" w:lineRule="exact"/>
              <w:ind w:firstLine="0" w:firstLineChars="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1.对进入厂区的一切人员严格要求，不得随意乱扔垃圾；</w:t>
            </w:r>
          </w:p>
          <w:p w14:paraId="2CD33F5F">
            <w:pPr>
              <w:spacing w:line="360" w:lineRule="exact"/>
              <w:ind w:firstLine="0" w:firstLineChars="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2.对于工程运营期产生的固废和生活垃圾等都要进行定点处理排放，最大限度的保护</w:t>
            </w:r>
            <w:r>
              <w:rPr>
                <w:rFonts w:hint="eastAsia" w:cs="Times New Roman" w:eastAsiaTheme="minorEastAsia"/>
                <w:color w:val="auto"/>
                <w:sz w:val="21"/>
                <w:szCs w:val="21"/>
                <w:highlight w:val="none"/>
                <w:lang w:eastAsia="zh-CN"/>
              </w:rPr>
              <w:t>项目区</w:t>
            </w:r>
            <w:r>
              <w:rPr>
                <w:rFonts w:hint="default" w:ascii="Times New Roman" w:hAnsi="Times New Roman" w:cs="Times New Roman" w:eastAsiaTheme="minorEastAsia"/>
                <w:color w:val="auto"/>
                <w:sz w:val="21"/>
                <w:szCs w:val="21"/>
                <w:highlight w:val="none"/>
              </w:rPr>
              <w:t>的周围环境；</w:t>
            </w:r>
          </w:p>
        </w:tc>
        <w:tc>
          <w:tcPr>
            <w:tcW w:w="1144" w:type="dxa"/>
            <w:vAlign w:val="center"/>
          </w:tcPr>
          <w:p w14:paraId="362E6658">
            <w:pPr>
              <w:spacing w:line="360" w:lineRule="exact"/>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建设单位</w:t>
            </w:r>
          </w:p>
        </w:tc>
        <w:tc>
          <w:tcPr>
            <w:tcW w:w="962" w:type="dxa"/>
            <w:vMerge w:val="restart"/>
            <w:vAlign w:val="center"/>
          </w:tcPr>
          <w:p w14:paraId="7B3F9E52">
            <w:pPr>
              <w:spacing w:line="360" w:lineRule="exact"/>
              <w:ind w:firstLine="0" w:firstLineChars="0"/>
              <w:jc w:val="center"/>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哈密市生态环境局伊州分局</w:t>
            </w:r>
          </w:p>
        </w:tc>
      </w:tr>
      <w:tr w14:paraId="0362D3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vAlign w:val="center"/>
          </w:tcPr>
          <w:p w14:paraId="7C12B7F5">
            <w:pPr>
              <w:spacing w:line="360" w:lineRule="exact"/>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退役期</w:t>
            </w:r>
          </w:p>
        </w:tc>
        <w:tc>
          <w:tcPr>
            <w:tcW w:w="1080" w:type="dxa"/>
            <w:vAlign w:val="center"/>
          </w:tcPr>
          <w:p w14:paraId="04FA67CE">
            <w:pPr>
              <w:spacing w:line="360" w:lineRule="exact"/>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生态保护</w:t>
            </w:r>
          </w:p>
        </w:tc>
        <w:tc>
          <w:tcPr>
            <w:tcW w:w="4485" w:type="dxa"/>
            <w:vAlign w:val="center"/>
          </w:tcPr>
          <w:p w14:paraId="227CE168">
            <w:pPr>
              <w:spacing w:line="360" w:lineRule="exact"/>
              <w:ind w:firstLine="0" w:firstLineChars="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选矿厂及尾矿库生态恢复及绿化</w:t>
            </w:r>
          </w:p>
        </w:tc>
        <w:tc>
          <w:tcPr>
            <w:tcW w:w="1144" w:type="dxa"/>
            <w:vAlign w:val="center"/>
          </w:tcPr>
          <w:p w14:paraId="615DD517">
            <w:pPr>
              <w:spacing w:line="360" w:lineRule="exact"/>
              <w:ind w:firstLine="0" w:firstLine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建设单位</w:t>
            </w:r>
          </w:p>
        </w:tc>
        <w:tc>
          <w:tcPr>
            <w:tcW w:w="962" w:type="dxa"/>
            <w:vMerge w:val="continue"/>
            <w:vAlign w:val="center"/>
          </w:tcPr>
          <w:p w14:paraId="152FC57F">
            <w:pPr>
              <w:spacing w:line="360" w:lineRule="exact"/>
              <w:ind w:firstLine="0" w:firstLineChars="0"/>
              <w:jc w:val="center"/>
              <w:rPr>
                <w:rFonts w:hint="default" w:ascii="Times New Roman" w:hAnsi="Times New Roman" w:cs="Times New Roman" w:eastAsiaTheme="minorEastAsia"/>
                <w:color w:val="auto"/>
                <w:sz w:val="21"/>
                <w:szCs w:val="21"/>
                <w:highlight w:val="none"/>
              </w:rPr>
            </w:pPr>
          </w:p>
        </w:tc>
      </w:tr>
    </w:tbl>
    <w:p w14:paraId="3AC536A3">
      <w:pPr>
        <w:pStyle w:val="3"/>
        <w:rPr>
          <w:rFonts w:hint="default" w:ascii="Times New Roman" w:hAnsi="Times New Roman" w:cs="Times New Roman"/>
          <w:color w:val="auto"/>
          <w:highlight w:val="none"/>
        </w:rPr>
      </w:pPr>
      <w:bookmarkStart w:id="1091" w:name="_Toc107414681"/>
      <w:bookmarkStart w:id="1092" w:name="_Toc3106"/>
      <w:bookmarkStart w:id="1093" w:name="_Toc107413914"/>
      <w:r>
        <w:rPr>
          <w:rFonts w:hint="default" w:ascii="Times New Roman" w:hAnsi="Times New Roman" w:cs="Times New Roman"/>
          <w:color w:val="auto"/>
          <w:highlight w:val="none"/>
        </w:rPr>
        <w:t>8.5环境保护竣工验收计划</w:t>
      </w:r>
      <w:bookmarkEnd w:id="1091"/>
      <w:bookmarkEnd w:id="1092"/>
      <w:bookmarkEnd w:id="1093"/>
    </w:p>
    <w:p w14:paraId="44547612">
      <w:pPr>
        <w:overflowPunct w:val="0"/>
        <w:topLinePunct/>
        <w:ind w:firstLine="480"/>
        <w:rPr>
          <w:rFonts w:hint="default" w:ascii="Times New Roman" w:hAnsi="Times New Roman" w:cs="Times New Roman" w:eastAsiaTheme="minorEastAsia"/>
          <w:color w:val="auto"/>
          <w:szCs w:val="21"/>
          <w:highlight w:val="none"/>
        </w:rPr>
      </w:pPr>
      <w:r>
        <w:rPr>
          <w:rFonts w:hint="eastAsia" w:cs="Times New Roman" w:eastAsiaTheme="minorEastAsia"/>
          <w:color w:val="auto"/>
          <w:szCs w:val="21"/>
          <w:highlight w:val="none"/>
          <w:lang w:eastAsia="zh-CN"/>
        </w:rPr>
        <w:t>“</w:t>
      </w:r>
      <w:r>
        <w:rPr>
          <w:rFonts w:hint="default" w:ascii="Times New Roman" w:hAnsi="Times New Roman" w:cs="Times New Roman" w:eastAsiaTheme="minorEastAsia"/>
          <w:color w:val="auto"/>
          <w:szCs w:val="21"/>
          <w:highlight w:val="none"/>
        </w:rPr>
        <w:t>三同时</w:t>
      </w:r>
      <w:r>
        <w:rPr>
          <w:rFonts w:hint="eastAsia" w:cs="Times New Roman" w:eastAsiaTheme="minorEastAsia"/>
          <w:color w:val="auto"/>
          <w:szCs w:val="21"/>
          <w:highlight w:val="none"/>
          <w:lang w:eastAsia="zh-CN"/>
        </w:rPr>
        <w:t>”</w:t>
      </w:r>
      <w:r>
        <w:rPr>
          <w:rFonts w:hint="default" w:ascii="Times New Roman" w:hAnsi="Times New Roman" w:cs="Times New Roman" w:eastAsiaTheme="minorEastAsia"/>
          <w:color w:val="auto"/>
          <w:szCs w:val="21"/>
          <w:highlight w:val="none"/>
        </w:rPr>
        <w:t>验收针对本项目环保设施进行验收，验收内容见表8.5-1。</w:t>
      </w:r>
    </w:p>
    <w:p w14:paraId="69C72930">
      <w:pPr>
        <w:ind w:firstLine="0" w:firstLineChars="0"/>
        <w:jc w:val="center"/>
        <w:rPr>
          <w:rFonts w:hint="default" w:ascii="Times New Roman" w:hAnsi="Times New Roman" w:cs="Times New Roman" w:eastAsiaTheme="minorEastAsia"/>
          <w:b/>
          <w:color w:val="auto"/>
          <w:highlight w:val="none"/>
        </w:rPr>
      </w:pPr>
      <w:r>
        <w:rPr>
          <w:rFonts w:hint="default" w:ascii="Times New Roman" w:hAnsi="Times New Roman" w:cs="Times New Roman" w:eastAsiaTheme="minorEastAsia"/>
          <w:b/>
          <w:color w:val="auto"/>
          <w:highlight w:val="none"/>
        </w:rPr>
        <w:t>表8.5-1    环境保护</w:t>
      </w:r>
      <w:r>
        <w:rPr>
          <w:rFonts w:hint="eastAsia" w:cs="Times New Roman" w:eastAsiaTheme="minorEastAsia"/>
          <w:b/>
          <w:color w:val="auto"/>
          <w:highlight w:val="none"/>
          <w:lang w:eastAsia="zh-CN"/>
        </w:rPr>
        <w:t>“</w:t>
      </w:r>
      <w:r>
        <w:rPr>
          <w:rFonts w:hint="default" w:ascii="Times New Roman" w:hAnsi="Times New Roman" w:cs="Times New Roman" w:eastAsiaTheme="minorEastAsia"/>
          <w:b/>
          <w:color w:val="auto"/>
          <w:highlight w:val="none"/>
        </w:rPr>
        <w:t>三同时</w:t>
      </w:r>
      <w:r>
        <w:rPr>
          <w:rFonts w:hint="eastAsia" w:cs="Times New Roman" w:eastAsiaTheme="minorEastAsia"/>
          <w:b/>
          <w:color w:val="auto"/>
          <w:highlight w:val="none"/>
          <w:lang w:eastAsia="zh-CN"/>
        </w:rPr>
        <w:t>”</w:t>
      </w:r>
      <w:r>
        <w:rPr>
          <w:rFonts w:hint="default" w:ascii="Times New Roman" w:hAnsi="Times New Roman" w:cs="Times New Roman" w:eastAsiaTheme="minorEastAsia"/>
          <w:b/>
          <w:color w:val="auto"/>
          <w:highlight w:val="none"/>
        </w:rPr>
        <w:t>验收一览表</w:t>
      </w:r>
    </w:p>
    <w:tbl>
      <w:tblPr>
        <w:tblStyle w:val="3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27"/>
        <w:gridCol w:w="1612"/>
        <w:gridCol w:w="1588"/>
        <w:gridCol w:w="522"/>
        <w:gridCol w:w="825"/>
        <w:gridCol w:w="3118"/>
      </w:tblGrid>
      <w:tr w14:paraId="23D757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50" w:type="pct"/>
            <w:tcBorders>
              <w:tl2br w:val="nil"/>
              <w:tr2bl w:val="nil"/>
            </w:tcBorders>
            <w:vAlign w:val="center"/>
          </w:tcPr>
          <w:p w14:paraId="783CD3A9">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工段</w:t>
            </w:r>
          </w:p>
        </w:tc>
        <w:tc>
          <w:tcPr>
            <w:tcW w:w="250" w:type="pct"/>
            <w:tcBorders>
              <w:tl2br w:val="nil"/>
              <w:tr2bl w:val="nil"/>
            </w:tcBorders>
            <w:vAlign w:val="center"/>
          </w:tcPr>
          <w:p w14:paraId="62057EBF">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类别</w:t>
            </w:r>
          </w:p>
        </w:tc>
        <w:tc>
          <w:tcPr>
            <w:tcW w:w="946" w:type="pct"/>
            <w:tcBorders>
              <w:tl2br w:val="nil"/>
              <w:tr2bl w:val="nil"/>
            </w:tcBorders>
            <w:vAlign w:val="center"/>
          </w:tcPr>
          <w:p w14:paraId="24D8C8A8">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污染源</w:t>
            </w:r>
          </w:p>
        </w:tc>
        <w:tc>
          <w:tcPr>
            <w:tcW w:w="932" w:type="pct"/>
            <w:tcBorders>
              <w:tl2br w:val="nil"/>
              <w:tr2bl w:val="nil"/>
            </w:tcBorders>
            <w:vAlign w:val="center"/>
          </w:tcPr>
          <w:p w14:paraId="6E861436">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环保设施</w:t>
            </w:r>
          </w:p>
        </w:tc>
        <w:tc>
          <w:tcPr>
            <w:tcW w:w="306" w:type="pct"/>
            <w:tcBorders>
              <w:tl2br w:val="nil"/>
              <w:tr2bl w:val="nil"/>
            </w:tcBorders>
            <w:vAlign w:val="center"/>
          </w:tcPr>
          <w:p w14:paraId="1E7E6637">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数量</w:t>
            </w:r>
          </w:p>
        </w:tc>
        <w:tc>
          <w:tcPr>
            <w:tcW w:w="484" w:type="pct"/>
            <w:tcBorders>
              <w:tl2br w:val="nil"/>
              <w:tr2bl w:val="nil"/>
            </w:tcBorders>
            <w:vAlign w:val="center"/>
          </w:tcPr>
          <w:p w14:paraId="21F0A2FC">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治理对象</w:t>
            </w:r>
          </w:p>
        </w:tc>
        <w:tc>
          <w:tcPr>
            <w:tcW w:w="1829" w:type="pct"/>
            <w:tcBorders>
              <w:tl2br w:val="nil"/>
              <w:tr2bl w:val="nil"/>
            </w:tcBorders>
            <w:vAlign w:val="center"/>
          </w:tcPr>
          <w:p w14:paraId="40ADE901">
            <w:pPr>
              <w:spacing w:line="360" w:lineRule="exact"/>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效果及要求</w:t>
            </w:r>
          </w:p>
        </w:tc>
      </w:tr>
      <w:tr w14:paraId="1017EC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restart"/>
            <w:tcBorders>
              <w:tl2br w:val="nil"/>
              <w:tr2bl w:val="nil"/>
            </w:tcBorders>
            <w:vAlign w:val="center"/>
          </w:tcPr>
          <w:p w14:paraId="4EE46D5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运营期</w:t>
            </w:r>
          </w:p>
        </w:tc>
        <w:tc>
          <w:tcPr>
            <w:tcW w:w="250" w:type="pct"/>
            <w:vMerge w:val="restart"/>
            <w:tcBorders>
              <w:tl2br w:val="nil"/>
              <w:tr2bl w:val="nil"/>
            </w:tcBorders>
            <w:vAlign w:val="center"/>
          </w:tcPr>
          <w:p w14:paraId="2BEF30C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946" w:type="pct"/>
            <w:tcBorders>
              <w:tl2br w:val="nil"/>
              <w:tr2bl w:val="nil"/>
            </w:tcBorders>
            <w:vAlign w:val="center"/>
          </w:tcPr>
          <w:p w14:paraId="5DC7B407">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lang w:val="en-US" w:eastAsia="zh-CN"/>
              </w:rPr>
              <w:t>粗碎车间</w:t>
            </w:r>
            <w:r>
              <w:rPr>
                <w:rFonts w:hint="default" w:ascii="Times New Roman" w:hAnsi="Times New Roman" w:cs="Times New Roman"/>
                <w:color w:val="auto"/>
                <w:sz w:val="21"/>
                <w:szCs w:val="21"/>
                <w:highlight w:val="none"/>
              </w:rPr>
              <w:t>排气筒（</w:t>
            </w:r>
            <w:r>
              <w:rPr>
                <w:rFonts w:hint="eastAsia" w:cs="Times New Roman"/>
                <w:color w:val="auto"/>
                <w:sz w:val="21"/>
                <w:szCs w:val="21"/>
                <w:highlight w:val="none"/>
                <w:lang w:val="en-US" w:eastAsia="zh-CN"/>
              </w:rPr>
              <w:t>DA001</w:t>
            </w:r>
            <w:r>
              <w:rPr>
                <w:rFonts w:hint="default" w:ascii="Times New Roman" w:hAnsi="Times New Roman" w:cs="Times New Roman"/>
                <w:color w:val="auto"/>
                <w:sz w:val="21"/>
                <w:szCs w:val="21"/>
                <w:highlight w:val="none"/>
              </w:rPr>
              <w:t>）</w:t>
            </w:r>
          </w:p>
        </w:tc>
        <w:tc>
          <w:tcPr>
            <w:tcW w:w="932" w:type="pct"/>
            <w:tcBorders>
              <w:tl2br w:val="nil"/>
              <w:tr2bl w:val="nil"/>
            </w:tcBorders>
            <w:vAlign w:val="center"/>
          </w:tcPr>
          <w:p w14:paraId="67CE57C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集气罩（收集效率为90%）+</w:t>
            </w:r>
            <w:r>
              <w:rPr>
                <w:rFonts w:hint="default" w:ascii="Times New Roman" w:hAnsi="Times New Roman" w:cs="Times New Roman"/>
                <w:color w:val="auto"/>
                <w:kern w:val="0"/>
                <w:sz w:val="21"/>
                <w:szCs w:val="21"/>
                <w:highlight w:val="none"/>
              </w:rPr>
              <w:t>效率为99%</w:t>
            </w:r>
            <w:r>
              <w:rPr>
                <w:rFonts w:hint="default" w:ascii="Times New Roman" w:hAnsi="Times New Roman" w:cs="Times New Roman" w:eastAsiaTheme="minorEastAsia"/>
                <w:color w:val="auto"/>
                <w:sz w:val="21"/>
                <w:szCs w:val="21"/>
                <w:highlight w:val="none"/>
              </w:rPr>
              <w:t>布袋</w:t>
            </w:r>
            <w:r>
              <w:rPr>
                <w:rFonts w:hint="default" w:ascii="Times New Roman" w:hAnsi="Times New Roman" w:cs="Times New Roman"/>
                <w:color w:val="auto"/>
                <w:kern w:val="0"/>
                <w:sz w:val="21"/>
                <w:szCs w:val="21"/>
                <w:highlight w:val="none"/>
              </w:rPr>
              <w:t>除尘器</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15m</w:t>
            </w:r>
            <w:r>
              <w:rPr>
                <w:rFonts w:hint="default" w:ascii="Times New Roman" w:hAnsi="Times New Roman" w:cs="Times New Roman"/>
                <w:color w:val="auto"/>
                <w:sz w:val="21"/>
                <w:szCs w:val="21"/>
                <w:highlight w:val="none"/>
              </w:rPr>
              <w:t>排气筒</w:t>
            </w:r>
          </w:p>
        </w:tc>
        <w:tc>
          <w:tcPr>
            <w:tcW w:w="306" w:type="pct"/>
            <w:tcBorders>
              <w:tl2br w:val="nil"/>
              <w:tr2bl w:val="nil"/>
            </w:tcBorders>
            <w:vAlign w:val="center"/>
          </w:tcPr>
          <w:p w14:paraId="179D0192">
            <w:pPr>
              <w:spacing w:line="360" w:lineRule="exact"/>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套</w:t>
            </w:r>
          </w:p>
        </w:tc>
        <w:tc>
          <w:tcPr>
            <w:tcW w:w="484" w:type="pct"/>
            <w:vMerge w:val="restart"/>
            <w:tcBorders>
              <w:tl2br w:val="nil"/>
              <w:tr2bl w:val="nil"/>
            </w:tcBorders>
            <w:vAlign w:val="center"/>
          </w:tcPr>
          <w:p w14:paraId="62E5C72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粉尘</w:t>
            </w:r>
          </w:p>
        </w:tc>
        <w:tc>
          <w:tcPr>
            <w:tcW w:w="1829" w:type="pct"/>
            <w:vMerge w:val="restart"/>
            <w:tcBorders>
              <w:tl2br w:val="nil"/>
              <w:tr2bl w:val="nil"/>
            </w:tcBorders>
            <w:vAlign w:val="center"/>
          </w:tcPr>
          <w:p w14:paraId="2D3B555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《大气污染物综合排放标准》（GB16297-1996）要求</w:t>
            </w:r>
          </w:p>
        </w:tc>
      </w:tr>
      <w:tr w14:paraId="4BBA09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tcBorders>
              <w:tl2br w:val="nil"/>
              <w:tr2bl w:val="nil"/>
            </w:tcBorders>
            <w:vAlign w:val="center"/>
          </w:tcPr>
          <w:p w14:paraId="4E065203">
            <w:pPr>
              <w:spacing w:line="360" w:lineRule="exact"/>
              <w:ind w:firstLine="0" w:firstLineChars="0"/>
              <w:jc w:val="center"/>
              <w:rPr>
                <w:rFonts w:hint="default" w:ascii="Times New Roman" w:hAnsi="Times New Roman" w:cs="Times New Roman"/>
                <w:color w:val="auto"/>
                <w:sz w:val="21"/>
                <w:szCs w:val="21"/>
                <w:highlight w:val="none"/>
              </w:rPr>
            </w:pPr>
          </w:p>
        </w:tc>
        <w:tc>
          <w:tcPr>
            <w:tcW w:w="250" w:type="pct"/>
            <w:vMerge w:val="continue"/>
            <w:tcBorders>
              <w:tl2br w:val="nil"/>
              <w:tr2bl w:val="nil"/>
            </w:tcBorders>
            <w:vAlign w:val="center"/>
          </w:tcPr>
          <w:p w14:paraId="5D7D4D51">
            <w:pPr>
              <w:spacing w:line="360" w:lineRule="exact"/>
              <w:ind w:firstLine="0" w:firstLineChars="0"/>
              <w:jc w:val="center"/>
              <w:rPr>
                <w:rFonts w:hint="default" w:ascii="Times New Roman" w:hAnsi="Times New Roman" w:cs="Times New Roman"/>
                <w:color w:val="auto"/>
                <w:sz w:val="21"/>
                <w:szCs w:val="21"/>
                <w:highlight w:val="none"/>
              </w:rPr>
            </w:pPr>
          </w:p>
        </w:tc>
        <w:tc>
          <w:tcPr>
            <w:tcW w:w="946" w:type="pct"/>
            <w:tcBorders>
              <w:tl2br w:val="nil"/>
              <w:tr2bl w:val="nil"/>
            </w:tcBorders>
            <w:vAlign w:val="center"/>
          </w:tcPr>
          <w:p w14:paraId="6FD1FCAD">
            <w:pPr>
              <w:spacing w:line="360" w:lineRule="exact"/>
              <w:ind w:firstLine="0" w:firstLineChars="0"/>
              <w:jc w:val="center"/>
              <w:rPr>
                <w:rFonts w:hint="default" w:ascii="Times New Roman" w:hAnsi="Times New Roman" w:cs="Times New Roman"/>
                <w:bCs/>
                <w:color w:val="auto"/>
                <w:sz w:val="21"/>
                <w:szCs w:val="21"/>
                <w:highlight w:val="none"/>
              </w:rPr>
            </w:pPr>
            <w:r>
              <w:rPr>
                <w:rFonts w:hint="eastAsia" w:ascii="Times New Roman" w:hAnsi="Times New Roman" w:cs="Times New Roman"/>
                <w:color w:val="auto"/>
                <w:sz w:val="21"/>
                <w:szCs w:val="21"/>
                <w:highlight w:val="none"/>
                <w:lang w:val="en-US" w:eastAsia="zh-CN"/>
              </w:rPr>
              <w:t>中</w:t>
            </w:r>
            <w:r>
              <w:rPr>
                <w:rFonts w:hint="default" w:ascii="Times New Roman" w:hAnsi="Times New Roman" w:cs="Times New Roman"/>
                <w:color w:val="auto"/>
                <w:sz w:val="21"/>
                <w:szCs w:val="21"/>
                <w:highlight w:val="none"/>
                <w:lang w:val="en-US" w:eastAsia="zh-CN"/>
              </w:rPr>
              <w:t>碎车间</w:t>
            </w:r>
            <w:r>
              <w:rPr>
                <w:rFonts w:hint="default" w:ascii="Times New Roman" w:hAnsi="Times New Roman" w:cs="Times New Roman"/>
                <w:color w:val="auto"/>
                <w:sz w:val="21"/>
                <w:szCs w:val="21"/>
                <w:highlight w:val="none"/>
              </w:rPr>
              <w:t>排气筒（</w:t>
            </w:r>
            <w:r>
              <w:rPr>
                <w:rFonts w:hint="eastAsia" w:cs="Times New Roman"/>
                <w:color w:val="auto"/>
                <w:sz w:val="21"/>
                <w:szCs w:val="21"/>
                <w:highlight w:val="none"/>
                <w:lang w:val="en-US" w:eastAsia="zh-CN"/>
              </w:rPr>
              <w:t>DA002</w:t>
            </w:r>
            <w:r>
              <w:rPr>
                <w:rFonts w:hint="default" w:ascii="Times New Roman" w:hAnsi="Times New Roman" w:cs="Times New Roman"/>
                <w:color w:val="auto"/>
                <w:sz w:val="21"/>
                <w:szCs w:val="21"/>
                <w:highlight w:val="none"/>
              </w:rPr>
              <w:t>）</w:t>
            </w:r>
          </w:p>
        </w:tc>
        <w:tc>
          <w:tcPr>
            <w:tcW w:w="932" w:type="pct"/>
            <w:tcBorders>
              <w:tl2br w:val="nil"/>
              <w:tr2bl w:val="nil"/>
            </w:tcBorders>
            <w:vAlign w:val="center"/>
          </w:tcPr>
          <w:p w14:paraId="543DA331">
            <w:pPr>
              <w:spacing w:line="360" w:lineRule="exact"/>
              <w:ind w:firstLine="0" w:firstLine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集气罩（收集效率90%）+效率为99%</w:t>
            </w:r>
            <w:r>
              <w:rPr>
                <w:rFonts w:hint="default" w:ascii="Times New Roman" w:hAnsi="Times New Roman" w:cs="Times New Roman" w:eastAsiaTheme="minorEastAsia"/>
                <w:color w:val="auto"/>
                <w:sz w:val="21"/>
                <w:szCs w:val="21"/>
                <w:highlight w:val="none"/>
              </w:rPr>
              <w:t>布袋</w:t>
            </w:r>
            <w:r>
              <w:rPr>
                <w:rFonts w:hint="default" w:ascii="Times New Roman" w:hAnsi="Times New Roman" w:cs="Times New Roman"/>
                <w:color w:val="auto"/>
                <w:kern w:val="0"/>
                <w:sz w:val="21"/>
                <w:szCs w:val="21"/>
                <w:highlight w:val="none"/>
              </w:rPr>
              <w:t>除尘器+</w:t>
            </w:r>
            <w:r>
              <w:rPr>
                <w:rFonts w:hint="eastAsia" w:cs="Times New Roman"/>
                <w:color w:val="auto"/>
                <w:kern w:val="0"/>
                <w:sz w:val="21"/>
                <w:szCs w:val="21"/>
                <w:highlight w:val="none"/>
                <w:lang w:val="en-US" w:eastAsia="zh-CN"/>
              </w:rPr>
              <w:t>15</w:t>
            </w:r>
            <w:r>
              <w:rPr>
                <w:rFonts w:hint="default" w:ascii="Times New Roman" w:hAnsi="Times New Roman" w:cs="Times New Roman"/>
                <w:color w:val="auto"/>
                <w:kern w:val="0"/>
                <w:sz w:val="21"/>
                <w:szCs w:val="21"/>
                <w:highlight w:val="none"/>
              </w:rPr>
              <w:t>m排气筒</w:t>
            </w:r>
          </w:p>
        </w:tc>
        <w:tc>
          <w:tcPr>
            <w:tcW w:w="306" w:type="pct"/>
            <w:tcBorders>
              <w:tl2br w:val="nil"/>
              <w:tr2bl w:val="nil"/>
            </w:tcBorders>
            <w:vAlign w:val="center"/>
          </w:tcPr>
          <w:p w14:paraId="429B66E4">
            <w:pPr>
              <w:spacing w:line="360" w:lineRule="exact"/>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套</w:t>
            </w:r>
          </w:p>
        </w:tc>
        <w:tc>
          <w:tcPr>
            <w:tcW w:w="484" w:type="pct"/>
            <w:vMerge w:val="continue"/>
            <w:tcBorders>
              <w:tl2br w:val="nil"/>
              <w:tr2bl w:val="nil"/>
            </w:tcBorders>
            <w:vAlign w:val="center"/>
          </w:tcPr>
          <w:p w14:paraId="09EEABDA">
            <w:pPr>
              <w:spacing w:line="360" w:lineRule="exact"/>
              <w:ind w:firstLine="0" w:firstLineChars="0"/>
              <w:jc w:val="center"/>
              <w:rPr>
                <w:rFonts w:hint="default" w:ascii="Times New Roman" w:hAnsi="Times New Roman" w:cs="Times New Roman"/>
                <w:color w:val="auto"/>
                <w:sz w:val="21"/>
                <w:szCs w:val="21"/>
                <w:highlight w:val="none"/>
              </w:rPr>
            </w:pPr>
          </w:p>
        </w:tc>
        <w:tc>
          <w:tcPr>
            <w:tcW w:w="1829" w:type="pct"/>
            <w:vMerge w:val="continue"/>
            <w:tcBorders>
              <w:tl2br w:val="nil"/>
              <w:tr2bl w:val="nil"/>
            </w:tcBorders>
            <w:vAlign w:val="center"/>
          </w:tcPr>
          <w:p w14:paraId="55E430BD">
            <w:pPr>
              <w:spacing w:line="360" w:lineRule="exact"/>
              <w:ind w:firstLine="0" w:firstLineChars="0"/>
              <w:jc w:val="center"/>
              <w:rPr>
                <w:rFonts w:hint="default" w:ascii="Times New Roman" w:hAnsi="Times New Roman" w:cs="Times New Roman"/>
                <w:color w:val="auto"/>
                <w:sz w:val="21"/>
                <w:szCs w:val="21"/>
                <w:highlight w:val="none"/>
              </w:rPr>
            </w:pPr>
          </w:p>
        </w:tc>
      </w:tr>
      <w:tr w14:paraId="7A9992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tcBorders>
              <w:tl2br w:val="nil"/>
              <w:tr2bl w:val="nil"/>
            </w:tcBorders>
            <w:vAlign w:val="center"/>
          </w:tcPr>
          <w:p w14:paraId="1EF4DBC0">
            <w:pPr>
              <w:spacing w:line="360" w:lineRule="exact"/>
              <w:ind w:firstLine="0" w:firstLineChars="0"/>
              <w:jc w:val="center"/>
              <w:rPr>
                <w:rFonts w:hint="default" w:ascii="Times New Roman" w:hAnsi="Times New Roman" w:cs="Times New Roman"/>
                <w:color w:val="auto"/>
                <w:sz w:val="21"/>
                <w:szCs w:val="21"/>
                <w:highlight w:val="none"/>
              </w:rPr>
            </w:pPr>
          </w:p>
        </w:tc>
        <w:tc>
          <w:tcPr>
            <w:tcW w:w="250" w:type="pct"/>
            <w:vMerge w:val="continue"/>
            <w:tcBorders>
              <w:tl2br w:val="nil"/>
              <w:tr2bl w:val="nil"/>
            </w:tcBorders>
            <w:vAlign w:val="center"/>
          </w:tcPr>
          <w:p w14:paraId="3D368EBE">
            <w:pPr>
              <w:spacing w:line="360" w:lineRule="exact"/>
              <w:ind w:firstLine="0" w:firstLineChars="0"/>
              <w:jc w:val="center"/>
              <w:rPr>
                <w:rFonts w:hint="default" w:ascii="Times New Roman" w:hAnsi="Times New Roman" w:cs="Times New Roman"/>
                <w:color w:val="auto"/>
                <w:sz w:val="21"/>
                <w:szCs w:val="21"/>
                <w:highlight w:val="none"/>
              </w:rPr>
            </w:pPr>
          </w:p>
        </w:tc>
        <w:tc>
          <w:tcPr>
            <w:tcW w:w="946" w:type="pct"/>
            <w:tcBorders>
              <w:tl2br w:val="nil"/>
              <w:tr2bl w:val="nil"/>
            </w:tcBorders>
            <w:vAlign w:val="center"/>
          </w:tcPr>
          <w:p w14:paraId="3F6D52F5">
            <w:pPr>
              <w:spacing w:line="360" w:lineRule="exact"/>
              <w:ind w:firstLine="0" w:firstLine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color w:val="auto"/>
                <w:sz w:val="21"/>
                <w:szCs w:val="21"/>
                <w:highlight w:val="none"/>
                <w:lang w:val="en-US" w:eastAsia="zh-CN"/>
              </w:rPr>
              <w:t>燃煤锅炉排气筒</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DA003</w:t>
            </w:r>
            <w:r>
              <w:rPr>
                <w:rFonts w:hint="default" w:ascii="Times New Roman" w:hAnsi="Times New Roman" w:cs="Times New Roman"/>
                <w:color w:val="auto"/>
                <w:sz w:val="21"/>
                <w:szCs w:val="21"/>
                <w:highlight w:val="none"/>
              </w:rPr>
              <w:t>）</w:t>
            </w:r>
          </w:p>
        </w:tc>
        <w:tc>
          <w:tcPr>
            <w:tcW w:w="932" w:type="pct"/>
            <w:tcBorders>
              <w:tl2br w:val="nil"/>
              <w:tr2bl w:val="nil"/>
            </w:tcBorders>
            <w:vAlign w:val="center"/>
          </w:tcPr>
          <w:p w14:paraId="297915D4">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1套高温袋式除尘设施+1套SNCR脱硝设施+1套水膜脱硫除尘设施+40m高烟囱</w:t>
            </w:r>
          </w:p>
        </w:tc>
        <w:tc>
          <w:tcPr>
            <w:tcW w:w="306" w:type="pct"/>
            <w:tcBorders>
              <w:tl2br w:val="nil"/>
              <w:tr2bl w:val="nil"/>
            </w:tcBorders>
            <w:vAlign w:val="center"/>
          </w:tcPr>
          <w:p w14:paraId="773516CF">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套</w:t>
            </w:r>
          </w:p>
        </w:tc>
        <w:tc>
          <w:tcPr>
            <w:tcW w:w="484" w:type="pct"/>
            <w:tcBorders>
              <w:tl2br w:val="nil"/>
              <w:tr2bl w:val="nil"/>
            </w:tcBorders>
            <w:vAlign w:val="center"/>
          </w:tcPr>
          <w:p w14:paraId="6D992764">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二氧化硫、氮氧化物、汞及其化合物</w:t>
            </w:r>
          </w:p>
        </w:tc>
        <w:tc>
          <w:tcPr>
            <w:tcW w:w="1829" w:type="pct"/>
            <w:tcBorders>
              <w:tl2br w:val="nil"/>
              <w:tr2bl w:val="nil"/>
            </w:tcBorders>
            <w:vAlign w:val="center"/>
          </w:tcPr>
          <w:p w14:paraId="0B4181BE">
            <w:pPr>
              <w:spacing w:line="360" w:lineRule="exact"/>
              <w:ind w:firstLine="0" w:firstLineChars="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eastAsia="zh-CN"/>
              </w:rPr>
              <w:t>《锅炉大气污染物排放标准》（GB 13271-2014）</w:t>
            </w:r>
            <w:r>
              <w:rPr>
                <w:rFonts w:hint="eastAsia" w:cs="Times New Roman"/>
                <w:color w:val="auto"/>
                <w:sz w:val="21"/>
                <w:szCs w:val="21"/>
                <w:highlight w:val="none"/>
                <w:lang w:val="en-US" w:eastAsia="zh-CN"/>
              </w:rPr>
              <w:t>表2中燃煤锅炉限值</w:t>
            </w:r>
          </w:p>
        </w:tc>
      </w:tr>
      <w:tr w14:paraId="69D5E4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tcBorders>
              <w:tl2br w:val="nil"/>
              <w:tr2bl w:val="nil"/>
            </w:tcBorders>
            <w:vAlign w:val="center"/>
          </w:tcPr>
          <w:p w14:paraId="0A8078EC">
            <w:pPr>
              <w:spacing w:line="360" w:lineRule="exact"/>
              <w:ind w:firstLine="0" w:firstLineChars="0"/>
              <w:jc w:val="center"/>
              <w:rPr>
                <w:rFonts w:hint="default" w:ascii="Times New Roman" w:hAnsi="Times New Roman" w:cs="Times New Roman"/>
                <w:color w:val="auto"/>
                <w:sz w:val="21"/>
                <w:szCs w:val="21"/>
                <w:highlight w:val="none"/>
              </w:rPr>
            </w:pPr>
          </w:p>
        </w:tc>
        <w:tc>
          <w:tcPr>
            <w:tcW w:w="250" w:type="pct"/>
            <w:vMerge w:val="continue"/>
            <w:tcBorders>
              <w:tl2br w:val="nil"/>
              <w:tr2bl w:val="nil"/>
            </w:tcBorders>
            <w:vAlign w:val="center"/>
          </w:tcPr>
          <w:p w14:paraId="63A23A3B">
            <w:pPr>
              <w:spacing w:line="360" w:lineRule="exact"/>
              <w:ind w:firstLine="0" w:firstLineChars="0"/>
              <w:jc w:val="center"/>
              <w:rPr>
                <w:rFonts w:hint="default" w:ascii="Times New Roman" w:hAnsi="Times New Roman" w:cs="Times New Roman"/>
                <w:color w:val="auto"/>
                <w:sz w:val="21"/>
                <w:szCs w:val="21"/>
                <w:highlight w:val="none"/>
              </w:rPr>
            </w:pPr>
          </w:p>
        </w:tc>
        <w:tc>
          <w:tcPr>
            <w:tcW w:w="946" w:type="pct"/>
            <w:tcBorders>
              <w:tl2br w:val="nil"/>
              <w:tr2bl w:val="nil"/>
            </w:tcBorders>
            <w:vAlign w:val="center"/>
          </w:tcPr>
          <w:p w14:paraId="029E47F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破碎</w:t>
            </w:r>
            <w:r>
              <w:rPr>
                <w:rFonts w:hint="default" w:ascii="Times New Roman" w:hAnsi="Times New Roman" w:cs="Times New Roman"/>
                <w:color w:val="auto"/>
                <w:sz w:val="21"/>
                <w:szCs w:val="21"/>
                <w:highlight w:val="none"/>
              </w:rPr>
              <w:t>筛分及转运粉尘</w:t>
            </w:r>
          </w:p>
        </w:tc>
        <w:tc>
          <w:tcPr>
            <w:tcW w:w="932" w:type="pct"/>
            <w:tcBorders>
              <w:tl2br w:val="nil"/>
              <w:tr2bl w:val="nil"/>
            </w:tcBorders>
            <w:vAlign w:val="center"/>
          </w:tcPr>
          <w:p w14:paraId="1292AE8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微雾抑尘系统</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eastAsia="zh-CN"/>
              </w:rPr>
              <w:t>封闭皮带运输</w:t>
            </w:r>
          </w:p>
        </w:tc>
        <w:tc>
          <w:tcPr>
            <w:tcW w:w="306" w:type="pct"/>
            <w:tcBorders>
              <w:tl2br w:val="nil"/>
              <w:tr2bl w:val="nil"/>
            </w:tcBorders>
            <w:vAlign w:val="center"/>
          </w:tcPr>
          <w:p w14:paraId="0E64441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套</w:t>
            </w:r>
          </w:p>
        </w:tc>
        <w:tc>
          <w:tcPr>
            <w:tcW w:w="484" w:type="pct"/>
            <w:vMerge w:val="restart"/>
            <w:tcBorders>
              <w:tl2br w:val="nil"/>
              <w:tr2bl w:val="nil"/>
            </w:tcBorders>
            <w:vAlign w:val="center"/>
          </w:tcPr>
          <w:p w14:paraId="22BFBE8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无组</w:t>
            </w:r>
          </w:p>
          <w:p w14:paraId="04D0F41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织扬尘</w:t>
            </w:r>
          </w:p>
        </w:tc>
        <w:tc>
          <w:tcPr>
            <w:tcW w:w="1829" w:type="pct"/>
            <w:vMerge w:val="restart"/>
            <w:tcBorders>
              <w:tl2br w:val="nil"/>
              <w:tr2bl w:val="nil"/>
            </w:tcBorders>
            <w:vAlign w:val="center"/>
          </w:tcPr>
          <w:p w14:paraId="04613EA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《大气污染物综合排放标准》（GB16297-1996）要求</w:t>
            </w:r>
          </w:p>
        </w:tc>
      </w:tr>
      <w:tr w14:paraId="595BFE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tcBorders>
              <w:tl2br w:val="nil"/>
              <w:tr2bl w:val="nil"/>
            </w:tcBorders>
            <w:vAlign w:val="center"/>
          </w:tcPr>
          <w:p w14:paraId="70B5B43E">
            <w:pPr>
              <w:spacing w:line="360" w:lineRule="exact"/>
              <w:ind w:firstLine="0" w:firstLineChars="0"/>
              <w:jc w:val="center"/>
              <w:rPr>
                <w:rFonts w:hint="default" w:ascii="Times New Roman" w:hAnsi="Times New Roman" w:cs="Times New Roman"/>
                <w:color w:val="auto"/>
                <w:sz w:val="21"/>
                <w:szCs w:val="21"/>
                <w:highlight w:val="none"/>
              </w:rPr>
            </w:pPr>
          </w:p>
        </w:tc>
        <w:tc>
          <w:tcPr>
            <w:tcW w:w="250" w:type="pct"/>
            <w:vMerge w:val="continue"/>
            <w:tcBorders>
              <w:tl2br w:val="nil"/>
              <w:tr2bl w:val="nil"/>
            </w:tcBorders>
            <w:vAlign w:val="center"/>
          </w:tcPr>
          <w:p w14:paraId="4F1BEF29">
            <w:pPr>
              <w:spacing w:line="360" w:lineRule="exact"/>
              <w:ind w:firstLine="0" w:firstLineChars="0"/>
              <w:jc w:val="center"/>
              <w:rPr>
                <w:rFonts w:hint="default" w:ascii="Times New Roman" w:hAnsi="Times New Roman" w:cs="Times New Roman"/>
                <w:color w:val="auto"/>
                <w:sz w:val="21"/>
                <w:szCs w:val="21"/>
                <w:highlight w:val="none"/>
              </w:rPr>
            </w:pPr>
          </w:p>
        </w:tc>
        <w:tc>
          <w:tcPr>
            <w:tcW w:w="946" w:type="pct"/>
            <w:tcBorders>
              <w:tl2br w:val="nil"/>
              <w:tr2bl w:val="nil"/>
            </w:tcBorders>
            <w:vAlign w:val="center"/>
          </w:tcPr>
          <w:p w14:paraId="52EC52D4">
            <w:pPr>
              <w:spacing w:line="360" w:lineRule="exact"/>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尾矿库</w:t>
            </w:r>
          </w:p>
        </w:tc>
        <w:tc>
          <w:tcPr>
            <w:tcW w:w="932" w:type="pct"/>
            <w:tcBorders>
              <w:tl2br w:val="nil"/>
              <w:tr2bl w:val="nil"/>
            </w:tcBorders>
            <w:vAlign w:val="center"/>
          </w:tcPr>
          <w:p w14:paraId="2384D1BC">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尾矿湿式排放</w:t>
            </w:r>
            <w:r>
              <w:rPr>
                <w:rFonts w:hint="eastAsia" w:cs="Times New Roman"/>
                <w:color w:val="auto"/>
                <w:sz w:val="21"/>
                <w:szCs w:val="21"/>
                <w:highlight w:val="none"/>
                <w:lang w:val="en-US" w:eastAsia="zh-CN"/>
              </w:rPr>
              <w:t>，减少干滩面积</w:t>
            </w:r>
          </w:p>
        </w:tc>
        <w:tc>
          <w:tcPr>
            <w:tcW w:w="306" w:type="pct"/>
            <w:tcBorders>
              <w:tl2br w:val="nil"/>
              <w:tr2bl w:val="nil"/>
            </w:tcBorders>
            <w:shd w:val="clear" w:color="auto" w:fill="auto"/>
            <w:vAlign w:val="center"/>
          </w:tcPr>
          <w:p w14:paraId="469E2970">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484" w:type="pct"/>
            <w:vMerge w:val="continue"/>
            <w:tcBorders>
              <w:tl2br w:val="nil"/>
              <w:tr2bl w:val="nil"/>
            </w:tcBorders>
            <w:vAlign w:val="center"/>
          </w:tcPr>
          <w:p w14:paraId="70647826">
            <w:pPr>
              <w:spacing w:line="360" w:lineRule="exact"/>
              <w:ind w:firstLine="0" w:firstLineChars="0"/>
              <w:jc w:val="center"/>
              <w:rPr>
                <w:rFonts w:hint="default" w:ascii="Times New Roman" w:hAnsi="Times New Roman" w:cs="Times New Roman"/>
                <w:color w:val="auto"/>
                <w:sz w:val="21"/>
                <w:szCs w:val="21"/>
                <w:highlight w:val="none"/>
              </w:rPr>
            </w:pPr>
          </w:p>
        </w:tc>
        <w:tc>
          <w:tcPr>
            <w:tcW w:w="1829" w:type="pct"/>
            <w:vMerge w:val="continue"/>
            <w:tcBorders>
              <w:tl2br w:val="nil"/>
              <w:tr2bl w:val="nil"/>
            </w:tcBorders>
            <w:vAlign w:val="center"/>
          </w:tcPr>
          <w:p w14:paraId="63200D75">
            <w:pPr>
              <w:spacing w:line="360" w:lineRule="exact"/>
              <w:ind w:firstLine="0" w:firstLineChars="0"/>
              <w:jc w:val="center"/>
              <w:rPr>
                <w:rFonts w:hint="default" w:ascii="Times New Roman" w:hAnsi="Times New Roman" w:cs="Times New Roman"/>
                <w:color w:val="auto"/>
                <w:sz w:val="21"/>
                <w:szCs w:val="21"/>
                <w:highlight w:val="none"/>
              </w:rPr>
            </w:pPr>
          </w:p>
        </w:tc>
      </w:tr>
      <w:tr w14:paraId="06BEF1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tcBorders>
              <w:tl2br w:val="nil"/>
              <w:tr2bl w:val="nil"/>
            </w:tcBorders>
            <w:vAlign w:val="center"/>
          </w:tcPr>
          <w:p w14:paraId="1B126886">
            <w:pPr>
              <w:spacing w:line="360" w:lineRule="exact"/>
              <w:ind w:firstLine="0" w:firstLineChars="0"/>
              <w:jc w:val="center"/>
              <w:rPr>
                <w:rFonts w:hint="default" w:ascii="Times New Roman" w:hAnsi="Times New Roman" w:cs="Times New Roman"/>
                <w:color w:val="auto"/>
                <w:sz w:val="21"/>
                <w:szCs w:val="21"/>
                <w:highlight w:val="none"/>
              </w:rPr>
            </w:pPr>
          </w:p>
        </w:tc>
        <w:tc>
          <w:tcPr>
            <w:tcW w:w="250" w:type="pct"/>
            <w:vMerge w:val="continue"/>
            <w:tcBorders>
              <w:tl2br w:val="nil"/>
              <w:tr2bl w:val="nil"/>
            </w:tcBorders>
            <w:vAlign w:val="center"/>
          </w:tcPr>
          <w:p w14:paraId="669DF0FB">
            <w:pPr>
              <w:spacing w:line="360" w:lineRule="exact"/>
              <w:ind w:firstLine="0" w:firstLineChars="0"/>
              <w:jc w:val="center"/>
              <w:rPr>
                <w:rFonts w:hint="default" w:ascii="Times New Roman" w:hAnsi="Times New Roman" w:cs="Times New Roman"/>
                <w:color w:val="auto"/>
                <w:sz w:val="21"/>
                <w:szCs w:val="21"/>
                <w:highlight w:val="none"/>
              </w:rPr>
            </w:pPr>
          </w:p>
        </w:tc>
        <w:tc>
          <w:tcPr>
            <w:tcW w:w="946" w:type="pct"/>
            <w:tcBorders>
              <w:tl2br w:val="nil"/>
              <w:tr2bl w:val="nil"/>
            </w:tcBorders>
            <w:vAlign w:val="center"/>
          </w:tcPr>
          <w:p w14:paraId="3D8BD6EE">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煤棚扬尘</w:t>
            </w:r>
          </w:p>
        </w:tc>
        <w:tc>
          <w:tcPr>
            <w:tcW w:w="932" w:type="pct"/>
            <w:tcBorders>
              <w:tl2br w:val="nil"/>
              <w:tr2bl w:val="nil"/>
            </w:tcBorders>
            <w:vAlign w:val="center"/>
          </w:tcPr>
          <w:p w14:paraId="78CEB5F9">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堆棚内沉降</w:t>
            </w:r>
          </w:p>
        </w:tc>
        <w:tc>
          <w:tcPr>
            <w:tcW w:w="306" w:type="pct"/>
            <w:tcBorders>
              <w:tl2br w:val="nil"/>
              <w:tr2bl w:val="nil"/>
            </w:tcBorders>
            <w:vAlign w:val="center"/>
          </w:tcPr>
          <w:p w14:paraId="49DB0A7B">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w:t>
            </w:r>
          </w:p>
        </w:tc>
        <w:tc>
          <w:tcPr>
            <w:tcW w:w="484" w:type="pct"/>
            <w:vMerge w:val="continue"/>
            <w:tcBorders>
              <w:tl2br w:val="nil"/>
              <w:tr2bl w:val="nil"/>
            </w:tcBorders>
            <w:vAlign w:val="center"/>
          </w:tcPr>
          <w:p w14:paraId="0B0ADDA0">
            <w:pPr>
              <w:spacing w:line="360" w:lineRule="exact"/>
              <w:ind w:firstLine="0" w:firstLineChars="0"/>
              <w:jc w:val="center"/>
              <w:rPr>
                <w:rFonts w:hint="default" w:ascii="Times New Roman" w:hAnsi="Times New Roman" w:cs="Times New Roman"/>
                <w:color w:val="auto"/>
                <w:sz w:val="21"/>
                <w:szCs w:val="21"/>
                <w:highlight w:val="none"/>
              </w:rPr>
            </w:pPr>
          </w:p>
        </w:tc>
        <w:tc>
          <w:tcPr>
            <w:tcW w:w="1829" w:type="pct"/>
            <w:vMerge w:val="continue"/>
            <w:tcBorders>
              <w:tl2br w:val="nil"/>
              <w:tr2bl w:val="nil"/>
            </w:tcBorders>
            <w:vAlign w:val="center"/>
          </w:tcPr>
          <w:p w14:paraId="54C265FC">
            <w:pPr>
              <w:spacing w:line="360" w:lineRule="exact"/>
              <w:ind w:firstLine="0" w:firstLineChars="0"/>
              <w:jc w:val="center"/>
              <w:rPr>
                <w:rFonts w:hint="default" w:ascii="Times New Roman" w:hAnsi="Times New Roman" w:cs="Times New Roman"/>
                <w:color w:val="auto"/>
                <w:sz w:val="21"/>
                <w:szCs w:val="21"/>
                <w:highlight w:val="none"/>
              </w:rPr>
            </w:pPr>
          </w:p>
        </w:tc>
      </w:tr>
      <w:tr w14:paraId="3C6DFE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tcBorders>
              <w:tl2br w:val="nil"/>
              <w:tr2bl w:val="nil"/>
            </w:tcBorders>
            <w:vAlign w:val="center"/>
          </w:tcPr>
          <w:p w14:paraId="0C4FD1FF">
            <w:pPr>
              <w:spacing w:line="360" w:lineRule="exact"/>
              <w:ind w:firstLine="0" w:firstLineChars="0"/>
              <w:jc w:val="center"/>
              <w:rPr>
                <w:rFonts w:hint="default" w:ascii="Times New Roman" w:hAnsi="Times New Roman" w:cs="Times New Roman"/>
                <w:color w:val="auto"/>
                <w:sz w:val="21"/>
                <w:szCs w:val="21"/>
                <w:highlight w:val="none"/>
              </w:rPr>
            </w:pPr>
          </w:p>
        </w:tc>
        <w:tc>
          <w:tcPr>
            <w:tcW w:w="250" w:type="pct"/>
            <w:vMerge w:val="continue"/>
            <w:tcBorders>
              <w:tl2br w:val="nil"/>
              <w:tr2bl w:val="nil"/>
            </w:tcBorders>
            <w:vAlign w:val="center"/>
          </w:tcPr>
          <w:p w14:paraId="1C41D42B">
            <w:pPr>
              <w:spacing w:line="360" w:lineRule="exact"/>
              <w:ind w:firstLine="0" w:firstLineChars="0"/>
              <w:jc w:val="center"/>
              <w:rPr>
                <w:rFonts w:hint="default" w:ascii="Times New Roman" w:hAnsi="Times New Roman" w:cs="Times New Roman"/>
                <w:color w:val="auto"/>
                <w:sz w:val="21"/>
                <w:szCs w:val="21"/>
                <w:highlight w:val="none"/>
              </w:rPr>
            </w:pPr>
          </w:p>
        </w:tc>
        <w:tc>
          <w:tcPr>
            <w:tcW w:w="946" w:type="pct"/>
            <w:tcBorders>
              <w:tl2br w:val="nil"/>
              <w:tr2bl w:val="nil"/>
            </w:tcBorders>
            <w:vAlign w:val="center"/>
          </w:tcPr>
          <w:p w14:paraId="33147D73">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灰渣暂存场地扬尘</w:t>
            </w:r>
          </w:p>
        </w:tc>
        <w:tc>
          <w:tcPr>
            <w:tcW w:w="932" w:type="pct"/>
            <w:tcBorders>
              <w:tl2br w:val="nil"/>
              <w:tr2bl w:val="nil"/>
            </w:tcBorders>
            <w:vAlign w:val="center"/>
          </w:tcPr>
          <w:p w14:paraId="51A4C1A3">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堆棚内沉降</w:t>
            </w:r>
          </w:p>
        </w:tc>
        <w:tc>
          <w:tcPr>
            <w:tcW w:w="306" w:type="pct"/>
            <w:tcBorders>
              <w:tl2br w:val="nil"/>
              <w:tr2bl w:val="nil"/>
            </w:tcBorders>
            <w:vAlign w:val="center"/>
          </w:tcPr>
          <w:p w14:paraId="74E5B7C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484" w:type="pct"/>
            <w:vMerge w:val="continue"/>
            <w:tcBorders>
              <w:tl2br w:val="nil"/>
              <w:tr2bl w:val="nil"/>
            </w:tcBorders>
            <w:vAlign w:val="center"/>
          </w:tcPr>
          <w:p w14:paraId="07678BBE">
            <w:pPr>
              <w:spacing w:line="360" w:lineRule="exact"/>
              <w:ind w:firstLine="0" w:firstLineChars="0"/>
              <w:jc w:val="center"/>
              <w:rPr>
                <w:rFonts w:hint="default" w:ascii="Times New Roman" w:hAnsi="Times New Roman" w:cs="Times New Roman"/>
                <w:color w:val="auto"/>
                <w:sz w:val="21"/>
                <w:szCs w:val="21"/>
                <w:highlight w:val="none"/>
              </w:rPr>
            </w:pPr>
          </w:p>
        </w:tc>
        <w:tc>
          <w:tcPr>
            <w:tcW w:w="1829" w:type="pct"/>
            <w:vMerge w:val="continue"/>
            <w:tcBorders>
              <w:tl2br w:val="nil"/>
              <w:tr2bl w:val="nil"/>
            </w:tcBorders>
            <w:vAlign w:val="center"/>
          </w:tcPr>
          <w:p w14:paraId="269BE9C9">
            <w:pPr>
              <w:spacing w:line="360" w:lineRule="exact"/>
              <w:ind w:firstLine="0" w:firstLineChars="0"/>
              <w:jc w:val="center"/>
              <w:rPr>
                <w:rFonts w:hint="default" w:ascii="Times New Roman" w:hAnsi="Times New Roman" w:cs="Times New Roman"/>
                <w:color w:val="auto"/>
                <w:sz w:val="21"/>
                <w:szCs w:val="21"/>
                <w:highlight w:val="none"/>
              </w:rPr>
            </w:pPr>
          </w:p>
        </w:tc>
      </w:tr>
      <w:tr w14:paraId="16A688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tcBorders>
              <w:tl2br w:val="nil"/>
              <w:tr2bl w:val="nil"/>
            </w:tcBorders>
            <w:vAlign w:val="center"/>
          </w:tcPr>
          <w:p w14:paraId="7CD83D03">
            <w:pPr>
              <w:spacing w:line="360" w:lineRule="exact"/>
              <w:ind w:firstLine="0" w:firstLineChars="0"/>
              <w:jc w:val="center"/>
              <w:rPr>
                <w:rFonts w:hint="default" w:ascii="Times New Roman" w:hAnsi="Times New Roman" w:cs="Times New Roman"/>
                <w:color w:val="auto"/>
                <w:sz w:val="21"/>
                <w:szCs w:val="21"/>
                <w:highlight w:val="none"/>
              </w:rPr>
            </w:pPr>
          </w:p>
        </w:tc>
        <w:tc>
          <w:tcPr>
            <w:tcW w:w="250" w:type="pct"/>
            <w:vMerge w:val="continue"/>
            <w:tcBorders>
              <w:tl2br w:val="nil"/>
              <w:tr2bl w:val="nil"/>
            </w:tcBorders>
            <w:vAlign w:val="center"/>
          </w:tcPr>
          <w:p w14:paraId="16EF419B">
            <w:pPr>
              <w:spacing w:line="360" w:lineRule="exact"/>
              <w:ind w:firstLine="0" w:firstLineChars="0"/>
              <w:jc w:val="center"/>
              <w:rPr>
                <w:rFonts w:hint="default" w:ascii="Times New Roman" w:hAnsi="Times New Roman" w:cs="Times New Roman"/>
                <w:color w:val="auto"/>
                <w:sz w:val="21"/>
                <w:szCs w:val="21"/>
                <w:highlight w:val="none"/>
              </w:rPr>
            </w:pPr>
          </w:p>
        </w:tc>
        <w:tc>
          <w:tcPr>
            <w:tcW w:w="946" w:type="pct"/>
            <w:tcBorders>
              <w:tl2br w:val="nil"/>
              <w:tr2bl w:val="nil"/>
            </w:tcBorders>
            <w:vAlign w:val="center"/>
          </w:tcPr>
          <w:p w14:paraId="73F133D1">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汽车尾气</w:t>
            </w:r>
          </w:p>
        </w:tc>
        <w:tc>
          <w:tcPr>
            <w:tcW w:w="932" w:type="pct"/>
            <w:tcBorders>
              <w:tl2br w:val="nil"/>
              <w:tr2bl w:val="nil"/>
            </w:tcBorders>
            <w:vAlign w:val="center"/>
          </w:tcPr>
          <w:p w14:paraId="0B9A6127">
            <w:pPr>
              <w:spacing w:line="360" w:lineRule="exact"/>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w:t>
            </w:r>
          </w:p>
        </w:tc>
        <w:tc>
          <w:tcPr>
            <w:tcW w:w="306" w:type="pct"/>
            <w:tcBorders>
              <w:tl2br w:val="nil"/>
              <w:tr2bl w:val="nil"/>
            </w:tcBorders>
            <w:vAlign w:val="center"/>
          </w:tcPr>
          <w:p w14:paraId="2923A29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484" w:type="pct"/>
            <w:vMerge w:val="continue"/>
            <w:tcBorders>
              <w:tl2br w:val="nil"/>
              <w:tr2bl w:val="nil"/>
            </w:tcBorders>
            <w:vAlign w:val="center"/>
          </w:tcPr>
          <w:p w14:paraId="46036672">
            <w:pPr>
              <w:spacing w:line="360" w:lineRule="exact"/>
              <w:ind w:firstLine="0" w:firstLineChars="0"/>
              <w:jc w:val="center"/>
              <w:rPr>
                <w:rFonts w:hint="default" w:ascii="Times New Roman" w:hAnsi="Times New Roman" w:cs="Times New Roman"/>
                <w:color w:val="auto"/>
                <w:sz w:val="21"/>
                <w:szCs w:val="21"/>
                <w:highlight w:val="none"/>
              </w:rPr>
            </w:pPr>
          </w:p>
        </w:tc>
        <w:tc>
          <w:tcPr>
            <w:tcW w:w="1829" w:type="pct"/>
            <w:vMerge w:val="continue"/>
            <w:tcBorders>
              <w:tl2br w:val="nil"/>
              <w:tr2bl w:val="nil"/>
            </w:tcBorders>
            <w:vAlign w:val="center"/>
          </w:tcPr>
          <w:p w14:paraId="0F4EC651">
            <w:pPr>
              <w:spacing w:line="360" w:lineRule="exact"/>
              <w:ind w:firstLine="0" w:firstLineChars="0"/>
              <w:jc w:val="center"/>
              <w:rPr>
                <w:rFonts w:hint="default" w:ascii="Times New Roman" w:hAnsi="Times New Roman" w:cs="Times New Roman"/>
                <w:color w:val="auto"/>
                <w:sz w:val="21"/>
                <w:szCs w:val="21"/>
                <w:highlight w:val="none"/>
              </w:rPr>
            </w:pPr>
          </w:p>
        </w:tc>
      </w:tr>
      <w:tr w14:paraId="4DF579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tcBorders>
              <w:tl2br w:val="nil"/>
              <w:tr2bl w:val="nil"/>
            </w:tcBorders>
            <w:vAlign w:val="center"/>
          </w:tcPr>
          <w:p w14:paraId="6F2064F6">
            <w:pPr>
              <w:spacing w:line="360" w:lineRule="exact"/>
              <w:ind w:firstLine="0" w:firstLineChars="0"/>
              <w:jc w:val="center"/>
              <w:rPr>
                <w:rFonts w:hint="default" w:ascii="Times New Roman" w:hAnsi="Times New Roman" w:cs="Times New Roman"/>
                <w:color w:val="auto"/>
                <w:sz w:val="21"/>
                <w:szCs w:val="21"/>
                <w:highlight w:val="none"/>
              </w:rPr>
            </w:pPr>
          </w:p>
        </w:tc>
        <w:tc>
          <w:tcPr>
            <w:tcW w:w="250" w:type="pct"/>
            <w:vMerge w:val="continue"/>
            <w:tcBorders>
              <w:tl2br w:val="nil"/>
              <w:tr2bl w:val="nil"/>
            </w:tcBorders>
            <w:vAlign w:val="center"/>
          </w:tcPr>
          <w:p w14:paraId="2D3BF911">
            <w:pPr>
              <w:spacing w:line="360" w:lineRule="exact"/>
              <w:ind w:firstLine="0" w:firstLineChars="0"/>
              <w:jc w:val="center"/>
              <w:rPr>
                <w:rFonts w:hint="default" w:ascii="Times New Roman" w:hAnsi="Times New Roman" w:cs="Times New Roman"/>
                <w:color w:val="auto"/>
                <w:sz w:val="21"/>
                <w:szCs w:val="21"/>
                <w:highlight w:val="none"/>
              </w:rPr>
            </w:pPr>
          </w:p>
        </w:tc>
        <w:tc>
          <w:tcPr>
            <w:tcW w:w="946" w:type="pct"/>
            <w:tcBorders>
              <w:tl2br w:val="nil"/>
              <w:tr2bl w:val="nil"/>
            </w:tcBorders>
            <w:vAlign w:val="center"/>
          </w:tcPr>
          <w:p w14:paraId="1D6983B5">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道路运输扬尘</w:t>
            </w:r>
          </w:p>
        </w:tc>
        <w:tc>
          <w:tcPr>
            <w:tcW w:w="932" w:type="pct"/>
            <w:tcBorders>
              <w:tl2br w:val="nil"/>
              <w:tr2bl w:val="nil"/>
            </w:tcBorders>
            <w:vAlign w:val="center"/>
          </w:tcPr>
          <w:p w14:paraId="0842494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路面硬化、道路洒水降尘</w:t>
            </w:r>
          </w:p>
        </w:tc>
        <w:tc>
          <w:tcPr>
            <w:tcW w:w="306" w:type="pct"/>
            <w:tcBorders>
              <w:tl2br w:val="nil"/>
              <w:tr2bl w:val="nil"/>
            </w:tcBorders>
            <w:vAlign w:val="center"/>
          </w:tcPr>
          <w:p w14:paraId="65274AA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484" w:type="pct"/>
            <w:tcBorders>
              <w:tl2br w:val="nil"/>
              <w:tr2bl w:val="nil"/>
            </w:tcBorders>
            <w:vAlign w:val="center"/>
          </w:tcPr>
          <w:p w14:paraId="0C1EF3EF">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运输扬尘</w:t>
            </w:r>
          </w:p>
        </w:tc>
        <w:tc>
          <w:tcPr>
            <w:tcW w:w="1829" w:type="pct"/>
            <w:vMerge w:val="continue"/>
            <w:tcBorders>
              <w:tl2br w:val="nil"/>
              <w:tr2bl w:val="nil"/>
            </w:tcBorders>
            <w:vAlign w:val="center"/>
          </w:tcPr>
          <w:p w14:paraId="00BAC6BA">
            <w:pPr>
              <w:spacing w:line="360" w:lineRule="exact"/>
              <w:ind w:firstLine="0" w:firstLineChars="0"/>
              <w:jc w:val="center"/>
              <w:rPr>
                <w:rFonts w:hint="default" w:ascii="Times New Roman" w:hAnsi="Times New Roman" w:cs="Times New Roman"/>
                <w:color w:val="auto"/>
                <w:sz w:val="21"/>
                <w:szCs w:val="21"/>
                <w:highlight w:val="none"/>
              </w:rPr>
            </w:pPr>
          </w:p>
        </w:tc>
      </w:tr>
      <w:tr w14:paraId="152579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50" w:type="pct"/>
            <w:vMerge w:val="continue"/>
            <w:tcBorders>
              <w:tl2br w:val="nil"/>
              <w:tr2bl w:val="nil"/>
            </w:tcBorders>
            <w:vAlign w:val="center"/>
          </w:tcPr>
          <w:p w14:paraId="7D5493D9">
            <w:pPr>
              <w:spacing w:line="360" w:lineRule="exact"/>
              <w:ind w:firstLine="0" w:firstLineChars="0"/>
              <w:jc w:val="center"/>
              <w:rPr>
                <w:rFonts w:hint="default" w:ascii="Times New Roman" w:hAnsi="Times New Roman" w:cs="Times New Roman"/>
                <w:color w:val="auto"/>
                <w:sz w:val="21"/>
                <w:szCs w:val="21"/>
                <w:highlight w:val="none"/>
              </w:rPr>
            </w:pPr>
          </w:p>
        </w:tc>
        <w:tc>
          <w:tcPr>
            <w:tcW w:w="250" w:type="pct"/>
            <w:vMerge w:val="restart"/>
            <w:tcBorders>
              <w:tl2br w:val="nil"/>
              <w:tr2bl w:val="nil"/>
            </w:tcBorders>
            <w:vAlign w:val="center"/>
          </w:tcPr>
          <w:p w14:paraId="2F2F302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946" w:type="pct"/>
            <w:tcBorders>
              <w:tl2br w:val="nil"/>
              <w:tr2bl w:val="nil"/>
            </w:tcBorders>
            <w:vAlign w:val="center"/>
          </w:tcPr>
          <w:p w14:paraId="6ED7D64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选矿废水</w:t>
            </w:r>
          </w:p>
        </w:tc>
        <w:tc>
          <w:tcPr>
            <w:tcW w:w="932" w:type="pct"/>
            <w:tcBorders>
              <w:tl2br w:val="nil"/>
              <w:tr2bl w:val="nil"/>
            </w:tcBorders>
            <w:vAlign w:val="center"/>
          </w:tcPr>
          <w:p w14:paraId="0778D0B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闭路循环不外排</w:t>
            </w:r>
          </w:p>
        </w:tc>
        <w:tc>
          <w:tcPr>
            <w:tcW w:w="306" w:type="pct"/>
            <w:tcBorders>
              <w:tl2br w:val="nil"/>
              <w:tr2bl w:val="nil"/>
            </w:tcBorders>
            <w:vAlign w:val="center"/>
          </w:tcPr>
          <w:p w14:paraId="18FDA60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484" w:type="pct"/>
            <w:vMerge w:val="restart"/>
            <w:tcBorders>
              <w:tl2br w:val="nil"/>
              <w:tr2bl w:val="nil"/>
            </w:tcBorders>
            <w:vAlign w:val="center"/>
          </w:tcPr>
          <w:p w14:paraId="33DE55F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1829" w:type="pct"/>
            <w:tcBorders>
              <w:tl2br w:val="nil"/>
              <w:tr2bl w:val="nil"/>
            </w:tcBorders>
            <w:vAlign w:val="center"/>
          </w:tcPr>
          <w:p w14:paraId="7E1B8DA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14:paraId="4CC2DB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tcBorders>
              <w:tl2br w:val="nil"/>
              <w:tr2bl w:val="nil"/>
            </w:tcBorders>
            <w:vAlign w:val="center"/>
          </w:tcPr>
          <w:p w14:paraId="10C8204A">
            <w:pPr>
              <w:spacing w:line="360" w:lineRule="exact"/>
              <w:ind w:firstLine="0" w:firstLineChars="0"/>
              <w:jc w:val="center"/>
              <w:rPr>
                <w:rFonts w:hint="default" w:ascii="Times New Roman" w:hAnsi="Times New Roman" w:cs="Times New Roman"/>
                <w:color w:val="auto"/>
                <w:sz w:val="21"/>
                <w:szCs w:val="21"/>
                <w:highlight w:val="none"/>
              </w:rPr>
            </w:pPr>
          </w:p>
        </w:tc>
        <w:tc>
          <w:tcPr>
            <w:tcW w:w="250" w:type="pct"/>
            <w:vMerge w:val="continue"/>
            <w:tcBorders>
              <w:tl2br w:val="nil"/>
              <w:tr2bl w:val="nil"/>
            </w:tcBorders>
            <w:vAlign w:val="center"/>
          </w:tcPr>
          <w:p w14:paraId="613E8E4E">
            <w:pPr>
              <w:spacing w:line="360" w:lineRule="exact"/>
              <w:ind w:firstLine="0" w:firstLineChars="0"/>
              <w:jc w:val="center"/>
              <w:rPr>
                <w:rFonts w:hint="default" w:ascii="Times New Roman" w:hAnsi="Times New Roman" w:cs="Times New Roman"/>
                <w:color w:val="auto"/>
                <w:sz w:val="21"/>
                <w:szCs w:val="21"/>
                <w:highlight w:val="none"/>
              </w:rPr>
            </w:pPr>
          </w:p>
        </w:tc>
        <w:tc>
          <w:tcPr>
            <w:tcW w:w="946" w:type="pct"/>
            <w:tcBorders>
              <w:tl2br w:val="nil"/>
              <w:tr2bl w:val="nil"/>
            </w:tcBorders>
            <w:vAlign w:val="center"/>
          </w:tcPr>
          <w:p w14:paraId="28AFB361">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锅炉房废水</w:t>
            </w:r>
          </w:p>
        </w:tc>
        <w:tc>
          <w:tcPr>
            <w:tcW w:w="932" w:type="pct"/>
            <w:tcBorders>
              <w:tl2br w:val="nil"/>
              <w:tr2bl w:val="nil"/>
            </w:tcBorders>
            <w:vAlign w:val="center"/>
          </w:tcPr>
          <w:p w14:paraId="3ADE1A09">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沉淀池</w:t>
            </w:r>
          </w:p>
        </w:tc>
        <w:tc>
          <w:tcPr>
            <w:tcW w:w="306" w:type="pct"/>
            <w:tcBorders>
              <w:tl2br w:val="nil"/>
              <w:tr2bl w:val="nil"/>
            </w:tcBorders>
            <w:vAlign w:val="center"/>
          </w:tcPr>
          <w:p w14:paraId="6E1308E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484" w:type="pct"/>
            <w:vMerge w:val="continue"/>
            <w:tcBorders>
              <w:tl2br w:val="nil"/>
              <w:tr2bl w:val="nil"/>
            </w:tcBorders>
            <w:vAlign w:val="center"/>
          </w:tcPr>
          <w:p w14:paraId="3EDD7190">
            <w:pPr>
              <w:spacing w:line="360" w:lineRule="exact"/>
              <w:ind w:firstLine="0" w:firstLineChars="0"/>
              <w:jc w:val="center"/>
              <w:rPr>
                <w:rFonts w:hint="default" w:ascii="Times New Roman" w:hAnsi="Times New Roman" w:cs="Times New Roman"/>
                <w:color w:val="auto"/>
                <w:sz w:val="21"/>
                <w:szCs w:val="21"/>
                <w:highlight w:val="none"/>
              </w:rPr>
            </w:pPr>
          </w:p>
        </w:tc>
        <w:tc>
          <w:tcPr>
            <w:tcW w:w="1829" w:type="pct"/>
            <w:tcBorders>
              <w:tl2br w:val="nil"/>
              <w:tr2bl w:val="nil"/>
            </w:tcBorders>
            <w:vAlign w:val="center"/>
          </w:tcPr>
          <w:p w14:paraId="15C0D9A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经沉淀池沉淀、中和处理后上清液回用选矿生产工序循环使用</w:t>
            </w:r>
          </w:p>
        </w:tc>
      </w:tr>
      <w:tr w14:paraId="709B81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tcBorders>
              <w:tl2br w:val="nil"/>
              <w:tr2bl w:val="nil"/>
            </w:tcBorders>
            <w:vAlign w:val="center"/>
          </w:tcPr>
          <w:p w14:paraId="1A221E6F">
            <w:pPr>
              <w:spacing w:line="360" w:lineRule="exact"/>
              <w:ind w:firstLine="0" w:firstLineChars="0"/>
              <w:jc w:val="center"/>
              <w:rPr>
                <w:rFonts w:hint="default" w:ascii="Times New Roman" w:hAnsi="Times New Roman" w:cs="Times New Roman"/>
                <w:color w:val="auto"/>
                <w:sz w:val="21"/>
                <w:szCs w:val="21"/>
                <w:highlight w:val="none"/>
              </w:rPr>
            </w:pPr>
          </w:p>
        </w:tc>
        <w:tc>
          <w:tcPr>
            <w:tcW w:w="250" w:type="pct"/>
            <w:vMerge w:val="continue"/>
            <w:tcBorders>
              <w:tl2br w:val="nil"/>
              <w:tr2bl w:val="nil"/>
            </w:tcBorders>
            <w:vAlign w:val="center"/>
          </w:tcPr>
          <w:p w14:paraId="2452A1FE">
            <w:pPr>
              <w:spacing w:line="360" w:lineRule="exact"/>
              <w:ind w:firstLine="0" w:firstLineChars="0"/>
              <w:jc w:val="center"/>
              <w:rPr>
                <w:rFonts w:hint="default" w:ascii="Times New Roman" w:hAnsi="Times New Roman" w:cs="Times New Roman"/>
                <w:color w:val="auto"/>
                <w:sz w:val="21"/>
                <w:szCs w:val="21"/>
                <w:highlight w:val="none"/>
              </w:rPr>
            </w:pPr>
          </w:p>
        </w:tc>
        <w:tc>
          <w:tcPr>
            <w:tcW w:w="946" w:type="pct"/>
            <w:tcBorders>
              <w:tl2br w:val="nil"/>
              <w:tr2bl w:val="nil"/>
            </w:tcBorders>
            <w:vAlign w:val="center"/>
          </w:tcPr>
          <w:p w14:paraId="694F6356">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生活污水</w:t>
            </w:r>
          </w:p>
        </w:tc>
        <w:tc>
          <w:tcPr>
            <w:tcW w:w="932" w:type="pct"/>
            <w:tcBorders>
              <w:tl2br w:val="nil"/>
              <w:tr2bl w:val="nil"/>
            </w:tcBorders>
            <w:vAlign w:val="center"/>
          </w:tcPr>
          <w:p w14:paraId="36424199">
            <w:pPr>
              <w:spacing w:line="360" w:lineRule="exact"/>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化粪池</w:t>
            </w:r>
          </w:p>
        </w:tc>
        <w:tc>
          <w:tcPr>
            <w:tcW w:w="306" w:type="pct"/>
            <w:tcBorders>
              <w:tl2br w:val="nil"/>
              <w:tr2bl w:val="nil"/>
            </w:tcBorders>
            <w:vAlign w:val="center"/>
          </w:tcPr>
          <w:p w14:paraId="3329AE7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484" w:type="pct"/>
            <w:vMerge w:val="continue"/>
            <w:tcBorders>
              <w:tl2br w:val="nil"/>
              <w:tr2bl w:val="nil"/>
            </w:tcBorders>
            <w:vAlign w:val="center"/>
          </w:tcPr>
          <w:p w14:paraId="06894A9E">
            <w:pPr>
              <w:spacing w:line="360" w:lineRule="exact"/>
              <w:ind w:firstLine="0" w:firstLineChars="0"/>
              <w:jc w:val="center"/>
              <w:rPr>
                <w:rFonts w:hint="default" w:ascii="Times New Roman" w:hAnsi="Times New Roman" w:cs="Times New Roman"/>
                <w:color w:val="auto"/>
                <w:sz w:val="21"/>
                <w:szCs w:val="21"/>
                <w:highlight w:val="none"/>
              </w:rPr>
            </w:pPr>
          </w:p>
        </w:tc>
        <w:tc>
          <w:tcPr>
            <w:tcW w:w="1829" w:type="pct"/>
            <w:tcBorders>
              <w:tl2br w:val="nil"/>
              <w:tr2bl w:val="nil"/>
            </w:tcBorders>
            <w:vAlign w:val="center"/>
          </w:tcPr>
          <w:p w14:paraId="29AD1250">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定期抽运至哈密市污水处理厂</w:t>
            </w:r>
          </w:p>
        </w:tc>
      </w:tr>
      <w:tr w14:paraId="1E6616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tcBorders>
              <w:tl2br w:val="nil"/>
              <w:tr2bl w:val="nil"/>
            </w:tcBorders>
            <w:vAlign w:val="center"/>
          </w:tcPr>
          <w:p w14:paraId="49472B6C">
            <w:pPr>
              <w:spacing w:line="360" w:lineRule="exact"/>
              <w:ind w:firstLine="0" w:firstLineChars="0"/>
              <w:jc w:val="center"/>
              <w:rPr>
                <w:rFonts w:hint="default" w:ascii="Times New Roman" w:hAnsi="Times New Roman" w:cs="Times New Roman"/>
                <w:color w:val="auto"/>
                <w:sz w:val="21"/>
                <w:szCs w:val="21"/>
                <w:highlight w:val="none"/>
              </w:rPr>
            </w:pPr>
          </w:p>
        </w:tc>
        <w:tc>
          <w:tcPr>
            <w:tcW w:w="250" w:type="pct"/>
            <w:tcBorders>
              <w:tl2br w:val="nil"/>
              <w:tr2bl w:val="nil"/>
            </w:tcBorders>
            <w:vAlign w:val="center"/>
          </w:tcPr>
          <w:p w14:paraId="04A5A28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946" w:type="pct"/>
            <w:tcBorders>
              <w:tl2br w:val="nil"/>
              <w:tr2bl w:val="nil"/>
            </w:tcBorders>
            <w:vAlign w:val="center"/>
          </w:tcPr>
          <w:p w14:paraId="25F161C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lang w:eastAsia="zh-CN"/>
              </w:rPr>
              <w:t>破碎机、</w:t>
            </w:r>
            <w:r>
              <w:rPr>
                <w:rFonts w:hint="eastAsia" w:cs="Times New Roman"/>
                <w:bCs/>
                <w:color w:val="auto"/>
                <w:sz w:val="21"/>
                <w:szCs w:val="21"/>
                <w:highlight w:val="none"/>
                <w:lang w:val="en-US" w:eastAsia="zh-CN"/>
              </w:rPr>
              <w:t>浮选机</w:t>
            </w:r>
            <w:r>
              <w:rPr>
                <w:rFonts w:hint="default" w:ascii="Times New Roman" w:hAnsi="Times New Roman" w:cs="Times New Roman"/>
                <w:color w:val="auto"/>
                <w:sz w:val="21"/>
                <w:szCs w:val="21"/>
                <w:highlight w:val="none"/>
              </w:rPr>
              <w:t>、</w:t>
            </w:r>
            <w:r>
              <w:rPr>
                <w:rFonts w:hint="default" w:ascii="Times New Roman" w:hAnsi="Times New Roman" w:cs="Times New Roman"/>
                <w:bCs/>
                <w:color w:val="auto"/>
                <w:sz w:val="21"/>
                <w:szCs w:val="21"/>
                <w:highlight w:val="none"/>
              </w:rPr>
              <w:t>振动筛</w:t>
            </w:r>
            <w:r>
              <w:rPr>
                <w:rFonts w:hint="default" w:ascii="Times New Roman" w:hAnsi="Times New Roman" w:cs="Times New Roman"/>
                <w:color w:val="auto"/>
                <w:sz w:val="21"/>
                <w:szCs w:val="21"/>
                <w:highlight w:val="none"/>
              </w:rPr>
              <w:t>等</w:t>
            </w:r>
          </w:p>
        </w:tc>
        <w:tc>
          <w:tcPr>
            <w:tcW w:w="932" w:type="pct"/>
            <w:tcBorders>
              <w:tl2br w:val="nil"/>
              <w:tr2bl w:val="nil"/>
            </w:tcBorders>
            <w:vAlign w:val="center"/>
          </w:tcPr>
          <w:p w14:paraId="49C9738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置于室内隔声，出口安装消声器、基础减振，室内隔声</w:t>
            </w:r>
          </w:p>
        </w:tc>
        <w:tc>
          <w:tcPr>
            <w:tcW w:w="306" w:type="pct"/>
            <w:tcBorders>
              <w:tl2br w:val="nil"/>
              <w:tr2bl w:val="nil"/>
            </w:tcBorders>
            <w:vAlign w:val="center"/>
          </w:tcPr>
          <w:p w14:paraId="52883F5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484" w:type="pct"/>
            <w:tcBorders>
              <w:tl2br w:val="nil"/>
              <w:tr2bl w:val="nil"/>
            </w:tcBorders>
            <w:vAlign w:val="center"/>
          </w:tcPr>
          <w:p w14:paraId="64348E2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1829" w:type="pct"/>
            <w:tcBorders>
              <w:tl2br w:val="nil"/>
              <w:tr2bl w:val="nil"/>
            </w:tcBorders>
            <w:vAlign w:val="center"/>
          </w:tcPr>
          <w:p w14:paraId="27B801A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厂界噪声达到《工业企业厂界环境噪声排放标准》</w:t>
            </w:r>
            <w:r>
              <w:rPr>
                <w:rFonts w:hint="default" w:ascii="Times New Roman" w:hAnsi="Times New Roman" w:cs="Times New Roman"/>
                <w:color w:val="auto"/>
                <w:sz w:val="21"/>
                <w:szCs w:val="21"/>
                <w:highlight w:val="none"/>
                <w:lang w:val="zh-CN"/>
              </w:rPr>
              <w:t>（GB12348-2008）</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类标准</w:t>
            </w:r>
          </w:p>
        </w:tc>
      </w:tr>
      <w:tr w14:paraId="516B9C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tcBorders>
              <w:tl2br w:val="nil"/>
              <w:tr2bl w:val="nil"/>
            </w:tcBorders>
            <w:vAlign w:val="center"/>
          </w:tcPr>
          <w:p w14:paraId="4BA864E0">
            <w:pPr>
              <w:spacing w:line="360" w:lineRule="exact"/>
              <w:ind w:firstLine="0" w:firstLineChars="0"/>
              <w:jc w:val="center"/>
              <w:rPr>
                <w:rFonts w:hint="default" w:ascii="Times New Roman" w:hAnsi="Times New Roman" w:cs="Times New Roman"/>
                <w:color w:val="auto"/>
                <w:sz w:val="21"/>
                <w:szCs w:val="21"/>
                <w:highlight w:val="none"/>
              </w:rPr>
            </w:pPr>
          </w:p>
        </w:tc>
        <w:tc>
          <w:tcPr>
            <w:tcW w:w="250" w:type="pct"/>
            <w:vMerge w:val="restart"/>
            <w:tcBorders>
              <w:tl2br w:val="nil"/>
              <w:tr2bl w:val="nil"/>
            </w:tcBorders>
            <w:vAlign w:val="center"/>
          </w:tcPr>
          <w:p w14:paraId="7D6E4FC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w:t>
            </w:r>
          </w:p>
        </w:tc>
        <w:tc>
          <w:tcPr>
            <w:tcW w:w="946" w:type="pct"/>
            <w:tcBorders>
              <w:tl2br w:val="nil"/>
              <w:tr2bl w:val="nil"/>
            </w:tcBorders>
            <w:vAlign w:val="center"/>
          </w:tcPr>
          <w:p w14:paraId="2EE804D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尾矿砂</w:t>
            </w:r>
          </w:p>
        </w:tc>
        <w:tc>
          <w:tcPr>
            <w:tcW w:w="932" w:type="pct"/>
            <w:tcBorders>
              <w:tl2br w:val="nil"/>
              <w:tr2bl w:val="nil"/>
            </w:tcBorders>
            <w:vAlign w:val="center"/>
          </w:tcPr>
          <w:p w14:paraId="1F20DFF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尾矿库</w:t>
            </w:r>
          </w:p>
        </w:tc>
        <w:tc>
          <w:tcPr>
            <w:tcW w:w="306" w:type="pct"/>
            <w:tcBorders>
              <w:tl2br w:val="nil"/>
              <w:tr2bl w:val="nil"/>
            </w:tcBorders>
            <w:vAlign w:val="center"/>
          </w:tcPr>
          <w:p w14:paraId="6AEDAD2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484" w:type="pct"/>
            <w:tcBorders>
              <w:tl2br w:val="nil"/>
              <w:tr2bl w:val="nil"/>
            </w:tcBorders>
            <w:vAlign w:val="center"/>
          </w:tcPr>
          <w:p w14:paraId="3CD0CDF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一般工业固废</w:t>
            </w:r>
          </w:p>
        </w:tc>
        <w:tc>
          <w:tcPr>
            <w:tcW w:w="1829" w:type="pct"/>
            <w:tcBorders>
              <w:tl2br w:val="nil"/>
              <w:tr2bl w:val="nil"/>
            </w:tcBorders>
            <w:vAlign w:val="center"/>
          </w:tcPr>
          <w:p w14:paraId="1DE72357">
            <w:pPr>
              <w:spacing w:line="360" w:lineRule="exact"/>
              <w:ind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尾矿砂</w:t>
            </w:r>
            <w:r>
              <w:rPr>
                <w:rFonts w:hint="default" w:ascii="Times New Roman" w:hAnsi="Times New Roman" w:cs="Times New Roman"/>
                <w:color w:val="auto"/>
                <w:sz w:val="21"/>
                <w:szCs w:val="21"/>
                <w:highlight w:val="none"/>
                <w:lang w:val="en-US" w:eastAsia="zh-CN"/>
              </w:rPr>
              <w:t>部分</w:t>
            </w:r>
            <w:r>
              <w:rPr>
                <w:rFonts w:hint="default" w:ascii="Times New Roman" w:hAnsi="Times New Roman" w:cs="Times New Roman"/>
                <w:color w:val="auto"/>
                <w:sz w:val="21"/>
                <w:szCs w:val="21"/>
                <w:highlight w:val="none"/>
              </w:rPr>
              <w:t>经管线输送至尾矿库</w:t>
            </w:r>
            <w:r>
              <w:rPr>
                <w:rFonts w:hint="eastAsia" w:cs="Times New Roman"/>
                <w:color w:val="auto"/>
                <w:sz w:val="21"/>
                <w:szCs w:val="21"/>
                <w:highlight w:val="none"/>
                <w:lang w:eastAsia="zh-CN"/>
              </w:rPr>
              <w:t>。</w:t>
            </w:r>
          </w:p>
        </w:tc>
      </w:tr>
      <w:tr w14:paraId="4F7DA2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tcBorders>
              <w:tl2br w:val="nil"/>
              <w:tr2bl w:val="nil"/>
            </w:tcBorders>
            <w:vAlign w:val="center"/>
          </w:tcPr>
          <w:p w14:paraId="358ED4DF">
            <w:pPr>
              <w:spacing w:line="360" w:lineRule="exact"/>
              <w:ind w:firstLine="0" w:firstLineChars="0"/>
              <w:jc w:val="center"/>
              <w:rPr>
                <w:rFonts w:hint="default" w:ascii="Times New Roman" w:hAnsi="Times New Roman" w:cs="Times New Roman"/>
                <w:color w:val="auto"/>
                <w:sz w:val="21"/>
                <w:szCs w:val="21"/>
                <w:highlight w:val="none"/>
              </w:rPr>
            </w:pPr>
          </w:p>
        </w:tc>
        <w:tc>
          <w:tcPr>
            <w:tcW w:w="250" w:type="pct"/>
            <w:vMerge w:val="continue"/>
            <w:tcBorders>
              <w:tl2br w:val="nil"/>
              <w:tr2bl w:val="nil"/>
            </w:tcBorders>
            <w:vAlign w:val="center"/>
          </w:tcPr>
          <w:p w14:paraId="5264E760">
            <w:pPr>
              <w:spacing w:line="360" w:lineRule="exact"/>
              <w:ind w:firstLine="0" w:firstLineChars="0"/>
              <w:jc w:val="center"/>
              <w:rPr>
                <w:rFonts w:hint="default" w:ascii="Times New Roman" w:hAnsi="Times New Roman" w:cs="Times New Roman"/>
                <w:color w:val="auto"/>
                <w:sz w:val="21"/>
                <w:szCs w:val="21"/>
                <w:highlight w:val="none"/>
              </w:rPr>
            </w:pPr>
          </w:p>
        </w:tc>
        <w:tc>
          <w:tcPr>
            <w:tcW w:w="946" w:type="pct"/>
            <w:tcBorders>
              <w:tl2br w:val="nil"/>
              <w:tr2bl w:val="nil"/>
            </w:tcBorders>
            <w:vAlign w:val="center"/>
          </w:tcPr>
          <w:p w14:paraId="3FEADB1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生活垃圾</w:t>
            </w:r>
          </w:p>
        </w:tc>
        <w:tc>
          <w:tcPr>
            <w:tcW w:w="932" w:type="pct"/>
            <w:tcBorders>
              <w:tl2br w:val="nil"/>
              <w:tr2bl w:val="nil"/>
            </w:tcBorders>
            <w:vAlign w:val="center"/>
          </w:tcPr>
          <w:p w14:paraId="19D2E0F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生活垃圾桶</w:t>
            </w:r>
          </w:p>
        </w:tc>
        <w:tc>
          <w:tcPr>
            <w:tcW w:w="306" w:type="pct"/>
            <w:tcBorders>
              <w:tl2br w:val="nil"/>
              <w:tr2bl w:val="nil"/>
            </w:tcBorders>
            <w:vAlign w:val="center"/>
          </w:tcPr>
          <w:p w14:paraId="025757A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484" w:type="pct"/>
            <w:tcBorders>
              <w:tl2br w:val="nil"/>
              <w:tr2bl w:val="nil"/>
            </w:tcBorders>
            <w:vAlign w:val="center"/>
          </w:tcPr>
          <w:p w14:paraId="0ABC963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生活垃圾</w:t>
            </w:r>
          </w:p>
        </w:tc>
        <w:tc>
          <w:tcPr>
            <w:tcW w:w="1829" w:type="pct"/>
            <w:tcBorders>
              <w:tl2br w:val="nil"/>
              <w:tr2bl w:val="nil"/>
            </w:tcBorders>
            <w:vAlign w:val="center"/>
          </w:tcPr>
          <w:p w14:paraId="75B70D4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生活垃圾集中收集，定期拉运至雅满苏镇垃圾转运站处理</w:t>
            </w:r>
          </w:p>
        </w:tc>
      </w:tr>
      <w:tr w14:paraId="4F775D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0" w:hRule="atLeast"/>
          <w:jc w:val="center"/>
        </w:trPr>
        <w:tc>
          <w:tcPr>
            <w:tcW w:w="250" w:type="pct"/>
            <w:vMerge w:val="continue"/>
            <w:tcBorders>
              <w:tl2br w:val="nil"/>
              <w:tr2bl w:val="nil"/>
            </w:tcBorders>
            <w:vAlign w:val="center"/>
          </w:tcPr>
          <w:p w14:paraId="766CB4B6">
            <w:pPr>
              <w:spacing w:line="360" w:lineRule="exact"/>
              <w:ind w:firstLine="0" w:firstLineChars="0"/>
              <w:jc w:val="center"/>
              <w:rPr>
                <w:rFonts w:hint="default" w:ascii="Times New Roman" w:hAnsi="Times New Roman" w:cs="Times New Roman"/>
                <w:color w:val="auto"/>
                <w:sz w:val="21"/>
                <w:szCs w:val="21"/>
                <w:highlight w:val="none"/>
              </w:rPr>
            </w:pPr>
          </w:p>
        </w:tc>
        <w:tc>
          <w:tcPr>
            <w:tcW w:w="250" w:type="pct"/>
            <w:vMerge w:val="continue"/>
            <w:tcBorders>
              <w:tl2br w:val="nil"/>
              <w:tr2bl w:val="nil"/>
            </w:tcBorders>
            <w:vAlign w:val="center"/>
          </w:tcPr>
          <w:p w14:paraId="34146B4E">
            <w:pPr>
              <w:spacing w:line="360" w:lineRule="exact"/>
              <w:ind w:firstLine="0" w:firstLineChars="0"/>
              <w:jc w:val="center"/>
              <w:rPr>
                <w:rFonts w:hint="default" w:ascii="Times New Roman" w:hAnsi="Times New Roman" w:cs="Times New Roman"/>
                <w:color w:val="auto"/>
                <w:sz w:val="21"/>
                <w:szCs w:val="21"/>
                <w:highlight w:val="none"/>
              </w:rPr>
            </w:pPr>
          </w:p>
        </w:tc>
        <w:tc>
          <w:tcPr>
            <w:tcW w:w="946" w:type="pct"/>
            <w:tcBorders>
              <w:tl2br w:val="nil"/>
              <w:tr2bl w:val="nil"/>
            </w:tcBorders>
            <w:vAlign w:val="center"/>
          </w:tcPr>
          <w:p w14:paraId="6D7EE305">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废机油及油桶</w:t>
            </w:r>
          </w:p>
        </w:tc>
        <w:tc>
          <w:tcPr>
            <w:tcW w:w="932" w:type="pct"/>
            <w:tcBorders>
              <w:tl2br w:val="nil"/>
              <w:tr2bl w:val="nil"/>
            </w:tcBorders>
            <w:vAlign w:val="center"/>
          </w:tcPr>
          <w:p w14:paraId="0C38B7F6">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危废贮存点</w:t>
            </w:r>
          </w:p>
        </w:tc>
        <w:tc>
          <w:tcPr>
            <w:tcW w:w="306" w:type="pct"/>
            <w:tcBorders>
              <w:tl2br w:val="nil"/>
              <w:tr2bl w:val="nil"/>
            </w:tcBorders>
            <w:vAlign w:val="center"/>
          </w:tcPr>
          <w:p w14:paraId="4E1C02F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w:t>
            </w:r>
          </w:p>
        </w:tc>
        <w:tc>
          <w:tcPr>
            <w:tcW w:w="484" w:type="pct"/>
            <w:tcBorders>
              <w:tl2br w:val="nil"/>
              <w:tr2bl w:val="nil"/>
            </w:tcBorders>
            <w:vAlign w:val="center"/>
          </w:tcPr>
          <w:p w14:paraId="3FE98B1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危险废物</w:t>
            </w:r>
          </w:p>
        </w:tc>
        <w:tc>
          <w:tcPr>
            <w:tcW w:w="1829" w:type="pct"/>
            <w:tcBorders>
              <w:tl2br w:val="nil"/>
              <w:tr2bl w:val="nil"/>
            </w:tcBorders>
            <w:vAlign w:val="center"/>
          </w:tcPr>
          <w:p w14:paraId="352BF4A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依托采矿项目</w:t>
            </w:r>
            <w:r>
              <w:rPr>
                <w:rFonts w:hint="eastAsia" w:cs="Times New Roman"/>
                <w:color w:val="auto"/>
                <w:sz w:val="21"/>
                <w:szCs w:val="21"/>
                <w:highlight w:val="none"/>
                <w:lang w:eastAsia="zh-CN"/>
              </w:rPr>
              <w:t>危废贮存点</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定期交由有资质单位处置</w:t>
            </w:r>
          </w:p>
        </w:tc>
      </w:tr>
      <w:tr w14:paraId="37963F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tcBorders>
              <w:tl2br w:val="nil"/>
              <w:tr2bl w:val="nil"/>
            </w:tcBorders>
            <w:vAlign w:val="center"/>
          </w:tcPr>
          <w:p w14:paraId="58321790">
            <w:pPr>
              <w:spacing w:line="360" w:lineRule="exact"/>
              <w:ind w:firstLine="0" w:firstLineChars="0"/>
              <w:jc w:val="center"/>
              <w:rPr>
                <w:rFonts w:hint="default" w:ascii="Times New Roman" w:hAnsi="Times New Roman" w:cs="Times New Roman"/>
                <w:color w:val="auto"/>
                <w:sz w:val="21"/>
                <w:szCs w:val="21"/>
                <w:highlight w:val="none"/>
              </w:rPr>
            </w:pPr>
          </w:p>
        </w:tc>
        <w:tc>
          <w:tcPr>
            <w:tcW w:w="250" w:type="pct"/>
            <w:vMerge w:val="continue"/>
            <w:tcBorders>
              <w:tl2br w:val="nil"/>
              <w:tr2bl w:val="nil"/>
            </w:tcBorders>
            <w:vAlign w:val="center"/>
          </w:tcPr>
          <w:p w14:paraId="04C08DAB">
            <w:pPr>
              <w:spacing w:line="360" w:lineRule="exact"/>
              <w:ind w:firstLine="0" w:firstLineChars="0"/>
              <w:jc w:val="center"/>
              <w:rPr>
                <w:rFonts w:hint="default" w:ascii="Times New Roman" w:hAnsi="Times New Roman" w:cs="Times New Roman"/>
                <w:color w:val="auto"/>
                <w:sz w:val="21"/>
                <w:szCs w:val="21"/>
                <w:highlight w:val="none"/>
              </w:rPr>
            </w:pPr>
          </w:p>
        </w:tc>
        <w:tc>
          <w:tcPr>
            <w:tcW w:w="946" w:type="pct"/>
            <w:tcBorders>
              <w:tl2br w:val="nil"/>
              <w:tr2bl w:val="nil"/>
            </w:tcBorders>
            <w:vAlign w:val="center"/>
          </w:tcPr>
          <w:p w14:paraId="51B0D5A9">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bCs/>
                <w:color w:val="auto"/>
                <w:sz w:val="21"/>
                <w:szCs w:val="21"/>
                <w:highlight w:val="none"/>
              </w:rPr>
              <w:t>废离子交换树脂</w:t>
            </w:r>
            <w:r>
              <w:rPr>
                <w:rFonts w:hint="default" w:ascii="Times New Roman" w:hAnsi="Times New Roman" w:cs="Times New Roman"/>
                <w:bCs/>
                <w:color w:val="auto"/>
                <w:sz w:val="21"/>
                <w:szCs w:val="21"/>
                <w:highlight w:val="none"/>
                <w:lang w:eastAsia="zh-CN"/>
              </w:rPr>
              <w:t>、</w:t>
            </w:r>
            <w:r>
              <w:rPr>
                <w:rFonts w:hint="default" w:ascii="Times New Roman" w:hAnsi="Times New Roman" w:cs="Times New Roman"/>
                <w:color w:val="auto"/>
                <w:sz w:val="21"/>
                <w:szCs w:val="21"/>
                <w:highlight w:val="none"/>
                <w:lang w:eastAsia="zh-CN"/>
              </w:rPr>
              <w:t>废</w:t>
            </w:r>
            <w:r>
              <w:rPr>
                <w:rFonts w:hint="default" w:ascii="Times New Roman" w:hAnsi="Times New Roman" w:cs="Times New Roman"/>
                <w:color w:val="auto"/>
                <w:sz w:val="21"/>
                <w:szCs w:val="21"/>
                <w:highlight w:val="none"/>
              </w:rPr>
              <w:t>包装物</w:t>
            </w:r>
          </w:p>
        </w:tc>
        <w:tc>
          <w:tcPr>
            <w:tcW w:w="932" w:type="pct"/>
            <w:tcBorders>
              <w:tl2br w:val="nil"/>
              <w:tr2bl w:val="nil"/>
            </w:tcBorders>
            <w:vAlign w:val="center"/>
          </w:tcPr>
          <w:p w14:paraId="6C2F89A5">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w:t>
            </w:r>
          </w:p>
        </w:tc>
        <w:tc>
          <w:tcPr>
            <w:tcW w:w="306" w:type="pct"/>
            <w:tcBorders>
              <w:tl2br w:val="nil"/>
              <w:tr2bl w:val="nil"/>
            </w:tcBorders>
            <w:vAlign w:val="center"/>
          </w:tcPr>
          <w:p w14:paraId="0E69E56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484" w:type="pct"/>
            <w:vMerge w:val="restart"/>
            <w:tcBorders>
              <w:tl2br w:val="nil"/>
              <w:tr2bl w:val="nil"/>
            </w:tcBorders>
            <w:vAlign w:val="center"/>
          </w:tcPr>
          <w:p w14:paraId="1686DD37">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一般工业固废</w:t>
            </w:r>
          </w:p>
        </w:tc>
        <w:tc>
          <w:tcPr>
            <w:tcW w:w="1829" w:type="pct"/>
            <w:tcBorders>
              <w:tl2br w:val="nil"/>
              <w:tr2bl w:val="nil"/>
            </w:tcBorders>
            <w:vAlign w:val="center"/>
          </w:tcPr>
          <w:p w14:paraId="667D4084">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厂家回收处理</w:t>
            </w:r>
          </w:p>
        </w:tc>
      </w:tr>
      <w:tr w14:paraId="222AAD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tcBorders>
              <w:tl2br w:val="nil"/>
              <w:tr2bl w:val="nil"/>
            </w:tcBorders>
            <w:vAlign w:val="center"/>
          </w:tcPr>
          <w:p w14:paraId="01B4D32A">
            <w:pPr>
              <w:spacing w:line="360" w:lineRule="exact"/>
              <w:ind w:firstLine="0" w:firstLineChars="0"/>
              <w:jc w:val="center"/>
              <w:rPr>
                <w:rFonts w:hint="default" w:ascii="Times New Roman" w:hAnsi="Times New Roman" w:cs="Times New Roman"/>
                <w:color w:val="auto"/>
                <w:sz w:val="21"/>
                <w:szCs w:val="21"/>
                <w:highlight w:val="none"/>
              </w:rPr>
            </w:pPr>
          </w:p>
        </w:tc>
        <w:tc>
          <w:tcPr>
            <w:tcW w:w="250" w:type="pct"/>
            <w:vMerge w:val="continue"/>
            <w:tcBorders>
              <w:tl2br w:val="nil"/>
              <w:tr2bl w:val="nil"/>
            </w:tcBorders>
            <w:vAlign w:val="center"/>
          </w:tcPr>
          <w:p w14:paraId="66E0DFDE">
            <w:pPr>
              <w:spacing w:line="360" w:lineRule="exact"/>
              <w:ind w:firstLine="0" w:firstLineChars="0"/>
              <w:jc w:val="center"/>
              <w:rPr>
                <w:rFonts w:hint="default" w:ascii="Times New Roman" w:hAnsi="Times New Roman" w:cs="Times New Roman"/>
                <w:color w:val="auto"/>
                <w:sz w:val="21"/>
                <w:szCs w:val="21"/>
                <w:highlight w:val="none"/>
              </w:rPr>
            </w:pPr>
          </w:p>
        </w:tc>
        <w:tc>
          <w:tcPr>
            <w:tcW w:w="946" w:type="pct"/>
            <w:tcBorders>
              <w:tl2br w:val="nil"/>
              <w:tr2bl w:val="nil"/>
            </w:tcBorders>
            <w:vAlign w:val="center"/>
          </w:tcPr>
          <w:p w14:paraId="43C9C10C">
            <w:pPr>
              <w:spacing w:line="360" w:lineRule="exact"/>
              <w:ind w:firstLine="0" w:firstLineChars="0"/>
              <w:jc w:val="center"/>
              <w:rPr>
                <w:rFonts w:hint="default" w:ascii="Times New Roman" w:hAnsi="Times New Roman" w:cs="Times New Roman"/>
                <w:bCs/>
                <w:color w:val="auto"/>
                <w:sz w:val="21"/>
                <w:szCs w:val="21"/>
                <w:highlight w:val="none"/>
              </w:rPr>
            </w:pPr>
            <w:r>
              <w:rPr>
                <w:rFonts w:hint="eastAsia" w:cs="Times New Roman"/>
                <w:bCs/>
                <w:color w:val="auto"/>
                <w:sz w:val="21"/>
                <w:szCs w:val="21"/>
                <w:highlight w:val="none"/>
                <w:lang w:val="en-US" w:eastAsia="zh-CN"/>
              </w:rPr>
              <w:t>沉淀池</w:t>
            </w:r>
            <w:r>
              <w:rPr>
                <w:rFonts w:hint="default" w:ascii="Times New Roman" w:hAnsi="Times New Roman" w:cs="Times New Roman"/>
                <w:bCs/>
                <w:color w:val="auto"/>
                <w:sz w:val="21"/>
                <w:szCs w:val="21"/>
                <w:highlight w:val="none"/>
              </w:rPr>
              <w:t>底泥</w:t>
            </w:r>
          </w:p>
        </w:tc>
        <w:tc>
          <w:tcPr>
            <w:tcW w:w="932" w:type="pct"/>
            <w:tcBorders>
              <w:tl2br w:val="nil"/>
              <w:tr2bl w:val="nil"/>
            </w:tcBorders>
            <w:vAlign w:val="center"/>
          </w:tcPr>
          <w:p w14:paraId="0A1978D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306" w:type="pct"/>
            <w:tcBorders>
              <w:tl2br w:val="nil"/>
              <w:tr2bl w:val="nil"/>
            </w:tcBorders>
            <w:vAlign w:val="center"/>
          </w:tcPr>
          <w:p w14:paraId="67F8F74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484" w:type="pct"/>
            <w:vMerge w:val="continue"/>
            <w:tcBorders>
              <w:tl2br w:val="nil"/>
              <w:tr2bl w:val="nil"/>
            </w:tcBorders>
            <w:vAlign w:val="center"/>
          </w:tcPr>
          <w:p w14:paraId="2213F18A">
            <w:pPr>
              <w:spacing w:line="360" w:lineRule="exact"/>
              <w:ind w:firstLine="0" w:firstLineChars="0"/>
              <w:jc w:val="center"/>
              <w:rPr>
                <w:rFonts w:hint="default" w:ascii="Times New Roman" w:hAnsi="Times New Roman" w:cs="Times New Roman"/>
                <w:color w:val="auto"/>
                <w:sz w:val="21"/>
                <w:szCs w:val="21"/>
                <w:highlight w:val="none"/>
              </w:rPr>
            </w:pPr>
          </w:p>
        </w:tc>
        <w:tc>
          <w:tcPr>
            <w:tcW w:w="1829" w:type="pct"/>
            <w:tcBorders>
              <w:tl2br w:val="nil"/>
              <w:tr2bl w:val="nil"/>
            </w:tcBorders>
            <w:vAlign w:val="center"/>
          </w:tcPr>
          <w:p w14:paraId="258FE7A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定期清理，返回生产工序回用于选矿</w:t>
            </w:r>
          </w:p>
        </w:tc>
      </w:tr>
      <w:tr w14:paraId="756056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tcBorders>
              <w:tl2br w:val="nil"/>
              <w:tr2bl w:val="nil"/>
            </w:tcBorders>
            <w:vAlign w:val="center"/>
          </w:tcPr>
          <w:p w14:paraId="28DE116C">
            <w:pPr>
              <w:spacing w:line="360" w:lineRule="exact"/>
              <w:ind w:firstLine="0" w:firstLineChars="0"/>
              <w:jc w:val="center"/>
              <w:rPr>
                <w:rFonts w:hint="default" w:ascii="Times New Roman" w:hAnsi="Times New Roman" w:cs="Times New Roman"/>
                <w:color w:val="auto"/>
                <w:sz w:val="21"/>
                <w:szCs w:val="21"/>
                <w:highlight w:val="none"/>
              </w:rPr>
            </w:pPr>
          </w:p>
        </w:tc>
        <w:tc>
          <w:tcPr>
            <w:tcW w:w="250" w:type="pct"/>
            <w:vMerge w:val="continue"/>
            <w:tcBorders>
              <w:tl2br w:val="nil"/>
              <w:tr2bl w:val="nil"/>
            </w:tcBorders>
            <w:vAlign w:val="center"/>
          </w:tcPr>
          <w:p w14:paraId="3B19D830">
            <w:pPr>
              <w:spacing w:line="360" w:lineRule="exact"/>
              <w:ind w:firstLine="0" w:firstLineChars="0"/>
              <w:jc w:val="center"/>
              <w:rPr>
                <w:rFonts w:hint="default" w:ascii="Times New Roman" w:hAnsi="Times New Roman" w:cs="Times New Roman"/>
                <w:color w:val="auto"/>
                <w:sz w:val="21"/>
                <w:szCs w:val="21"/>
                <w:highlight w:val="none"/>
              </w:rPr>
            </w:pPr>
          </w:p>
        </w:tc>
        <w:tc>
          <w:tcPr>
            <w:tcW w:w="946" w:type="pct"/>
            <w:tcBorders>
              <w:tl2br w:val="nil"/>
              <w:tr2bl w:val="nil"/>
            </w:tcBorders>
            <w:vAlign w:val="center"/>
          </w:tcPr>
          <w:p w14:paraId="55F9D696">
            <w:pPr>
              <w:spacing w:line="360" w:lineRule="exact"/>
              <w:ind w:firstLine="0" w:firstLineChars="0"/>
              <w:jc w:val="center"/>
              <w:rPr>
                <w:rFonts w:hint="default" w:ascii="Times New Roman" w:hAnsi="Times New Roman" w:cs="Times New Roman"/>
                <w:bCs/>
                <w:color w:val="auto"/>
                <w:sz w:val="21"/>
                <w:szCs w:val="21"/>
                <w:highlight w:val="none"/>
                <w:lang w:eastAsia="zh-CN"/>
              </w:rPr>
            </w:pPr>
            <w:r>
              <w:rPr>
                <w:rFonts w:hint="default" w:ascii="Times New Roman" w:hAnsi="Times New Roman" w:cs="Times New Roman"/>
                <w:bCs/>
                <w:color w:val="auto"/>
                <w:sz w:val="21"/>
                <w:szCs w:val="21"/>
                <w:highlight w:val="none"/>
                <w:lang w:eastAsia="zh-CN"/>
              </w:rPr>
              <w:t>除尘灰</w:t>
            </w:r>
          </w:p>
        </w:tc>
        <w:tc>
          <w:tcPr>
            <w:tcW w:w="932" w:type="pct"/>
            <w:tcBorders>
              <w:tl2br w:val="nil"/>
              <w:tr2bl w:val="nil"/>
            </w:tcBorders>
            <w:vAlign w:val="center"/>
          </w:tcPr>
          <w:p w14:paraId="072A8CCA">
            <w:pPr>
              <w:spacing w:line="360" w:lineRule="exact"/>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06" w:type="pct"/>
            <w:tcBorders>
              <w:tl2br w:val="nil"/>
              <w:tr2bl w:val="nil"/>
            </w:tcBorders>
            <w:vAlign w:val="center"/>
          </w:tcPr>
          <w:p w14:paraId="6D160FA0">
            <w:pPr>
              <w:spacing w:line="360" w:lineRule="exact"/>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84" w:type="pct"/>
            <w:vMerge w:val="continue"/>
            <w:tcBorders>
              <w:tl2br w:val="nil"/>
              <w:tr2bl w:val="nil"/>
            </w:tcBorders>
            <w:vAlign w:val="center"/>
          </w:tcPr>
          <w:p w14:paraId="3F72B464">
            <w:pPr>
              <w:spacing w:line="360" w:lineRule="exact"/>
              <w:ind w:firstLine="0" w:firstLineChars="0"/>
              <w:jc w:val="center"/>
              <w:rPr>
                <w:rFonts w:hint="default" w:ascii="Times New Roman" w:hAnsi="Times New Roman" w:cs="Times New Roman"/>
                <w:color w:val="auto"/>
                <w:sz w:val="21"/>
                <w:szCs w:val="21"/>
                <w:highlight w:val="none"/>
              </w:rPr>
            </w:pPr>
          </w:p>
        </w:tc>
        <w:tc>
          <w:tcPr>
            <w:tcW w:w="1829" w:type="pct"/>
            <w:tcBorders>
              <w:tl2br w:val="nil"/>
              <w:tr2bl w:val="nil"/>
            </w:tcBorders>
            <w:vAlign w:val="center"/>
          </w:tcPr>
          <w:p w14:paraId="1327E690">
            <w:pPr>
              <w:spacing w:line="360" w:lineRule="exact"/>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破碎筛分</w:t>
            </w:r>
            <w:r>
              <w:rPr>
                <w:rFonts w:hint="default" w:ascii="Times New Roman" w:hAnsi="Times New Roman" w:cs="Times New Roman"/>
                <w:color w:val="auto"/>
                <w:sz w:val="21"/>
                <w:szCs w:val="21"/>
                <w:highlight w:val="none"/>
              </w:rPr>
              <w:t>除尘器灰斗收集后回用于选矿生产。燃煤锅炉除尘灰，定期外售给建材企业或水泥厂进行综合利用</w:t>
            </w:r>
          </w:p>
        </w:tc>
      </w:tr>
      <w:tr w14:paraId="5D5423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tcBorders>
              <w:tl2br w:val="nil"/>
              <w:tr2bl w:val="nil"/>
            </w:tcBorders>
            <w:vAlign w:val="center"/>
          </w:tcPr>
          <w:p w14:paraId="1A7320DB">
            <w:pPr>
              <w:spacing w:line="360" w:lineRule="exact"/>
              <w:ind w:firstLine="0" w:firstLineChars="0"/>
              <w:jc w:val="center"/>
              <w:rPr>
                <w:rFonts w:hint="default" w:ascii="Times New Roman" w:hAnsi="Times New Roman" w:cs="Times New Roman"/>
                <w:color w:val="auto"/>
                <w:sz w:val="21"/>
                <w:szCs w:val="21"/>
                <w:highlight w:val="none"/>
              </w:rPr>
            </w:pPr>
          </w:p>
        </w:tc>
        <w:tc>
          <w:tcPr>
            <w:tcW w:w="250" w:type="pct"/>
            <w:vMerge w:val="continue"/>
            <w:tcBorders>
              <w:tl2br w:val="nil"/>
              <w:tr2bl w:val="nil"/>
            </w:tcBorders>
            <w:vAlign w:val="center"/>
          </w:tcPr>
          <w:p w14:paraId="687AE3B0">
            <w:pPr>
              <w:spacing w:line="360" w:lineRule="exact"/>
              <w:ind w:firstLine="0" w:firstLineChars="0"/>
              <w:jc w:val="center"/>
              <w:rPr>
                <w:rFonts w:hint="default" w:ascii="Times New Roman" w:hAnsi="Times New Roman" w:cs="Times New Roman"/>
                <w:color w:val="auto"/>
                <w:sz w:val="21"/>
                <w:szCs w:val="21"/>
                <w:highlight w:val="none"/>
              </w:rPr>
            </w:pPr>
          </w:p>
        </w:tc>
        <w:tc>
          <w:tcPr>
            <w:tcW w:w="946" w:type="pct"/>
            <w:tcBorders>
              <w:tl2br w:val="nil"/>
              <w:tr2bl w:val="nil"/>
            </w:tcBorders>
            <w:vAlign w:val="center"/>
          </w:tcPr>
          <w:p w14:paraId="52B766C0">
            <w:pPr>
              <w:spacing w:line="360" w:lineRule="exact"/>
              <w:ind w:firstLine="0" w:firstLineChars="0"/>
              <w:jc w:val="center"/>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脱硫石膏</w:t>
            </w:r>
          </w:p>
        </w:tc>
        <w:tc>
          <w:tcPr>
            <w:tcW w:w="932" w:type="pct"/>
            <w:tcBorders>
              <w:tl2br w:val="nil"/>
              <w:tr2bl w:val="nil"/>
            </w:tcBorders>
            <w:vAlign w:val="center"/>
          </w:tcPr>
          <w:p w14:paraId="619FAB8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306" w:type="pct"/>
            <w:tcBorders>
              <w:tl2br w:val="nil"/>
              <w:tr2bl w:val="nil"/>
            </w:tcBorders>
            <w:vAlign w:val="center"/>
          </w:tcPr>
          <w:p w14:paraId="4157CCF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484" w:type="pct"/>
            <w:vMerge w:val="continue"/>
            <w:tcBorders>
              <w:tl2br w:val="nil"/>
              <w:tr2bl w:val="nil"/>
            </w:tcBorders>
            <w:vAlign w:val="center"/>
          </w:tcPr>
          <w:p w14:paraId="0B3FBBE5">
            <w:pPr>
              <w:spacing w:line="360" w:lineRule="exact"/>
              <w:ind w:firstLine="0" w:firstLineChars="0"/>
              <w:jc w:val="center"/>
              <w:rPr>
                <w:rFonts w:hint="default" w:ascii="Times New Roman" w:hAnsi="Times New Roman" w:cs="Times New Roman"/>
                <w:color w:val="auto"/>
                <w:sz w:val="21"/>
                <w:szCs w:val="21"/>
                <w:highlight w:val="none"/>
              </w:rPr>
            </w:pPr>
          </w:p>
        </w:tc>
        <w:tc>
          <w:tcPr>
            <w:tcW w:w="1829" w:type="pct"/>
            <w:tcBorders>
              <w:tl2br w:val="nil"/>
              <w:tr2bl w:val="nil"/>
            </w:tcBorders>
            <w:vAlign w:val="center"/>
          </w:tcPr>
          <w:p w14:paraId="45E11971">
            <w:pPr>
              <w:spacing w:line="360" w:lineRule="exact"/>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定期外售给建材企业或水泥厂进行综合利用</w:t>
            </w:r>
          </w:p>
        </w:tc>
      </w:tr>
      <w:tr w14:paraId="4F4964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tcBorders>
              <w:tl2br w:val="nil"/>
              <w:tr2bl w:val="nil"/>
            </w:tcBorders>
            <w:vAlign w:val="center"/>
          </w:tcPr>
          <w:p w14:paraId="509FD83A">
            <w:pPr>
              <w:spacing w:line="360" w:lineRule="exact"/>
              <w:ind w:firstLine="0" w:firstLineChars="0"/>
              <w:jc w:val="center"/>
              <w:rPr>
                <w:rFonts w:hint="default" w:ascii="Times New Roman" w:hAnsi="Times New Roman" w:cs="Times New Roman"/>
                <w:color w:val="auto"/>
                <w:sz w:val="21"/>
                <w:szCs w:val="21"/>
                <w:highlight w:val="none"/>
              </w:rPr>
            </w:pPr>
          </w:p>
        </w:tc>
        <w:tc>
          <w:tcPr>
            <w:tcW w:w="250" w:type="pct"/>
            <w:vMerge w:val="continue"/>
            <w:tcBorders>
              <w:tl2br w:val="nil"/>
              <w:tr2bl w:val="nil"/>
            </w:tcBorders>
            <w:vAlign w:val="center"/>
          </w:tcPr>
          <w:p w14:paraId="392177C8">
            <w:pPr>
              <w:spacing w:line="360" w:lineRule="exact"/>
              <w:ind w:firstLine="0" w:firstLineChars="0"/>
              <w:jc w:val="center"/>
              <w:rPr>
                <w:rFonts w:hint="default" w:ascii="Times New Roman" w:hAnsi="Times New Roman" w:cs="Times New Roman"/>
                <w:color w:val="auto"/>
                <w:sz w:val="21"/>
                <w:szCs w:val="21"/>
                <w:highlight w:val="none"/>
              </w:rPr>
            </w:pPr>
          </w:p>
        </w:tc>
        <w:tc>
          <w:tcPr>
            <w:tcW w:w="946" w:type="pct"/>
            <w:tcBorders>
              <w:tl2br w:val="nil"/>
              <w:tr2bl w:val="nil"/>
            </w:tcBorders>
            <w:vAlign w:val="center"/>
          </w:tcPr>
          <w:p w14:paraId="0E2F7593">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废布袋</w:t>
            </w:r>
          </w:p>
        </w:tc>
        <w:tc>
          <w:tcPr>
            <w:tcW w:w="932" w:type="pct"/>
            <w:tcBorders>
              <w:tl2br w:val="nil"/>
              <w:tr2bl w:val="nil"/>
            </w:tcBorders>
            <w:vAlign w:val="center"/>
          </w:tcPr>
          <w:p w14:paraId="064EFEB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w:t>
            </w:r>
          </w:p>
        </w:tc>
        <w:tc>
          <w:tcPr>
            <w:tcW w:w="306" w:type="pct"/>
            <w:tcBorders>
              <w:tl2br w:val="nil"/>
              <w:tr2bl w:val="nil"/>
            </w:tcBorders>
            <w:vAlign w:val="center"/>
          </w:tcPr>
          <w:p w14:paraId="2F6B2D5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484" w:type="pct"/>
            <w:vMerge w:val="continue"/>
            <w:tcBorders>
              <w:tl2br w:val="nil"/>
              <w:tr2bl w:val="nil"/>
            </w:tcBorders>
            <w:vAlign w:val="center"/>
          </w:tcPr>
          <w:p w14:paraId="33854CC3">
            <w:pPr>
              <w:spacing w:line="360" w:lineRule="exact"/>
              <w:ind w:firstLine="0" w:firstLineChars="0"/>
              <w:jc w:val="center"/>
              <w:rPr>
                <w:rFonts w:hint="default" w:ascii="Times New Roman" w:hAnsi="Times New Roman" w:cs="Times New Roman"/>
                <w:color w:val="auto"/>
                <w:sz w:val="21"/>
                <w:szCs w:val="21"/>
                <w:highlight w:val="none"/>
              </w:rPr>
            </w:pPr>
          </w:p>
        </w:tc>
        <w:tc>
          <w:tcPr>
            <w:tcW w:w="1829" w:type="pct"/>
            <w:tcBorders>
              <w:tl2br w:val="nil"/>
              <w:tr2bl w:val="nil"/>
            </w:tcBorders>
            <w:vAlign w:val="center"/>
          </w:tcPr>
          <w:p w14:paraId="3441DB1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集中收集后</w:t>
            </w:r>
            <w:r>
              <w:rPr>
                <w:rFonts w:hint="eastAsia" w:cs="Times New Roman"/>
                <w:bCs/>
                <w:color w:val="auto"/>
                <w:sz w:val="21"/>
                <w:szCs w:val="21"/>
                <w:highlight w:val="none"/>
                <w:lang w:val="en-US" w:eastAsia="zh-CN"/>
              </w:rPr>
              <w:t>定期拉运至</w:t>
            </w:r>
            <w:r>
              <w:rPr>
                <w:rFonts w:hint="default" w:ascii="Times New Roman" w:hAnsi="Times New Roman" w:cs="Times New Roman"/>
                <w:bCs/>
                <w:color w:val="auto"/>
                <w:sz w:val="21"/>
                <w:szCs w:val="21"/>
                <w:highlight w:val="none"/>
              </w:rPr>
              <w:t>就近的一般工业固体废物填埋场进行处置</w:t>
            </w:r>
          </w:p>
        </w:tc>
      </w:tr>
      <w:tr w14:paraId="500531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tcBorders>
              <w:tl2br w:val="nil"/>
              <w:tr2bl w:val="nil"/>
            </w:tcBorders>
            <w:vAlign w:val="center"/>
          </w:tcPr>
          <w:p w14:paraId="415A0C2F">
            <w:pPr>
              <w:spacing w:line="360" w:lineRule="exact"/>
              <w:ind w:firstLine="0" w:firstLineChars="0"/>
              <w:jc w:val="center"/>
              <w:rPr>
                <w:rFonts w:hint="default" w:ascii="Times New Roman" w:hAnsi="Times New Roman" w:cs="Times New Roman"/>
                <w:color w:val="auto"/>
                <w:sz w:val="21"/>
                <w:szCs w:val="21"/>
                <w:highlight w:val="none"/>
              </w:rPr>
            </w:pPr>
          </w:p>
        </w:tc>
        <w:tc>
          <w:tcPr>
            <w:tcW w:w="250" w:type="pct"/>
            <w:vMerge w:val="restart"/>
            <w:tcBorders>
              <w:tl2br w:val="nil"/>
              <w:tr2bl w:val="nil"/>
            </w:tcBorders>
            <w:vAlign w:val="center"/>
          </w:tcPr>
          <w:p w14:paraId="1372613D">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环境风险</w:t>
            </w:r>
          </w:p>
        </w:tc>
        <w:tc>
          <w:tcPr>
            <w:tcW w:w="946" w:type="pct"/>
            <w:tcBorders>
              <w:tl2br w:val="nil"/>
              <w:tr2bl w:val="nil"/>
            </w:tcBorders>
            <w:vAlign w:val="center"/>
          </w:tcPr>
          <w:p w14:paraId="298A918A">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事故水</w:t>
            </w:r>
          </w:p>
        </w:tc>
        <w:tc>
          <w:tcPr>
            <w:tcW w:w="932" w:type="pct"/>
            <w:tcBorders>
              <w:tl2br w:val="nil"/>
              <w:tr2bl w:val="nil"/>
            </w:tcBorders>
            <w:vAlign w:val="center"/>
          </w:tcPr>
          <w:p w14:paraId="6E1EAE61">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设置事故水池，用以收集事故废水</w:t>
            </w:r>
          </w:p>
        </w:tc>
        <w:tc>
          <w:tcPr>
            <w:tcW w:w="306" w:type="pct"/>
            <w:tcBorders>
              <w:tl2br w:val="nil"/>
              <w:tr2bl w:val="nil"/>
            </w:tcBorders>
            <w:vAlign w:val="center"/>
          </w:tcPr>
          <w:p w14:paraId="114F2E17">
            <w:pPr>
              <w:spacing w:line="360" w:lineRule="exact"/>
              <w:ind w:firstLine="0" w:firstLineChars="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val="en-US" w:eastAsia="zh-CN"/>
              </w:rPr>
              <w:t>1</w:t>
            </w:r>
          </w:p>
        </w:tc>
        <w:tc>
          <w:tcPr>
            <w:tcW w:w="484" w:type="pct"/>
            <w:tcBorders>
              <w:tl2br w:val="nil"/>
              <w:tr2bl w:val="nil"/>
            </w:tcBorders>
            <w:vAlign w:val="center"/>
          </w:tcPr>
          <w:p w14:paraId="6DE506CD">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w:t>
            </w:r>
          </w:p>
        </w:tc>
        <w:tc>
          <w:tcPr>
            <w:tcW w:w="1829" w:type="pct"/>
            <w:tcBorders>
              <w:tl2br w:val="nil"/>
              <w:tr2bl w:val="nil"/>
            </w:tcBorders>
            <w:vAlign w:val="center"/>
          </w:tcPr>
          <w:p w14:paraId="1EF5B067">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收集事故状态下的废水，确保任何事故情况下未经处理的废水不外排</w:t>
            </w:r>
          </w:p>
        </w:tc>
      </w:tr>
      <w:tr w14:paraId="7071B8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tcBorders>
              <w:tl2br w:val="nil"/>
              <w:tr2bl w:val="nil"/>
            </w:tcBorders>
            <w:vAlign w:val="center"/>
          </w:tcPr>
          <w:p w14:paraId="26F43FEF">
            <w:pPr>
              <w:spacing w:line="360" w:lineRule="exact"/>
              <w:ind w:firstLine="0" w:firstLineChars="0"/>
              <w:jc w:val="center"/>
              <w:rPr>
                <w:rFonts w:hint="default" w:ascii="Times New Roman" w:hAnsi="Times New Roman" w:cs="Times New Roman"/>
                <w:color w:val="auto"/>
                <w:sz w:val="21"/>
                <w:szCs w:val="21"/>
                <w:highlight w:val="none"/>
              </w:rPr>
            </w:pPr>
          </w:p>
        </w:tc>
        <w:tc>
          <w:tcPr>
            <w:tcW w:w="250" w:type="pct"/>
            <w:vMerge w:val="continue"/>
            <w:tcBorders>
              <w:tl2br w:val="nil"/>
              <w:tr2bl w:val="nil"/>
            </w:tcBorders>
            <w:vAlign w:val="center"/>
          </w:tcPr>
          <w:p w14:paraId="49FCCDC9">
            <w:pPr>
              <w:spacing w:line="360" w:lineRule="exact"/>
              <w:ind w:firstLine="0" w:firstLineChars="0"/>
              <w:jc w:val="center"/>
              <w:rPr>
                <w:rFonts w:hint="default" w:ascii="Times New Roman" w:hAnsi="Times New Roman" w:cs="Times New Roman"/>
                <w:color w:val="auto"/>
                <w:sz w:val="21"/>
                <w:szCs w:val="21"/>
                <w:highlight w:val="none"/>
              </w:rPr>
            </w:pPr>
          </w:p>
        </w:tc>
        <w:tc>
          <w:tcPr>
            <w:tcW w:w="946" w:type="pct"/>
            <w:tcBorders>
              <w:tl2br w:val="nil"/>
              <w:tr2bl w:val="nil"/>
            </w:tcBorders>
            <w:vAlign w:val="center"/>
          </w:tcPr>
          <w:p w14:paraId="12051B2E">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尾矿库溃坝废水</w:t>
            </w:r>
          </w:p>
        </w:tc>
        <w:tc>
          <w:tcPr>
            <w:tcW w:w="932" w:type="pct"/>
            <w:tcBorders>
              <w:tl2br w:val="nil"/>
              <w:tr2bl w:val="nil"/>
            </w:tcBorders>
            <w:vAlign w:val="center"/>
          </w:tcPr>
          <w:p w14:paraId="03949D8D">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尾矿库上游设置截洪沟，在尾矿库下游设置</w:t>
            </w:r>
            <w:r>
              <w:rPr>
                <w:rFonts w:hint="default" w:ascii="Times New Roman" w:hAnsi="Times New Roman" w:cs="Times New Roman"/>
                <w:bCs/>
                <w:color w:val="auto"/>
                <w:sz w:val="21"/>
                <w:szCs w:val="21"/>
                <w:highlight w:val="none"/>
                <w:lang w:eastAsia="zh-CN"/>
              </w:rPr>
              <w:t>拦挡</w:t>
            </w:r>
            <w:r>
              <w:rPr>
                <w:rFonts w:hint="default" w:ascii="Times New Roman" w:hAnsi="Times New Roman" w:cs="Times New Roman"/>
                <w:bCs/>
                <w:color w:val="auto"/>
                <w:sz w:val="21"/>
                <w:szCs w:val="21"/>
                <w:highlight w:val="none"/>
              </w:rPr>
              <w:t>坝</w:t>
            </w:r>
          </w:p>
        </w:tc>
        <w:tc>
          <w:tcPr>
            <w:tcW w:w="306" w:type="pct"/>
            <w:tcBorders>
              <w:tl2br w:val="nil"/>
              <w:tr2bl w:val="nil"/>
            </w:tcBorders>
            <w:vAlign w:val="center"/>
          </w:tcPr>
          <w:p w14:paraId="1C4F0ECA">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c>
          <w:tcPr>
            <w:tcW w:w="484" w:type="pct"/>
            <w:tcBorders>
              <w:tl2br w:val="nil"/>
              <w:tr2bl w:val="nil"/>
            </w:tcBorders>
            <w:vAlign w:val="center"/>
          </w:tcPr>
          <w:p w14:paraId="3C65B6EC">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w:t>
            </w:r>
          </w:p>
        </w:tc>
        <w:tc>
          <w:tcPr>
            <w:tcW w:w="1829" w:type="pct"/>
            <w:tcBorders>
              <w:tl2br w:val="nil"/>
              <w:tr2bl w:val="nil"/>
            </w:tcBorders>
            <w:vAlign w:val="center"/>
          </w:tcPr>
          <w:p w14:paraId="0EBF7144">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确保在发生溃坝情况下，对周边环境的影响降到最低</w:t>
            </w:r>
          </w:p>
        </w:tc>
      </w:tr>
      <w:tr w14:paraId="1B6A90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tcBorders>
              <w:tl2br w:val="nil"/>
              <w:tr2bl w:val="nil"/>
            </w:tcBorders>
            <w:vAlign w:val="center"/>
          </w:tcPr>
          <w:p w14:paraId="7EF74B7F">
            <w:pPr>
              <w:spacing w:line="360" w:lineRule="exact"/>
              <w:ind w:firstLine="0" w:firstLineChars="0"/>
              <w:jc w:val="center"/>
              <w:rPr>
                <w:rFonts w:hint="default" w:ascii="Times New Roman" w:hAnsi="Times New Roman" w:cs="Times New Roman"/>
                <w:color w:val="auto"/>
                <w:sz w:val="21"/>
                <w:szCs w:val="21"/>
                <w:highlight w:val="none"/>
              </w:rPr>
            </w:pPr>
          </w:p>
        </w:tc>
        <w:tc>
          <w:tcPr>
            <w:tcW w:w="250" w:type="pct"/>
            <w:vMerge w:val="restart"/>
            <w:tcBorders>
              <w:tl2br w:val="nil"/>
              <w:tr2bl w:val="nil"/>
            </w:tcBorders>
            <w:vAlign w:val="center"/>
          </w:tcPr>
          <w:p w14:paraId="6016EF81">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w:t>
            </w:r>
          </w:p>
        </w:tc>
        <w:tc>
          <w:tcPr>
            <w:tcW w:w="946" w:type="pct"/>
            <w:tcBorders>
              <w:tl2br w:val="nil"/>
              <w:tr2bl w:val="nil"/>
            </w:tcBorders>
            <w:vAlign w:val="center"/>
          </w:tcPr>
          <w:p w14:paraId="6CC6E07F">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绿化工程</w:t>
            </w:r>
          </w:p>
        </w:tc>
        <w:tc>
          <w:tcPr>
            <w:tcW w:w="932" w:type="pct"/>
            <w:tcBorders>
              <w:tl2br w:val="nil"/>
              <w:tr2bl w:val="nil"/>
            </w:tcBorders>
            <w:vAlign w:val="center"/>
          </w:tcPr>
          <w:p w14:paraId="5DCFE9B1">
            <w:pPr>
              <w:pStyle w:val="7"/>
              <w:snapToGrid w:val="0"/>
              <w:spacing w:line="360" w:lineRule="exact"/>
              <w:ind w:firstLine="0" w:firstLineChars="0"/>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利用施工期剥离表土对办</w:t>
            </w:r>
            <w:r>
              <w:rPr>
                <w:rFonts w:hint="default" w:ascii="Times New Roman" w:hAnsi="Times New Roman" w:cs="Times New Roman"/>
                <w:bCs/>
                <w:color w:val="auto"/>
                <w:sz w:val="21"/>
                <w:szCs w:val="21"/>
                <w:highlight w:val="none"/>
                <w:lang w:eastAsia="zh-CN"/>
              </w:rPr>
              <w:t>工业场地</w:t>
            </w:r>
            <w:r>
              <w:rPr>
                <w:rFonts w:hint="default" w:ascii="Times New Roman" w:hAnsi="Times New Roman" w:cs="Times New Roman"/>
                <w:bCs/>
                <w:color w:val="auto"/>
                <w:sz w:val="21"/>
                <w:szCs w:val="21"/>
                <w:highlight w:val="none"/>
              </w:rPr>
              <w:t>进行绿化</w:t>
            </w:r>
          </w:p>
        </w:tc>
        <w:tc>
          <w:tcPr>
            <w:tcW w:w="306" w:type="pct"/>
            <w:tcBorders>
              <w:tl2br w:val="nil"/>
              <w:tr2bl w:val="nil"/>
            </w:tcBorders>
            <w:vAlign w:val="center"/>
          </w:tcPr>
          <w:p w14:paraId="6812553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313" w:type="pct"/>
            <w:gridSpan w:val="2"/>
            <w:tcBorders>
              <w:tl2br w:val="nil"/>
              <w:tr2bl w:val="nil"/>
            </w:tcBorders>
            <w:vAlign w:val="center"/>
          </w:tcPr>
          <w:p w14:paraId="5AD35E2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lang w:eastAsia="zh-CN"/>
              </w:rPr>
              <w:t>工业场地</w:t>
            </w:r>
            <w:r>
              <w:rPr>
                <w:rFonts w:hint="default" w:ascii="Times New Roman" w:hAnsi="Times New Roman" w:cs="Times New Roman"/>
                <w:color w:val="auto"/>
                <w:sz w:val="21"/>
                <w:szCs w:val="21"/>
                <w:highlight w:val="none"/>
              </w:rPr>
              <w:t>周边绿化</w:t>
            </w:r>
          </w:p>
        </w:tc>
      </w:tr>
      <w:tr w14:paraId="7242CB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tcBorders>
              <w:tl2br w:val="nil"/>
              <w:tr2bl w:val="nil"/>
            </w:tcBorders>
            <w:vAlign w:val="center"/>
          </w:tcPr>
          <w:p w14:paraId="4171C3FF">
            <w:pPr>
              <w:spacing w:line="360" w:lineRule="exact"/>
              <w:ind w:firstLine="0" w:firstLineChars="0"/>
              <w:jc w:val="center"/>
              <w:rPr>
                <w:rFonts w:hint="default" w:ascii="Times New Roman" w:hAnsi="Times New Roman" w:cs="Times New Roman"/>
                <w:color w:val="auto"/>
                <w:sz w:val="21"/>
                <w:szCs w:val="21"/>
                <w:highlight w:val="none"/>
              </w:rPr>
            </w:pPr>
          </w:p>
        </w:tc>
        <w:tc>
          <w:tcPr>
            <w:tcW w:w="250" w:type="pct"/>
            <w:vMerge w:val="continue"/>
            <w:tcBorders>
              <w:tl2br w:val="nil"/>
              <w:tr2bl w:val="nil"/>
            </w:tcBorders>
            <w:vAlign w:val="center"/>
          </w:tcPr>
          <w:p w14:paraId="415453E5">
            <w:pPr>
              <w:spacing w:line="360" w:lineRule="exact"/>
              <w:ind w:firstLine="0" w:firstLineChars="0"/>
              <w:jc w:val="center"/>
              <w:rPr>
                <w:rFonts w:hint="default" w:ascii="Times New Roman" w:hAnsi="Times New Roman" w:cs="Times New Roman"/>
                <w:color w:val="auto"/>
                <w:sz w:val="21"/>
                <w:szCs w:val="21"/>
                <w:highlight w:val="none"/>
              </w:rPr>
            </w:pPr>
          </w:p>
        </w:tc>
        <w:tc>
          <w:tcPr>
            <w:tcW w:w="946" w:type="pct"/>
            <w:tcBorders>
              <w:tl2br w:val="nil"/>
              <w:tr2bl w:val="nil"/>
            </w:tcBorders>
            <w:vAlign w:val="center"/>
          </w:tcPr>
          <w:p w14:paraId="7974001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尾矿库</w:t>
            </w:r>
          </w:p>
        </w:tc>
        <w:tc>
          <w:tcPr>
            <w:tcW w:w="932" w:type="pct"/>
            <w:tcBorders>
              <w:tl2br w:val="nil"/>
              <w:tr2bl w:val="nil"/>
            </w:tcBorders>
            <w:vAlign w:val="center"/>
          </w:tcPr>
          <w:p w14:paraId="1381022C">
            <w:pPr>
              <w:pStyle w:val="7"/>
              <w:snapToGrid w:val="0"/>
              <w:spacing w:line="360" w:lineRule="exact"/>
              <w:ind w:firstLine="0" w:firstLineChars="0"/>
              <w:contextualSpacing/>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做好尾矿库的生态恢复措施</w:t>
            </w:r>
          </w:p>
        </w:tc>
        <w:tc>
          <w:tcPr>
            <w:tcW w:w="306" w:type="pct"/>
            <w:tcBorders>
              <w:tl2br w:val="nil"/>
              <w:tr2bl w:val="nil"/>
            </w:tcBorders>
            <w:vAlign w:val="center"/>
          </w:tcPr>
          <w:p w14:paraId="12E5D64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313" w:type="pct"/>
            <w:gridSpan w:val="2"/>
            <w:tcBorders>
              <w:tl2br w:val="nil"/>
              <w:tr2bl w:val="nil"/>
            </w:tcBorders>
            <w:vAlign w:val="center"/>
          </w:tcPr>
          <w:p w14:paraId="2B9D8D00">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尾矿库进行土地复垦及生态恢复措施</w:t>
            </w:r>
          </w:p>
        </w:tc>
      </w:tr>
      <w:tr w14:paraId="5A4BBB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tcBorders>
              <w:tl2br w:val="nil"/>
              <w:tr2bl w:val="nil"/>
            </w:tcBorders>
            <w:vAlign w:val="center"/>
          </w:tcPr>
          <w:p w14:paraId="46656D5B">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退役期</w:t>
            </w:r>
          </w:p>
        </w:tc>
        <w:tc>
          <w:tcPr>
            <w:tcW w:w="250" w:type="pct"/>
            <w:tcBorders>
              <w:tl2br w:val="nil"/>
              <w:tr2bl w:val="nil"/>
            </w:tcBorders>
            <w:vAlign w:val="center"/>
          </w:tcPr>
          <w:p w14:paraId="0AFF0A56">
            <w:pPr>
              <w:spacing w:line="360" w:lineRule="exact"/>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rPr>
              <w:t>生态</w:t>
            </w:r>
          </w:p>
        </w:tc>
        <w:tc>
          <w:tcPr>
            <w:tcW w:w="946" w:type="pct"/>
            <w:tcBorders>
              <w:tl2br w:val="nil"/>
              <w:tr2bl w:val="nil"/>
            </w:tcBorders>
            <w:vAlign w:val="center"/>
          </w:tcPr>
          <w:p w14:paraId="5F517A9E">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土地恢复</w:t>
            </w:r>
          </w:p>
        </w:tc>
        <w:tc>
          <w:tcPr>
            <w:tcW w:w="932" w:type="pct"/>
            <w:tcBorders>
              <w:tl2br w:val="nil"/>
              <w:tr2bl w:val="nil"/>
            </w:tcBorders>
            <w:vAlign w:val="center"/>
          </w:tcPr>
          <w:p w14:paraId="1D7CC70C">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拆除不用的建筑，恢复土地原有功能</w:t>
            </w:r>
          </w:p>
        </w:tc>
        <w:tc>
          <w:tcPr>
            <w:tcW w:w="306" w:type="pct"/>
            <w:tcBorders>
              <w:tl2br w:val="nil"/>
              <w:tr2bl w:val="nil"/>
            </w:tcBorders>
            <w:vAlign w:val="center"/>
          </w:tcPr>
          <w:p w14:paraId="55ABEB3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313" w:type="pct"/>
            <w:gridSpan w:val="2"/>
            <w:tcBorders>
              <w:tl2br w:val="nil"/>
              <w:tr2bl w:val="nil"/>
            </w:tcBorders>
            <w:vAlign w:val="center"/>
          </w:tcPr>
          <w:p w14:paraId="6CB193A6">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6"/>
                <w:sz w:val="21"/>
                <w:szCs w:val="21"/>
                <w:highlight w:val="none"/>
              </w:rPr>
              <w:t>景观和植被恢复</w:t>
            </w:r>
          </w:p>
        </w:tc>
      </w:tr>
    </w:tbl>
    <w:p w14:paraId="7ED725B0">
      <w:pPr>
        <w:pStyle w:val="3"/>
        <w:rPr>
          <w:rFonts w:hint="default" w:ascii="Times New Roman" w:hAnsi="Times New Roman" w:cs="Times New Roman"/>
          <w:color w:val="auto"/>
          <w:szCs w:val="24"/>
          <w:highlight w:val="none"/>
        </w:rPr>
      </w:pPr>
      <w:bookmarkStart w:id="1094" w:name="_Toc22657"/>
      <w:bookmarkStart w:id="1095" w:name="_Toc107414682"/>
      <w:bookmarkStart w:id="1096" w:name="_Toc107413915"/>
      <w:r>
        <w:rPr>
          <w:rFonts w:hint="default" w:ascii="Times New Roman" w:hAnsi="Times New Roman" w:cs="Times New Roman"/>
          <w:color w:val="auto"/>
          <w:szCs w:val="24"/>
          <w:highlight w:val="none"/>
        </w:rPr>
        <w:t>8.6排污清单</w:t>
      </w:r>
      <w:bookmarkEnd w:id="1094"/>
      <w:bookmarkEnd w:id="1095"/>
      <w:bookmarkEnd w:id="1096"/>
    </w:p>
    <w:p w14:paraId="48AE9E13">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本项目排污清单见表8.6-1。</w:t>
      </w:r>
    </w:p>
    <w:p w14:paraId="0F4C7315">
      <w:pPr>
        <w:widowControl/>
        <w:ind w:firstLine="0" w:firstLineChars="0"/>
        <w:jc w:val="center"/>
        <w:rPr>
          <w:rFonts w:hint="default" w:ascii="Times New Roman" w:hAnsi="Times New Roman" w:cs="Times New Roman" w:eastAsiaTheme="minorEastAsia"/>
          <w:b/>
          <w:color w:val="auto"/>
          <w:kern w:val="0"/>
          <w:szCs w:val="21"/>
          <w:highlight w:val="none"/>
        </w:rPr>
      </w:pPr>
      <w:r>
        <w:rPr>
          <w:rFonts w:hint="default" w:ascii="Times New Roman" w:hAnsi="Times New Roman" w:cs="Times New Roman" w:eastAsiaTheme="minorEastAsia"/>
          <w:b/>
          <w:color w:val="auto"/>
          <w:kern w:val="0"/>
          <w:szCs w:val="21"/>
          <w:highlight w:val="none"/>
        </w:rPr>
        <w:t>表8.6-1    项目排污清单一览表</w:t>
      </w:r>
    </w:p>
    <w:tbl>
      <w:tblPr>
        <w:tblStyle w:val="3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26"/>
        <w:gridCol w:w="426"/>
        <w:gridCol w:w="1480"/>
        <w:gridCol w:w="1103"/>
        <w:gridCol w:w="1322"/>
        <w:gridCol w:w="1750"/>
        <w:gridCol w:w="2012"/>
      </w:tblGrid>
      <w:tr w14:paraId="57F72B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500" w:type="pct"/>
            <w:gridSpan w:val="2"/>
            <w:shd w:val="clear" w:color="auto" w:fill="auto"/>
            <w:vAlign w:val="center"/>
          </w:tcPr>
          <w:p w14:paraId="47A8B8CE">
            <w:pPr>
              <w:spacing w:line="360" w:lineRule="exact"/>
              <w:ind w:firstLine="0" w:firstLineChars="0"/>
              <w:jc w:val="center"/>
              <w:rPr>
                <w:rFonts w:hint="default" w:ascii="Times New Roman" w:hAnsi="Times New Roman" w:cs="Times New Roman"/>
                <w:b/>
                <w:bCs/>
                <w:color w:val="auto"/>
                <w:kern w:val="0"/>
                <w:sz w:val="21"/>
                <w:szCs w:val="21"/>
                <w:highlight w:val="none"/>
                <w:lang w:val="zh-CN" w:bidi="ar"/>
              </w:rPr>
            </w:pPr>
            <w:r>
              <w:rPr>
                <w:rFonts w:hint="default" w:ascii="Times New Roman" w:hAnsi="Times New Roman" w:cs="Times New Roman"/>
                <w:b/>
                <w:bCs/>
                <w:color w:val="auto"/>
                <w:kern w:val="0"/>
                <w:sz w:val="21"/>
                <w:szCs w:val="21"/>
                <w:highlight w:val="none"/>
                <w:lang w:val="zh-CN" w:bidi="ar"/>
              </w:rPr>
              <w:t>污染</w:t>
            </w:r>
          </w:p>
          <w:p w14:paraId="79B2BED2">
            <w:pPr>
              <w:spacing w:line="360" w:lineRule="exact"/>
              <w:ind w:firstLine="0" w:firstLineChars="0"/>
              <w:jc w:val="center"/>
              <w:rPr>
                <w:rFonts w:hint="default" w:ascii="Times New Roman" w:hAnsi="Times New Roman" w:cs="Times New Roman"/>
                <w:b/>
                <w:bCs/>
                <w:color w:val="auto"/>
                <w:kern w:val="0"/>
                <w:sz w:val="21"/>
                <w:szCs w:val="21"/>
                <w:highlight w:val="none"/>
                <w:lang w:bidi="ar"/>
              </w:rPr>
            </w:pPr>
            <w:r>
              <w:rPr>
                <w:rFonts w:hint="default" w:ascii="Times New Roman" w:hAnsi="Times New Roman" w:cs="Times New Roman"/>
                <w:b/>
                <w:bCs/>
                <w:color w:val="auto"/>
                <w:kern w:val="0"/>
                <w:sz w:val="21"/>
                <w:szCs w:val="21"/>
                <w:highlight w:val="none"/>
                <w:lang w:val="zh-CN" w:bidi="ar"/>
              </w:rPr>
              <w:t>类别</w:t>
            </w:r>
          </w:p>
        </w:tc>
        <w:tc>
          <w:tcPr>
            <w:tcW w:w="868" w:type="pct"/>
            <w:shd w:val="clear" w:color="auto" w:fill="auto"/>
            <w:vAlign w:val="center"/>
          </w:tcPr>
          <w:p w14:paraId="259DDE50">
            <w:pPr>
              <w:spacing w:line="360" w:lineRule="exact"/>
              <w:ind w:firstLine="0" w:firstLineChars="0"/>
              <w:jc w:val="center"/>
              <w:rPr>
                <w:rFonts w:hint="default" w:ascii="Times New Roman" w:hAnsi="Times New Roman" w:cs="Times New Roman"/>
                <w:b/>
                <w:bCs/>
                <w:color w:val="auto"/>
                <w:kern w:val="0"/>
                <w:sz w:val="21"/>
                <w:szCs w:val="21"/>
                <w:highlight w:val="none"/>
                <w:lang w:val="zh-CN" w:bidi="ar"/>
              </w:rPr>
            </w:pPr>
            <w:r>
              <w:rPr>
                <w:rFonts w:hint="default" w:ascii="Times New Roman" w:hAnsi="Times New Roman" w:cs="Times New Roman"/>
                <w:b/>
                <w:bCs/>
                <w:color w:val="auto"/>
                <w:kern w:val="0"/>
                <w:sz w:val="21"/>
                <w:szCs w:val="21"/>
                <w:highlight w:val="none"/>
                <w:lang w:val="zh-CN" w:bidi="ar"/>
              </w:rPr>
              <w:t>污染源</w:t>
            </w:r>
          </w:p>
        </w:tc>
        <w:tc>
          <w:tcPr>
            <w:tcW w:w="647" w:type="pct"/>
            <w:shd w:val="clear" w:color="auto" w:fill="auto"/>
            <w:vAlign w:val="center"/>
          </w:tcPr>
          <w:p w14:paraId="013B7D1C">
            <w:pPr>
              <w:spacing w:line="360" w:lineRule="exact"/>
              <w:ind w:firstLine="0" w:firstLineChars="0"/>
              <w:jc w:val="center"/>
              <w:rPr>
                <w:rFonts w:hint="default" w:ascii="Times New Roman" w:hAnsi="Times New Roman" w:cs="Times New Roman"/>
                <w:b/>
                <w:bCs/>
                <w:color w:val="auto"/>
                <w:kern w:val="0"/>
                <w:sz w:val="21"/>
                <w:szCs w:val="21"/>
                <w:highlight w:val="none"/>
                <w:lang w:val="zh-CN" w:bidi="ar"/>
              </w:rPr>
            </w:pPr>
            <w:r>
              <w:rPr>
                <w:rFonts w:hint="default" w:ascii="Times New Roman" w:hAnsi="Times New Roman" w:cs="Times New Roman"/>
                <w:b/>
                <w:bCs/>
                <w:color w:val="auto"/>
                <w:kern w:val="0"/>
                <w:sz w:val="21"/>
                <w:szCs w:val="21"/>
                <w:highlight w:val="none"/>
                <w:lang w:bidi="ar"/>
              </w:rPr>
              <w:t>污染物名称</w:t>
            </w:r>
          </w:p>
        </w:tc>
        <w:tc>
          <w:tcPr>
            <w:tcW w:w="775" w:type="pct"/>
            <w:shd w:val="clear" w:color="auto" w:fill="auto"/>
            <w:vAlign w:val="center"/>
          </w:tcPr>
          <w:p w14:paraId="54F365F1">
            <w:pPr>
              <w:spacing w:line="360" w:lineRule="exact"/>
              <w:ind w:firstLine="0" w:firstLineChars="0"/>
              <w:jc w:val="center"/>
              <w:rPr>
                <w:rFonts w:hint="default" w:ascii="Times New Roman" w:hAnsi="Times New Roman" w:cs="Times New Roman"/>
                <w:b/>
                <w:bCs/>
                <w:color w:val="auto"/>
                <w:kern w:val="0"/>
                <w:sz w:val="21"/>
                <w:szCs w:val="21"/>
                <w:highlight w:val="none"/>
                <w:lang w:bidi="ar"/>
              </w:rPr>
            </w:pPr>
            <w:r>
              <w:rPr>
                <w:rFonts w:hint="default" w:ascii="Times New Roman" w:hAnsi="Times New Roman" w:cs="Times New Roman"/>
                <w:b/>
                <w:bCs/>
                <w:color w:val="auto"/>
                <w:kern w:val="0"/>
                <w:sz w:val="21"/>
                <w:szCs w:val="21"/>
                <w:highlight w:val="none"/>
                <w:lang w:val="zh-CN" w:bidi="ar"/>
              </w:rPr>
              <w:t>排放量</w:t>
            </w:r>
          </w:p>
        </w:tc>
        <w:tc>
          <w:tcPr>
            <w:tcW w:w="1027" w:type="pct"/>
            <w:shd w:val="clear" w:color="auto" w:fill="auto"/>
            <w:vAlign w:val="center"/>
          </w:tcPr>
          <w:p w14:paraId="66AA418D">
            <w:pPr>
              <w:spacing w:line="360" w:lineRule="exact"/>
              <w:ind w:firstLine="0" w:firstLineChars="0"/>
              <w:jc w:val="center"/>
              <w:rPr>
                <w:rFonts w:hint="default" w:ascii="Times New Roman" w:hAnsi="Times New Roman" w:cs="Times New Roman"/>
                <w:b/>
                <w:bCs/>
                <w:color w:val="auto"/>
                <w:kern w:val="0"/>
                <w:sz w:val="21"/>
                <w:szCs w:val="21"/>
                <w:highlight w:val="none"/>
                <w:lang w:val="zh-CN" w:bidi="ar"/>
              </w:rPr>
            </w:pPr>
            <w:r>
              <w:rPr>
                <w:rFonts w:hint="default" w:ascii="Times New Roman" w:hAnsi="Times New Roman" w:cs="Times New Roman"/>
                <w:b/>
                <w:bCs/>
                <w:color w:val="auto"/>
                <w:kern w:val="0"/>
                <w:sz w:val="21"/>
                <w:szCs w:val="21"/>
                <w:highlight w:val="none"/>
                <w:lang w:val="zh-CN" w:bidi="ar"/>
              </w:rPr>
              <w:t>环保措施</w:t>
            </w:r>
          </w:p>
        </w:tc>
        <w:tc>
          <w:tcPr>
            <w:tcW w:w="1180" w:type="pct"/>
            <w:shd w:val="clear" w:color="auto" w:fill="auto"/>
            <w:vAlign w:val="center"/>
          </w:tcPr>
          <w:p w14:paraId="7CFC7008">
            <w:pPr>
              <w:spacing w:line="360" w:lineRule="exact"/>
              <w:ind w:firstLine="0" w:firstLineChars="0"/>
              <w:jc w:val="center"/>
              <w:rPr>
                <w:rFonts w:hint="default" w:ascii="Times New Roman" w:hAnsi="Times New Roman" w:cs="Times New Roman"/>
                <w:b/>
                <w:bCs/>
                <w:color w:val="auto"/>
                <w:kern w:val="0"/>
                <w:sz w:val="21"/>
                <w:szCs w:val="21"/>
                <w:highlight w:val="none"/>
                <w:lang w:val="zh-CN" w:bidi="ar"/>
              </w:rPr>
            </w:pPr>
            <w:r>
              <w:rPr>
                <w:rFonts w:hint="default" w:ascii="Times New Roman" w:hAnsi="Times New Roman" w:cs="Times New Roman"/>
                <w:b/>
                <w:bCs/>
                <w:color w:val="auto"/>
                <w:kern w:val="0"/>
                <w:sz w:val="21"/>
                <w:szCs w:val="21"/>
                <w:highlight w:val="none"/>
                <w:lang w:val="zh-CN" w:bidi="ar"/>
              </w:rPr>
              <w:t>排放标准</w:t>
            </w:r>
          </w:p>
        </w:tc>
      </w:tr>
      <w:tr w14:paraId="4A4B2A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vMerge w:val="restart"/>
            <w:shd w:val="clear" w:color="auto" w:fill="auto"/>
            <w:vAlign w:val="center"/>
          </w:tcPr>
          <w:p w14:paraId="63FB0581">
            <w:pPr>
              <w:spacing w:line="360" w:lineRule="exact"/>
              <w:ind w:firstLine="0" w:firstLineChars="0"/>
              <w:jc w:val="center"/>
              <w:rPr>
                <w:rFonts w:hint="default" w:ascii="Times New Roman" w:hAnsi="Times New Roman"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废气</w:t>
            </w:r>
          </w:p>
        </w:tc>
        <w:tc>
          <w:tcPr>
            <w:tcW w:w="250" w:type="pct"/>
            <w:vMerge w:val="restart"/>
            <w:shd w:val="clear" w:color="auto" w:fill="auto"/>
            <w:vAlign w:val="center"/>
          </w:tcPr>
          <w:p w14:paraId="303AA759">
            <w:pPr>
              <w:spacing w:line="360" w:lineRule="exact"/>
              <w:ind w:firstLine="0" w:firstLineChars="0"/>
              <w:jc w:val="center"/>
              <w:rPr>
                <w:rFonts w:hint="default" w:ascii="Times New Roman" w:hAnsi="Times New Roman"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有组织</w:t>
            </w:r>
          </w:p>
        </w:tc>
        <w:tc>
          <w:tcPr>
            <w:tcW w:w="868" w:type="pct"/>
            <w:vMerge w:val="restart"/>
            <w:shd w:val="clear" w:color="auto" w:fill="auto"/>
            <w:vAlign w:val="center"/>
          </w:tcPr>
          <w:p w14:paraId="0E50BFF6">
            <w:pPr>
              <w:spacing w:line="360" w:lineRule="exact"/>
              <w:ind w:firstLine="0" w:firstLineChars="0"/>
              <w:jc w:val="center"/>
              <w:rPr>
                <w:rFonts w:hint="default" w:ascii="Times New Roman" w:hAnsi="Times New Roman"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破碎</w:t>
            </w:r>
            <w:r>
              <w:rPr>
                <w:rFonts w:hint="default" w:ascii="Times New Roman" w:hAnsi="Times New Roman" w:eastAsia="宋体" w:cs="Times New Roman"/>
                <w:color w:val="auto"/>
                <w:sz w:val="21"/>
                <w:szCs w:val="21"/>
                <w:highlight w:val="none"/>
                <w:lang w:eastAsia="zh-CN"/>
              </w:rPr>
              <w:t>车间</w:t>
            </w:r>
            <w:r>
              <w:rPr>
                <w:rFonts w:hint="eastAsia"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w:t>
            </w:r>
          </w:p>
        </w:tc>
        <w:tc>
          <w:tcPr>
            <w:tcW w:w="647" w:type="pct"/>
            <w:shd w:val="clear" w:color="auto" w:fill="auto"/>
            <w:vAlign w:val="center"/>
          </w:tcPr>
          <w:p w14:paraId="6EFE5E6A">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rPr>
              <w:t>颗粒物</w:t>
            </w:r>
          </w:p>
        </w:tc>
        <w:tc>
          <w:tcPr>
            <w:tcW w:w="775" w:type="pct"/>
            <w:shd w:val="clear" w:color="auto" w:fill="auto"/>
            <w:vAlign w:val="center"/>
          </w:tcPr>
          <w:p w14:paraId="7C41829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0.165.96</w:t>
            </w:r>
            <w:r>
              <w:rPr>
                <w:rFonts w:hint="eastAsia" w:ascii="Times New Roman" w:hAnsi="Times New Roman" w:eastAsia="宋体" w:cs="Times New Roman"/>
                <w:color w:val="auto"/>
                <w:sz w:val="21"/>
                <w:szCs w:val="21"/>
                <w:highlight w:val="none"/>
              </w:rPr>
              <w:t>t/a</w:t>
            </w:r>
          </w:p>
        </w:tc>
        <w:tc>
          <w:tcPr>
            <w:tcW w:w="1027" w:type="pct"/>
            <w:vMerge w:val="restart"/>
            <w:shd w:val="clear" w:color="auto" w:fill="auto"/>
            <w:vAlign w:val="center"/>
          </w:tcPr>
          <w:p w14:paraId="706481A5">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布袋除尘+15m高排气筒</w:t>
            </w:r>
          </w:p>
        </w:tc>
        <w:tc>
          <w:tcPr>
            <w:tcW w:w="1180" w:type="pct"/>
            <w:vMerge w:val="restart"/>
            <w:shd w:val="clear" w:color="auto" w:fill="auto"/>
            <w:vAlign w:val="center"/>
          </w:tcPr>
          <w:p w14:paraId="3E800E08">
            <w:pPr>
              <w:spacing w:line="360" w:lineRule="exact"/>
              <w:ind w:firstLine="0" w:firstLine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《大气污染物综合排放标准》（GB16297-1996）</w:t>
            </w:r>
          </w:p>
        </w:tc>
      </w:tr>
      <w:tr w14:paraId="23D208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14:paraId="322DEE6D">
            <w:pPr>
              <w:spacing w:line="360" w:lineRule="exact"/>
              <w:ind w:firstLine="0" w:firstLineChars="0"/>
              <w:jc w:val="center"/>
              <w:rPr>
                <w:rFonts w:hint="default" w:ascii="Times New Roman" w:hAnsi="Times New Roman" w:cs="Times New Roman"/>
                <w:color w:val="auto"/>
                <w:kern w:val="0"/>
                <w:sz w:val="21"/>
                <w:szCs w:val="21"/>
                <w:highlight w:val="none"/>
                <w:lang w:val="en-US" w:eastAsia="zh-CN" w:bidi="ar"/>
              </w:rPr>
            </w:pPr>
          </w:p>
        </w:tc>
        <w:tc>
          <w:tcPr>
            <w:tcW w:w="250" w:type="pct"/>
            <w:vMerge w:val="continue"/>
            <w:shd w:val="clear" w:color="auto" w:fill="auto"/>
            <w:vAlign w:val="center"/>
          </w:tcPr>
          <w:p w14:paraId="74524042">
            <w:pPr>
              <w:spacing w:line="360" w:lineRule="exact"/>
              <w:ind w:firstLine="0" w:firstLineChars="0"/>
              <w:jc w:val="center"/>
              <w:rPr>
                <w:rFonts w:hint="default" w:ascii="Times New Roman" w:hAnsi="Times New Roman" w:cs="Times New Roman"/>
                <w:color w:val="auto"/>
                <w:kern w:val="0"/>
                <w:sz w:val="21"/>
                <w:szCs w:val="21"/>
                <w:highlight w:val="none"/>
                <w:lang w:val="en-US" w:eastAsia="zh-CN" w:bidi="ar"/>
              </w:rPr>
            </w:pPr>
          </w:p>
        </w:tc>
        <w:tc>
          <w:tcPr>
            <w:tcW w:w="868" w:type="pct"/>
            <w:vMerge w:val="continue"/>
            <w:shd w:val="clear" w:color="auto" w:fill="auto"/>
            <w:vAlign w:val="center"/>
          </w:tcPr>
          <w:p w14:paraId="5DA38A81">
            <w:pPr>
              <w:spacing w:line="360" w:lineRule="exact"/>
              <w:ind w:firstLine="0" w:firstLineChars="0"/>
              <w:jc w:val="center"/>
              <w:rPr>
                <w:rFonts w:hint="eastAsia" w:cs="Times New Roman"/>
                <w:color w:val="auto"/>
                <w:sz w:val="21"/>
                <w:szCs w:val="21"/>
                <w:highlight w:val="none"/>
                <w:lang w:val="en-US" w:eastAsia="zh-CN"/>
              </w:rPr>
            </w:pPr>
          </w:p>
        </w:tc>
        <w:tc>
          <w:tcPr>
            <w:tcW w:w="647" w:type="pct"/>
            <w:shd w:val="clear" w:color="auto" w:fill="auto"/>
            <w:vAlign w:val="center"/>
          </w:tcPr>
          <w:p w14:paraId="1D8DF344">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eastAsia="zh-CN"/>
              </w:rPr>
              <w:t>氟化物</w:t>
            </w:r>
          </w:p>
        </w:tc>
        <w:tc>
          <w:tcPr>
            <w:tcW w:w="775" w:type="pct"/>
            <w:shd w:val="clear" w:color="auto" w:fill="auto"/>
            <w:vAlign w:val="center"/>
          </w:tcPr>
          <w:p w14:paraId="2C09A89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0.0208</w:t>
            </w:r>
            <w:r>
              <w:rPr>
                <w:rFonts w:hint="eastAsia" w:ascii="Times New Roman" w:hAnsi="Times New Roman" w:eastAsia="宋体" w:cs="Times New Roman"/>
                <w:color w:val="auto"/>
                <w:sz w:val="21"/>
                <w:szCs w:val="21"/>
                <w:highlight w:val="none"/>
              </w:rPr>
              <w:t>t/a</w:t>
            </w:r>
          </w:p>
        </w:tc>
        <w:tc>
          <w:tcPr>
            <w:tcW w:w="1027" w:type="pct"/>
            <w:vMerge w:val="continue"/>
            <w:shd w:val="clear" w:color="auto" w:fill="auto"/>
            <w:vAlign w:val="center"/>
          </w:tcPr>
          <w:p w14:paraId="31AA138F">
            <w:pPr>
              <w:spacing w:line="360" w:lineRule="exact"/>
              <w:ind w:firstLine="0" w:firstLineChars="0"/>
              <w:jc w:val="center"/>
              <w:rPr>
                <w:rFonts w:hint="default" w:ascii="Times New Roman" w:hAnsi="Times New Roman" w:cs="Times New Roman"/>
                <w:color w:val="auto"/>
                <w:kern w:val="0"/>
                <w:sz w:val="21"/>
                <w:szCs w:val="21"/>
                <w:highlight w:val="none"/>
                <w:lang w:bidi="ar"/>
              </w:rPr>
            </w:pPr>
          </w:p>
        </w:tc>
        <w:tc>
          <w:tcPr>
            <w:tcW w:w="1180" w:type="pct"/>
            <w:vMerge w:val="continue"/>
            <w:shd w:val="clear" w:color="auto" w:fill="auto"/>
            <w:vAlign w:val="center"/>
          </w:tcPr>
          <w:p w14:paraId="7A79CBB4">
            <w:pPr>
              <w:spacing w:line="360" w:lineRule="exact"/>
              <w:ind w:firstLine="0" w:firstLineChars="0"/>
              <w:jc w:val="center"/>
              <w:rPr>
                <w:rFonts w:hint="default" w:ascii="Times New Roman" w:hAnsi="Times New Roman" w:cs="Times New Roman"/>
                <w:color w:val="auto"/>
                <w:kern w:val="0"/>
                <w:sz w:val="21"/>
                <w:szCs w:val="21"/>
                <w:highlight w:val="none"/>
                <w:lang w:val="en-US" w:eastAsia="zh-CN" w:bidi="ar"/>
              </w:rPr>
            </w:pPr>
          </w:p>
        </w:tc>
      </w:tr>
      <w:tr w14:paraId="4F8322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14:paraId="7EE7AE0C">
            <w:pPr>
              <w:spacing w:line="360" w:lineRule="exact"/>
              <w:ind w:firstLine="0" w:firstLineChars="0"/>
              <w:jc w:val="center"/>
              <w:rPr>
                <w:rFonts w:hint="default" w:ascii="Times New Roman" w:hAnsi="Times New Roman" w:cs="Times New Roman"/>
                <w:color w:val="auto"/>
                <w:kern w:val="0"/>
                <w:sz w:val="21"/>
                <w:szCs w:val="21"/>
                <w:highlight w:val="none"/>
                <w:lang w:val="en-US" w:eastAsia="zh-CN" w:bidi="ar"/>
              </w:rPr>
            </w:pPr>
          </w:p>
        </w:tc>
        <w:tc>
          <w:tcPr>
            <w:tcW w:w="250" w:type="pct"/>
            <w:vMerge w:val="continue"/>
            <w:shd w:val="clear" w:color="auto" w:fill="auto"/>
            <w:vAlign w:val="center"/>
          </w:tcPr>
          <w:p w14:paraId="52AF4C69">
            <w:pPr>
              <w:spacing w:line="360" w:lineRule="exact"/>
              <w:ind w:firstLine="0" w:firstLineChars="0"/>
              <w:jc w:val="center"/>
              <w:rPr>
                <w:rFonts w:hint="default" w:ascii="Times New Roman" w:hAnsi="Times New Roman" w:cs="Times New Roman"/>
                <w:color w:val="auto"/>
                <w:kern w:val="0"/>
                <w:sz w:val="21"/>
                <w:szCs w:val="21"/>
                <w:highlight w:val="none"/>
                <w:lang w:val="en-US" w:eastAsia="zh-CN" w:bidi="ar"/>
              </w:rPr>
            </w:pPr>
          </w:p>
        </w:tc>
        <w:tc>
          <w:tcPr>
            <w:tcW w:w="868" w:type="pct"/>
            <w:vMerge w:val="restart"/>
            <w:shd w:val="clear" w:color="auto" w:fill="auto"/>
            <w:vAlign w:val="center"/>
          </w:tcPr>
          <w:p w14:paraId="3521D33D">
            <w:pPr>
              <w:spacing w:line="360" w:lineRule="exact"/>
              <w:ind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筛分</w:t>
            </w:r>
            <w:r>
              <w:rPr>
                <w:rFonts w:hint="default" w:ascii="Times New Roman" w:hAnsi="Times New Roman" w:eastAsia="宋体" w:cs="Times New Roman"/>
                <w:color w:val="auto"/>
                <w:sz w:val="21"/>
                <w:szCs w:val="21"/>
                <w:highlight w:val="none"/>
                <w:lang w:eastAsia="zh-CN"/>
              </w:rPr>
              <w:t>车间</w:t>
            </w:r>
            <w:r>
              <w:rPr>
                <w:rFonts w:hint="eastAsia" w:ascii="Times New Roman" w:hAnsi="Times New Roman" w:eastAsia="宋体" w:cs="Times New Roman"/>
                <w:color w:val="auto"/>
                <w:sz w:val="21"/>
                <w:szCs w:val="21"/>
                <w:highlight w:val="none"/>
                <w:lang w:val="en-US" w:eastAsia="zh-CN"/>
              </w:rPr>
              <w:t>（DA00</w:t>
            </w:r>
            <w:r>
              <w:rPr>
                <w:rFonts w:hint="eastAsia"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w:t>
            </w:r>
          </w:p>
        </w:tc>
        <w:tc>
          <w:tcPr>
            <w:tcW w:w="647" w:type="pct"/>
            <w:shd w:val="clear" w:color="auto" w:fill="auto"/>
            <w:vAlign w:val="center"/>
          </w:tcPr>
          <w:p w14:paraId="43983DBF">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颗粒物</w:t>
            </w:r>
          </w:p>
        </w:tc>
        <w:tc>
          <w:tcPr>
            <w:tcW w:w="775" w:type="pct"/>
            <w:shd w:val="clear" w:color="auto" w:fill="auto"/>
            <w:vAlign w:val="center"/>
          </w:tcPr>
          <w:p w14:paraId="75AD833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2.16</w:t>
            </w:r>
            <w:r>
              <w:rPr>
                <w:rFonts w:hint="eastAsia" w:ascii="Times New Roman" w:hAnsi="Times New Roman" w:eastAsia="宋体" w:cs="Times New Roman"/>
                <w:color w:val="auto"/>
                <w:sz w:val="21"/>
                <w:szCs w:val="21"/>
                <w:highlight w:val="none"/>
              </w:rPr>
              <w:t>t/a</w:t>
            </w:r>
          </w:p>
        </w:tc>
        <w:tc>
          <w:tcPr>
            <w:tcW w:w="1027" w:type="pct"/>
            <w:vMerge w:val="restart"/>
            <w:shd w:val="clear" w:color="auto" w:fill="auto"/>
            <w:vAlign w:val="center"/>
          </w:tcPr>
          <w:p w14:paraId="50270660">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eastAsia" w:cs="Times New Roman"/>
                <w:color w:val="auto"/>
                <w:kern w:val="0"/>
                <w:sz w:val="21"/>
                <w:szCs w:val="21"/>
                <w:highlight w:val="none"/>
                <w:lang w:val="en-US" w:eastAsia="zh-CN" w:bidi="ar"/>
              </w:rPr>
              <w:t>布袋除尘+15m高排气筒</w:t>
            </w:r>
          </w:p>
        </w:tc>
        <w:tc>
          <w:tcPr>
            <w:tcW w:w="1180" w:type="pct"/>
            <w:vMerge w:val="continue"/>
            <w:shd w:val="clear" w:color="auto" w:fill="auto"/>
            <w:vAlign w:val="center"/>
          </w:tcPr>
          <w:p w14:paraId="0AF6F068">
            <w:pPr>
              <w:spacing w:line="360" w:lineRule="exact"/>
              <w:ind w:firstLine="0" w:firstLineChars="0"/>
              <w:jc w:val="center"/>
              <w:rPr>
                <w:rFonts w:hint="default" w:ascii="Times New Roman" w:hAnsi="Times New Roman" w:cs="Times New Roman"/>
                <w:color w:val="auto"/>
                <w:kern w:val="0"/>
                <w:sz w:val="21"/>
                <w:szCs w:val="21"/>
                <w:highlight w:val="none"/>
                <w:lang w:val="en-US" w:eastAsia="zh-CN" w:bidi="ar"/>
              </w:rPr>
            </w:pPr>
          </w:p>
        </w:tc>
      </w:tr>
      <w:tr w14:paraId="365874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14:paraId="37F8DDFE">
            <w:pPr>
              <w:spacing w:line="360" w:lineRule="exact"/>
              <w:ind w:firstLine="0" w:firstLineChars="0"/>
              <w:jc w:val="center"/>
              <w:rPr>
                <w:rFonts w:hint="default" w:ascii="Times New Roman" w:hAnsi="Times New Roman" w:cs="Times New Roman"/>
                <w:color w:val="auto"/>
                <w:kern w:val="0"/>
                <w:sz w:val="21"/>
                <w:szCs w:val="21"/>
                <w:highlight w:val="none"/>
                <w:lang w:val="en-US" w:eastAsia="zh-CN" w:bidi="ar"/>
              </w:rPr>
            </w:pPr>
          </w:p>
        </w:tc>
        <w:tc>
          <w:tcPr>
            <w:tcW w:w="250" w:type="pct"/>
            <w:vMerge w:val="continue"/>
            <w:shd w:val="clear" w:color="auto" w:fill="auto"/>
            <w:vAlign w:val="center"/>
          </w:tcPr>
          <w:p w14:paraId="60D4C898">
            <w:pPr>
              <w:spacing w:line="360" w:lineRule="exact"/>
              <w:ind w:firstLine="0" w:firstLineChars="0"/>
              <w:jc w:val="center"/>
              <w:rPr>
                <w:rFonts w:hint="default" w:ascii="Times New Roman" w:hAnsi="Times New Roman" w:cs="Times New Roman"/>
                <w:color w:val="auto"/>
                <w:kern w:val="0"/>
                <w:sz w:val="21"/>
                <w:szCs w:val="21"/>
                <w:highlight w:val="none"/>
                <w:lang w:val="en-US" w:eastAsia="zh-CN" w:bidi="ar"/>
              </w:rPr>
            </w:pPr>
          </w:p>
        </w:tc>
        <w:tc>
          <w:tcPr>
            <w:tcW w:w="868" w:type="pct"/>
            <w:vMerge w:val="continue"/>
            <w:shd w:val="clear" w:color="auto" w:fill="auto"/>
            <w:vAlign w:val="center"/>
          </w:tcPr>
          <w:p w14:paraId="7EFF706C">
            <w:pPr>
              <w:spacing w:line="360" w:lineRule="exact"/>
              <w:ind w:firstLine="0" w:firstLineChars="0"/>
              <w:jc w:val="center"/>
              <w:rPr>
                <w:rFonts w:hint="eastAsia" w:cs="Times New Roman"/>
                <w:color w:val="auto"/>
                <w:sz w:val="21"/>
                <w:szCs w:val="21"/>
                <w:highlight w:val="none"/>
                <w:lang w:val="en-US" w:eastAsia="zh-CN"/>
              </w:rPr>
            </w:pPr>
          </w:p>
        </w:tc>
        <w:tc>
          <w:tcPr>
            <w:tcW w:w="647" w:type="pct"/>
            <w:shd w:val="clear" w:color="auto" w:fill="auto"/>
            <w:vAlign w:val="center"/>
          </w:tcPr>
          <w:p w14:paraId="5BB3CA5F">
            <w:pPr>
              <w:spacing w:line="360" w:lineRule="exact"/>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氟化物</w:t>
            </w:r>
          </w:p>
        </w:tc>
        <w:tc>
          <w:tcPr>
            <w:tcW w:w="775" w:type="pct"/>
            <w:shd w:val="clear" w:color="auto" w:fill="auto"/>
            <w:vAlign w:val="center"/>
          </w:tcPr>
          <w:p w14:paraId="0D0627D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0.27108</w:t>
            </w:r>
            <w:r>
              <w:rPr>
                <w:rFonts w:hint="eastAsia" w:ascii="Times New Roman" w:hAnsi="Times New Roman" w:eastAsia="宋体" w:cs="Times New Roman"/>
                <w:color w:val="auto"/>
                <w:sz w:val="21"/>
                <w:szCs w:val="21"/>
                <w:highlight w:val="none"/>
              </w:rPr>
              <w:t>t/a</w:t>
            </w:r>
          </w:p>
        </w:tc>
        <w:tc>
          <w:tcPr>
            <w:tcW w:w="1027" w:type="pct"/>
            <w:vMerge w:val="continue"/>
            <w:shd w:val="clear" w:color="auto" w:fill="auto"/>
            <w:vAlign w:val="center"/>
          </w:tcPr>
          <w:p w14:paraId="383D9E4E">
            <w:pPr>
              <w:spacing w:line="360" w:lineRule="exact"/>
              <w:ind w:firstLine="0" w:firstLineChars="0"/>
              <w:jc w:val="center"/>
              <w:rPr>
                <w:rFonts w:hint="default" w:ascii="Times New Roman" w:hAnsi="Times New Roman" w:cs="Times New Roman"/>
                <w:color w:val="auto"/>
                <w:kern w:val="0"/>
                <w:sz w:val="21"/>
                <w:szCs w:val="21"/>
                <w:highlight w:val="none"/>
                <w:lang w:bidi="ar"/>
              </w:rPr>
            </w:pPr>
          </w:p>
        </w:tc>
        <w:tc>
          <w:tcPr>
            <w:tcW w:w="1180" w:type="pct"/>
            <w:vMerge w:val="continue"/>
            <w:shd w:val="clear" w:color="auto" w:fill="auto"/>
            <w:vAlign w:val="center"/>
          </w:tcPr>
          <w:p w14:paraId="2EC62F94">
            <w:pPr>
              <w:spacing w:line="360" w:lineRule="exact"/>
              <w:ind w:firstLine="0" w:firstLineChars="0"/>
              <w:jc w:val="center"/>
              <w:rPr>
                <w:rFonts w:hint="default" w:ascii="Times New Roman" w:hAnsi="Times New Roman" w:cs="Times New Roman"/>
                <w:color w:val="auto"/>
                <w:kern w:val="0"/>
                <w:sz w:val="21"/>
                <w:szCs w:val="21"/>
                <w:highlight w:val="none"/>
                <w:lang w:val="en-US" w:eastAsia="zh-CN" w:bidi="ar"/>
              </w:rPr>
            </w:pPr>
          </w:p>
        </w:tc>
      </w:tr>
      <w:tr w14:paraId="32CEB5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14:paraId="1D08A3AF">
            <w:pPr>
              <w:spacing w:line="360" w:lineRule="exact"/>
              <w:ind w:firstLine="0" w:firstLineChars="0"/>
              <w:jc w:val="center"/>
              <w:rPr>
                <w:rFonts w:hint="default" w:ascii="Times New Roman" w:hAnsi="Times New Roman" w:cs="Times New Roman"/>
                <w:color w:val="auto"/>
                <w:kern w:val="0"/>
                <w:sz w:val="21"/>
                <w:szCs w:val="21"/>
                <w:highlight w:val="none"/>
                <w:lang w:val="en-US" w:eastAsia="zh-CN" w:bidi="ar"/>
              </w:rPr>
            </w:pPr>
          </w:p>
        </w:tc>
        <w:tc>
          <w:tcPr>
            <w:tcW w:w="250" w:type="pct"/>
            <w:vMerge w:val="continue"/>
            <w:shd w:val="clear" w:color="auto" w:fill="auto"/>
            <w:vAlign w:val="center"/>
          </w:tcPr>
          <w:p w14:paraId="40A8CA5C">
            <w:pPr>
              <w:spacing w:line="360" w:lineRule="exact"/>
              <w:ind w:firstLine="0" w:firstLineChars="0"/>
              <w:jc w:val="center"/>
              <w:rPr>
                <w:rFonts w:hint="default" w:ascii="Times New Roman" w:hAnsi="Times New Roman" w:cs="Times New Roman"/>
                <w:color w:val="auto"/>
                <w:kern w:val="0"/>
                <w:sz w:val="21"/>
                <w:szCs w:val="21"/>
                <w:highlight w:val="none"/>
                <w:lang w:val="en-US" w:eastAsia="zh-CN" w:bidi="ar"/>
              </w:rPr>
            </w:pPr>
          </w:p>
        </w:tc>
        <w:tc>
          <w:tcPr>
            <w:tcW w:w="868" w:type="pct"/>
            <w:vMerge w:val="restart"/>
            <w:shd w:val="clear" w:color="auto" w:fill="auto"/>
            <w:vAlign w:val="center"/>
          </w:tcPr>
          <w:p w14:paraId="4BC9E459">
            <w:pPr>
              <w:spacing w:line="360" w:lineRule="exact"/>
              <w:ind w:firstLine="0" w:firstLineChars="0"/>
              <w:jc w:val="center"/>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燃煤锅炉排气筒（DA00</w:t>
            </w:r>
            <w:r>
              <w:rPr>
                <w:rFonts w:hint="eastAsia"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w:t>
            </w:r>
          </w:p>
        </w:tc>
        <w:tc>
          <w:tcPr>
            <w:tcW w:w="647" w:type="pct"/>
            <w:shd w:val="clear" w:color="auto" w:fill="auto"/>
            <w:vAlign w:val="center"/>
          </w:tcPr>
          <w:p w14:paraId="7DBDF866">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pacing w:val="0"/>
                <w:kern w:val="2"/>
                <w:sz w:val="21"/>
                <w:szCs w:val="21"/>
                <w:highlight w:val="none"/>
                <w:vertAlign w:val="baseline"/>
                <w:lang w:val="en-US" w:eastAsia="zh-CN" w:bidi="ar-SA"/>
              </w:rPr>
              <w:t>颗粒物</w:t>
            </w:r>
          </w:p>
        </w:tc>
        <w:tc>
          <w:tcPr>
            <w:tcW w:w="775" w:type="pct"/>
            <w:shd w:val="clear" w:color="auto" w:fill="auto"/>
            <w:vAlign w:val="center"/>
          </w:tcPr>
          <w:p w14:paraId="0B22662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1.342t/a</w:t>
            </w:r>
          </w:p>
        </w:tc>
        <w:tc>
          <w:tcPr>
            <w:tcW w:w="1027" w:type="pct"/>
            <w:vMerge w:val="restart"/>
            <w:shd w:val="clear" w:color="auto" w:fill="auto"/>
            <w:vAlign w:val="center"/>
          </w:tcPr>
          <w:p w14:paraId="38ED9EC9">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eastAsia" w:cs="Times New Roman"/>
                <w:color w:val="auto"/>
                <w:kern w:val="0"/>
                <w:sz w:val="21"/>
                <w:szCs w:val="21"/>
                <w:highlight w:val="none"/>
                <w:lang w:val="en-US" w:eastAsia="zh-CN" w:bidi="ar-SA"/>
              </w:rPr>
              <w:t>1套高温袋式除尘设施+1套SNCR脱硝设施+1套水膜脱硫除尘设施+40m高烟囱</w:t>
            </w:r>
          </w:p>
        </w:tc>
        <w:tc>
          <w:tcPr>
            <w:tcW w:w="1180" w:type="pct"/>
            <w:vMerge w:val="restart"/>
            <w:shd w:val="clear" w:color="auto" w:fill="auto"/>
            <w:vAlign w:val="center"/>
          </w:tcPr>
          <w:p w14:paraId="6456BCDC">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《锅炉大气污染物排放标准》</w:t>
            </w:r>
          </w:p>
          <w:p w14:paraId="5FF44BF8">
            <w:pPr>
              <w:keepNext w:val="0"/>
              <w:keepLines w:val="0"/>
              <w:pageBreakBefore w:val="0"/>
              <w:widowControl w:val="0"/>
              <w:kinsoku/>
              <w:wordWrap w:val="0"/>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（GB 13271-2014）</w:t>
            </w:r>
          </w:p>
        </w:tc>
      </w:tr>
      <w:tr w14:paraId="2DBDFA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14:paraId="6EC139C3">
            <w:pPr>
              <w:spacing w:line="360" w:lineRule="exact"/>
              <w:ind w:firstLine="0" w:firstLineChars="0"/>
              <w:jc w:val="center"/>
              <w:rPr>
                <w:rFonts w:hint="default" w:ascii="Times New Roman" w:hAnsi="Times New Roman" w:cs="Times New Roman"/>
                <w:color w:val="auto"/>
                <w:kern w:val="0"/>
                <w:sz w:val="21"/>
                <w:szCs w:val="21"/>
                <w:highlight w:val="none"/>
                <w:lang w:val="en-US" w:eastAsia="zh-CN" w:bidi="ar"/>
              </w:rPr>
            </w:pPr>
          </w:p>
        </w:tc>
        <w:tc>
          <w:tcPr>
            <w:tcW w:w="250" w:type="pct"/>
            <w:vMerge w:val="continue"/>
            <w:shd w:val="clear" w:color="auto" w:fill="auto"/>
            <w:vAlign w:val="center"/>
          </w:tcPr>
          <w:p w14:paraId="714C01DF">
            <w:pPr>
              <w:spacing w:line="360" w:lineRule="exact"/>
              <w:ind w:firstLine="0" w:firstLineChars="0"/>
              <w:jc w:val="center"/>
              <w:rPr>
                <w:rFonts w:hint="default" w:ascii="Times New Roman" w:hAnsi="Times New Roman" w:cs="Times New Roman"/>
                <w:color w:val="auto"/>
                <w:kern w:val="0"/>
                <w:sz w:val="21"/>
                <w:szCs w:val="21"/>
                <w:highlight w:val="none"/>
                <w:lang w:val="en-US" w:eastAsia="zh-CN" w:bidi="ar"/>
              </w:rPr>
            </w:pPr>
          </w:p>
        </w:tc>
        <w:tc>
          <w:tcPr>
            <w:tcW w:w="868" w:type="pct"/>
            <w:vMerge w:val="continue"/>
            <w:shd w:val="clear" w:color="auto" w:fill="auto"/>
            <w:vAlign w:val="center"/>
          </w:tcPr>
          <w:p w14:paraId="16C9A495">
            <w:pPr>
              <w:spacing w:line="360" w:lineRule="exact"/>
              <w:ind w:firstLine="0" w:firstLineChars="0"/>
              <w:jc w:val="center"/>
              <w:rPr>
                <w:rFonts w:hint="eastAsia" w:cs="Times New Roman"/>
                <w:color w:val="auto"/>
                <w:sz w:val="21"/>
                <w:szCs w:val="21"/>
                <w:highlight w:val="none"/>
                <w:lang w:val="en-US" w:eastAsia="zh-CN"/>
              </w:rPr>
            </w:pPr>
          </w:p>
        </w:tc>
        <w:tc>
          <w:tcPr>
            <w:tcW w:w="647" w:type="pct"/>
            <w:shd w:val="clear" w:color="auto" w:fill="auto"/>
            <w:vAlign w:val="center"/>
          </w:tcPr>
          <w:p w14:paraId="09BCBE89">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pacing w:val="0"/>
                <w:kern w:val="2"/>
                <w:sz w:val="21"/>
                <w:szCs w:val="21"/>
                <w:highlight w:val="none"/>
                <w:vertAlign w:val="baseline"/>
                <w:lang w:val="en-US" w:eastAsia="zh-CN" w:bidi="ar-SA"/>
              </w:rPr>
              <w:t>二氧化硫</w:t>
            </w:r>
          </w:p>
        </w:tc>
        <w:tc>
          <w:tcPr>
            <w:tcW w:w="775" w:type="pct"/>
            <w:shd w:val="clear" w:color="auto" w:fill="auto"/>
            <w:vAlign w:val="center"/>
          </w:tcPr>
          <w:p w14:paraId="2FD6A5F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2.093t/a</w:t>
            </w:r>
          </w:p>
        </w:tc>
        <w:tc>
          <w:tcPr>
            <w:tcW w:w="1027" w:type="pct"/>
            <w:vMerge w:val="continue"/>
            <w:shd w:val="clear" w:color="auto" w:fill="auto"/>
            <w:vAlign w:val="center"/>
          </w:tcPr>
          <w:p w14:paraId="6FF0579A">
            <w:pPr>
              <w:spacing w:line="360" w:lineRule="exact"/>
              <w:ind w:firstLine="0" w:firstLineChars="0"/>
              <w:jc w:val="center"/>
              <w:rPr>
                <w:rFonts w:hint="default" w:ascii="Times New Roman" w:hAnsi="Times New Roman" w:cs="Times New Roman"/>
                <w:color w:val="auto"/>
                <w:kern w:val="0"/>
                <w:sz w:val="21"/>
                <w:szCs w:val="21"/>
                <w:highlight w:val="none"/>
                <w:lang w:bidi="ar"/>
              </w:rPr>
            </w:pPr>
          </w:p>
        </w:tc>
        <w:tc>
          <w:tcPr>
            <w:tcW w:w="1180" w:type="pct"/>
            <w:vMerge w:val="continue"/>
            <w:shd w:val="clear" w:color="auto" w:fill="auto"/>
            <w:vAlign w:val="center"/>
          </w:tcPr>
          <w:p w14:paraId="1025915E">
            <w:pPr>
              <w:spacing w:line="360" w:lineRule="exact"/>
              <w:ind w:firstLine="0" w:firstLineChars="0"/>
              <w:jc w:val="center"/>
              <w:rPr>
                <w:rFonts w:hint="default" w:ascii="Times New Roman" w:hAnsi="Times New Roman" w:cs="Times New Roman"/>
                <w:color w:val="auto"/>
                <w:kern w:val="0"/>
                <w:sz w:val="21"/>
                <w:szCs w:val="21"/>
                <w:highlight w:val="none"/>
                <w:lang w:val="en-US" w:eastAsia="zh-CN" w:bidi="ar"/>
              </w:rPr>
            </w:pPr>
          </w:p>
        </w:tc>
      </w:tr>
      <w:tr w14:paraId="61E4AC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14:paraId="07ECC3C3">
            <w:pPr>
              <w:spacing w:line="360" w:lineRule="exact"/>
              <w:ind w:firstLine="0" w:firstLineChars="0"/>
              <w:jc w:val="center"/>
              <w:rPr>
                <w:rFonts w:hint="default" w:ascii="Times New Roman" w:hAnsi="Times New Roman" w:cs="Times New Roman"/>
                <w:color w:val="auto"/>
                <w:kern w:val="0"/>
                <w:sz w:val="21"/>
                <w:szCs w:val="21"/>
                <w:highlight w:val="none"/>
                <w:lang w:val="en-US" w:eastAsia="zh-CN" w:bidi="ar"/>
              </w:rPr>
            </w:pPr>
          </w:p>
        </w:tc>
        <w:tc>
          <w:tcPr>
            <w:tcW w:w="250" w:type="pct"/>
            <w:vMerge w:val="continue"/>
            <w:shd w:val="clear" w:color="auto" w:fill="auto"/>
            <w:vAlign w:val="center"/>
          </w:tcPr>
          <w:p w14:paraId="7D8F7B3D">
            <w:pPr>
              <w:spacing w:line="360" w:lineRule="exact"/>
              <w:ind w:firstLine="0" w:firstLineChars="0"/>
              <w:jc w:val="center"/>
              <w:rPr>
                <w:rFonts w:hint="default" w:ascii="Times New Roman" w:hAnsi="Times New Roman" w:cs="Times New Roman"/>
                <w:color w:val="auto"/>
                <w:kern w:val="0"/>
                <w:sz w:val="21"/>
                <w:szCs w:val="21"/>
                <w:highlight w:val="none"/>
                <w:lang w:val="en-US" w:eastAsia="zh-CN" w:bidi="ar"/>
              </w:rPr>
            </w:pPr>
          </w:p>
        </w:tc>
        <w:tc>
          <w:tcPr>
            <w:tcW w:w="868" w:type="pct"/>
            <w:vMerge w:val="continue"/>
            <w:shd w:val="clear" w:color="auto" w:fill="auto"/>
            <w:vAlign w:val="center"/>
          </w:tcPr>
          <w:p w14:paraId="45506C4E">
            <w:pPr>
              <w:spacing w:line="360" w:lineRule="exact"/>
              <w:ind w:firstLine="0" w:firstLineChars="0"/>
              <w:jc w:val="center"/>
              <w:rPr>
                <w:rFonts w:hint="eastAsia" w:cs="Times New Roman"/>
                <w:color w:val="auto"/>
                <w:sz w:val="21"/>
                <w:szCs w:val="21"/>
                <w:highlight w:val="none"/>
                <w:lang w:val="en-US" w:eastAsia="zh-CN"/>
              </w:rPr>
            </w:pPr>
          </w:p>
        </w:tc>
        <w:tc>
          <w:tcPr>
            <w:tcW w:w="647" w:type="pct"/>
            <w:shd w:val="clear" w:color="auto" w:fill="auto"/>
            <w:vAlign w:val="center"/>
          </w:tcPr>
          <w:p w14:paraId="6B40CC1E">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pacing w:val="0"/>
                <w:kern w:val="2"/>
                <w:sz w:val="21"/>
                <w:szCs w:val="21"/>
                <w:highlight w:val="none"/>
                <w:vertAlign w:val="baseline"/>
                <w:lang w:val="en-US" w:eastAsia="zh-CN" w:bidi="ar-SA"/>
              </w:rPr>
              <w:t>氮氧化物</w:t>
            </w:r>
          </w:p>
        </w:tc>
        <w:tc>
          <w:tcPr>
            <w:tcW w:w="775" w:type="pct"/>
            <w:shd w:val="clear" w:color="auto" w:fill="auto"/>
            <w:vAlign w:val="center"/>
          </w:tcPr>
          <w:p w14:paraId="6589CA2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11.113t/a</w:t>
            </w:r>
          </w:p>
        </w:tc>
        <w:tc>
          <w:tcPr>
            <w:tcW w:w="1027" w:type="pct"/>
            <w:vMerge w:val="continue"/>
            <w:shd w:val="clear" w:color="auto" w:fill="auto"/>
            <w:vAlign w:val="center"/>
          </w:tcPr>
          <w:p w14:paraId="76C0B62D">
            <w:pPr>
              <w:spacing w:line="360" w:lineRule="exact"/>
              <w:ind w:firstLine="0" w:firstLineChars="0"/>
              <w:jc w:val="center"/>
              <w:rPr>
                <w:rFonts w:hint="default" w:ascii="Times New Roman" w:hAnsi="Times New Roman" w:cs="Times New Roman"/>
                <w:color w:val="auto"/>
                <w:kern w:val="0"/>
                <w:sz w:val="21"/>
                <w:szCs w:val="21"/>
                <w:highlight w:val="none"/>
                <w:lang w:bidi="ar"/>
              </w:rPr>
            </w:pPr>
          </w:p>
        </w:tc>
        <w:tc>
          <w:tcPr>
            <w:tcW w:w="1180" w:type="pct"/>
            <w:vMerge w:val="continue"/>
            <w:shd w:val="clear" w:color="auto" w:fill="auto"/>
            <w:vAlign w:val="center"/>
          </w:tcPr>
          <w:p w14:paraId="23BFE06E">
            <w:pPr>
              <w:spacing w:line="360" w:lineRule="exact"/>
              <w:ind w:firstLine="0" w:firstLineChars="0"/>
              <w:jc w:val="center"/>
              <w:rPr>
                <w:rFonts w:hint="default" w:ascii="Times New Roman" w:hAnsi="Times New Roman" w:cs="Times New Roman"/>
                <w:color w:val="auto"/>
                <w:kern w:val="0"/>
                <w:sz w:val="21"/>
                <w:szCs w:val="21"/>
                <w:highlight w:val="none"/>
                <w:lang w:val="en-US" w:eastAsia="zh-CN" w:bidi="ar"/>
              </w:rPr>
            </w:pPr>
          </w:p>
        </w:tc>
      </w:tr>
      <w:tr w14:paraId="492C48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14:paraId="4F25E34D">
            <w:pPr>
              <w:spacing w:line="360" w:lineRule="exact"/>
              <w:ind w:firstLine="0" w:firstLineChars="0"/>
              <w:jc w:val="center"/>
              <w:rPr>
                <w:rFonts w:hint="default" w:ascii="Times New Roman" w:hAnsi="Times New Roman" w:cs="Times New Roman"/>
                <w:color w:val="auto"/>
                <w:kern w:val="0"/>
                <w:sz w:val="21"/>
                <w:szCs w:val="21"/>
                <w:highlight w:val="none"/>
                <w:lang w:val="en-US" w:eastAsia="zh-CN" w:bidi="ar"/>
              </w:rPr>
            </w:pPr>
          </w:p>
        </w:tc>
        <w:tc>
          <w:tcPr>
            <w:tcW w:w="250" w:type="pct"/>
            <w:vMerge w:val="continue"/>
            <w:shd w:val="clear" w:color="auto" w:fill="auto"/>
            <w:vAlign w:val="center"/>
          </w:tcPr>
          <w:p w14:paraId="74C370EF">
            <w:pPr>
              <w:spacing w:line="360" w:lineRule="exact"/>
              <w:ind w:firstLine="0" w:firstLineChars="0"/>
              <w:jc w:val="center"/>
              <w:rPr>
                <w:rFonts w:hint="default" w:ascii="Times New Roman" w:hAnsi="Times New Roman" w:cs="Times New Roman"/>
                <w:color w:val="auto"/>
                <w:kern w:val="0"/>
                <w:sz w:val="21"/>
                <w:szCs w:val="21"/>
                <w:highlight w:val="none"/>
                <w:lang w:val="en-US" w:eastAsia="zh-CN" w:bidi="ar"/>
              </w:rPr>
            </w:pPr>
          </w:p>
        </w:tc>
        <w:tc>
          <w:tcPr>
            <w:tcW w:w="868" w:type="pct"/>
            <w:vMerge w:val="continue"/>
            <w:shd w:val="clear" w:color="auto" w:fill="auto"/>
            <w:vAlign w:val="center"/>
          </w:tcPr>
          <w:p w14:paraId="4F4273CB">
            <w:pPr>
              <w:spacing w:line="360" w:lineRule="exact"/>
              <w:ind w:firstLine="0" w:firstLineChars="0"/>
              <w:jc w:val="center"/>
              <w:rPr>
                <w:rFonts w:hint="eastAsia" w:cs="Times New Roman"/>
                <w:color w:val="auto"/>
                <w:sz w:val="21"/>
                <w:szCs w:val="21"/>
                <w:highlight w:val="none"/>
                <w:lang w:val="en-US" w:eastAsia="zh-CN"/>
              </w:rPr>
            </w:pPr>
          </w:p>
        </w:tc>
        <w:tc>
          <w:tcPr>
            <w:tcW w:w="647" w:type="pct"/>
            <w:shd w:val="clear" w:color="auto" w:fill="auto"/>
            <w:vAlign w:val="center"/>
          </w:tcPr>
          <w:p w14:paraId="5D333369">
            <w:pPr>
              <w:keepNext w:val="0"/>
              <w:keepLines w:val="0"/>
              <w:pageBreakBefore w:val="0"/>
              <w:widowControl w:val="0"/>
              <w:kinsoku/>
              <w:wordWrap/>
              <w:overflowPunct/>
              <w:topLinePunct w:val="0"/>
              <w:autoSpaceDE/>
              <w:autoSpaceDN/>
              <w:bidi w:val="0"/>
              <w:adjustRightInd/>
              <w:snapToGrid/>
              <w:spacing w:after="0" w:afterLines="0" w:after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pacing w:val="0"/>
                <w:kern w:val="2"/>
                <w:sz w:val="21"/>
                <w:szCs w:val="21"/>
                <w:highlight w:val="none"/>
                <w:vertAlign w:val="baseline"/>
                <w:lang w:val="en-US" w:eastAsia="zh-CN" w:bidi="ar-SA"/>
              </w:rPr>
              <w:t>汞及其化合物</w:t>
            </w:r>
          </w:p>
        </w:tc>
        <w:tc>
          <w:tcPr>
            <w:tcW w:w="775" w:type="pct"/>
            <w:shd w:val="clear" w:color="auto" w:fill="auto"/>
            <w:vAlign w:val="center"/>
          </w:tcPr>
          <w:p w14:paraId="776B287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2.76</w:t>
            </w: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vertAlign w:val="superscript"/>
                <w:lang w:val="en-US" w:eastAsia="zh-CN"/>
              </w:rPr>
              <w:t>-4</w:t>
            </w:r>
            <w:r>
              <w:rPr>
                <w:rFonts w:hint="eastAsia" w:ascii="Times New Roman" w:hAnsi="Times New Roman" w:eastAsia="宋体" w:cs="Times New Roman"/>
                <w:color w:val="auto"/>
                <w:sz w:val="21"/>
                <w:szCs w:val="21"/>
                <w:highlight w:val="none"/>
              </w:rPr>
              <w:t>t/a</w:t>
            </w:r>
          </w:p>
        </w:tc>
        <w:tc>
          <w:tcPr>
            <w:tcW w:w="1027" w:type="pct"/>
            <w:vMerge w:val="continue"/>
            <w:shd w:val="clear" w:color="auto" w:fill="auto"/>
            <w:vAlign w:val="center"/>
          </w:tcPr>
          <w:p w14:paraId="5C79FF93">
            <w:pPr>
              <w:spacing w:line="360" w:lineRule="exact"/>
              <w:ind w:firstLine="0" w:firstLineChars="0"/>
              <w:jc w:val="center"/>
              <w:rPr>
                <w:rFonts w:hint="default" w:ascii="Times New Roman" w:hAnsi="Times New Roman" w:cs="Times New Roman"/>
                <w:color w:val="auto"/>
                <w:kern w:val="0"/>
                <w:sz w:val="21"/>
                <w:szCs w:val="21"/>
                <w:highlight w:val="none"/>
                <w:lang w:bidi="ar"/>
              </w:rPr>
            </w:pPr>
          </w:p>
        </w:tc>
        <w:tc>
          <w:tcPr>
            <w:tcW w:w="1180" w:type="pct"/>
            <w:vMerge w:val="continue"/>
            <w:shd w:val="clear" w:color="auto" w:fill="auto"/>
            <w:vAlign w:val="center"/>
          </w:tcPr>
          <w:p w14:paraId="10472A9E">
            <w:pPr>
              <w:spacing w:line="360" w:lineRule="exact"/>
              <w:ind w:firstLine="0" w:firstLineChars="0"/>
              <w:jc w:val="center"/>
              <w:rPr>
                <w:rFonts w:hint="default" w:ascii="Times New Roman" w:hAnsi="Times New Roman" w:cs="Times New Roman"/>
                <w:color w:val="auto"/>
                <w:kern w:val="0"/>
                <w:sz w:val="21"/>
                <w:szCs w:val="21"/>
                <w:highlight w:val="none"/>
                <w:lang w:val="en-US" w:eastAsia="zh-CN" w:bidi="ar"/>
              </w:rPr>
            </w:pPr>
          </w:p>
        </w:tc>
      </w:tr>
      <w:tr w14:paraId="28E697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14:paraId="45C469A1">
            <w:pPr>
              <w:spacing w:line="360" w:lineRule="exact"/>
              <w:ind w:firstLine="0" w:firstLineChars="0"/>
              <w:jc w:val="center"/>
              <w:rPr>
                <w:rFonts w:hint="default" w:ascii="Times New Roman" w:hAnsi="Times New Roman" w:cs="Times New Roman"/>
                <w:color w:val="auto"/>
                <w:kern w:val="0"/>
                <w:sz w:val="21"/>
                <w:szCs w:val="21"/>
                <w:highlight w:val="none"/>
                <w:lang w:bidi="ar"/>
              </w:rPr>
            </w:pPr>
          </w:p>
        </w:tc>
        <w:tc>
          <w:tcPr>
            <w:tcW w:w="250" w:type="pct"/>
            <w:vMerge w:val="restart"/>
            <w:shd w:val="clear" w:color="auto" w:fill="auto"/>
            <w:vAlign w:val="center"/>
          </w:tcPr>
          <w:p w14:paraId="493A54F1">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无组织</w:t>
            </w:r>
          </w:p>
        </w:tc>
        <w:tc>
          <w:tcPr>
            <w:tcW w:w="868" w:type="pct"/>
            <w:vMerge w:val="restart"/>
            <w:shd w:val="clear" w:color="auto" w:fill="auto"/>
            <w:vAlign w:val="center"/>
          </w:tcPr>
          <w:p w14:paraId="24CA7136">
            <w:pPr>
              <w:spacing w:line="360" w:lineRule="exact"/>
              <w:ind w:firstLine="0" w:firstLine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eastAsia="zh-CN"/>
              </w:rPr>
              <w:t>破碎筛分及转运粉尘</w:t>
            </w:r>
          </w:p>
        </w:tc>
        <w:tc>
          <w:tcPr>
            <w:tcW w:w="647" w:type="pct"/>
            <w:shd w:val="clear" w:color="auto" w:fill="auto"/>
            <w:vAlign w:val="center"/>
          </w:tcPr>
          <w:p w14:paraId="4BB40447">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color w:val="auto"/>
                <w:sz w:val="21"/>
                <w:szCs w:val="21"/>
                <w:highlight w:val="none"/>
              </w:rPr>
              <w:t>颗粒物</w:t>
            </w:r>
          </w:p>
        </w:tc>
        <w:tc>
          <w:tcPr>
            <w:tcW w:w="775" w:type="pct"/>
            <w:shd w:val="clear" w:color="auto" w:fill="auto"/>
            <w:vAlign w:val="center"/>
          </w:tcPr>
          <w:p w14:paraId="3F177D4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kern w:val="0"/>
                <w:sz w:val="21"/>
                <w:szCs w:val="21"/>
                <w:highlight w:val="none"/>
                <w:lang w:bidi="ar"/>
              </w:rPr>
            </w:pPr>
            <w:r>
              <w:rPr>
                <w:rFonts w:hint="eastAsia" w:cs="Times New Roman"/>
                <w:color w:val="auto"/>
                <w:sz w:val="21"/>
                <w:szCs w:val="21"/>
                <w:highlight w:val="none"/>
                <w:lang w:val="en-US" w:eastAsia="zh-CN"/>
              </w:rPr>
              <w:t>2.58</w:t>
            </w:r>
            <w:r>
              <w:rPr>
                <w:rFonts w:hint="eastAsia" w:ascii="Times New Roman" w:hAnsi="Times New Roman" w:eastAsia="宋体" w:cs="Times New Roman"/>
                <w:color w:val="auto"/>
                <w:sz w:val="21"/>
                <w:szCs w:val="21"/>
                <w:highlight w:val="none"/>
              </w:rPr>
              <w:t>t/a</w:t>
            </w:r>
          </w:p>
        </w:tc>
        <w:tc>
          <w:tcPr>
            <w:tcW w:w="1027" w:type="pct"/>
            <w:vMerge w:val="restart"/>
            <w:shd w:val="clear" w:color="auto" w:fill="auto"/>
            <w:vAlign w:val="center"/>
          </w:tcPr>
          <w:p w14:paraId="56DFA3A8">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车间封闭，微雾抑尘系统降尘</w:t>
            </w:r>
          </w:p>
        </w:tc>
        <w:tc>
          <w:tcPr>
            <w:tcW w:w="1180" w:type="pct"/>
            <w:vMerge w:val="restart"/>
            <w:shd w:val="clear" w:color="auto" w:fill="auto"/>
            <w:vAlign w:val="center"/>
          </w:tcPr>
          <w:p w14:paraId="333E7561">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val="en-US" w:eastAsia="zh-CN" w:bidi="ar"/>
              </w:rPr>
              <w:t>《大气污染物综合排放标准》（GB16297-1996）</w:t>
            </w:r>
          </w:p>
        </w:tc>
      </w:tr>
      <w:tr w14:paraId="14AADA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14:paraId="5191744E">
            <w:pPr>
              <w:spacing w:line="360" w:lineRule="exact"/>
              <w:ind w:firstLine="0" w:firstLineChars="0"/>
              <w:jc w:val="center"/>
              <w:rPr>
                <w:rFonts w:hint="default" w:ascii="Times New Roman" w:hAnsi="Times New Roman" w:cs="Times New Roman"/>
                <w:color w:val="auto"/>
                <w:kern w:val="0"/>
                <w:sz w:val="21"/>
                <w:szCs w:val="21"/>
                <w:highlight w:val="none"/>
                <w:lang w:bidi="ar"/>
              </w:rPr>
            </w:pPr>
          </w:p>
        </w:tc>
        <w:tc>
          <w:tcPr>
            <w:tcW w:w="250" w:type="pct"/>
            <w:vMerge w:val="continue"/>
            <w:shd w:val="clear" w:color="auto" w:fill="auto"/>
            <w:vAlign w:val="center"/>
          </w:tcPr>
          <w:p w14:paraId="07616396">
            <w:pPr>
              <w:spacing w:line="360" w:lineRule="exact"/>
              <w:ind w:firstLine="0" w:firstLineChars="0"/>
              <w:jc w:val="center"/>
              <w:rPr>
                <w:rFonts w:hint="default" w:ascii="Times New Roman" w:hAnsi="Times New Roman" w:cs="Times New Roman"/>
                <w:color w:val="auto"/>
                <w:kern w:val="0"/>
                <w:sz w:val="21"/>
                <w:szCs w:val="21"/>
                <w:highlight w:val="none"/>
                <w:lang w:bidi="ar"/>
              </w:rPr>
            </w:pPr>
          </w:p>
        </w:tc>
        <w:tc>
          <w:tcPr>
            <w:tcW w:w="868" w:type="pct"/>
            <w:vMerge w:val="continue"/>
            <w:shd w:val="clear" w:color="auto" w:fill="auto"/>
            <w:vAlign w:val="center"/>
          </w:tcPr>
          <w:p w14:paraId="1E651957">
            <w:pPr>
              <w:spacing w:line="360" w:lineRule="exact"/>
              <w:ind w:firstLine="0" w:firstLineChars="0"/>
              <w:jc w:val="center"/>
              <w:rPr>
                <w:rFonts w:hint="default" w:ascii="Times New Roman" w:hAnsi="Times New Roman" w:cs="Times New Roman"/>
                <w:color w:val="auto"/>
                <w:kern w:val="0"/>
                <w:sz w:val="21"/>
                <w:szCs w:val="21"/>
                <w:highlight w:val="none"/>
                <w:lang w:val="en-US" w:eastAsia="zh-CN" w:bidi="ar"/>
              </w:rPr>
            </w:pPr>
          </w:p>
        </w:tc>
        <w:tc>
          <w:tcPr>
            <w:tcW w:w="647" w:type="pct"/>
            <w:shd w:val="clear" w:color="auto" w:fill="auto"/>
            <w:vAlign w:val="center"/>
          </w:tcPr>
          <w:p w14:paraId="4AF56039">
            <w:pPr>
              <w:spacing w:line="360" w:lineRule="exact"/>
              <w:ind w:firstLine="0" w:firstLine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eastAsia="zh-CN"/>
              </w:rPr>
              <w:t>氟化物</w:t>
            </w:r>
          </w:p>
        </w:tc>
        <w:tc>
          <w:tcPr>
            <w:tcW w:w="775" w:type="pct"/>
            <w:shd w:val="clear" w:color="auto" w:fill="auto"/>
            <w:vAlign w:val="center"/>
          </w:tcPr>
          <w:p w14:paraId="504836B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kern w:val="0"/>
                <w:sz w:val="21"/>
                <w:szCs w:val="21"/>
                <w:highlight w:val="none"/>
                <w:lang w:val="en-US" w:eastAsia="zh-CN" w:bidi="ar"/>
              </w:rPr>
            </w:pPr>
            <w:r>
              <w:rPr>
                <w:rFonts w:hint="eastAsia" w:cs="Times New Roman"/>
                <w:color w:val="auto"/>
                <w:sz w:val="21"/>
                <w:szCs w:val="21"/>
                <w:highlight w:val="none"/>
                <w:lang w:val="en-US" w:eastAsia="zh-CN"/>
              </w:rPr>
              <w:t>0.32</w:t>
            </w:r>
            <w:r>
              <w:rPr>
                <w:rFonts w:hint="eastAsia" w:ascii="Times New Roman" w:hAnsi="Times New Roman" w:eastAsia="宋体" w:cs="Times New Roman"/>
                <w:color w:val="auto"/>
                <w:sz w:val="21"/>
                <w:szCs w:val="21"/>
                <w:highlight w:val="none"/>
              </w:rPr>
              <w:t>t/a</w:t>
            </w:r>
          </w:p>
        </w:tc>
        <w:tc>
          <w:tcPr>
            <w:tcW w:w="1027" w:type="pct"/>
            <w:vMerge w:val="continue"/>
            <w:shd w:val="clear" w:color="auto" w:fill="auto"/>
            <w:vAlign w:val="center"/>
          </w:tcPr>
          <w:p w14:paraId="21E24347">
            <w:pPr>
              <w:spacing w:line="360" w:lineRule="exact"/>
              <w:ind w:firstLine="0" w:firstLineChars="0"/>
              <w:jc w:val="center"/>
              <w:rPr>
                <w:rFonts w:hint="default" w:ascii="Times New Roman" w:hAnsi="Times New Roman" w:cs="Times New Roman"/>
                <w:color w:val="auto"/>
                <w:kern w:val="0"/>
                <w:sz w:val="21"/>
                <w:szCs w:val="21"/>
                <w:highlight w:val="none"/>
                <w:lang w:bidi="ar"/>
              </w:rPr>
            </w:pPr>
          </w:p>
        </w:tc>
        <w:tc>
          <w:tcPr>
            <w:tcW w:w="1180" w:type="pct"/>
            <w:vMerge w:val="continue"/>
            <w:shd w:val="clear" w:color="auto" w:fill="auto"/>
            <w:vAlign w:val="center"/>
          </w:tcPr>
          <w:p w14:paraId="74D1E897">
            <w:pPr>
              <w:spacing w:line="360" w:lineRule="exact"/>
              <w:ind w:firstLine="0" w:firstLineChars="0"/>
              <w:jc w:val="center"/>
              <w:rPr>
                <w:rFonts w:hint="default" w:ascii="Times New Roman" w:hAnsi="Times New Roman" w:cs="Times New Roman"/>
                <w:color w:val="auto"/>
                <w:kern w:val="0"/>
                <w:sz w:val="21"/>
                <w:szCs w:val="21"/>
                <w:highlight w:val="none"/>
                <w:lang w:val="en-US" w:eastAsia="zh-CN" w:bidi="ar"/>
              </w:rPr>
            </w:pPr>
          </w:p>
        </w:tc>
      </w:tr>
      <w:tr w14:paraId="1565E5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14:paraId="77541D2A">
            <w:pPr>
              <w:spacing w:line="360" w:lineRule="exact"/>
              <w:ind w:firstLine="0" w:firstLineChars="0"/>
              <w:jc w:val="center"/>
              <w:rPr>
                <w:rFonts w:hint="default" w:ascii="Times New Roman" w:hAnsi="Times New Roman" w:cs="Times New Roman"/>
                <w:color w:val="auto"/>
                <w:kern w:val="0"/>
                <w:sz w:val="21"/>
                <w:szCs w:val="21"/>
                <w:highlight w:val="none"/>
                <w:lang w:bidi="ar"/>
              </w:rPr>
            </w:pPr>
          </w:p>
        </w:tc>
        <w:tc>
          <w:tcPr>
            <w:tcW w:w="250" w:type="pct"/>
            <w:vMerge w:val="continue"/>
            <w:shd w:val="clear" w:color="auto" w:fill="auto"/>
            <w:vAlign w:val="center"/>
          </w:tcPr>
          <w:p w14:paraId="4BA1705B">
            <w:pPr>
              <w:spacing w:line="360" w:lineRule="exact"/>
              <w:ind w:firstLine="0" w:firstLineChars="0"/>
              <w:jc w:val="center"/>
              <w:rPr>
                <w:rFonts w:hint="default" w:ascii="Times New Roman" w:hAnsi="Times New Roman" w:cs="Times New Roman"/>
                <w:color w:val="auto"/>
                <w:kern w:val="0"/>
                <w:sz w:val="21"/>
                <w:szCs w:val="21"/>
                <w:highlight w:val="none"/>
                <w:lang w:bidi="ar"/>
              </w:rPr>
            </w:pPr>
          </w:p>
        </w:tc>
        <w:tc>
          <w:tcPr>
            <w:tcW w:w="868" w:type="pct"/>
            <w:shd w:val="clear" w:color="auto" w:fill="auto"/>
            <w:vAlign w:val="center"/>
          </w:tcPr>
          <w:p w14:paraId="2134EE0A">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color w:val="auto"/>
                <w:sz w:val="21"/>
                <w:szCs w:val="21"/>
                <w:highlight w:val="none"/>
              </w:rPr>
              <w:t>尾矿库</w:t>
            </w:r>
          </w:p>
        </w:tc>
        <w:tc>
          <w:tcPr>
            <w:tcW w:w="647" w:type="pct"/>
            <w:shd w:val="clear" w:color="auto" w:fill="auto"/>
            <w:vAlign w:val="center"/>
          </w:tcPr>
          <w:p w14:paraId="139A9374">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color w:val="auto"/>
                <w:sz w:val="21"/>
                <w:szCs w:val="21"/>
                <w:highlight w:val="none"/>
              </w:rPr>
              <w:t>颗粒物</w:t>
            </w:r>
          </w:p>
        </w:tc>
        <w:tc>
          <w:tcPr>
            <w:tcW w:w="775" w:type="pct"/>
            <w:shd w:val="clear" w:color="auto" w:fill="auto"/>
            <w:vAlign w:val="center"/>
          </w:tcPr>
          <w:p w14:paraId="0740A76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kern w:val="0"/>
                <w:sz w:val="21"/>
                <w:szCs w:val="21"/>
                <w:highlight w:val="none"/>
                <w:lang w:bidi="ar"/>
              </w:rPr>
            </w:pPr>
            <w:r>
              <w:rPr>
                <w:rFonts w:hint="eastAsia" w:cs="Times New Roman"/>
                <w:color w:val="auto"/>
                <w:sz w:val="21"/>
                <w:szCs w:val="21"/>
                <w:highlight w:val="none"/>
                <w:lang w:val="en-US" w:eastAsia="zh-CN"/>
              </w:rPr>
              <w:t>0.0044</w:t>
            </w:r>
            <w:r>
              <w:rPr>
                <w:rFonts w:hint="eastAsia" w:ascii="Times New Roman" w:hAnsi="Times New Roman" w:eastAsia="宋体" w:cs="Times New Roman"/>
                <w:color w:val="auto"/>
                <w:sz w:val="21"/>
                <w:szCs w:val="21"/>
                <w:highlight w:val="none"/>
              </w:rPr>
              <w:t>t/a</w:t>
            </w:r>
          </w:p>
        </w:tc>
        <w:tc>
          <w:tcPr>
            <w:tcW w:w="1027" w:type="pct"/>
            <w:shd w:val="clear" w:color="auto" w:fill="auto"/>
            <w:vAlign w:val="center"/>
          </w:tcPr>
          <w:p w14:paraId="2A624BC2">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定期洒水降尘</w:t>
            </w:r>
          </w:p>
        </w:tc>
        <w:tc>
          <w:tcPr>
            <w:tcW w:w="1180" w:type="pct"/>
            <w:vMerge w:val="continue"/>
            <w:shd w:val="clear" w:color="auto" w:fill="auto"/>
            <w:vAlign w:val="center"/>
          </w:tcPr>
          <w:p w14:paraId="113B3DC2">
            <w:pPr>
              <w:spacing w:line="360" w:lineRule="exact"/>
              <w:ind w:firstLine="0" w:firstLineChars="0"/>
              <w:jc w:val="center"/>
              <w:rPr>
                <w:rFonts w:hint="default" w:ascii="Times New Roman" w:hAnsi="Times New Roman" w:cs="Times New Roman"/>
                <w:color w:val="auto"/>
                <w:kern w:val="0"/>
                <w:sz w:val="21"/>
                <w:szCs w:val="21"/>
                <w:highlight w:val="none"/>
                <w:lang w:bidi="ar"/>
              </w:rPr>
            </w:pPr>
          </w:p>
        </w:tc>
      </w:tr>
      <w:tr w14:paraId="431F59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14:paraId="55A888EF">
            <w:pPr>
              <w:spacing w:line="360" w:lineRule="exact"/>
              <w:ind w:firstLine="0" w:firstLineChars="0"/>
              <w:jc w:val="center"/>
              <w:rPr>
                <w:rFonts w:hint="default" w:ascii="Times New Roman" w:hAnsi="Times New Roman" w:cs="Times New Roman"/>
                <w:color w:val="auto"/>
                <w:kern w:val="0"/>
                <w:sz w:val="21"/>
                <w:szCs w:val="21"/>
                <w:highlight w:val="none"/>
                <w:lang w:bidi="ar"/>
              </w:rPr>
            </w:pPr>
          </w:p>
        </w:tc>
        <w:tc>
          <w:tcPr>
            <w:tcW w:w="250" w:type="pct"/>
            <w:vMerge w:val="continue"/>
            <w:shd w:val="clear" w:color="auto" w:fill="auto"/>
            <w:vAlign w:val="center"/>
          </w:tcPr>
          <w:p w14:paraId="542C5547">
            <w:pPr>
              <w:spacing w:line="360" w:lineRule="exact"/>
              <w:ind w:firstLine="0" w:firstLineChars="0"/>
              <w:jc w:val="center"/>
              <w:rPr>
                <w:rFonts w:hint="default" w:ascii="Times New Roman" w:hAnsi="Times New Roman" w:cs="Times New Roman"/>
                <w:color w:val="auto"/>
                <w:kern w:val="0"/>
                <w:sz w:val="21"/>
                <w:szCs w:val="21"/>
                <w:highlight w:val="none"/>
                <w:lang w:bidi="ar"/>
              </w:rPr>
            </w:pPr>
          </w:p>
        </w:tc>
        <w:tc>
          <w:tcPr>
            <w:tcW w:w="868" w:type="pct"/>
            <w:shd w:val="clear" w:color="auto" w:fill="auto"/>
            <w:vAlign w:val="center"/>
          </w:tcPr>
          <w:p w14:paraId="4365093F">
            <w:pPr>
              <w:spacing w:line="360" w:lineRule="exact"/>
              <w:ind w:firstLine="0" w:firstLine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rPr>
              <w:t>道路扬尘</w:t>
            </w:r>
          </w:p>
        </w:tc>
        <w:tc>
          <w:tcPr>
            <w:tcW w:w="647" w:type="pct"/>
            <w:shd w:val="clear" w:color="auto" w:fill="auto"/>
            <w:vAlign w:val="top"/>
          </w:tcPr>
          <w:p w14:paraId="1A64E716">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color w:val="auto"/>
                <w:sz w:val="21"/>
                <w:szCs w:val="21"/>
                <w:highlight w:val="none"/>
              </w:rPr>
              <w:t>颗粒物</w:t>
            </w:r>
          </w:p>
        </w:tc>
        <w:tc>
          <w:tcPr>
            <w:tcW w:w="775" w:type="pct"/>
            <w:shd w:val="clear" w:color="auto" w:fill="auto"/>
            <w:vAlign w:val="center"/>
          </w:tcPr>
          <w:p w14:paraId="4A7BA92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kern w:val="0"/>
                <w:sz w:val="21"/>
                <w:szCs w:val="21"/>
                <w:highlight w:val="none"/>
                <w:lang w:bidi="ar"/>
              </w:rPr>
            </w:pPr>
            <w:r>
              <w:rPr>
                <w:rFonts w:hint="eastAsia" w:cs="Times New Roman"/>
                <w:color w:val="auto"/>
                <w:sz w:val="21"/>
                <w:szCs w:val="21"/>
                <w:highlight w:val="none"/>
                <w:lang w:val="en-US" w:eastAsia="zh-CN"/>
              </w:rPr>
              <w:t>2.53</w:t>
            </w:r>
            <w:r>
              <w:rPr>
                <w:rFonts w:hint="eastAsia" w:ascii="Times New Roman" w:hAnsi="Times New Roman" w:eastAsia="宋体" w:cs="Times New Roman"/>
                <w:color w:val="auto"/>
                <w:sz w:val="21"/>
                <w:szCs w:val="21"/>
                <w:highlight w:val="none"/>
              </w:rPr>
              <w:t>t/a</w:t>
            </w:r>
          </w:p>
        </w:tc>
        <w:tc>
          <w:tcPr>
            <w:tcW w:w="1027" w:type="pct"/>
            <w:shd w:val="clear" w:color="auto" w:fill="auto"/>
            <w:vAlign w:val="center"/>
          </w:tcPr>
          <w:p w14:paraId="7D36A8D4">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定期洒水降尘</w:t>
            </w:r>
          </w:p>
        </w:tc>
        <w:tc>
          <w:tcPr>
            <w:tcW w:w="1180" w:type="pct"/>
            <w:vMerge w:val="continue"/>
            <w:shd w:val="clear" w:color="auto" w:fill="auto"/>
            <w:vAlign w:val="center"/>
          </w:tcPr>
          <w:p w14:paraId="7524DDC4">
            <w:pPr>
              <w:spacing w:line="360" w:lineRule="exact"/>
              <w:ind w:firstLine="0" w:firstLineChars="0"/>
              <w:jc w:val="center"/>
              <w:rPr>
                <w:rFonts w:hint="default" w:ascii="Times New Roman" w:hAnsi="Times New Roman" w:cs="Times New Roman"/>
                <w:color w:val="auto"/>
                <w:kern w:val="0"/>
                <w:sz w:val="21"/>
                <w:szCs w:val="21"/>
                <w:highlight w:val="none"/>
                <w:lang w:bidi="ar"/>
              </w:rPr>
            </w:pPr>
          </w:p>
        </w:tc>
      </w:tr>
      <w:tr w14:paraId="7ADEB7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14:paraId="00752373">
            <w:pPr>
              <w:spacing w:line="360" w:lineRule="exact"/>
              <w:ind w:firstLine="0" w:firstLineChars="0"/>
              <w:jc w:val="center"/>
              <w:rPr>
                <w:rFonts w:hint="default" w:ascii="Times New Roman" w:hAnsi="Times New Roman" w:cs="Times New Roman"/>
                <w:color w:val="auto"/>
                <w:kern w:val="0"/>
                <w:sz w:val="21"/>
                <w:szCs w:val="21"/>
                <w:highlight w:val="none"/>
                <w:lang w:bidi="ar"/>
              </w:rPr>
            </w:pPr>
          </w:p>
        </w:tc>
        <w:tc>
          <w:tcPr>
            <w:tcW w:w="250" w:type="pct"/>
            <w:vMerge w:val="continue"/>
            <w:shd w:val="clear" w:color="auto" w:fill="auto"/>
            <w:vAlign w:val="center"/>
          </w:tcPr>
          <w:p w14:paraId="2F641BB9">
            <w:pPr>
              <w:spacing w:line="360" w:lineRule="exact"/>
              <w:ind w:firstLine="0" w:firstLineChars="0"/>
              <w:jc w:val="center"/>
              <w:rPr>
                <w:rFonts w:hint="default" w:ascii="Times New Roman" w:hAnsi="Times New Roman" w:cs="Times New Roman"/>
                <w:color w:val="auto"/>
                <w:kern w:val="0"/>
                <w:sz w:val="21"/>
                <w:szCs w:val="21"/>
                <w:highlight w:val="none"/>
                <w:lang w:bidi="ar"/>
              </w:rPr>
            </w:pPr>
          </w:p>
        </w:tc>
        <w:tc>
          <w:tcPr>
            <w:tcW w:w="868" w:type="pct"/>
            <w:shd w:val="clear" w:color="auto" w:fill="auto"/>
            <w:vAlign w:val="center"/>
          </w:tcPr>
          <w:p w14:paraId="43A2305F">
            <w:pPr>
              <w:widowControl/>
              <w:spacing w:line="240" w:lineRule="auto"/>
              <w:ind w:firstLine="0" w:firstLine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rPr>
              <w:t>煤棚扬尘</w:t>
            </w:r>
          </w:p>
        </w:tc>
        <w:tc>
          <w:tcPr>
            <w:tcW w:w="647" w:type="pct"/>
            <w:shd w:val="clear" w:color="auto" w:fill="auto"/>
            <w:vAlign w:val="center"/>
          </w:tcPr>
          <w:p w14:paraId="28D67BDA">
            <w:pPr>
              <w:spacing w:line="360" w:lineRule="exact"/>
              <w:ind w:firstLine="0" w:firstLine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rPr>
              <w:t>颗粒物</w:t>
            </w:r>
          </w:p>
        </w:tc>
        <w:tc>
          <w:tcPr>
            <w:tcW w:w="775" w:type="pct"/>
            <w:shd w:val="clear" w:color="auto" w:fill="auto"/>
            <w:vAlign w:val="center"/>
          </w:tcPr>
          <w:p w14:paraId="10B7ADCA">
            <w:pPr>
              <w:spacing w:line="360" w:lineRule="exact"/>
              <w:ind w:firstLine="0" w:firstLine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bidi="ar"/>
              </w:rPr>
              <w:t>/</w:t>
            </w:r>
          </w:p>
        </w:tc>
        <w:tc>
          <w:tcPr>
            <w:tcW w:w="1027" w:type="pct"/>
            <w:shd w:val="clear" w:color="auto" w:fill="auto"/>
            <w:vAlign w:val="center"/>
          </w:tcPr>
          <w:p w14:paraId="69B7F4F9">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color w:val="auto"/>
                <w:sz w:val="21"/>
                <w:szCs w:val="21"/>
                <w:highlight w:val="none"/>
              </w:rPr>
              <w:t>堆棚内沉降</w:t>
            </w:r>
          </w:p>
        </w:tc>
        <w:tc>
          <w:tcPr>
            <w:tcW w:w="1180" w:type="pct"/>
            <w:vMerge w:val="continue"/>
            <w:shd w:val="clear" w:color="auto" w:fill="auto"/>
            <w:vAlign w:val="center"/>
          </w:tcPr>
          <w:p w14:paraId="6A5DE55A">
            <w:pPr>
              <w:spacing w:line="360" w:lineRule="exact"/>
              <w:ind w:firstLine="0" w:firstLineChars="0"/>
              <w:jc w:val="center"/>
              <w:rPr>
                <w:rFonts w:hint="default" w:ascii="Times New Roman" w:hAnsi="Times New Roman" w:cs="Times New Roman"/>
                <w:color w:val="auto"/>
                <w:kern w:val="0"/>
                <w:sz w:val="21"/>
                <w:szCs w:val="21"/>
                <w:highlight w:val="none"/>
                <w:lang w:bidi="ar"/>
              </w:rPr>
            </w:pPr>
          </w:p>
        </w:tc>
      </w:tr>
      <w:tr w14:paraId="484D87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14:paraId="58C50CEF">
            <w:pPr>
              <w:spacing w:line="360" w:lineRule="exact"/>
              <w:ind w:firstLine="0" w:firstLineChars="0"/>
              <w:jc w:val="center"/>
              <w:rPr>
                <w:rFonts w:hint="default" w:ascii="Times New Roman" w:hAnsi="Times New Roman" w:cs="Times New Roman"/>
                <w:color w:val="auto"/>
                <w:kern w:val="0"/>
                <w:sz w:val="21"/>
                <w:szCs w:val="21"/>
                <w:highlight w:val="none"/>
                <w:lang w:bidi="ar"/>
              </w:rPr>
            </w:pPr>
          </w:p>
        </w:tc>
        <w:tc>
          <w:tcPr>
            <w:tcW w:w="250" w:type="pct"/>
            <w:vMerge w:val="continue"/>
            <w:shd w:val="clear" w:color="auto" w:fill="auto"/>
            <w:vAlign w:val="center"/>
          </w:tcPr>
          <w:p w14:paraId="5344B041">
            <w:pPr>
              <w:spacing w:line="360" w:lineRule="exact"/>
              <w:ind w:firstLine="0" w:firstLineChars="0"/>
              <w:jc w:val="center"/>
              <w:rPr>
                <w:rFonts w:hint="default" w:ascii="Times New Roman" w:hAnsi="Times New Roman" w:cs="Times New Roman"/>
                <w:color w:val="auto"/>
                <w:kern w:val="0"/>
                <w:sz w:val="21"/>
                <w:szCs w:val="21"/>
                <w:highlight w:val="none"/>
                <w:lang w:bidi="ar"/>
              </w:rPr>
            </w:pPr>
          </w:p>
        </w:tc>
        <w:tc>
          <w:tcPr>
            <w:tcW w:w="868" w:type="pct"/>
            <w:shd w:val="clear" w:color="auto" w:fill="auto"/>
            <w:vAlign w:val="center"/>
          </w:tcPr>
          <w:p w14:paraId="2A4E8BFA">
            <w:pPr>
              <w:widowControl/>
              <w:spacing w:line="240" w:lineRule="auto"/>
              <w:ind w:firstLine="0" w:firstLine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rPr>
              <w:t>灰渣暂存场地扬尘</w:t>
            </w:r>
          </w:p>
        </w:tc>
        <w:tc>
          <w:tcPr>
            <w:tcW w:w="647" w:type="pct"/>
            <w:shd w:val="clear" w:color="auto" w:fill="auto"/>
            <w:vAlign w:val="center"/>
          </w:tcPr>
          <w:p w14:paraId="2B26E3B5">
            <w:pPr>
              <w:spacing w:line="360" w:lineRule="exact"/>
              <w:ind w:firstLine="0" w:firstLine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rPr>
              <w:t>颗粒物</w:t>
            </w:r>
          </w:p>
        </w:tc>
        <w:tc>
          <w:tcPr>
            <w:tcW w:w="775" w:type="pct"/>
            <w:shd w:val="clear" w:color="auto" w:fill="auto"/>
            <w:vAlign w:val="center"/>
          </w:tcPr>
          <w:p w14:paraId="176A6FCF">
            <w:pPr>
              <w:spacing w:line="360" w:lineRule="exact"/>
              <w:ind w:firstLine="0" w:firstLine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bidi="ar"/>
              </w:rPr>
              <w:t>/</w:t>
            </w:r>
          </w:p>
        </w:tc>
        <w:tc>
          <w:tcPr>
            <w:tcW w:w="1027" w:type="pct"/>
            <w:shd w:val="clear" w:color="auto" w:fill="auto"/>
            <w:vAlign w:val="center"/>
          </w:tcPr>
          <w:p w14:paraId="37592347">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color w:val="auto"/>
                <w:sz w:val="21"/>
                <w:szCs w:val="21"/>
                <w:highlight w:val="none"/>
              </w:rPr>
              <w:t>堆棚内沉降</w:t>
            </w:r>
          </w:p>
        </w:tc>
        <w:tc>
          <w:tcPr>
            <w:tcW w:w="1180" w:type="pct"/>
            <w:vMerge w:val="continue"/>
            <w:shd w:val="clear" w:color="auto" w:fill="auto"/>
            <w:vAlign w:val="center"/>
          </w:tcPr>
          <w:p w14:paraId="67B15624">
            <w:pPr>
              <w:spacing w:line="360" w:lineRule="exact"/>
              <w:ind w:firstLine="0" w:firstLineChars="0"/>
              <w:jc w:val="center"/>
              <w:rPr>
                <w:rFonts w:hint="default" w:ascii="Times New Roman" w:hAnsi="Times New Roman" w:cs="Times New Roman"/>
                <w:color w:val="auto"/>
                <w:kern w:val="0"/>
                <w:sz w:val="21"/>
                <w:szCs w:val="21"/>
                <w:highlight w:val="none"/>
                <w:lang w:bidi="ar"/>
              </w:rPr>
            </w:pPr>
          </w:p>
        </w:tc>
      </w:tr>
      <w:tr w14:paraId="158841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14:paraId="3D18FE96">
            <w:pPr>
              <w:spacing w:line="360" w:lineRule="exact"/>
              <w:ind w:firstLine="0" w:firstLineChars="0"/>
              <w:jc w:val="center"/>
              <w:rPr>
                <w:rFonts w:hint="default" w:ascii="Times New Roman" w:hAnsi="Times New Roman" w:cs="Times New Roman"/>
                <w:color w:val="auto"/>
                <w:kern w:val="0"/>
                <w:sz w:val="21"/>
                <w:szCs w:val="21"/>
                <w:highlight w:val="none"/>
                <w:lang w:bidi="ar"/>
              </w:rPr>
            </w:pPr>
          </w:p>
        </w:tc>
        <w:tc>
          <w:tcPr>
            <w:tcW w:w="250" w:type="pct"/>
            <w:vMerge w:val="continue"/>
            <w:shd w:val="clear" w:color="auto" w:fill="auto"/>
            <w:vAlign w:val="center"/>
          </w:tcPr>
          <w:p w14:paraId="4E407896">
            <w:pPr>
              <w:spacing w:line="360" w:lineRule="exact"/>
              <w:ind w:firstLine="0" w:firstLineChars="0"/>
              <w:jc w:val="center"/>
              <w:rPr>
                <w:rFonts w:hint="default" w:ascii="Times New Roman" w:hAnsi="Times New Roman" w:cs="Times New Roman"/>
                <w:color w:val="auto"/>
                <w:kern w:val="0"/>
                <w:sz w:val="21"/>
                <w:szCs w:val="21"/>
                <w:highlight w:val="none"/>
                <w:lang w:bidi="ar"/>
              </w:rPr>
            </w:pPr>
          </w:p>
        </w:tc>
        <w:tc>
          <w:tcPr>
            <w:tcW w:w="868" w:type="pct"/>
            <w:vMerge w:val="restart"/>
            <w:shd w:val="clear" w:color="auto" w:fill="auto"/>
            <w:vAlign w:val="center"/>
          </w:tcPr>
          <w:p w14:paraId="74E60840">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eastAsia="宋体" w:cs="Times New Roman"/>
                <w:color w:val="auto"/>
                <w:sz w:val="21"/>
                <w:szCs w:val="21"/>
                <w:highlight w:val="none"/>
              </w:rPr>
              <w:t>汽车尾气</w:t>
            </w:r>
          </w:p>
        </w:tc>
        <w:tc>
          <w:tcPr>
            <w:tcW w:w="647" w:type="pct"/>
            <w:shd w:val="clear" w:color="auto" w:fill="auto"/>
            <w:vAlign w:val="center"/>
          </w:tcPr>
          <w:p w14:paraId="6CBC940E">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CO</w:t>
            </w:r>
          </w:p>
        </w:tc>
        <w:tc>
          <w:tcPr>
            <w:tcW w:w="775" w:type="pct"/>
            <w:shd w:val="clear" w:color="auto" w:fill="auto"/>
            <w:vAlign w:val="center"/>
          </w:tcPr>
          <w:p w14:paraId="4758D1C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kern w:val="0"/>
                <w:sz w:val="21"/>
                <w:szCs w:val="21"/>
                <w:highlight w:val="none"/>
                <w:lang w:bidi="ar"/>
              </w:rPr>
            </w:pPr>
            <w:r>
              <w:rPr>
                <w:rFonts w:hint="eastAsia" w:ascii="Times New Roman" w:hAnsi="Times New Roman" w:eastAsia="宋体" w:cs="Times New Roman"/>
                <w:color w:val="auto"/>
                <w:sz w:val="21"/>
                <w:szCs w:val="21"/>
                <w:highlight w:val="none"/>
              </w:rPr>
              <w:t>0.792t/a</w:t>
            </w:r>
          </w:p>
        </w:tc>
        <w:tc>
          <w:tcPr>
            <w:tcW w:w="1027" w:type="pct"/>
            <w:vMerge w:val="restart"/>
            <w:shd w:val="clear" w:color="auto" w:fill="auto"/>
            <w:vAlign w:val="center"/>
          </w:tcPr>
          <w:p w14:paraId="2BC0C291">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w:t>
            </w:r>
          </w:p>
        </w:tc>
        <w:tc>
          <w:tcPr>
            <w:tcW w:w="1180" w:type="pct"/>
            <w:vMerge w:val="continue"/>
            <w:shd w:val="clear" w:color="auto" w:fill="auto"/>
            <w:vAlign w:val="center"/>
          </w:tcPr>
          <w:p w14:paraId="0D412DD3">
            <w:pPr>
              <w:spacing w:line="360" w:lineRule="exact"/>
              <w:ind w:firstLine="0" w:firstLineChars="0"/>
              <w:jc w:val="center"/>
              <w:rPr>
                <w:rFonts w:hint="default" w:ascii="Times New Roman" w:hAnsi="Times New Roman" w:cs="Times New Roman"/>
                <w:color w:val="auto"/>
                <w:kern w:val="0"/>
                <w:sz w:val="21"/>
                <w:szCs w:val="21"/>
                <w:highlight w:val="none"/>
                <w:lang w:bidi="ar"/>
              </w:rPr>
            </w:pPr>
          </w:p>
        </w:tc>
      </w:tr>
      <w:tr w14:paraId="3EF06B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14:paraId="6BA93CA3">
            <w:pPr>
              <w:spacing w:line="360" w:lineRule="exact"/>
              <w:ind w:firstLine="0" w:firstLineChars="0"/>
              <w:jc w:val="center"/>
              <w:rPr>
                <w:rFonts w:hint="default" w:ascii="Times New Roman" w:hAnsi="Times New Roman" w:cs="Times New Roman"/>
                <w:color w:val="auto"/>
                <w:kern w:val="0"/>
                <w:sz w:val="21"/>
                <w:szCs w:val="21"/>
                <w:highlight w:val="none"/>
                <w:lang w:bidi="ar"/>
              </w:rPr>
            </w:pPr>
          </w:p>
        </w:tc>
        <w:tc>
          <w:tcPr>
            <w:tcW w:w="250" w:type="pct"/>
            <w:vMerge w:val="continue"/>
            <w:shd w:val="clear" w:color="auto" w:fill="auto"/>
            <w:vAlign w:val="center"/>
          </w:tcPr>
          <w:p w14:paraId="180FA145">
            <w:pPr>
              <w:spacing w:line="360" w:lineRule="exact"/>
              <w:ind w:firstLine="0" w:firstLineChars="0"/>
              <w:jc w:val="center"/>
              <w:rPr>
                <w:rFonts w:hint="default" w:ascii="Times New Roman" w:hAnsi="Times New Roman" w:cs="Times New Roman"/>
                <w:color w:val="auto"/>
                <w:kern w:val="0"/>
                <w:sz w:val="21"/>
                <w:szCs w:val="21"/>
                <w:highlight w:val="none"/>
                <w:lang w:bidi="ar"/>
              </w:rPr>
            </w:pPr>
          </w:p>
        </w:tc>
        <w:tc>
          <w:tcPr>
            <w:tcW w:w="868" w:type="pct"/>
            <w:vMerge w:val="continue"/>
            <w:shd w:val="clear" w:color="auto" w:fill="auto"/>
            <w:vAlign w:val="center"/>
          </w:tcPr>
          <w:p w14:paraId="6D84D777">
            <w:pPr>
              <w:spacing w:line="360" w:lineRule="exact"/>
              <w:ind w:firstLine="0" w:firstLineChars="0"/>
              <w:jc w:val="center"/>
              <w:rPr>
                <w:rFonts w:hint="default" w:ascii="Times New Roman" w:hAnsi="Times New Roman" w:eastAsia="宋体" w:cs="Times New Roman"/>
                <w:color w:val="auto"/>
                <w:kern w:val="0"/>
                <w:sz w:val="21"/>
                <w:szCs w:val="21"/>
                <w:highlight w:val="none"/>
                <w:lang w:eastAsia="zh-CN" w:bidi="ar"/>
              </w:rPr>
            </w:pPr>
          </w:p>
        </w:tc>
        <w:tc>
          <w:tcPr>
            <w:tcW w:w="647" w:type="pct"/>
            <w:shd w:val="clear" w:color="auto" w:fill="auto"/>
            <w:vAlign w:val="center"/>
          </w:tcPr>
          <w:p w14:paraId="79F5D7E6">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C</w:t>
            </w:r>
            <w:r>
              <w:rPr>
                <w:rFonts w:hint="default" w:ascii="Times New Roman" w:hAnsi="Times New Roman" w:cs="Times New Roman"/>
                <w:color w:val="auto"/>
                <w:kern w:val="0"/>
                <w:sz w:val="21"/>
                <w:szCs w:val="21"/>
                <w:highlight w:val="none"/>
                <w:vertAlign w:val="subscript"/>
                <w:lang w:val="en-US" w:eastAsia="zh-CN" w:bidi="ar"/>
              </w:rPr>
              <w:t>n</w:t>
            </w:r>
            <w:r>
              <w:rPr>
                <w:rFonts w:hint="default" w:ascii="Times New Roman" w:hAnsi="Times New Roman" w:cs="Times New Roman"/>
                <w:color w:val="auto"/>
                <w:kern w:val="0"/>
                <w:sz w:val="21"/>
                <w:szCs w:val="21"/>
                <w:highlight w:val="none"/>
                <w:lang w:bidi="ar"/>
              </w:rPr>
              <w:t>H</w:t>
            </w:r>
            <w:r>
              <w:rPr>
                <w:rFonts w:hint="default" w:ascii="Times New Roman" w:hAnsi="Times New Roman" w:cs="Times New Roman"/>
                <w:color w:val="auto"/>
                <w:kern w:val="0"/>
                <w:sz w:val="21"/>
                <w:szCs w:val="21"/>
                <w:highlight w:val="none"/>
                <w:vertAlign w:val="subscript"/>
                <w:lang w:val="en-US" w:eastAsia="zh-CN" w:bidi="ar"/>
              </w:rPr>
              <w:t>m</w:t>
            </w:r>
          </w:p>
        </w:tc>
        <w:tc>
          <w:tcPr>
            <w:tcW w:w="775" w:type="pct"/>
            <w:shd w:val="clear" w:color="auto" w:fill="auto"/>
            <w:vAlign w:val="center"/>
          </w:tcPr>
          <w:p w14:paraId="264CDA1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kern w:val="0"/>
                <w:sz w:val="21"/>
                <w:szCs w:val="21"/>
                <w:highlight w:val="none"/>
                <w:lang w:bidi="ar"/>
              </w:rPr>
            </w:pPr>
            <w:r>
              <w:rPr>
                <w:rFonts w:hint="eastAsia" w:ascii="Times New Roman" w:hAnsi="Times New Roman" w:eastAsia="宋体" w:cs="Times New Roman"/>
                <w:color w:val="auto"/>
                <w:sz w:val="21"/>
                <w:szCs w:val="21"/>
                <w:highlight w:val="none"/>
              </w:rPr>
              <w:t>0.126t/a</w:t>
            </w:r>
          </w:p>
        </w:tc>
        <w:tc>
          <w:tcPr>
            <w:tcW w:w="1027" w:type="pct"/>
            <w:vMerge w:val="continue"/>
            <w:shd w:val="clear" w:color="auto" w:fill="auto"/>
            <w:vAlign w:val="center"/>
          </w:tcPr>
          <w:p w14:paraId="759B1068">
            <w:pPr>
              <w:spacing w:line="360" w:lineRule="exact"/>
              <w:ind w:firstLine="0" w:firstLineChars="0"/>
              <w:jc w:val="center"/>
              <w:rPr>
                <w:rFonts w:hint="default" w:ascii="Times New Roman" w:hAnsi="Times New Roman" w:cs="Times New Roman"/>
                <w:color w:val="auto"/>
                <w:kern w:val="0"/>
                <w:sz w:val="21"/>
                <w:szCs w:val="21"/>
                <w:highlight w:val="none"/>
                <w:lang w:bidi="ar"/>
              </w:rPr>
            </w:pPr>
          </w:p>
        </w:tc>
        <w:tc>
          <w:tcPr>
            <w:tcW w:w="1180" w:type="pct"/>
            <w:vMerge w:val="continue"/>
            <w:shd w:val="clear" w:color="auto" w:fill="auto"/>
            <w:vAlign w:val="center"/>
          </w:tcPr>
          <w:p w14:paraId="22A6CCBE">
            <w:pPr>
              <w:spacing w:line="360" w:lineRule="exact"/>
              <w:ind w:firstLine="0" w:firstLineChars="0"/>
              <w:jc w:val="center"/>
              <w:rPr>
                <w:rFonts w:hint="default" w:ascii="Times New Roman" w:hAnsi="Times New Roman" w:cs="Times New Roman"/>
                <w:color w:val="auto"/>
                <w:kern w:val="0"/>
                <w:sz w:val="21"/>
                <w:szCs w:val="21"/>
                <w:highlight w:val="none"/>
                <w:lang w:bidi="ar"/>
              </w:rPr>
            </w:pPr>
          </w:p>
        </w:tc>
      </w:tr>
      <w:tr w14:paraId="29CFE8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14:paraId="75191AEC">
            <w:pPr>
              <w:spacing w:line="360" w:lineRule="exact"/>
              <w:ind w:firstLine="0" w:firstLineChars="0"/>
              <w:jc w:val="center"/>
              <w:rPr>
                <w:rFonts w:hint="default" w:ascii="Times New Roman" w:hAnsi="Times New Roman" w:cs="Times New Roman"/>
                <w:color w:val="auto"/>
                <w:kern w:val="0"/>
                <w:sz w:val="21"/>
                <w:szCs w:val="21"/>
                <w:highlight w:val="none"/>
                <w:lang w:bidi="ar"/>
              </w:rPr>
            </w:pPr>
          </w:p>
        </w:tc>
        <w:tc>
          <w:tcPr>
            <w:tcW w:w="250" w:type="pct"/>
            <w:vMerge w:val="continue"/>
            <w:shd w:val="clear" w:color="auto" w:fill="auto"/>
            <w:vAlign w:val="center"/>
          </w:tcPr>
          <w:p w14:paraId="0445C78A">
            <w:pPr>
              <w:spacing w:line="360" w:lineRule="exact"/>
              <w:ind w:firstLine="0" w:firstLineChars="0"/>
              <w:jc w:val="center"/>
              <w:rPr>
                <w:rFonts w:hint="default" w:ascii="Times New Roman" w:hAnsi="Times New Roman" w:cs="Times New Roman"/>
                <w:color w:val="auto"/>
                <w:kern w:val="0"/>
                <w:sz w:val="21"/>
                <w:szCs w:val="21"/>
                <w:highlight w:val="none"/>
                <w:lang w:bidi="ar"/>
              </w:rPr>
            </w:pPr>
          </w:p>
        </w:tc>
        <w:tc>
          <w:tcPr>
            <w:tcW w:w="868" w:type="pct"/>
            <w:vMerge w:val="continue"/>
            <w:shd w:val="clear" w:color="auto" w:fill="auto"/>
            <w:vAlign w:val="center"/>
          </w:tcPr>
          <w:p w14:paraId="70ED152A">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647" w:type="pct"/>
            <w:shd w:val="clear" w:color="auto" w:fill="auto"/>
            <w:vAlign w:val="center"/>
          </w:tcPr>
          <w:p w14:paraId="160F995B">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bidi="ar"/>
              </w:rPr>
              <w:t>NO</w:t>
            </w:r>
            <w:r>
              <w:rPr>
                <w:rFonts w:hint="default" w:ascii="Times New Roman" w:hAnsi="Times New Roman" w:cs="Times New Roman"/>
                <w:color w:val="auto"/>
                <w:kern w:val="0"/>
                <w:sz w:val="21"/>
                <w:szCs w:val="21"/>
                <w:highlight w:val="none"/>
                <w:vertAlign w:val="subscript"/>
                <w:lang w:val="en-US" w:eastAsia="zh-CN" w:bidi="ar"/>
              </w:rPr>
              <w:t>X</w:t>
            </w:r>
          </w:p>
        </w:tc>
        <w:tc>
          <w:tcPr>
            <w:tcW w:w="775" w:type="pct"/>
            <w:shd w:val="clear" w:color="auto" w:fill="auto"/>
            <w:vAlign w:val="center"/>
          </w:tcPr>
          <w:p w14:paraId="5FC1671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kern w:val="0"/>
                <w:sz w:val="21"/>
                <w:szCs w:val="21"/>
                <w:highlight w:val="none"/>
                <w:lang w:val="en-US" w:eastAsia="zh-CN" w:bidi="ar"/>
              </w:rPr>
            </w:pPr>
            <w:r>
              <w:rPr>
                <w:rFonts w:hint="eastAsia" w:ascii="Times New Roman" w:hAnsi="Times New Roman" w:eastAsia="宋体" w:cs="Times New Roman"/>
                <w:color w:val="auto"/>
                <w:sz w:val="21"/>
                <w:szCs w:val="21"/>
                <w:highlight w:val="none"/>
              </w:rPr>
              <w:t>0.026t/a</w:t>
            </w:r>
          </w:p>
        </w:tc>
        <w:tc>
          <w:tcPr>
            <w:tcW w:w="1027" w:type="pct"/>
            <w:vMerge w:val="continue"/>
            <w:shd w:val="clear" w:color="auto" w:fill="auto"/>
            <w:vAlign w:val="center"/>
          </w:tcPr>
          <w:p w14:paraId="6DC67994">
            <w:pPr>
              <w:spacing w:line="360" w:lineRule="exact"/>
              <w:ind w:firstLine="0" w:firstLineChars="0"/>
              <w:jc w:val="center"/>
              <w:rPr>
                <w:rFonts w:hint="default" w:ascii="Times New Roman" w:hAnsi="Times New Roman" w:cs="Times New Roman"/>
                <w:color w:val="auto"/>
                <w:kern w:val="0"/>
                <w:sz w:val="21"/>
                <w:szCs w:val="21"/>
                <w:highlight w:val="none"/>
                <w:lang w:bidi="ar"/>
              </w:rPr>
            </w:pPr>
          </w:p>
        </w:tc>
        <w:tc>
          <w:tcPr>
            <w:tcW w:w="1180" w:type="pct"/>
            <w:vMerge w:val="continue"/>
            <w:shd w:val="clear" w:color="auto" w:fill="auto"/>
            <w:vAlign w:val="center"/>
          </w:tcPr>
          <w:p w14:paraId="777B7D60">
            <w:pPr>
              <w:spacing w:line="360" w:lineRule="exact"/>
              <w:ind w:firstLine="0" w:firstLineChars="0"/>
              <w:jc w:val="center"/>
              <w:rPr>
                <w:rFonts w:hint="default" w:ascii="Times New Roman" w:hAnsi="Times New Roman" w:cs="Times New Roman"/>
                <w:color w:val="auto"/>
                <w:kern w:val="0"/>
                <w:sz w:val="21"/>
                <w:szCs w:val="21"/>
                <w:highlight w:val="none"/>
                <w:lang w:bidi="ar"/>
              </w:rPr>
            </w:pPr>
          </w:p>
        </w:tc>
      </w:tr>
      <w:tr w14:paraId="0A1BAE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 w:type="pct"/>
            <w:gridSpan w:val="2"/>
            <w:vMerge w:val="restart"/>
            <w:shd w:val="clear" w:color="auto" w:fill="auto"/>
            <w:vAlign w:val="center"/>
          </w:tcPr>
          <w:p w14:paraId="05236915">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废水</w:t>
            </w:r>
          </w:p>
        </w:tc>
        <w:tc>
          <w:tcPr>
            <w:tcW w:w="868" w:type="pct"/>
            <w:shd w:val="clear" w:color="auto" w:fill="auto"/>
            <w:vAlign w:val="center"/>
          </w:tcPr>
          <w:p w14:paraId="3FE48718">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选矿废水</w:t>
            </w:r>
          </w:p>
        </w:tc>
        <w:tc>
          <w:tcPr>
            <w:tcW w:w="647" w:type="pct"/>
            <w:shd w:val="clear" w:color="auto" w:fill="auto"/>
            <w:vAlign w:val="center"/>
          </w:tcPr>
          <w:p w14:paraId="2B6CD995">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w:t>
            </w:r>
          </w:p>
        </w:tc>
        <w:tc>
          <w:tcPr>
            <w:tcW w:w="775" w:type="pct"/>
            <w:shd w:val="clear" w:color="auto" w:fill="auto"/>
            <w:vAlign w:val="center"/>
          </w:tcPr>
          <w:p w14:paraId="3BACD29B">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val="en-US" w:eastAsia="zh-CN" w:bidi="ar"/>
              </w:rPr>
              <w:t>0</w:t>
            </w:r>
            <w:r>
              <w:rPr>
                <w:rFonts w:hint="default" w:ascii="Times New Roman" w:hAnsi="Times New Roman" w:cs="Times New Roman"/>
                <w:color w:val="auto"/>
                <w:kern w:val="0"/>
                <w:sz w:val="21"/>
                <w:szCs w:val="21"/>
                <w:highlight w:val="none"/>
                <w:lang w:bidi="ar"/>
              </w:rPr>
              <w:t>m</w:t>
            </w:r>
            <w:r>
              <w:rPr>
                <w:rFonts w:hint="default" w:ascii="Times New Roman" w:hAnsi="Times New Roman" w:cs="Times New Roman"/>
                <w:color w:val="auto"/>
                <w:kern w:val="0"/>
                <w:sz w:val="21"/>
                <w:szCs w:val="21"/>
                <w:highlight w:val="none"/>
                <w:vertAlign w:val="superscript"/>
                <w:lang w:bidi="ar"/>
              </w:rPr>
              <w:t>3</w:t>
            </w:r>
            <w:r>
              <w:rPr>
                <w:rFonts w:hint="default" w:ascii="Times New Roman" w:hAnsi="Times New Roman" w:cs="Times New Roman"/>
                <w:color w:val="auto"/>
                <w:kern w:val="0"/>
                <w:sz w:val="21"/>
                <w:szCs w:val="21"/>
                <w:highlight w:val="none"/>
                <w:lang w:bidi="ar"/>
              </w:rPr>
              <w:t>/a</w:t>
            </w:r>
          </w:p>
        </w:tc>
        <w:tc>
          <w:tcPr>
            <w:tcW w:w="1027" w:type="pct"/>
            <w:shd w:val="clear" w:color="auto" w:fill="auto"/>
            <w:vAlign w:val="center"/>
          </w:tcPr>
          <w:p w14:paraId="4D0C5A40">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循环使用，不外排。</w:t>
            </w:r>
          </w:p>
        </w:tc>
        <w:tc>
          <w:tcPr>
            <w:tcW w:w="1180" w:type="pct"/>
            <w:shd w:val="clear" w:color="auto" w:fill="auto"/>
            <w:vAlign w:val="center"/>
          </w:tcPr>
          <w:p w14:paraId="1DC88757">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循环使用不外排</w:t>
            </w:r>
          </w:p>
        </w:tc>
      </w:tr>
      <w:tr w14:paraId="60996D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 w:type="pct"/>
            <w:gridSpan w:val="2"/>
            <w:vMerge w:val="continue"/>
            <w:shd w:val="clear" w:color="auto" w:fill="auto"/>
            <w:vAlign w:val="center"/>
          </w:tcPr>
          <w:p w14:paraId="38336FC4">
            <w:pPr>
              <w:spacing w:line="360" w:lineRule="exact"/>
              <w:ind w:firstLine="0" w:firstLineChars="0"/>
              <w:jc w:val="center"/>
              <w:rPr>
                <w:rFonts w:hint="default" w:ascii="Times New Roman" w:hAnsi="Times New Roman" w:cs="Times New Roman"/>
                <w:color w:val="auto"/>
                <w:kern w:val="0"/>
                <w:sz w:val="21"/>
                <w:szCs w:val="21"/>
                <w:highlight w:val="none"/>
                <w:lang w:bidi="ar"/>
              </w:rPr>
            </w:pPr>
          </w:p>
        </w:tc>
        <w:tc>
          <w:tcPr>
            <w:tcW w:w="868" w:type="pct"/>
            <w:shd w:val="clear" w:color="auto" w:fill="auto"/>
            <w:vAlign w:val="center"/>
          </w:tcPr>
          <w:p w14:paraId="6599FCD4">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生活污水</w:t>
            </w:r>
          </w:p>
        </w:tc>
        <w:tc>
          <w:tcPr>
            <w:tcW w:w="647" w:type="pct"/>
            <w:shd w:val="clear" w:color="auto" w:fill="auto"/>
            <w:vAlign w:val="center"/>
          </w:tcPr>
          <w:p w14:paraId="06A57365">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w:t>
            </w:r>
          </w:p>
        </w:tc>
        <w:tc>
          <w:tcPr>
            <w:tcW w:w="775" w:type="pct"/>
            <w:shd w:val="clear" w:color="auto" w:fill="auto"/>
            <w:vAlign w:val="center"/>
          </w:tcPr>
          <w:p w14:paraId="71045F61">
            <w:pPr>
              <w:spacing w:line="360" w:lineRule="exact"/>
              <w:ind w:firstLine="0" w:firstLineChars="0"/>
              <w:jc w:val="center"/>
              <w:rPr>
                <w:rFonts w:hint="default" w:ascii="Times New Roman" w:hAnsi="Times New Roman" w:cs="Times New Roman"/>
                <w:color w:val="auto"/>
                <w:kern w:val="0"/>
                <w:sz w:val="21"/>
                <w:szCs w:val="21"/>
                <w:highlight w:val="none"/>
                <w:lang w:eastAsia="zh-CN" w:bidi="ar"/>
              </w:rPr>
            </w:pPr>
            <w:r>
              <w:rPr>
                <w:rFonts w:hint="eastAsia" w:cs="Times New Roman"/>
                <w:color w:val="auto"/>
                <w:kern w:val="0"/>
                <w:sz w:val="21"/>
                <w:szCs w:val="21"/>
                <w:highlight w:val="none"/>
                <w:lang w:val="en-US" w:eastAsia="zh-CN" w:bidi="ar"/>
              </w:rPr>
              <w:t>6.12</w:t>
            </w:r>
            <w:r>
              <w:rPr>
                <w:rFonts w:hint="default" w:ascii="Times New Roman" w:hAnsi="Times New Roman" w:cs="Times New Roman"/>
                <w:color w:val="auto"/>
                <w:kern w:val="0"/>
                <w:sz w:val="21"/>
                <w:szCs w:val="21"/>
                <w:highlight w:val="none"/>
                <w:lang w:bidi="ar"/>
              </w:rPr>
              <w:t>m</w:t>
            </w:r>
            <w:r>
              <w:rPr>
                <w:rFonts w:hint="default" w:ascii="Times New Roman" w:hAnsi="Times New Roman" w:cs="Times New Roman"/>
                <w:color w:val="auto"/>
                <w:kern w:val="0"/>
                <w:sz w:val="21"/>
                <w:szCs w:val="21"/>
                <w:highlight w:val="none"/>
                <w:vertAlign w:val="superscript"/>
                <w:lang w:bidi="ar"/>
              </w:rPr>
              <w:t>3</w:t>
            </w:r>
            <w:r>
              <w:rPr>
                <w:rFonts w:hint="default" w:ascii="Times New Roman" w:hAnsi="Times New Roman" w:cs="Times New Roman"/>
                <w:color w:val="auto"/>
                <w:kern w:val="0"/>
                <w:sz w:val="21"/>
                <w:szCs w:val="21"/>
                <w:highlight w:val="none"/>
                <w:lang w:bidi="ar"/>
              </w:rPr>
              <w:t>/</w:t>
            </w:r>
            <w:r>
              <w:rPr>
                <w:rFonts w:hint="default" w:ascii="Times New Roman" w:hAnsi="Times New Roman" w:cs="Times New Roman"/>
                <w:color w:val="auto"/>
                <w:kern w:val="0"/>
                <w:sz w:val="21"/>
                <w:szCs w:val="21"/>
                <w:highlight w:val="none"/>
                <w:lang w:val="en-US" w:eastAsia="zh-CN" w:bidi="ar"/>
              </w:rPr>
              <w:t>a</w:t>
            </w:r>
          </w:p>
        </w:tc>
        <w:tc>
          <w:tcPr>
            <w:tcW w:w="1027" w:type="pct"/>
            <w:shd w:val="clear" w:color="auto" w:fill="auto"/>
            <w:vAlign w:val="center"/>
          </w:tcPr>
          <w:p w14:paraId="41D50E2E">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eastAsia" w:cs="Times New Roman"/>
                <w:color w:val="auto"/>
                <w:sz w:val="21"/>
                <w:szCs w:val="21"/>
                <w:highlight w:val="none"/>
                <w:lang w:val="en-US" w:eastAsia="zh-CN"/>
              </w:rPr>
              <w:t>定期抽运至哈密市污水处理厂</w:t>
            </w:r>
          </w:p>
        </w:tc>
        <w:tc>
          <w:tcPr>
            <w:tcW w:w="1180" w:type="pct"/>
            <w:shd w:val="clear" w:color="auto" w:fill="auto"/>
            <w:vAlign w:val="center"/>
          </w:tcPr>
          <w:p w14:paraId="7665BE1D">
            <w:pPr>
              <w:spacing w:line="36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r>
      <w:tr w14:paraId="2F6EF0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 w:type="pct"/>
            <w:gridSpan w:val="2"/>
            <w:vMerge w:val="continue"/>
            <w:shd w:val="clear" w:color="auto" w:fill="auto"/>
            <w:vAlign w:val="center"/>
          </w:tcPr>
          <w:p w14:paraId="33BE7CD6">
            <w:pPr>
              <w:spacing w:line="360" w:lineRule="exact"/>
              <w:ind w:firstLine="0" w:firstLineChars="0"/>
              <w:jc w:val="center"/>
              <w:rPr>
                <w:rFonts w:hint="default" w:ascii="Times New Roman" w:hAnsi="Times New Roman" w:cs="Times New Roman"/>
                <w:color w:val="auto"/>
                <w:kern w:val="0"/>
                <w:sz w:val="21"/>
                <w:szCs w:val="21"/>
                <w:highlight w:val="none"/>
                <w:lang w:bidi="ar"/>
              </w:rPr>
            </w:pPr>
          </w:p>
        </w:tc>
        <w:tc>
          <w:tcPr>
            <w:tcW w:w="868" w:type="pct"/>
            <w:shd w:val="clear" w:color="auto" w:fill="auto"/>
            <w:vAlign w:val="center"/>
          </w:tcPr>
          <w:p w14:paraId="5FDDA0C7">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锅炉房废水</w:t>
            </w:r>
          </w:p>
        </w:tc>
        <w:tc>
          <w:tcPr>
            <w:tcW w:w="647" w:type="pct"/>
            <w:shd w:val="clear" w:color="auto" w:fill="auto"/>
            <w:vAlign w:val="center"/>
          </w:tcPr>
          <w:p w14:paraId="5E77AC3C">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w:t>
            </w:r>
          </w:p>
        </w:tc>
        <w:tc>
          <w:tcPr>
            <w:tcW w:w="775" w:type="pct"/>
            <w:shd w:val="clear" w:color="auto" w:fill="auto"/>
            <w:vAlign w:val="center"/>
          </w:tcPr>
          <w:p w14:paraId="4F9F0141">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val="en-US" w:eastAsia="zh-CN" w:bidi="ar"/>
              </w:rPr>
              <w:t>0</w:t>
            </w:r>
            <w:r>
              <w:rPr>
                <w:rFonts w:hint="default" w:ascii="Times New Roman" w:hAnsi="Times New Roman" w:cs="Times New Roman"/>
                <w:color w:val="auto"/>
                <w:kern w:val="0"/>
                <w:sz w:val="21"/>
                <w:szCs w:val="21"/>
                <w:highlight w:val="none"/>
                <w:lang w:bidi="ar"/>
              </w:rPr>
              <w:t>m</w:t>
            </w:r>
            <w:r>
              <w:rPr>
                <w:rFonts w:hint="default" w:ascii="Times New Roman" w:hAnsi="Times New Roman" w:cs="Times New Roman"/>
                <w:color w:val="auto"/>
                <w:kern w:val="0"/>
                <w:sz w:val="21"/>
                <w:szCs w:val="21"/>
                <w:highlight w:val="none"/>
                <w:vertAlign w:val="superscript"/>
                <w:lang w:bidi="ar"/>
              </w:rPr>
              <w:t>3</w:t>
            </w:r>
            <w:r>
              <w:rPr>
                <w:rFonts w:hint="default" w:ascii="Times New Roman" w:hAnsi="Times New Roman" w:cs="Times New Roman"/>
                <w:color w:val="auto"/>
                <w:kern w:val="0"/>
                <w:sz w:val="21"/>
                <w:szCs w:val="21"/>
                <w:highlight w:val="none"/>
                <w:lang w:bidi="ar"/>
              </w:rPr>
              <w:t>/a</w:t>
            </w:r>
          </w:p>
        </w:tc>
        <w:tc>
          <w:tcPr>
            <w:tcW w:w="1027" w:type="pct"/>
            <w:shd w:val="clear" w:color="auto" w:fill="auto"/>
            <w:vAlign w:val="center"/>
          </w:tcPr>
          <w:p w14:paraId="26AE03A0">
            <w:pPr>
              <w:spacing w:line="360" w:lineRule="exact"/>
              <w:ind w:firstLine="0" w:firstLineChars="0"/>
              <w:jc w:val="center"/>
              <w:rPr>
                <w:rFonts w:hint="eastAsia" w:ascii="Times New Roman" w:hAnsi="Times New Roman" w:eastAsia="宋体" w:cs="Times New Roman"/>
                <w:color w:val="auto"/>
                <w:kern w:val="0"/>
                <w:sz w:val="21"/>
                <w:szCs w:val="21"/>
                <w:highlight w:val="none"/>
                <w:lang w:eastAsia="zh-CN" w:bidi="ar"/>
              </w:rPr>
            </w:pPr>
            <w:r>
              <w:rPr>
                <w:rFonts w:hint="default" w:ascii="Times New Roman" w:hAnsi="Times New Roman" w:cs="Times New Roman"/>
                <w:color w:val="auto"/>
                <w:sz w:val="21"/>
                <w:szCs w:val="21"/>
                <w:highlight w:val="none"/>
              </w:rPr>
              <w:t>经沉淀池沉淀、中和处理后上清液回用选矿生产工序循环使用</w:t>
            </w:r>
          </w:p>
        </w:tc>
        <w:tc>
          <w:tcPr>
            <w:tcW w:w="1180" w:type="pct"/>
            <w:shd w:val="clear" w:color="auto" w:fill="auto"/>
            <w:vAlign w:val="center"/>
          </w:tcPr>
          <w:p w14:paraId="24A205C8">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eastAsia="zh-CN" w:bidi="ar"/>
              </w:rPr>
              <w:t>回用，</w:t>
            </w:r>
            <w:r>
              <w:rPr>
                <w:rFonts w:hint="default" w:ascii="Times New Roman" w:hAnsi="Times New Roman" w:cs="Times New Roman"/>
                <w:color w:val="auto"/>
                <w:kern w:val="0"/>
                <w:sz w:val="21"/>
                <w:szCs w:val="21"/>
                <w:highlight w:val="none"/>
                <w:lang w:bidi="ar"/>
              </w:rPr>
              <w:t>不外排</w:t>
            </w:r>
          </w:p>
        </w:tc>
      </w:tr>
      <w:tr w14:paraId="1DE7B1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 w:type="pct"/>
            <w:gridSpan w:val="2"/>
            <w:vMerge w:val="restart"/>
            <w:shd w:val="clear" w:color="auto" w:fill="auto"/>
            <w:vAlign w:val="center"/>
          </w:tcPr>
          <w:p w14:paraId="6994C7E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w:t>
            </w:r>
          </w:p>
        </w:tc>
        <w:tc>
          <w:tcPr>
            <w:tcW w:w="868" w:type="pct"/>
            <w:shd w:val="clear" w:color="auto" w:fill="auto"/>
            <w:vAlign w:val="center"/>
          </w:tcPr>
          <w:p w14:paraId="6532CDA8">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生活垃圾</w:t>
            </w:r>
          </w:p>
        </w:tc>
        <w:tc>
          <w:tcPr>
            <w:tcW w:w="647" w:type="pct"/>
            <w:shd w:val="clear" w:color="auto" w:fill="auto"/>
            <w:vAlign w:val="center"/>
          </w:tcPr>
          <w:p w14:paraId="53720913">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w:t>
            </w:r>
          </w:p>
        </w:tc>
        <w:tc>
          <w:tcPr>
            <w:tcW w:w="775" w:type="pct"/>
            <w:shd w:val="clear" w:color="auto" w:fill="auto"/>
            <w:vAlign w:val="center"/>
          </w:tcPr>
          <w:p w14:paraId="1FCF2F2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color w:val="auto"/>
                <w:kern w:val="0"/>
                <w:sz w:val="21"/>
                <w:szCs w:val="21"/>
                <w:highlight w:val="none"/>
              </w:rPr>
            </w:pPr>
            <w:r>
              <w:rPr>
                <w:rFonts w:hint="eastAsia" w:cs="Times New Roman"/>
                <w:bCs/>
                <w:color w:val="auto"/>
                <w:sz w:val="21"/>
                <w:szCs w:val="21"/>
                <w:highlight w:val="none"/>
                <w:lang w:val="en-US" w:eastAsia="zh-CN"/>
              </w:rPr>
              <w:t>21.6t/a</w:t>
            </w:r>
          </w:p>
        </w:tc>
        <w:tc>
          <w:tcPr>
            <w:tcW w:w="1027" w:type="pct"/>
            <w:shd w:val="clear" w:color="auto" w:fill="auto"/>
            <w:vAlign w:val="center"/>
          </w:tcPr>
          <w:p w14:paraId="7580709D">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sz w:val="21"/>
                <w:szCs w:val="21"/>
                <w:highlight w:val="none"/>
              </w:rPr>
              <w:t>集中收集后，定期清运</w:t>
            </w:r>
          </w:p>
        </w:tc>
        <w:tc>
          <w:tcPr>
            <w:tcW w:w="1180" w:type="pct"/>
            <w:vMerge w:val="restart"/>
            <w:shd w:val="clear" w:color="auto" w:fill="auto"/>
            <w:vAlign w:val="center"/>
          </w:tcPr>
          <w:p w14:paraId="0ADF146A">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合理处置，不外排</w:t>
            </w:r>
          </w:p>
        </w:tc>
      </w:tr>
      <w:tr w14:paraId="6C73E3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 w:type="pct"/>
            <w:gridSpan w:val="2"/>
            <w:vMerge w:val="continue"/>
            <w:shd w:val="clear" w:color="auto" w:fill="auto"/>
            <w:vAlign w:val="center"/>
          </w:tcPr>
          <w:p w14:paraId="72AD648D">
            <w:pPr>
              <w:spacing w:line="360" w:lineRule="exact"/>
              <w:ind w:firstLine="0" w:firstLineChars="0"/>
              <w:jc w:val="center"/>
              <w:rPr>
                <w:rFonts w:hint="default" w:ascii="Times New Roman" w:hAnsi="Times New Roman" w:cs="Times New Roman"/>
                <w:color w:val="auto"/>
                <w:sz w:val="21"/>
                <w:szCs w:val="21"/>
                <w:highlight w:val="none"/>
              </w:rPr>
            </w:pPr>
          </w:p>
        </w:tc>
        <w:tc>
          <w:tcPr>
            <w:tcW w:w="868" w:type="pct"/>
            <w:shd w:val="clear" w:color="auto" w:fill="auto"/>
            <w:vAlign w:val="center"/>
          </w:tcPr>
          <w:p w14:paraId="10D2EC2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尾矿砂</w:t>
            </w:r>
          </w:p>
        </w:tc>
        <w:tc>
          <w:tcPr>
            <w:tcW w:w="647" w:type="pct"/>
            <w:shd w:val="clear" w:color="auto" w:fill="auto"/>
            <w:vAlign w:val="center"/>
          </w:tcPr>
          <w:p w14:paraId="4D6828C8">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w:t>
            </w:r>
          </w:p>
        </w:tc>
        <w:tc>
          <w:tcPr>
            <w:tcW w:w="775" w:type="pct"/>
            <w:shd w:val="clear" w:color="auto" w:fill="auto"/>
            <w:vAlign w:val="center"/>
          </w:tcPr>
          <w:p w14:paraId="7F62F79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kern w:val="0"/>
                <w:sz w:val="21"/>
                <w:szCs w:val="21"/>
                <w:highlight w:val="none"/>
              </w:rPr>
            </w:pPr>
            <w:r>
              <w:rPr>
                <w:rFonts w:hint="eastAsia" w:cs="Times New Roman"/>
                <w:bCs/>
                <w:color w:val="auto"/>
                <w:sz w:val="21"/>
                <w:szCs w:val="21"/>
                <w:highlight w:val="none"/>
                <w:lang w:val="en-US" w:eastAsia="zh-CN"/>
              </w:rPr>
              <w:t>46.62万t/a</w:t>
            </w:r>
          </w:p>
        </w:tc>
        <w:tc>
          <w:tcPr>
            <w:tcW w:w="1027" w:type="pct"/>
            <w:shd w:val="clear" w:color="auto" w:fill="auto"/>
            <w:vAlign w:val="center"/>
          </w:tcPr>
          <w:p w14:paraId="436EC5D0">
            <w:pPr>
              <w:spacing w:line="360" w:lineRule="exact"/>
              <w:ind w:firstLine="0" w:firstLineChars="0"/>
              <w:jc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bidi="ar"/>
              </w:rPr>
              <w:t>排入尾矿库</w:t>
            </w:r>
            <w:r>
              <w:rPr>
                <w:rFonts w:hint="eastAsia" w:cs="Times New Roman"/>
                <w:color w:val="auto"/>
                <w:kern w:val="0"/>
                <w:sz w:val="21"/>
                <w:szCs w:val="21"/>
                <w:highlight w:val="none"/>
                <w:lang w:eastAsia="zh-CN" w:bidi="ar"/>
              </w:rPr>
              <w:t>，</w:t>
            </w:r>
            <w:r>
              <w:rPr>
                <w:rFonts w:hint="default" w:ascii="Times New Roman" w:hAnsi="Times New Roman" w:cs="Times New Roman"/>
                <w:color w:val="auto"/>
                <w:sz w:val="21"/>
                <w:szCs w:val="21"/>
                <w:highlight w:val="none"/>
              </w:rPr>
              <w:t>堆存于尾矿库</w:t>
            </w:r>
            <w:r>
              <w:rPr>
                <w:rFonts w:hint="eastAsia" w:cs="Times New Roman"/>
                <w:color w:val="auto"/>
                <w:sz w:val="21"/>
                <w:szCs w:val="21"/>
                <w:highlight w:val="none"/>
                <w:lang w:val="en-US" w:eastAsia="zh-CN"/>
              </w:rPr>
              <w:t>中</w:t>
            </w:r>
          </w:p>
        </w:tc>
        <w:tc>
          <w:tcPr>
            <w:tcW w:w="1180" w:type="pct"/>
            <w:vMerge w:val="continue"/>
            <w:shd w:val="clear" w:color="auto" w:fill="auto"/>
            <w:vAlign w:val="center"/>
          </w:tcPr>
          <w:p w14:paraId="566C3657">
            <w:pPr>
              <w:spacing w:line="360" w:lineRule="exact"/>
              <w:ind w:firstLine="0" w:firstLineChars="0"/>
              <w:jc w:val="center"/>
              <w:rPr>
                <w:rFonts w:hint="default" w:ascii="Times New Roman" w:hAnsi="Times New Roman" w:cs="Times New Roman"/>
                <w:color w:val="auto"/>
                <w:sz w:val="21"/>
                <w:szCs w:val="21"/>
                <w:highlight w:val="none"/>
              </w:rPr>
            </w:pPr>
          </w:p>
        </w:tc>
      </w:tr>
      <w:tr w14:paraId="059135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 w:type="pct"/>
            <w:gridSpan w:val="2"/>
            <w:vMerge w:val="continue"/>
            <w:shd w:val="clear" w:color="auto" w:fill="auto"/>
            <w:vAlign w:val="center"/>
          </w:tcPr>
          <w:p w14:paraId="10847528">
            <w:pPr>
              <w:spacing w:line="360" w:lineRule="exact"/>
              <w:ind w:firstLine="0" w:firstLineChars="0"/>
              <w:jc w:val="center"/>
              <w:rPr>
                <w:rFonts w:hint="default" w:ascii="Times New Roman" w:hAnsi="Times New Roman" w:cs="Times New Roman"/>
                <w:color w:val="auto"/>
                <w:sz w:val="21"/>
                <w:szCs w:val="21"/>
                <w:highlight w:val="none"/>
              </w:rPr>
            </w:pPr>
          </w:p>
        </w:tc>
        <w:tc>
          <w:tcPr>
            <w:tcW w:w="868" w:type="pct"/>
            <w:shd w:val="clear" w:color="auto" w:fill="auto"/>
            <w:vAlign w:val="center"/>
          </w:tcPr>
          <w:p w14:paraId="0D1D311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废机油</w:t>
            </w:r>
          </w:p>
        </w:tc>
        <w:tc>
          <w:tcPr>
            <w:tcW w:w="647" w:type="pct"/>
            <w:shd w:val="clear" w:color="auto" w:fill="auto"/>
            <w:vAlign w:val="center"/>
          </w:tcPr>
          <w:p w14:paraId="4E3500B7">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w:t>
            </w:r>
          </w:p>
        </w:tc>
        <w:tc>
          <w:tcPr>
            <w:tcW w:w="775" w:type="pct"/>
            <w:shd w:val="clear" w:color="auto" w:fill="auto"/>
            <w:vAlign w:val="center"/>
          </w:tcPr>
          <w:p w14:paraId="099F865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eastAsia" w:cs="Times New Roman"/>
                <w:bCs/>
                <w:color w:val="auto"/>
                <w:sz w:val="21"/>
                <w:szCs w:val="21"/>
                <w:highlight w:val="none"/>
                <w:lang w:val="en-US" w:eastAsia="zh-CN"/>
              </w:rPr>
              <w:t>0.33t/a</w:t>
            </w:r>
          </w:p>
        </w:tc>
        <w:tc>
          <w:tcPr>
            <w:tcW w:w="1027" w:type="pct"/>
            <w:vMerge w:val="restart"/>
            <w:shd w:val="clear" w:color="auto" w:fill="auto"/>
            <w:vAlign w:val="center"/>
          </w:tcPr>
          <w:p w14:paraId="09CE0CB5">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eastAsia" w:cs="Times New Roman"/>
                <w:bCs/>
                <w:color w:val="auto"/>
                <w:sz w:val="21"/>
                <w:szCs w:val="21"/>
                <w:highlight w:val="none"/>
                <w:lang w:val="en-US" w:eastAsia="zh-CN"/>
              </w:rPr>
              <w:t>存放于</w:t>
            </w:r>
            <w:r>
              <w:rPr>
                <w:rFonts w:hint="eastAsia" w:cs="Times New Roman"/>
                <w:bCs/>
                <w:color w:val="auto"/>
                <w:sz w:val="21"/>
                <w:szCs w:val="21"/>
                <w:highlight w:val="none"/>
                <w:lang w:eastAsia="zh-CN"/>
              </w:rPr>
              <w:t>危废贮存点</w:t>
            </w:r>
            <w:r>
              <w:rPr>
                <w:rFonts w:hint="default" w:ascii="Times New Roman" w:hAnsi="Times New Roman" w:cs="Times New Roman"/>
                <w:bCs/>
                <w:color w:val="auto"/>
                <w:sz w:val="21"/>
                <w:szCs w:val="21"/>
                <w:highlight w:val="none"/>
                <w:lang w:eastAsia="zh-CN"/>
              </w:rPr>
              <w:t>，</w:t>
            </w:r>
            <w:r>
              <w:rPr>
                <w:rFonts w:hint="default" w:ascii="Times New Roman" w:hAnsi="Times New Roman" w:cs="Times New Roman"/>
                <w:bCs/>
                <w:color w:val="auto"/>
                <w:sz w:val="21"/>
                <w:szCs w:val="21"/>
                <w:highlight w:val="none"/>
              </w:rPr>
              <w:t>定期</w:t>
            </w:r>
            <w:r>
              <w:rPr>
                <w:rFonts w:hint="eastAsia" w:ascii="Times New Roman" w:hAnsi="Times New Roman" w:cs="Times New Roman"/>
                <w:bCs/>
                <w:color w:val="auto"/>
                <w:sz w:val="21"/>
                <w:szCs w:val="21"/>
                <w:highlight w:val="none"/>
                <w:lang w:eastAsia="zh-CN"/>
              </w:rPr>
              <w:t>交由</w:t>
            </w:r>
            <w:r>
              <w:rPr>
                <w:rFonts w:hint="default" w:ascii="Times New Roman" w:hAnsi="Times New Roman" w:cs="Times New Roman"/>
                <w:bCs/>
                <w:color w:val="auto"/>
                <w:sz w:val="21"/>
                <w:szCs w:val="21"/>
                <w:highlight w:val="none"/>
              </w:rPr>
              <w:t>资质单位处置</w:t>
            </w:r>
          </w:p>
        </w:tc>
        <w:tc>
          <w:tcPr>
            <w:tcW w:w="1180" w:type="pct"/>
            <w:vMerge w:val="continue"/>
            <w:shd w:val="clear" w:color="auto" w:fill="auto"/>
            <w:vAlign w:val="center"/>
          </w:tcPr>
          <w:p w14:paraId="0AED2CF5">
            <w:pPr>
              <w:spacing w:line="360" w:lineRule="exact"/>
              <w:ind w:firstLine="0" w:firstLineChars="0"/>
              <w:jc w:val="center"/>
              <w:rPr>
                <w:rFonts w:hint="default" w:ascii="Times New Roman" w:hAnsi="Times New Roman" w:cs="Times New Roman"/>
                <w:color w:val="auto"/>
                <w:sz w:val="21"/>
                <w:szCs w:val="21"/>
                <w:highlight w:val="none"/>
              </w:rPr>
            </w:pPr>
          </w:p>
        </w:tc>
      </w:tr>
      <w:tr w14:paraId="70869F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 w:type="pct"/>
            <w:gridSpan w:val="2"/>
            <w:vMerge w:val="continue"/>
            <w:shd w:val="clear" w:color="auto" w:fill="auto"/>
            <w:vAlign w:val="center"/>
          </w:tcPr>
          <w:p w14:paraId="208D7BAE">
            <w:pPr>
              <w:spacing w:line="360" w:lineRule="exact"/>
              <w:ind w:firstLine="0" w:firstLineChars="0"/>
              <w:jc w:val="center"/>
              <w:rPr>
                <w:rFonts w:hint="default" w:ascii="Times New Roman" w:hAnsi="Times New Roman" w:cs="Times New Roman"/>
                <w:color w:val="auto"/>
                <w:sz w:val="21"/>
                <w:szCs w:val="21"/>
                <w:highlight w:val="none"/>
              </w:rPr>
            </w:pPr>
          </w:p>
        </w:tc>
        <w:tc>
          <w:tcPr>
            <w:tcW w:w="868" w:type="pct"/>
            <w:shd w:val="clear" w:color="auto" w:fill="auto"/>
            <w:vAlign w:val="center"/>
          </w:tcPr>
          <w:p w14:paraId="62855E94">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废油桶</w:t>
            </w:r>
          </w:p>
        </w:tc>
        <w:tc>
          <w:tcPr>
            <w:tcW w:w="647" w:type="pct"/>
            <w:shd w:val="clear" w:color="auto" w:fill="auto"/>
            <w:vAlign w:val="center"/>
          </w:tcPr>
          <w:p w14:paraId="2A0EC29B">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w:t>
            </w:r>
          </w:p>
        </w:tc>
        <w:tc>
          <w:tcPr>
            <w:tcW w:w="775" w:type="pct"/>
            <w:shd w:val="clear" w:color="auto" w:fill="auto"/>
            <w:vAlign w:val="center"/>
          </w:tcPr>
          <w:p w14:paraId="0E55B44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bCs/>
                <w:color w:val="auto"/>
                <w:sz w:val="21"/>
                <w:szCs w:val="21"/>
                <w:highlight w:val="none"/>
                <w:lang w:val="en-US" w:eastAsia="zh-CN"/>
              </w:rPr>
              <w:t>0t/a</w:t>
            </w:r>
          </w:p>
        </w:tc>
        <w:tc>
          <w:tcPr>
            <w:tcW w:w="1027" w:type="pct"/>
            <w:vMerge w:val="continue"/>
            <w:shd w:val="clear" w:color="auto" w:fill="auto"/>
            <w:vAlign w:val="center"/>
          </w:tcPr>
          <w:p w14:paraId="410DDB34">
            <w:pPr>
              <w:spacing w:line="360" w:lineRule="exact"/>
              <w:ind w:firstLine="0" w:firstLineChars="0"/>
              <w:jc w:val="center"/>
              <w:rPr>
                <w:rFonts w:hint="default" w:ascii="Times New Roman" w:hAnsi="Times New Roman" w:cs="Times New Roman"/>
                <w:color w:val="auto"/>
                <w:kern w:val="0"/>
                <w:sz w:val="21"/>
                <w:szCs w:val="21"/>
                <w:highlight w:val="none"/>
                <w:lang w:bidi="ar"/>
              </w:rPr>
            </w:pPr>
          </w:p>
        </w:tc>
        <w:tc>
          <w:tcPr>
            <w:tcW w:w="1180" w:type="pct"/>
            <w:vMerge w:val="continue"/>
            <w:shd w:val="clear" w:color="auto" w:fill="auto"/>
            <w:vAlign w:val="center"/>
          </w:tcPr>
          <w:p w14:paraId="55E3C65B">
            <w:pPr>
              <w:spacing w:line="360" w:lineRule="exact"/>
              <w:ind w:firstLine="0" w:firstLineChars="0"/>
              <w:jc w:val="center"/>
              <w:rPr>
                <w:rFonts w:hint="default" w:ascii="Times New Roman" w:hAnsi="Times New Roman" w:cs="Times New Roman"/>
                <w:color w:val="auto"/>
                <w:sz w:val="21"/>
                <w:szCs w:val="21"/>
                <w:highlight w:val="none"/>
              </w:rPr>
            </w:pPr>
          </w:p>
        </w:tc>
      </w:tr>
      <w:tr w14:paraId="02597D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 w:type="pct"/>
            <w:gridSpan w:val="2"/>
            <w:vMerge w:val="continue"/>
            <w:shd w:val="clear" w:color="auto" w:fill="auto"/>
            <w:vAlign w:val="center"/>
          </w:tcPr>
          <w:p w14:paraId="7F7236DA">
            <w:pPr>
              <w:spacing w:line="360" w:lineRule="exact"/>
              <w:ind w:firstLine="0" w:firstLineChars="0"/>
              <w:jc w:val="center"/>
              <w:rPr>
                <w:rFonts w:hint="default" w:ascii="Times New Roman" w:hAnsi="Times New Roman" w:cs="Times New Roman"/>
                <w:color w:val="auto"/>
                <w:sz w:val="21"/>
                <w:szCs w:val="21"/>
                <w:highlight w:val="none"/>
              </w:rPr>
            </w:pPr>
          </w:p>
        </w:tc>
        <w:tc>
          <w:tcPr>
            <w:tcW w:w="868" w:type="pct"/>
            <w:shd w:val="clear" w:color="auto" w:fill="auto"/>
            <w:vAlign w:val="center"/>
          </w:tcPr>
          <w:p w14:paraId="30FE598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lang w:eastAsia="zh-CN"/>
              </w:rPr>
              <w:t>原辅料废包装物</w:t>
            </w:r>
          </w:p>
        </w:tc>
        <w:tc>
          <w:tcPr>
            <w:tcW w:w="647" w:type="pct"/>
            <w:shd w:val="clear" w:color="auto" w:fill="auto"/>
            <w:vAlign w:val="center"/>
          </w:tcPr>
          <w:p w14:paraId="34AA959E">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w:t>
            </w:r>
          </w:p>
        </w:tc>
        <w:tc>
          <w:tcPr>
            <w:tcW w:w="775" w:type="pct"/>
            <w:shd w:val="clear" w:color="auto" w:fill="auto"/>
            <w:vAlign w:val="center"/>
          </w:tcPr>
          <w:p w14:paraId="26EE14B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Cs/>
                <w:color w:val="auto"/>
                <w:sz w:val="21"/>
                <w:szCs w:val="21"/>
                <w:highlight w:val="none"/>
              </w:rPr>
            </w:pPr>
            <w:r>
              <w:rPr>
                <w:rFonts w:hint="eastAsia" w:cs="Times New Roman"/>
                <w:bCs/>
                <w:color w:val="auto"/>
                <w:sz w:val="21"/>
                <w:szCs w:val="21"/>
                <w:highlight w:val="none"/>
                <w:lang w:val="en-US" w:eastAsia="zh-CN"/>
              </w:rPr>
              <w:t>0t/a</w:t>
            </w:r>
          </w:p>
        </w:tc>
        <w:tc>
          <w:tcPr>
            <w:tcW w:w="1027" w:type="pct"/>
            <w:shd w:val="clear" w:color="auto" w:fill="auto"/>
            <w:vAlign w:val="center"/>
          </w:tcPr>
          <w:p w14:paraId="6D461D8E">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由厂家回收处理</w:t>
            </w:r>
          </w:p>
        </w:tc>
        <w:tc>
          <w:tcPr>
            <w:tcW w:w="1180" w:type="pct"/>
            <w:vMerge w:val="continue"/>
            <w:shd w:val="clear" w:color="auto" w:fill="auto"/>
            <w:vAlign w:val="center"/>
          </w:tcPr>
          <w:p w14:paraId="420A0757">
            <w:pPr>
              <w:spacing w:line="360" w:lineRule="exact"/>
              <w:ind w:firstLine="0" w:firstLineChars="0"/>
              <w:jc w:val="center"/>
              <w:rPr>
                <w:rFonts w:hint="default" w:ascii="Times New Roman" w:hAnsi="Times New Roman" w:cs="Times New Roman"/>
                <w:color w:val="auto"/>
                <w:sz w:val="21"/>
                <w:szCs w:val="21"/>
                <w:highlight w:val="none"/>
              </w:rPr>
            </w:pPr>
          </w:p>
        </w:tc>
      </w:tr>
      <w:tr w14:paraId="7E92FC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 w:type="pct"/>
            <w:gridSpan w:val="2"/>
            <w:vMerge w:val="continue"/>
            <w:shd w:val="clear" w:color="auto" w:fill="auto"/>
            <w:vAlign w:val="center"/>
          </w:tcPr>
          <w:p w14:paraId="1E3DADE1">
            <w:pPr>
              <w:spacing w:line="360" w:lineRule="exact"/>
              <w:ind w:firstLine="0" w:firstLineChars="0"/>
              <w:jc w:val="center"/>
              <w:rPr>
                <w:rFonts w:hint="default" w:ascii="Times New Roman" w:hAnsi="Times New Roman" w:cs="Times New Roman"/>
                <w:color w:val="auto"/>
                <w:sz w:val="21"/>
                <w:szCs w:val="21"/>
                <w:highlight w:val="none"/>
              </w:rPr>
            </w:pPr>
          </w:p>
        </w:tc>
        <w:tc>
          <w:tcPr>
            <w:tcW w:w="868" w:type="pct"/>
            <w:shd w:val="clear" w:color="auto" w:fill="auto"/>
            <w:vAlign w:val="center"/>
          </w:tcPr>
          <w:p w14:paraId="32E10D52">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除尘灰</w:t>
            </w:r>
          </w:p>
        </w:tc>
        <w:tc>
          <w:tcPr>
            <w:tcW w:w="647" w:type="pct"/>
            <w:shd w:val="clear" w:color="auto" w:fill="auto"/>
            <w:vAlign w:val="center"/>
          </w:tcPr>
          <w:p w14:paraId="1FE4D831">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w:t>
            </w:r>
          </w:p>
        </w:tc>
        <w:tc>
          <w:tcPr>
            <w:tcW w:w="775" w:type="pct"/>
            <w:shd w:val="clear" w:color="auto" w:fill="auto"/>
            <w:vAlign w:val="center"/>
          </w:tcPr>
          <w:p w14:paraId="202CB95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bCs/>
                <w:color w:val="auto"/>
                <w:sz w:val="21"/>
                <w:szCs w:val="21"/>
                <w:highlight w:val="none"/>
                <w:lang w:val="en-US" w:eastAsia="zh-CN"/>
              </w:rPr>
              <w:t>134.19t/a</w:t>
            </w:r>
          </w:p>
        </w:tc>
        <w:tc>
          <w:tcPr>
            <w:tcW w:w="1027" w:type="pct"/>
            <w:shd w:val="clear" w:color="auto" w:fill="auto"/>
            <w:vAlign w:val="center"/>
          </w:tcPr>
          <w:p w14:paraId="7BCDE882">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eastAsia" w:cs="Times New Roman"/>
                <w:color w:val="auto"/>
                <w:sz w:val="21"/>
                <w:szCs w:val="21"/>
                <w:highlight w:val="none"/>
                <w:lang w:val="en-US" w:eastAsia="zh-CN"/>
              </w:rPr>
              <w:t>破碎筛分</w:t>
            </w:r>
            <w:r>
              <w:rPr>
                <w:rFonts w:hint="default" w:ascii="Times New Roman" w:hAnsi="Times New Roman" w:cs="Times New Roman"/>
                <w:color w:val="auto"/>
                <w:sz w:val="21"/>
                <w:szCs w:val="21"/>
                <w:highlight w:val="none"/>
              </w:rPr>
              <w:t>除尘器灰斗收集后回用于选矿生产。燃煤锅炉除尘灰，定期外售给建材企业或水泥厂进行综合利用。</w:t>
            </w:r>
          </w:p>
        </w:tc>
        <w:tc>
          <w:tcPr>
            <w:tcW w:w="1180" w:type="pct"/>
            <w:vMerge w:val="continue"/>
            <w:shd w:val="clear" w:color="auto" w:fill="auto"/>
            <w:vAlign w:val="center"/>
          </w:tcPr>
          <w:p w14:paraId="43AE261C">
            <w:pPr>
              <w:spacing w:line="360" w:lineRule="exact"/>
              <w:ind w:firstLine="0" w:firstLineChars="0"/>
              <w:jc w:val="center"/>
              <w:rPr>
                <w:rFonts w:hint="default" w:ascii="Times New Roman" w:hAnsi="Times New Roman" w:cs="Times New Roman"/>
                <w:color w:val="auto"/>
                <w:sz w:val="21"/>
                <w:szCs w:val="21"/>
                <w:highlight w:val="none"/>
              </w:rPr>
            </w:pPr>
          </w:p>
        </w:tc>
      </w:tr>
      <w:tr w14:paraId="79BB84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 w:type="pct"/>
            <w:gridSpan w:val="2"/>
            <w:vMerge w:val="continue"/>
            <w:shd w:val="clear" w:color="auto" w:fill="auto"/>
            <w:vAlign w:val="center"/>
          </w:tcPr>
          <w:p w14:paraId="69849EC7">
            <w:pPr>
              <w:spacing w:line="360" w:lineRule="exact"/>
              <w:ind w:firstLine="0" w:firstLineChars="0"/>
              <w:jc w:val="center"/>
              <w:rPr>
                <w:rFonts w:hint="default" w:ascii="Times New Roman" w:hAnsi="Times New Roman" w:cs="Times New Roman"/>
                <w:color w:val="auto"/>
                <w:sz w:val="21"/>
                <w:szCs w:val="21"/>
                <w:highlight w:val="none"/>
              </w:rPr>
            </w:pPr>
          </w:p>
        </w:tc>
        <w:tc>
          <w:tcPr>
            <w:tcW w:w="868" w:type="pct"/>
            <w:shd w:val="clear" w:color="auto" w:fill="auto"/>
            <w:vAlign w:val="center"/>
          </w:tcPr>
          <w:p w14:paraId="7C9A4E79">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废离子交换树脂</w:t>
            </w:r>
          </w:p>
        </w:tc>
        <w:tc>
          <w:tcPr>
            <w:tcW w:w="647" w:type="pct"/>
            <w:shd w:val="clear" w:color="auto" w:fill="auto"/>
            <w:vAlign w:val="center"/>
          </w:tcPr>
          <w:p w14:paraId="0C0C3CB9">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w:t>
            </w:r>
          </w:p>
        </w:tc>
        <w:tc>
          <w:tcPr>
            <w:tcW w:w="775" w:type="pct"/>
            <w:shd w:val="clear" w:color="auto" w:fill="auto"/>
            <w:vAlign w:val="center"/>
          </w:tcPr>
          <w:p w14:paraId="39D3D4E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bCs/>
                <w:color w:val="auto"/>
                <w:sz w:val="21"/>
                <w:szCs w:val="21"/>
                <w:highlight w:val="none"/>
                <w:lang w:val="en-US" w:eastAsia="zh-CN"/>
              </w:rPr>
              <w:t>0t/a</w:t>
            </w:r>
          </w:p>
        </w:tc>
        <w:tc>
          <w:tcPr>
            <w:tcW w:w="1027" w:type="pct"/>
            <w:shd w:val="clear" w:color="auto" w:fill="auto"/>
            <w:vAlign w:val="center"/>
          </w:tcPr>
          <w:p w14:paraId="2A8C5963">
            <w:pPr>
              <w:spacing w:line="360" w:lineRule="exact"/>
              <w:ind w:firstLine="0" w:firstLineChars="0"/>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bCs/>
                <w:color w:val="auto"/>
                <w:sz w:val="21"/>
                <w:szCs w:val="21"/>
                <w:highlight w:val="none"/>
              </w:rPr>
              <w:t>厂家回收处理</w:t>
            </w:r>
          </w:p>
        </w:tc>
        <w:tc>
          <w:tcPr>
            <w:tcW w:w="1180" w:type="pct"/>
            <w:vMerge w:val="continue"/>
            <w:shd w:val="clear" w:color="auto" w:fill="auto"/>
            <w:vAlign w:val="center"/>
          </w:tcPr>
          <w:p w14:paraId="62D34535">
            <w:pPr>
              <w:spacing w:line="360" w:lineRule="exact"/>
              <w:ind w:firstLine="0" w:firstLineChars="0"/>
              <w:jc w:val="center"/>
              <w:rPr>
                <w:rFonts w:hint="default" w:ascii="Times New Roman" w:hAnsi="Times New Roman" w:cs="Times New Roman"/>
                <w:color w:val="auto"/>
                <w:sz w:val="21"/>
                <w:szCs w:val="21"/>
                <w:highlight w:val="none"/>
              </w:rPr>
            </w:pPr>
          </w:p>
        </w:tc>
      </w:tr>
      <w:tr w14:paraId="52F449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 w:type="pct"/>
            <w:gridSpan w:val="2"/>
            <w:vMerge w:val="continue"/>
            <w:shd w:val="clear" w:color="auto" w:fill="auto"/>
          </w:tcPr>
          <w:p w14:paraId="6642E49C">
            <w:pPr>
              <w:spacing w:line="360" w:lineRule="exact"/>
              <w:ind w:firstLine="0" w:firstLineChars="0"/>
              <w:jc w:val="center"/>
              <w:rPr>
                <w:rFonts w:hint="default" w:ascii="Times New Roman" w:hAnsi="Times New Roman" w:cs="Times New Roman"/>
                <w:color w:val="auto"/>
                <w:sz w:val="21"/>
                <w:szCs w:val="21"/>
                <w:highlight w:val="none"/>
              </w:rPr>
            </w:pPr>
          </w:p>
        </w:tc>
        <w:tc>
          <w:tcPr>
            <w:tcW w:w="868" w:type="pct"/>
            <w:shd w:val="clear" w:color="auto" w:fill="auto"/>
            <w:vAlign w:val="center"/>
          </w:tcPr>
          <w:p w14:paraId="59A5151E">
            <w:pPr>
              <w:spacing w:line="360" w:lineRule="exact"/>
              <w:ind w:firstLine="0" w:firstLineChars="0"/>
              <w:jc w:val="center"/>
              <w:rPr>
                <w:rFonts w:hint="default" w:ascii="Times New Roman" w:hAnsi="Times New Roman" w:cs="Times New Roman"/>
                <w:bCs/>
                <w:color w:val="auto"/>
                <w:sz w:val="21"/>
                <w:szCs w:val="21"/>
                <w:highlight w:val="none"/>
              </w:rPr>
            </w:pPr>
            <w:r>
              <w:rPr>
                <w:rFonts w:hint="eastAsia" w:cs="Times New Roman"/>
                <w:bCs/>
                <w:color w:val="auto"/>
                <w:sz w:val="21"/>
                <w:szCs w:val="21"/>
                <w:highlight w:val="none"/>
                <w:lang w:val="en-US" w:eastAsia="zh-CN"/>
              </w:rPr>
              <w:t>沉淀池</w:t>
            </w:r>
            <w:r>
              <w:rPr>
                <w:rFonts w:hint="default" w:ascii="Times New Roman" w:hAnsi="Times New Roman" w:cs="Times New Roman"/>
                <w:bCs/>
                <w:color w:val="auto"/>
                <w:sz w:val="21"/>
                <w:szCs w:val="21"/>
                <w:highlight w:val="none"/>
              </w:rPr>
              <w:t>底泥</w:t>
            </w:r>
          </w:p>
        </w:tc>
        <w:tc>
          <w:tcPr>
            <w:tcW w:w="647" w:type="pct"/>
            <w:shd w:val="clear" w:color="auto" w:fill="auto"/>
            <w:vAlign w:val="center"/>
          </w:tcPr>
          <w:p w14:paraId="4E651430">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w:t>
            </w:r>
          </w:p>
        </w:tc>
        <w:tc>
          <w:tcPr>
            <w:tcW w:w="775" w:type="pct"/>
            <w:shd w:val="clear" w:color="auto" w:fill="auto"/>
            <w:vAlign w:val="center"/>
          </w:tcPr>
          <w:p w14:paraId="2AFBB5E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bCs/>
                <w:color w:val="auto"/>
                <w:sz w:val="21"/>
                <w:szCs w:val="21"/>
                <w:highlight w:val="none"/>
                <w:lang w:val="en-US" w:eastAsia="zh-CN"/>
              </w:rPr>
              <w:t>0t/a</w:t>
            </w:r>
          </w:p>
        </w:tc>
        <w:tc>
          <w:tcPr>
            <w:tcW w:w="1027" w:type="pct"/>
            <w:shd w:val="clear" w:color="auto" w:fill="auto"/>
            <w:vAlign w:val="center"/>
          </w:tcPr>
          <w:p w14:paraId="211E0C05">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定期清理，返回生产工序回用于选矿</w:t>
            </w:r>
          </w:p>
        </w:tc>
        <w:tc>
          <w:tcPr>
            <w:tcW w:w="1180" w:type="pct"/>
            <w:vMerge w:val="continue"/>
            <w:shd w:val="clear" w:color="auto" w:fill="auto"/>
          </w:tcPr>
          <w:p w14:paraId="41D69C94">
            <w:pPr>
              <w:spacing w:line="360" w:lineRule="exact"/>
              <w:ind w:firstLine="0" w:firstLineChars="0"/>
              <w:jc w:val="center"/>
              <w:rPr>
                <w:rFonts w:hint="default" w:ascii="Times New Roman" w:hAnsi="Times New Roman" w:cs="Times New Roman"/>
                <w:color w:val="auto"/>
                <w:sz w:val="21"/>
                <w:szCs w:val="21"/>
                <w:highlight w:val="none"/>
              </w:rPr>
            </w:pPr>
          </w:p>
        </w:tc>
      </w:tr>
      <w:tr w14:paraId="1E6070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 w:type="pct"/>
            <w:gridSpan w:val="2"/>
            <w:vMerge w:val="continue"/>
            <w:shd w:val="clear" w:color="auto" w:fill="auto"/>
          </w:tcPr>
          <w:p w14:paraId="35197AF3">
            <w:pPr>
              <w:spacing w:line="360" w:lineRule="exact"/>
              <w:ind w:firstLine="0" w:firstLineChars="0"/>
              <w:jc w:val="center"/>
              <w:rPr>
                <w:rFonts w:hint="default" w:ascii="Times New Roman" w:hAnsi="Times New Roman" w:cs="Times New Roman"/>
                <w:color w:val="auto"/>
                <w:sz w:val="21"/>
                <w:szCs w:val="21"/>
                <w:highlight w:val="none"/>
              </w:rPr>
            </w:pPr>
          </w:p>
        </w:tc>
        <w:tc>
          <w:tcPr>
            <w:tcW w:w="868" w:type="pct"/>
            <w:shd w:val="clear" w:color="auto" w:fill="auto"/>
            <w:vAlign w:val="center"/>
          </w:tcPr>
          <w:p w14:paraId="7EF00AE0">
            <w:pPr>
              <w:spacing w:line="360" w:lineRule="exact"/>
              <w:ind w:firstLine="0" w:firstLineChars="0"/>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脱硫石膏</w:t>
            </w:r>
          </w:p>
        </w:tc>
        <w:tc>
          <w:tcPr>
            <w:tcW w:w="647" w:type="pct"/>
            <w:shd w:val="clear" w:color="auto" w:fill="auto"/>
            <w:vAlign w:val="center"/>
          </w:tcPr>
          <w:p w14:paraId="6314A6C8">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w:t>
            </w:r>
          </w:p>
        </w:tc>
        <w:tc>
          <w:tcPr>
            <w:tcW w:w="775" w:type="pct"/>
            <w:shd w:val="clear" w:color="auto" w:fill="auto"/>
            <w:vAlign w:val="center"/>
          </w:tcPr>
          <w:p w14:paraId="51745C5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50t/a</w:t>
            </w:r>
          </w:p>
        </w:tc>
        <w:tc>
          <w:tcPr>
            <w:tcW w:w="1027" w:type="pct"/>
            <w:shd w:val="clear" w:color="auto" w:fill="auto"/>
            <w:vAlign w:val="center"/>
          </w:tcPr>
          <w:p w14:paraId="578354A7">
            <w:pPr>
              <w:spacing w:line="360" w:lineRule="exact"/>
              <w:ind w:firstLine="0" w:firstLineChars="0"/>
              <w:jc w:val="center"/>
              <w:rPr>
                <w:rFonts w:hint="default" w:ascii="Times New Roman" w:hAnsi="Times New Roman" w:cs="Times New Roman"/>
                <w:bCs/>
                <w:color w:val="auto"/>
                <w:sz w:val="21"/>
                <w:szCs w:val="21"/>
                <w:highlight w:val="none"/>
              </w:rPr>
            </w:pPr>
            <w:r>
              <w:rPr>
                <w:rFonts w:hint="eastAsia" w:cs="Times New Roman"/>
                <w:color w:val="auto"/>
                <w:sz w:val="21"/>
                <w:szCs w:val="21"/>
                <w:highlight w:val="none"/>
                <w:lang w:val="en-US" w:eastAsia="zh-CN"/>
              </w:rPr>
              <w:t>定期外售给建材企业或水泥厂进行综合利用</w:t>
            </w:r>
          </w:p>
        </w:tc>
        <w:tc>
          <w:tcPr>
            <w:tcW w:w="1180" w:type="pct"/>
            <w:vMerge w:val="continue"/>
            <w:shd w:val="clear" w:color="auto" w:fill="auto"/>
          </w:tcPr>
          <w:p w14:paraId="5E9FC240">
            <w:pPr>
              <w:spacing w:line="360" w:lineRule="exact"/>
              <w:ind w:firstLine="0" w:firstLineChars="0"/>
              <w:jc w:val="center"/>
              <w:rPr>
                <w:rFonts w:hint="default" w:ascii="Times New Roman" w:hAnsi="Times New Roman" w:cs="Times New Roman"/>
                <w:color w:val="auto"/>
                <w:sz w:val="21"/>
                <w:szCs w:val="21"/>
                <w:highlight w:val="none"/>
              </w:rPr>
            </w:pPr>
          </w:p>
        </w:tc>
      </w:tr>
      <w:tr w14:paraId="754A6E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 w:type="pct"/>
            <w:gridSpan w:val="2"/>
            <w:vMerge w:val="continue"/>
            <w:shd w:val="clear" w:color="auto" w:fill="auto"/>
          </w:tcPr>
          <w:p w14:paraId="6324E215">
            <w:pPr>
              <w:spacing w:line="360" w:lineRule="exact"/>
              <w:ind w:firstLine="0" w:firstLineChars="0"/>
              <w:jc w:val="center"/>
              <w:rPr>
                <w:rFonts w:hint="default" w:ascii="Times New Roman" w:hAnsi="Times New Roman" w:cs="Times New Roman"/>
                <w:color w:val="auto"/>
                <w:sz w:val="21"/>
                <w:szCs w:val="21"/>
                <w:highlight w:val="none"/>
              </w:rPr>
            </w:pPr>
          </w:p>
        </w:tc>
        <w:tc>
          <w:tcPr>
            <w:tcW w:w="868" w:type="pct"/>
            <w:shd w:val="clear" w:color="auto" w:fill="auto"/>
            <w:vAlign w:val="center"/>
          </w:tcPr>
          <w:p w14:paraId="6FBA34C5">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废布袋</w:t>
            </w:r>
          </w:p>
        </w:tc>
        <w:tc>
          <w:tcPr>
            <w:tcW w:w="647" w:type="pct"/>
            <w:shd w:val="clear" w:color="auto" w:fill="auto"/>
            <w:vAlign w:val="center"/>
          </w:tcPr>
          <w:p w14:paraId="624C0F2D">
            <w:pPr>
              <w:spacing w:line="360" w:lineRule="exact"/>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kern w:val="0"/>
                <w:sz w:val="21"/>
                <w:szCs w:val="21"/>
                <w:highlight w:val="none"/>
                <w:lang w:bidi="ar"/>
              </w:rPr>
              <w:t>/</w:t>
            </w:r>
          </w:p>
        </w:tc>
        <w:tc>
          <w:tcPr>
            <w:tcW w:w="775" w:type="pct"/>
            <w:shd w:val="clear" w:color="auto" w:fill="auto"/>
            <w:vAlign w:val="center"/>
          </w:tcPr>
          <w:p w14:paraId="44E0554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bCs/>
                <w:color w:val="auto"/>
                <w:sz w:val="21"/>
                <w:szCs w:val="21"/>
                <w:highlight w:val="none"/>
                <w:lang w:val="en-US" w:eastAsia="zh-CN"/>
              </w:rPr>
              <w:t>0.5t/a</w:t>
            </w:r>
          </w:p>
        </w:tc>
        <w:tc>
          <w:tcPr>
            <w:tcW w:w="1027" w:type="pct"/>
            <w:shd w:val="clear" w:color="auto" w:fill="auto"/>
            <w:vAlign w:val="center"/>
          </w:tcPr>
          <w:p w14:paraId="303FB0D3">
            <w:pPr>
              <w:spacing w:line="36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集中收集后定期拉运至就近的一般工业固体废物填埋场进行处置</w:t>
            </w:r>
          </w:p>
        </w:tc>
        <w:tc>
          <w:tcPr>
            <w:tcW w:w="1180" w:type="pct"/>
            <w:vMerge w:val="continue"/>
            <w:shd w:val="clear" w:color="auto" w:fill="auto"/>
            <w:vAlign w:val="center"/>
          </w:tcPr>
          <w:p w14:paraId="08CF6C99">
            <w:pPr>
              <w:spacing w:line="360" w:lineRule="exact"/>
              <w:ind w:firstLine="0" w:firstLineChars="0"/>
              <w:jc w:val="center"/>
              <w:rPr>
                <w:rFonts w:hint="default" w:ascii="Times New Roman" w:hAnsi="Times New Roman" w:cs="Times New Roman"/>
                <w:color w:val="auto"/>
                <w:sz w:val="21"/>
                <w:szCs w:val="21"/>
                <w:highlight w:val="none"/>
              </w:rPr>
            </w:pPr>
          </w:p>
        </w:tc>
      </w:tr>
    </w:tbl>
    <w:p w14:paraId="7C16855B">
      <w:pPr>
        <w:pStyle w:val="2"/>
        <w:spacing w:line="720" w:lineRule="exact"/>
        <w:rPr>
          <w:rFonts w:hint="default" w:ascii="Times New Roman" w:hAnsi="Times New Roman" w:cs="Times New Roman"/>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D00FC32">
      <w:pPr>
        <w:pStyle w:val="2"/>
        <w:spacing w:line="720" w:lineRule="exact"/>
        <w:rPr>
          <w:rFonts w:hint="default" w:ascii="Times New Roman" w:hAnsi="Times New Roman" w:cs="Times New Roman"/>
          <w:color w:val="auto"/>
          <w:highlight w:val="none"/>
        </w:rPr>
      </w:pPr>
      <w:bookmarkStart w:id="1097" w:name="_Toc20735"/>
      <w:bookmarkStart w:id="1098" w:name="_Toc107413917"/>
      <w:bookmarkStart w:id="1099" w:name="_Toc107414684"/>
      <w:bookmarkStart w:id="1100" w:name="_Toc32718"/>
      <w:bookmarkStart w:id="1101" w:name="_Toc19312"/>
      <w:bookmarkStart w:id="1102" w:name="_Toc1997"/>
      <w:bookmarkStart w:id="1103" w:name="_Toc13936"/>
      <w:r>
        <w:rPr>
          <w:rFonts w:hint="default" w:ascii="Times New Roman" w:hAnsi="Times New Roman" w:cs="Times New Roman"/>
          <w:color w:val="auto"/>
          <w:highlight w:val="none"/>
        </w:rPr>
        <w:t>9环境影响评价结论</w:t>
      </w:r>
      <w:bookmarkEnd w:id="1097"/>
      <w:bookmarkEnd w:id="1098"/>
      <w:bookmarkEnd w:id="1099"/>
      <w:bookmarkEnd w:id="1100"/>
      <w:bookmarkEnd w:id="1101"/>
      <w:bookmarkEnd w:id="1102"/>
      <w:bookmarkEnd w:id="1103"/>
    </w:p>
    <w:p w14:paraId="4D7FFC2E">
      <w:pPr>
        <w:pStyle w:val="3"/>
        <w:spacing w:line="560" w:lineRule="atLeast"/>
        <w:rPr>
          <w:rFonts w:hint="default" w:ascii="Times New Roman" w:hAnsi="Times New Roman" w:cs="Times New Roman"/>
          <w:color w:val="auto"/>
          <w:highlight w:val="none"/>
        </w:rPr>
      </w:pPr>
      <w:bookmarkStart w:id="1104" w:name="_Toc12518"/>
      <w:bookmarkStart w:id="1105" w:name="_Toc8755"/>
      <w:bookmarkStart w:id="1106" w:name="_Toc107413918"/>
      <w:bookmarkStart w:id="1107" w:name="_Toc26917"/>
      <w:bookmarkStart w:id="1108" w:name="_Toc107414685"/>
      <w:bookmarkStart w:id="1109" w:name="_Toc2440"/>
      <w:bookmarkStart w:id="1110" w:name="_Toc16689"/>
      <w:r>
        <w:rPr>
          <w:rFonts w:hint="default" w:ascii="Times New Roman" w:hAnsi="Times New Roman" w:cs="Times New Roman"/>
          <w:color w:val="auto"/>
          <w:highlight w:val="none"/>
        </w:rPr>
        <w:t>9.1项目概况</w:t>
      </w:r>
      <w:bookmarkEnd w:id="1104"/>
      <w:bookmarkEnd w:id="1105"/>
      <w:bookmarkEnd w:id="1106"/>
      <w:bookmarkEnd w:id="1107"/>
      <w:bookmarkEnd w:id="1108"/>
      <w:bookmarkEnd w:id="1109"/>
      <w:bookmarkEnd w:id="1110"/>
    </w:p>
    <w:p w14:paraId="58EFB8EF">
      <w:pPr>
        <w:pStyle w:val="55"/>
        <w:overflowPunct w:val="0"/>
        <w:topLinePunct/>
        <w:snapToGrid w:val="0"/>
        <w:ind w:firstLine="480" w:firstLineChars="20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项目名称：</w:t>
      </w:r>
      <w:r>
        <w:rPr>
          <w:rFonts w:hint="eastAsia" w:cs="Times New Roman"/>
          <w:color w:val="auto"/>
          <w:highlight w:val="none"/>
          <w:lang w:eastAsia="zh-CN"/>
        </w:rPr>
        <w:t>新疆嘉西矿业有限公司哈密市伊州区雅满苏镇M1033萤石选矿厂及尾矿库建设项目</w:t>
      </w:r>
    </w:p>
    <w:p w14:paraId="4FC2CA15">
      <w:pPr>
        <w:pStyle w:val="55"/>
        <w:overflowPunct w:val="0"/>
        <w:topLinePunct/>
        <w:snapToGrid w:val="0"/>
        <w:ind w:firstLine="480" w:firstLineChars="20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建设单位：</w:t>
      </w:r>
      <w:r>
        <w:rPr>
          <w:rFonts w:hint="default" w:ascii="Times New Roman" w:hAnsi="Times New Roman" w:cs="Times New Roman"/>
          <w:color w:val="auto"/>
          <w:highlight w:val="none"/>
          <w:lang w:eastAsia="zh-CN"/>
        </w:rPr>
        <w:t>新疆嘉西矿业有限公司</w:t>
      </w:r>
    </w:p>
    <w:p w14:paraId="676CA445">
      <w:pPr>
        <w:pStyle w:val="55"/>
        <w:overflowPunct w:val="0"/>
        <w:topLinePunct/>
        <w:snapToGrid w:val="0"/>
        <w:ind w:firstLine="480" w:firstLineChars="20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建设性质：</w:t>
      </w:r>
      <w:r>
        <w:rPr>
          <w:rFonts w:hint="default" w:ascii="Times New Roman" w:hAnsi="Times New Roman" w:cs="Times New Roman"/>
          <w:color w:val="auto"/>
          <w:highlight w:val="none"/>
          <w:lang w:eastAsia="zh-CN"/>
        </w:rPr>
        <w:t>新建</w:t>
      </w:r>
    </w:p>
    <w:p w14:paraId="3D6BC0BD">
      <w:pPr>
        <w:pStyle w:val="55"/>
        <w:overflowPunct w:val="0"/>
        <w:topLinePunct/>
        <w:snapToGrid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建设规模：年处理</w:t>
      </w:r>
      <w:r>
        <w:rPr>
          <w:rFonts w:hint="default" w:ascii="Times New Roman" w:hAnsi="Times New Roman" w:cs="Times New Roman"/>
          <w:color w:val="auto"/>
          <w:highlight w:val="none"/>
          <w:lang w:eastAsia="zh-CN"/>
        </w:rPr>
        <w:t>萤石</w:t>
      </w:r>
      <w:r>
        <w:rPr>
          <w:rFonts w:hint="default" w:ascii="Times New Roman" w:hAnsi="Times New Roman" w:cs="Times New Roman"/>
          <w:color w:val="auto"/>
          <w:highlight w:val="none"/>
        </w:rPr>
        <w:t>矿石</w:t>
      </w:r>
      <w:r>
        <w:rPr>
          <w:rFonts w:hint="eastAsia" w:cs="Times New Roman"/>
          <w:color w:val="auto"/>
          <w:highlight w:val="none"/>
          <w:lang w:val="en-US" w:eastAsia="zh-CN"/>
        </w:rPr>
        <w:t>60</w:t>
      </w:r>
      <w:r>
        <w:rPr>
          <w:rFonts w:hint="default" w:ascii="Times New Roman" w:hAnsi="Times New Roman" w:cs="Times New Roman"/>
          <w:color w:val="auto"/>
          <w:highlight w:val="none"/>
        </w:rPr>
        <w:t>万t/a。</w:t>
      </w:r>
    </w:p>
    <w:p w14:paraId="35CC0E54">
      <w:pPr>
        <w:pStyle w:val="55"/>
        <w:overflowPunct w:val="0"/>
        <w:topLinePunct/>
        <w:snapToGrid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建设地点：本项目位于新疆维吾尔自治区哈密市伊州区170°方向直线距离184km，雅满苏镇正南方约90km处，行政区划属新疆维吾尔自治区哈密市伊州区管辖。本项目选矿厂西北侧距离萤石矿采矿工程矿区直距约600m，尾矿库位于选矿厂北侧260m处。项目区中心坐标为E93°55′35.865"，N41°12′10.511"。</w:t>
      </w:r>
    </w:p>
    <w:p w14:paraId="0E8B1CE2">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服务年限：选矿厂设计服务年限为15年，尾矿库设计服务年限为5.2年。</w:t>
      </w:r>
    </w:p>
    <w:p w14:paraId="53BF1664">
      <w:pPr>
        <w:overflowPunct w:val="0"/>
        <w:topLinePunc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项目实施计划：计划开工时间为202</w:t>
      </w:r>
      <w:r>
        <w:rPr>
          <w:rFonts w:hint="eastAsia" w:cs="Times New Roman"/>
          <w:color w:val="auto"/>
          <w:highlight w:val="none"/>
          <w:lang w:val="en-US" w:eastAsia="zh-CN"/>
        </w:rPr>
        <w:t>6</w:t>
      </w:r>
      <w:r>
        <w:rPr>
          <w:rFonts w:hint="default" w:ascii="Times New Roman" w:hAnsi="Times New Roman" w:cs="Times New Roman"/>
          <w:color w:val="auto"/>
          <w:highlight w:val="none"/>
        </w:rPr>
        <w:t>年</w:t>
      </w:r>
      <w:r>
        <w:rPr>
          <w:rFonts w:hint="eastAsia" w:cs="Times New Roman"/>
          <w:color w:val="auto"/>
          <w:highlight w:val="none"/>
          <w:lang w:val="en-US" w:eastAsia="zh-CN"/>
        </w:rPr>
        <w:t>6</w:t>
      </w:r>
      <w:r>
        <w:rPr>
          <w:rFonts w:hint="default" w:ascii="Times New Roman" w:hAnsi="Times New Roman" w:cs="Times New Roman"/>
          <w:color w:val="auto"/>
          <w:highlight w:val="none"/>
        </w:rPr>
        <w:t>月，建设周期为</w:t>
      </w:r>
      <w:r>
        <w:rPr>
          <w:rFonts w:hint="eastAsia" w:cs="Times New Roman"/>
          <w:color w:val="auto"/>
          <w:highlight w:val="none"/>
          <w:lang w:val="en-US" w:eastAsia="zh-CN"/>
        </w:rPr>
        <w:t>12</w:t>
      </w:r>
      <w:r>
        <w:rPr>
          <w:rFonts w:hint="default" w:ascii="Times New Roman" w:hAnsi="Times New Roman" w:cs="Times New Roman"/>
          <w:color w:val="auto"/>
          <w:highlight w:val="none"/>
        </w:rPr>
        <w:t>个月。</w:t>
      </w:r>
    </w:p>
    <w:p w14:paraId="433AC8E9">
      <w:pPr>
        <w:pStyle w:val="55"/>
        <w:overflowPunct w:val="0"/>
        <w:topLinePunct/>
        <w:snapToGrid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项目总投资：本项目总投资为</w:t>
      </w:r>
      <w:r>
        <w:rPr>
          <w:rFonts w:hint="eastAsia" w:cs="Times New Roman"/>
          <w:color w:val="auto"/>
          <w:highlight w:val="none"/>
          <w:lang w:val="en-US" w:eastAsia="zh-CN"/>
        </w:rPr>
        <w:t>17672.96</w:t>
      </w:r>
      <w:r>
        <w:rPr>
          <w:rFonts w:hint="default" w:ascii="Times New Roman" w:hAnsi="Times New Roman" w:cs="Times New Roman"/>
          <w:color w:val="auto"/>
          <w:highlight w:val="none"/>
        </w:rPr>
        <w:t>万元，均为企业自筹，其中环保投资为</w:t>
      </w:r>
      <w:r>
        <w:rPr>
          <w:rFonts w:hint="eastAsia" w:cs="Times New Roman"/>
          <w:color w:val="auto"/>
          <w:highlight w:val="none"/>
          <w:lang w:val="en-US" w:eastAsia="zh-CN"/>
        </w:rPr>
        <w:t>1163</w:t>
      </w:r>
      <w:r>
        <w:rPr>
          <w:rFonts w:hint="default" w:ascii="Times New Roman" w:hAnsi="Times New Roman" w:cs="Times New Roman"/>
          <w:color w:val="auto"/>
          <w:highlight w:val="none"/>
        </w:rPr>
        <w:t>万元，占总投资的</w:t>
      </w:r>
      <w:r>
        <w:rPr>
          <w:rFonts w:hint="eastAsia" w:cs="Times New Roman"/>
          <w:color w:val="auto"/>
          <w:highlight w:val="none"/>
          <w:lang w:val="en-US" w:eastAsia="zh-CN"/>
        </w:rPr>
        <w:t>6.58</w:t>
      </w:r>
      <w:r>
        <w:rPr>
          <w:rFonts w:hint="default" w:ascii="Times New Roman" w:hAnsi="Times New Roman" w:cs="Times New Roman"/>
          <w:color w:val="auto"/>
          <w:highlight w:val="none"/>
        </w:rPr>
        <w:t>%。</w:t>
      </w:r>
    </w:p>
    <w:p w14:paraId="6F7A69E1">
      <w:pPr>
        <w:pStyle w:val="55"/>
        <w:overflowPunct w:val="0"/>
        <w:topLinePunct/>
        <w:snapToGrid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建设内容：本次新建选矿厂原矿处理能力为</w:t>
      </w:r>
      <w:r>
        <w:rPr>
          <w:rFonts w:hint="eastAsia" w:cs="Times New Roman"/>
          <w:color w:val="auto"/>
          <w:highlight w:val="none"/>
          <w:lang w:val="en-US" w:eastAsia="zh-CN"/>
        </w:rPr>
        <w:t>60</w:t>
      </w:r>
      <w:r>
        <w:rPr>
          <w:rFonts w:hint="default" w:ascii="Times New Roman" w:hAnsi="Times New Roman" w:cs="Times New Roman"/>
          <w:color w:val="auto"/>
          <w:highlight w:val="none"/>
        </w:rPr>
        <w:t>万t/a。建设内容包括新建选矿厂、新建尾矿库及尾矿输送系统，</w:t>
      </w:r>
      <w:r>
        <w:rPr>
          <w:rFonts w:hint="default" w:ascii="Times New Roman" w:hAnsi="Times New Roman" w:cs="Times New Roman"/>
          <w:color w:val="auto"/>
          <w:highlight w:val="none"/>
          <w:lang w:eastAsia="zh-CN"/>
        </w:rPr>
        <w:t>以</w:t>
      </w:r>
      <w:r>
        <w:rPr>
          <w:rFonts w:hint="default" w:ascii="Times New Roman" w:hAnsi="Times New Roman" w:cs="Times New Roman"/>
          <w:color w:val="auto"/>
          <w:highlight w:val="none"/>
        </w:rPr>
        <w:t>及</w:t>
      </w:r>
      <w:r>
        <w:rPr>
          <w:rFonts w:hint="default" w:ascii="Times New Roman" w:hAnsi="Times New Roman" w:cs="Times New Roman"/>
          <w:color w:val="auto"/>
          <w:highlight w:val="none"/>
          <w:lang w:eastAsia="zh-CN"/>
        </w:rPr>
        <w:t>其他</w:t>
      </w:r>
      <w:r>
        <w:rPr>
          <w:rFonts w:hint="default" w:ascii="Times New Roman" w:hAnsi="Times New Roman" w:cs="Times New Roman"/>
          <w:color w:val="auto"/>
          <w:highlight w:val="none"/>
        </w:rPr>
        <w:t>辅助生产设施。选矿工艺设施有粗破碎车间、筛分车间、中碎车间、磨矿与浮选系统浓缩车间</w:t>
      </w:r>
      <w:r>
        <w:rPr>
          <w:rFonts w:hint="eastAsia" w:cs="Times New Roman"/>
          <w:color w:val="auto"/>
          <w:highlight w:val="none"/>
          <w:lang w:eastAsia="zh-CN"/>
        </w:rPr>
        <w:t>、</w:t>
      </w:r>
      <w:r>
        <w:rPr>
          <w:rFonts w:hint="default" w:ascii="Times New Roman" w:hAnsi="Times New Roman" w:cs="Times New Roman"/>
          <w:color w:val="auto"/>
          <w:highlight w:val="none"/>
        </w:rPr>
        <w:t>过滤车间</w:t>
      </w:r>
      <w:r>
        <w:rPr>
          <w:rFonts w:hint="eastAsia" w:cs="Times New Roman"/>
          <w:color w:val="auto"/>
          <w:highlight w:val="none"/>
          <w:lang w:eastAsia="zh-CN"/>
        </w:rPr>
        <w:t>、</w:t>
      </w:r>
      <w:r>
        <w:rPr>
          <w:rFonts w:hint="default" w:ascii="Times New Roman" w:hAnsi="Times New Roman" w:cs="Times New Roman"/>
          <w:color w:val="auto"/>
          <w:highlight w:val="none"/>
        </w:rPr>
        <w:t>精矿仓库</w:t>
      </w:r>
      <w:r>
        <w:rPr>
          <w:rFonts w:hint="eastAsia" w:cs="Times New Roman"/>
          <w:color w:val="auto"/>
          <w:highlight w:val="none"/>
          <w:lang w:eastAsia="zh-CN"/>
        </w:rPr>
        <w:t>、尾矿泵站及输送管道</w:t>
      </w:r>
      <w:r>
        <w:rPr>
          <w:rFonts w:hint="default" w:ascii="Times New Roman" w:hAnsi="Times New Roman" w:cs="Times New Roman"/>
          <w:color w:val="auto"/>
          <w:highlight w:val="none"/>
        </w:rPr>
        <w:t>。辅助生产设施主要有变电站、锅炉房、材料仓库、化验室、选矿综合仓库、磅秤房等。</w:t>
      </w:r>
    </w:p>
    <w:p w14:paraId="7DBC9991">
      <w:pPr>
        <w:pStyle w:val="55"/>
        <w:overflowPunct w:val="0"/>
        <w:topLinePunct/>
        <w:snapToGrid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新建的尾矿库</w:t>
      </w:r>
      <w:r>
        <w:rPr>
          <w:rFonts w:hint="default" w:ascii="Times New Roman" w:hAnsi="Times New Roman" w:cs="Times New Roman"/>
          <w:color w:val="auto"/>
          <w:szCs w:val="28"/>
          <w:highlight w:val="none"/>
        </w:rPr>
        <w:t>最终堆积标高</w:t>
      </w:r>
      <w:r>
        <w:rPr>
          <w:rFonts w:hint="eastAsia" w:cs="Times New Roman"/>
          <w:color w:val="auto"/>
          <w:szCs w:val="28"/>
          <w:highlight w:val="none"/>
          <w:lang w:val="en-US" w:eastAsia="zh-CN"/>
        </w:rPr>
        <w:t>1187.0</w:t>
      </w:r>
      <w:r>
        <w:rPr>
          <w:rFonts w:hint="default" w:ascii="Times New Roman" w:hAnsi="Times New Roman" w:cs="Times New Roman"/>
          <w:color w:val="auto"/>
          <w:szCs w:val="28"/>
          <w:highlight w:val="none"/>
        </w:rPr>
        <w:t>m，尾矿堆积坝总高度为</w:t>
      </w:r>
      <w:r>
        <w:rPr>
          <w:rFonts w:hint="eastAsia" w:cs="Times New Roman"/>
          <w:color w:val="auto"/>
          <w:szCs w:val="28"/>
          <w:highlight w:val="none"/>
          <w:lang w:val="en-US" w:eastAsia="zh-CN"/>
        </w:rPr>
        <w:t>16</w:t>
      </w:r>
      <w:r>
        <w:rPr>
          <w:rFonts w:hint="default" w:ascii="Times New Roman" w:hAnsi="Times New Roman" w:cs="Times New Roman"/>
          <w:color w:val="auto"/>
          <w:szCs w:val="28"/>
          <w:highlight w:val="none"/>
        </w:rPr>
        <w:t>m，总有效库容约为</w:t>
      </w:r>
      <w:r>
        <w:rPr>
          <w:rFonts w:hint="eastAsia" w:cs="Times New Roman"/>
          <w:color w:val="auto"/>
          <w:szCs w:val="28"/>
          <w:highlight w:val="none"/>
          <w:lang w:val="en-US" w:eastAsia="zh-CN"/>
        </w:rPr>
        <w:t>102</w:t>
      </w:r>
      <w:r>
        <w:rPr>
          <w:rFonts w:hint="default" w:ascii="Times New Roman" w:hAnsi="Times New Roman" w:cs="Times New Roman"/>
          <w:color w:val="auto"/>
          <w:szCs w:val="28"/>
          <w:highlight w:val="none"/>
        </w:rPr>
        <w:t>万m</w:t>
      </w:r>
      <w:r>
        <w:rPr>
          <w:rFonts w:hint="default" w:ascii="Times New Roman" w:hAnsi="Times New Roman" w:cs="Times New Roman"/>
          <w:color w:val="auto"/>
          <w:szCs w:val="28"/>
          <w:highlight w:val="none"/>
          <w:vertAlign w:val="superscript"/>
        </w:rPr>
        <w:t>3</w:t>
      </w:r>
      <w:r>
        <w:rPr>
          <w:rFonts w:hint="default" w:ascii="Times New Roman" w:hAnsi="Times New Roman" w:cs="Times New Roman"/>
          <w:color w:val="auto"/>
          <w:szCs w:val="28"/>
          <w:highlight w:val="none"/>
        </w:rPr>
        <w:t>，尾矿库等别为</w:t>
      </w:r>
      <w:r>
        <w:rPr>
          <w:rFonts w:hint="eastAsia" w:cs="Times New Roman"/>
          <w:color w:val="auto"/>
          <w:szCs w:val="28"/>
          <w:highlight w:val="none"/>
          <w:lang w:val="en-US" w:eastAsia="zh-CN"/>
        </w:rPr>
        <w:t>四</w:t>
      </w:r>
      <w:r>
        <w:rPr>
          <w:rFonts w:hint="default" w:ascii="Times New Roman" w:hAnsi="Times New Roman" w:cs="Times New Roman"/>
          <w:color w:val="auto"/>
          <w:szCs w:val="28"/>
          <w:highlight w:val="none"/>
        </w:rPr>
        <w:t>等。</w:t>
      </w:r>
    </w:p>
    <w:p w14:paraId="656E9922">
      <w:pPr>
        <w:pStyle w:val="43"/>
        <w:overflowPunct w:val="0"/>
        <w:topLinePunct/>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本项目选矿产品方案为萤石精矿</w:t>
      </w:r>
      <w:r>
        <w:rPr>
          <w:rFonts w:hint="eastAsia" w:cs="Times New Roman"/>
          <w:color w:val="auto"/>
          <w:highlight w:val="none"/>
          <w:lang w:eastAsia="zh-CN"/>
        </w:rPr>
        <w:t>，</w:t>
      </w:r>
      <w:r>
        <w:rPr>
          <w:rFonts w:hint="default" w:ascii="Times New Roman" w:hAnsi="Times New Roman" w:cs="Times New Roman"/>
          <w:color w:val="auto"/>
          <w:highlight w:val="none"/>
        </w:rPr>
        <w:t>萤石精矿年产13.38万吨。</w:t>
      </w:r>
    </w:p>
    <w:p w14:paraId="2F194A31">
      <w:pPr>
        <w:pStyle w:val="3"/>
        <w:spacing w:line="560" w:lineRule="atLeast"/>
        <w:rPr>
          <w:rFonts w:hint="default" w:ascii="Times New Roman" w:hAnsi="Times New Roman" w:cs="Times New Roman"/>
          <w:color w:val="auto"/>
          <w:highlight w:val="none"/>
        </w:rPr>
      </w:pPr>
      <w:bookmarkStart w:id="1111" w:name="_Toc2326"/>
      <w:bookmarkStart w:id="1112" w:name="_Toc23250"/>
      <w:bookmarkStart w:id="1113" w:name="_Toc27524"/>
      <w:bookmarkStart w:id="1114" w:name="_Toc8222"/>
      <w:bookmarkStart w:id="1115" w:name="_Toc107414686"/>
      <w:bookmarkStart w:id="1116" w:name="_Toc789"/>
      <w:bookmarkStart w:id="1117" w:name="_Toc18333"/>
      <w:bookmarkStart w:id="1118" w:name="_Toc13836"/>
      <w:bookmarkStart w:id="1119" w:name="_Toc4550"/>
      <w:bookmarkStart w:id="1120" w:name="_Toc492457108"/>
      <w:bookmarkStart w:id="1121" w:name="_Toc107413919"/>
      <w:bookmarkStart w:id="1122" w:name="_Toc3962"/>
      <w:bookmarkStart w:id="1123" w:name="_Toc1618"/>
      <w:bookmarkStart w:id="1124" w:name="_Toc10277"/>
      <w:bookmarkStart w:id="1125" w:name="_Toc15679"/>
      <w:bookmarkStart w:id="1126" w:name="_Toc7960"/>
      <w:bookmarkStart w:id="1127" w:name="_Toc16927"/>
      <w:bookmarkStart w:id="1128" w:name="_Toc5630"/>
      <w:bookmarkStart w:id="1129" w:name="_Toc482784728"/>
      <w:bookmarkStart w:id="1130" w:name="_Toc5604"/>
      <w:r>
        <w:rPr>
          <w:rFonts w:hint="default" w:ascii="Times New Roman" w:hAnsi="Times New Roman" w:cs="Times New Roman"/>
          <w:color w:val="auto"/>
          <w:highlight w:val="none"/>
        </w:rPr>
        <w:t>9.2符合性分析</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p>
    <w:p w14:paraId="12E55580">
      <w:pPr>
        <w:pStyle w:val="43"/>
        <w:overflowPunct w:val="0"/>
        <w:topLinePunct/>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根据《产业结构调整指导目录（2024年本）》，本项目属于名录中</w:t>
      </w:r>
      <w:r>
        <w:rPr>
          <w:rFonts w:hint="eastAsia" w:cs="Times New Roman"/>
          <w:color w:val="auto"/>
          <w:kern w:val="0"/>
          <w:highlight w:val="none"/>
          <w:lang w:eastAsia="zh-CN"/>
        </w:rPr>
        <w:t>“</w:t>
      </w:r>
      <w:r>
        <w:rPr>
          <w:rFonts w:hint="default" w:ascii="Times New Roman" w:hAnsi="Times New Roman" w:cs="Times New Roman"/>
          <w:color w:val="auto"/>
          <w:kern w:val="0"/>
          <w:highlight w:val="none"/>
        </w:rPr>
        <w:t>第一类鼓励类-十一、石化化工-1、矿产资源开发：硫、钾、硼、锂、溴等短缺化工矿产资源勘探开发及综合利用，磷矿和萤石矿的中低品位矿、选矿尾矿、伴生资源综合利用</w:t>
      </w:r>
      <w:r>
        <w:rPr>
          <w:rFonts w:hint="eastAsia" w:cs="Times New Roman"/>
          <w:color w:val="auto"/>
          <w:kern w:val="0"/>
          <w:highlight w:val="none"/>
          <w:lang w:eastAsia="zh-CN"/>
        </w:rPr>
        <w:t>”</w:t>
      </w:r>
      <w:r>
        <w:rPr>
          <w:rFonts w:hint="default" w:ascii="Times New Roman" w:hAnsi="Times New Roman" w:cs="Times New Roman"/>
          <w:color w:val="auto"/>
          <w:kern w:val="0"/>
          <w:highlight w:val="none"/>
        </w:rPr>
        <w:t>中的中低品位萤石矿采选项目，属于鼓励类项目，本项目符合国家产业政策。</w:t>
      </w:r>
    </w:p>
    <w:p w14:paraId="40E010E0">
      <w:pPr>
        <w:pStyle w:val="43"/>
        <w:overflowPunct w:val="0"/>
        <w:topLinePunct/>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项目选址与空间布局符合性及污染防治与环境影响符合性，满足</w:t>
      </w:r>
      <w:r>
        <w:rPr>
          <w:rFonts w:hint="default" w:ascii="Times New Roman" w:hAnsi="Times New Roman" w:eastAsia="宋体" w:cs="Times New Roman"/>
          <w:color w:val="auto"/>
          <w:kern w:val="2"/>
          <w:sz w:val="24"/>
          <w:szCs w:val="24"/>
          <w:highlight w:val="none"/>
          <w:lang w:val="en-US" w:eastAsia="zh-CN" w:bidi="ar-SA"/>
        </w:rPr>
        <w:t>《新疆维吾尔自治区重点行业生态环境准入条件（2024年）》对非金属矿选矿的选址及污染防治</w:t>
      </w:r>
      <w:r>
        <w:rPr>
          <w:rFonts w:hint="default" w:ascii="Times New Roman" w:hAnsi="Times New Roman" w:cs="Times New Roman"/>
          <w:color w:val="auto"/>
          <w:kern w:val="0"/>
          <w:highlight w:val="none"/>
        </w:rPr>
        <w:t>的有关要求。</w:t>
      </w:r>
    </w:p>
    <w:p w14:paraId="609BCCB8">
      <w:pPr>
        <w:pStyle w:val="3"/>
        <w:rPr>
          <w:rFonts w:hint="default" w:ascii="Times New Roman" w:hAnsi="Times New Roman" w:cs="Times New Roman"/>
          <w:color w:val="auto"/>
          <w:highlight w:val="none"/>
        </w:rPr>
      </w:pPr>
      <w:bookmarkStart w:id="1131" w:name="_Toc21105"/>
      <w:bookmarkStart w:id="1132" w:name="_Toc26156"/>
      <w:bookmarkStart w:id="1133" w:name="_Toc27324"/>
      <w:bookmarkStart w:id="1134" w:name="_Toc28824"/>
      <w:bookmarkStart w:id="1135" w:name="_Toc27854"/>
      <w:bookmarkStart w:id="1136" w:name="_Toc16233"/>
      <w:bookmarkStart w:id="1137" w:name="_Toc2869"/>
      <w:bookmarkStart w:id="1138" w:name="_Toc18653"/>
      <w:bookmarkStart w:id="1139" w:name="_Toc19452"/>
      <w:bookmarkStart w:id="1140" w:name="_Toc107414687"/>
      <w:bookmarkStart w:id="1141" w:name="_Toc482784729"/>
      <w:bookmarkStart w:id="1142" w:name="_Toc22747"/>
      <w:bookmarkStart w:id="1143" w:name="_Toc1072"/>
      <w:bookmarkStart w:id="1144" w:name="_Toc31142"/>
      <w:bookmarkStart w:id="1145" w:name="_Toc492457109"/>
      <w:bookmarkStart w:id="1146" w:name="_Toc30278"/>
      <w:bookmarkStart w:id="1147" w:name="_Toc3682"/>
      <w:bookmarkStart w:id="1148" w:name="_Toc29814"/>
      <w:bookmarkStart w:id="1149" w:name="_Toc6144"/>
      <w:bookmarkStart w:id="1150" w:name="_Toc107413920"/>
      <w:r>
        <w:rPr>
          <w:rFonts w:hint="default" w:ascii="Times New Roman" w:hAnsi="Times New Roman" w:cs="Times New Roman"/>
          <w:color w:val="auto"/>
          <w:highlight w:val="none"/>
        </w:rPr>
        <w:t>9.3环境质量现状</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p>
    <w:p w14:paraId="140A0631">
      <w:pPr>
        <w:pStyle w:val="4"/>
        <w:rPr>
          <w:rFonts w:hint="default" w:ascii="Times New Roman" w:hAnsi="Times New Roman" w:cs="Times New Roman"/>
          <w:color w:val="auto"/>
          <w:highlight w:val="none"/>
        </w:rPr>
      </w:pPr>
      <w:bookmarkStart w:id="1151" w:name="_Toc14059"/>
      <w:bookmarkStart w:id="1152" w:name="_Toc15657"/>
      <w:bookmarkStart w:id="1153" w:name="_Toc16219"/>
      <w:bookmarkStart w:id="1154" w:name="_Toc10108"/>
      <w:bookmarkStart w:id="1155" w:name="_Toc7322"/>
      <w:bookmarkStart w:id="1156" w:name="_Toc30636"/>
      <w:bookmarkStart w:id="1157" w:name="_Toc32381"/>
      <w:bookmarkStart w:id="1158" w:name="_Toc18924"/>
      <w:r>
        <w:rPr>
          <w:rFonts w:hint="default" w:ascii="Times New Roman" w:hAnsi="Times New Roman" w:cs="Times New Roman"/>
          <w:color w:val="auto"/>
          <w:highlight w:val="none"/>
        </w:rPr>
        <w:t>9.3.1环境空气质量现状</w:t>
      </w:r>
      <w:bookmarkEnd w:id="1151"/>
      <w:bookmarkEnd w:id="1152"/>
      <w:bookmarkEnd w:id="1153"/>
      <w:bookmarkEnd w:id="1154"/>
      <w:bookmarkEnd w:id="1155"/>
      <w:bookmarkEnd w:id="1156"/>
      <w:bookmarkEnd w:id="1157"/>
      <w:bookmarkEnd w:id="1158"/>
    </w:p>
    <w:p w14:paraId="5F6DE6A9">
      <w:pPr>
        <w:ind w:firstLine="480"/>
        <w:rPr>
          <w:rFonts w:hint="default" w:ascii="Times New Roman" w:hAnsi="Times New Roman" w:cs="Times New Roman"/>
          <w:color w:val="auto"/>
          <w:highlight w:val="none"/>
          <w:lang w:bidi="ar"/>
        </w:rPr>
      </w:pPr>
      <w:r>
        <w:rPr>
          <w:rFonts w:hint="default" w:ascii="Times New Roman" w:hAnsi="Times New Roman" w:cs="Times New Roman"/>
          <w:color w:val="auto"/>
          <w:kern w:val="0"/>
          <w:highlight w:val="none"/>
        </w:rPr>
        <w:t>根据</w:t>
      </w:r>
      <w:r>
        <w:rPr>
          <w:rFonts w:hint="default" w:ascii="Times New Roman" w:hAnsi="Times New Roman" w:eastAsia="宋体" w:cs="Times New Roman"/>
          <w:color w:val="auto"/>
          <w:sz w:val="24"/>
          <w:szCs w:val="22"/>
          <w:highlight w:val="none"/>
          <w:lang w:val="en-US" w:eastAsia="zh-CN"/>
        </w:rPr>
        <w:t>哈密市SO</w:t>
      </w:r>
      <w:r>
        <w:rPr>
          <w:rFonts w:hint="default" w:ascii="Times New Roman" w:hAnsi="Times New Roman" w:eastAsia="宋体" w:cs="Times New Roman"/>
          <w:color w:val="auto"/>
          <w:sz w:val="24"/>
          <w:szCs w:val="22"/>
          <w:highlight w:val="none"/>
          <w:vertAlign w:val="subscript"/>
          <w:lang w:val="en-US" w:eastAsia="zh-CN"/>
        </w:rPr>
        <w:t>2</w:t>
      </w:r>
      <w:r>
        <w:rPr>
          <w:rFonts w:hint="default" w:ascii="Times New Roman" w:hAnsi="Times New Roman" w:eastAsia="宋体" w:cs="Times New Roman"/>
          <w:color w:val="auto"/>
          <w:sz w:val="24"/>
          <w:szCs w:val="22"/>
          <w:highlight w:val="none"/>
          <w:lang w:val="en-US" w:eastAsia="zh-CN"/>
        </w:rPr>
        <w:t>、NO</w:t>
      </w:r>
      <w:r>
        <w:rPr>
          <w:rFonts w:hint="default" w:ascii="Times New Roman" w:hAnsi="Times New Roman" w:eastAsia="宋体" w:cs="Times New Roman"/>
          <w:color w:val="auto"/>
          <w:sz w:val="24"/>
          <w:szCs w:val="22"/>
          <w:highlight w:val="none"/>
          <w:vertAlign w:val="subscript"/>
          <w:lang w:val="en-US" w:eastAsia="zh-CN"/>
        </w:rPr>
        <w:t>2</w:t>
      </w:r>
      <w:r>
        <w:rPr>
          <w:rFonts w:hint="default" w:ascii="Times New Roman" w:hAnsi="Times New Roman" w:eastAsia="宋体" w:cs="Times New Roman"/>
          <w:color w:val="auto"/>
          <w:sz w:val="24"/>
          <w:szCs w:val="22"/>
          <w:highlight w:val="none"/>
          <w:lang w:val="en-US" w:eastAsia="zh-CN"/>
        </w:rPr>
        <w:t>、PM</w:t>
      </w:r>
      <w:r>
        <w:rPr>
          <w:rFonts w:hint="default" w:ascii="Times New Roman" w:hAnsi="Times New Roman" w:eastAsia="宋体" w:cs="Times New Roman"/>
          <w:color w:val="auto"/>
          <w:sz w:val="24"/>
          <w:szCs w:val="22"/>
          <w:highlight w:val="none"/>
          <w:vertAlign w:val="subscript"/>
          <w:lang w:val="en-US" w:eastAsia="zh-CN"/>
        </w:rPr>
        <w:t>10</w:t>
      </w:r>
      <w:r>
        <w:rPr>
          <w:rFonts w:hint="default" w:ascii="Times New Roman" w:hAnsi="Times New Roman" w:eastAsia="宋体" w:cs="Times New Roman"/>
          <w:color w:val="auto"/>
          <w:sz w:val="24"/>
          <w:szCs w:val="22"/>
          <w:highlight w:val="none"/>
          <w:lang w:val="en-US" w:eastAsia="zh-CN"/>
        </w:rPr>
        <w:t>、PM</w:t>
      </w:r>
      <w:r>
        <w:rPr>
          <w:rFonts w:hint="default" w:ascii="Times New Roman" w:hAnsi="Times New Roman" w:eastAsia="宋体" w:cs="Times New Roman"/>
          <w:color w:val="auto"/>
          <w:sz w:val="24"/>
          <w:szCs w:val="22"/>
          <w:highlight w:val="none"/>
          <w:vertAlign w:val="subscript"/>
          <w:lang w:val="en-US" w:eastAsia="zh-CN"/>
        </w:rPr>
        <w:t>2.5</w:t>
      </w:r>
      <w:r>
        <w:rPr>
          <w:rFonts w:hint="default" w:ascii="Times New Roman" w:hAnsi="Times New Roman" w:eastAsia="宋体" w:cs="Times New Roman"/>
          <w:color w:val="auto"/>
          <w:sz w:val="24"/>
          <w:szCs w:val="22"/>
          <w:highlight w:val="none"/>
          <w:lang w:val="en-US" w:eastAsia="zh-CN"/>
        </w:rPr>
        <w:t>年均浓度分别为6μg/m</w:t>
      </w:r>
      <w:r>
        <w:rPr>
          <w:rFonts w:hint="default" w:ascii="Times New Roman" w:hAnsi="Times New Roman" w:eastAsia="宋体" w:cs="Times New Roman"/>
          <w:color w:val="auto"/>
          <w:sz w:val="24"/>
          <w:szCs w:val="22"/>
          <w:highlight w:val="none"/>
          <w:vertAlign w:val="superscript"/>
          <w:lang w:val="en-US" w:eastAsia="zh-CN"/>
        </w:rPr>
        <w:t>3</w:t>
      </w:r>
      <w:r>
        <w:rPr>
          <w:rFonts w:hint="default" w:ascii="Times New Roman" w:hAnsi="Times New Roman" w:eastAsia="宋体" w:cs="Times New Roman"/>
          <w:color w:val="auto"/>
          <w:sz w:val="24"/>
          <w:szCs w:val="22"/>
          <w:highlight w:val="none"/>
          <w:lang w:val="en-US" w:eastAsia="zh-CN"/>
        </w:rPr>
        <w:t>、26μg/m</w:t>
      </w:r>
      <w:r>
        <w:rPr>
          <w:rFonts w:hint="default" w:ascii="Times New Roman" w:hAnsi="Times New Roman" w:eastAsia="宋体" w:cs="Times New Roman"/>
          <w:color w:val="auto"/>
          <w:sz w:val="24"/>
          <w:szCs w:val="22"/>
          <w:highlight w:val="none"/>
          <w:vertAlign w:val="superscript"/>
          <w:lang w:val="en-US" w:eastAsia="zh-CN"/>
        </w:rPr>
        <w:t>3</w:t>
      </w:r>
      <w:r>
        <w:rPr>
          <w:rFonts w:hint="default" w:ascii="Times New Roman" w:hAnsi="Times New Roman" w:eastAsia="宋体" w:cs="Times New Roman"/>
          <w:color w:val="auto"/>
          <w:sz w:val="24"/>
          <w:szCs w:val="22"/>
          <w:highlight w:val="none"/>
          <w:lang w:val="en-US" w:eastAsia="zh-CN"/>
        </w:rPr>
        <w:t>、62μg/m</w:t>
      </w:r>
      <w:r>
        <w:rPr>
          <w:rFonts w:hint="default" w:ascii="Times New Roman" w:hAnsi="Times New Roman" w:eastAsia="宋体" w:cs="Times New Roman"/>
          <w:color w:val="auto"/>
          <w:sz w:val="24"/>
          <w:szCs w:val="22"/>
          <w:highlight w:val="none"/>
          <w:vertAlign w:val="superscript"/>
          <w:lang w:val="en-US" w:eastAsia="zh-CN"/>
        </w:rPr>
        <w:t>3</w:t>
      </w:r>
      <w:r>
        <w:rPr>
          <w:rFonts w:hint="default" w:ascii="Times New Roman" w:hAnsi="Times New Roman" w:eastAsia="宋体" w:cs="Times New Roman"/>
          <w:color w:val="auto"/>
          <w:sz w:val="24"/>
          <w:szCs w:val="22"/>
          <w:highlight w:val="none"/>
          <w:lang w:val="en-US" w:eastAsia="zh-CN"/>
        </w:rPr>
        <w:t>、25μg/m</w:t>
      </w:r>
      <w:r>
        <w:rPr>
          <w:rFonts w:hint="default" w:ascii="Times New Roman" w:hAnsi="Times New Roman" w:eastAsia="宋体" w:cs="Times New Roman"/>
          <w:color w:val="auto"/>
          <w:sz w:val="24"/>
          <w:szCs w:val="22"/>
          <w:highlight w:val="none"/>
          <w:vertAlign w:val="superscript"/>
          <w:lang w:val="en-US" w:eastAsia="zh-CN"/>
        </w:rPr>
        <w:t>3</w:t>
      </w:r>
      <w:r>
        <w:rPr>
          <w:rFonts w:hint="default" w:ascii="Times New Roman" w:hAnsi="Times New Roman" w:eastAsia="宋体" w:cs="Times New Roman"/>
          <w:color w:val="auto"/>
          <w:sz w:val="24"/>
          <w:szCs w:val="22"/>
          <w:highlight w:val="none"/>
          <w:lang w:val="en-US" w:eastAsia="zh-CN"/>
        </w:rPr>
        <w:t>；CO24小时第95百分位数为1000μg/m</w:t>
      </w:r>
      <w:r>
        <w:rPr>
          <w:rFonts w:hint="default" w:ascii="Times New Roman" w:hAnsi="Times New Roman" w:eastAsia="宋体" w:cs="Times New Roman"/>
          <w:color w:val="auto"/>
          <w:sz w:val="24"/>
          <w:szCs w:val="22"/>
          <w:highlight w:val="none"/>
          <w:vertAlign w:val="superscript"/>
          <w:lang w:val="en-US" w:eastAsia="zh-CN"/>
        </w:rPr>
        <w:t>3</w:t>
      </w:r>
      <w:r>
        <w:rPr>
          <w:rFonts w:hint="default" w:ascii="Times New Roman" w:hAnsi="Times New Roman" w:eastAsia="宋体" w:cs="Times New Roman"/>
          <w:color w:val="auto"/>
          <w:sz w:val="24"/>
          <w:szCs w:val="22"/>
          <w:highlight w:val="none"/>
          <w:lang w:val="en-US" w:eastAsia="zh-CN"/>
        </w:rPr>
        <w:t>，O</w:t>
      </w:r>
      <w:r>
        <w:rPr>
          <w:rFonts w:hint="default" w:ascii="Times New Roman" w:hAnsi="Times New Roman" w:eastAsia="宋体" w:cs="Times New Roman"/>
          <w:color w:val="auto"/>
          <w:sz w:val="24"/>
          <w:szCs w:val="22"/>
          <w:highlight w:val="none"/>
          <w:vertAlign w:val="subscript"/>
          <w:lang w:val="en-US" w:eastAsia="zh-CN"/>
        </w:rPr>
        <w:t>3</w:t>
      </w:r>
      <w:r>
        <w:rPr>
          <w:rFonts w:hint="default" w:ascii="Times New Roman" w:hAnsi="Times New Roman" w:eastAsia="宋体" w:cs="Times New Roman"/>
          <w:color w:val="auto"/>
          <w:sz w:val="24"/>
          <w:szCs w:val="22"/>
          <w:highlight w:val="none"/>
          <w:lang w:val="en-US" w:eastAsia="zh-CN"/>
        </w:rPr>
        <w:t>日最大8小时平均第90百分位数为140μg/m</w:t>
      </w:r>
      <w:r>
        <w:rPr>
          <w:rFonts w:hint="default" w:ascii="Times New Roman" w:hAnsi="Times New Roman" w:eastAsia="宋体" w:cs="Times New Roman"/>
          <w:color w:val="auto"/>
          <w:sz w:val="24"/>
          <w:szCs w:val="22"/>
          <w:highlight w:val="none"/>
          <w:vertAlign w:val="superscript"/>
          <w:lang w:val="en-US" w:eastAsia="zh-CN"/>
        </w:rPr>
        <w:t>3</w:t>
      </w:r>
      <w:r>
        <w:rPr>
          <w:rFonts w:hint="default" w:ascii="Times New Roman" w:hAnsi="Times New Roman" w:cs="Times New Roman"/>
          <w:snapToGrid/>
          <w:color w:val="auto"/>
          <w:kern w:val="2"/>
          <w:sz w:val="24"/>
          <w:szCs w:val="24"/>
          <w:highlight w:val="none"/>
          <w:vertAlign w:val="baseline"/>
          <w:lang w:val="en-US" w:eastAsia="zh-CN" w:bidi="ar-SA"/>
        </w:rPr>
        <w:t>。</w:t>
      </w:r>
      <w:r>
        <w:rPr>
          <w:rFonts w:hint="default" w:ascii="Times New Roman" w:hAnsi="Times New Roman" w:eastAsia="宋体" w:cs="Times New Roman"/>
          <w:snapToGrid/>
          <w:color w:val="auto"/>
          <w:kern w:val="2"/>
          <w:sz w:val="24"/>
          <w:szCs w:val="24"/>
          <w:highlight w:val="none"/>
          <w:lang w:val="en-US" w:eastAsia="zh-CN" w:bidi="ar-SA"/>
        </w:rPr>
        <w:t>PM</w:t>
      </w:r>
      <w:r>
        <w:rPr>
          <w:rFonts w:hint="default" w:ascii="Times New Roman" w:hAnsi="Times New Roman" w:eastAsia="宋体" w:cs="Times New Roman"/>
          <w:snapToGrid/>
          <w:color w:val="auto"/>
          <w:kern w:val="2"/>
          <w:sz w:val="24"/>
          <w:szCs w:val="24"/>
          <w:highlight w:val="none"/>
          <w:vertAlign w:val="subscript"/>
          <w:lang w:val="en-US" w:eastAsia="zh-CN" w:bidi="ar-SA"/>
        </w:rPr>
        <w:t>10</w:t>
      </w:r>
      <w:r>
        <w:rPr>
          <w:rFonts w:hint="default" w:ascii="Times New Roman" w:hAnsi="Times New Roman" w:eastAsia="宋体" w:cs="Times New Roman"/>
          <w:snapToGrid/>
          <w:color w:val="auto"/>
          <w:kern w:val="2"/>
          <w:sz w:val="24"/>
          <w:szCs w:val="24"/>
          <w:highlight w:val="none"/>
          <w:lang w:val="en-US" w:eastAsia="zh-CN" w:bidi="ar-SA"/>
        </w:rPr>
        <w:t>超过</w:t>
      </w:r>
      <w:r>
        <w:rPr>
          <w:rFonts w:hint="default" w:ascii="Times New Roman" w:hAnsi="Times New Roman" w:cs="Times New Roman"/>
          <w:snapToGrid/>
          <w:color w:val="auto"/>
          <w:kern w:val="2"/>
          <w:sz w:val="24"/>
          <w:szCs w:val="24"/>
          <w:highlight w:val="none"/>
          <w:lang w:val="en-US" w:eastAsia="zh-CN" w:bidi="ar-SA"/>
        </w:rPr>
        <w:t>《环境空气质量标准》（GB3095-2026）</w:t>
      </w:r>
      <w:r>
        <w:rPr>
          <w:rFonts w:hint="default" w:ascii="Times New Roman" w:hAnsi="Times New Roman" w:eastAsia="宋体" w:cs="Times New Roman"/>
          <w:snapToGrid/>
          <w:color w:val="auto"/>
          <w:kern w:val="2"/>
          <w:sz w:val="24"/>
          <w:szCs w:val="24"/>
          <w:highlight w:val="none"/>
          <w:lang w:val="en-US" w:eastAsia="zh-CN" w:bidi="ar-SA"/>
        </w:rPr>
        <w:t>中二级标准限值</w:t>
      </w:r>
      <w:r>
        <w:rPr>
          <w:rFonts w:hint="eastAsia" w:cs="Times New Roman"/>
          <w:snapToGrid/>
          <w:color w:val="auto"/>
          <w:kern w:val="2"/>
          <w:sz w:val="24"/>
          <w:szCs w:val="24"/>
          <w:highlight w:val="none"/>
          <w:lang w:val="en-US" w:eastAsia="zh-CN" w:bidi="ar-SA"/>
        </w:rPr>
        <w:t>，</w:t>
      </w:r>
      <w:r>
        <w:rPr>
          <w:rFonts w:hint="default" w:ascii="Times New Roman" w:hAnsi="Times New Roman" w:cs="Times New Roman"/>
          <w:color w:val="auto"/>
          <w:highlight w:val="none"/>
        </w:rPr>
        <w:t>本项目所在区域为环境空气质量</w:t>
      </w:r>
      <w:r>
        <w:rPr>
          <w:rFonts w:hint="eastAsia" w:cs="Times New Roman"/>
          <w:color w:val="auto"/>
          <w:highlight w:val="none"/>
          <w:lang w:val="en-US" w:eastAsia="zh-CN"/>
        </w:rPr>
        <w:t>不</w:t>
      </w:r>
      <w:r>
        <w:rPr>
          <w:rFonts w:hint="default" w:ascii="Times New Roman" w:hAnsi="Times New Roman" w:cs="Times New Roman"/>
          <w:color w:val="auto"/>
          <w:highlight w:val="none"/>
        </w:rPr>
        <w:t>达标区</w:t>
      </w:r>
      <w:r>
        <w:rPr>
          <w:rFonts w:hint="default" w:ascii="Times New Roman" w:hAnsi="Times New Roman" w:cs="Times New Roman"/>
          <w:color w:val="auto"/>
          <w:kern w:val="0"/>
          <w:highlight w:val="none"/>
        </w:rPr>
        <w:t>。</w:t>
      </w:r>
    </w:p>
    <w:p w14:paraId="6345D02A">
      <w:pPr>
        <w:pStyle w:val="43"/>
        <w:overflowPunct w:val="0"/>
        <w:topLinePunct/>
        <w:spacing w:line="480" w:lineRule="exact"/>
        <w:ind w:firstLine="480"/>
        <w:rPr>
          <w:rFonts w:hint="default" w:ascii="Times New Roman" w:hAnsi="Times New Roman" w:cs="Times New Roman"/>
          <w:color w:val="auto"/>
          <w:kern w:val="0"/>
          <w:highlight w:val="none"/>
        </w:rPr>
      </w:pPr>
      <w:r>
        <w:rPr>
          <w:rFonts w:hint="eastAsia" w:cs="Times New Roman"/>
          <w:color w:val="auto"/>
          <w:szCs w:val="24"/>
          <w:highlight w:val="none"/>
          <w:lang w:eastAsia="zh-CN"/>
        </w:rPr>
        <w:t>根据现场补充监测</w:t>
      </w:r>
      <w:r>
        <w:rPr>
          <w:rFonts w:hint="default" w:ascii="Times New Roman" w:hAnsi="Times New Roman" w:cs="Times New Roman"/>
          <w:color w:val="auto"/>
          <w:szCs w:val="24"/>
          <w:highlight w:val="none"/>
        </w:rPr>
        <w:t>，本次评价项目区TSP</w:t>
      </w:r>
      <w:r>
        <w:rPr>
          <w:rFonts w:hint="eastAsia" w:cs="Times New Roman"/>
          <w:color w:val="auto"/>
          <w:szCs w:val="24"/>
          <w:highlight w:val="none"/>
          <w:lang w:eastAsia="zh-CN"/>
        </w:rPr>
        <w:t>、氟化物</w:t>
      </w:r>
      <w:r>
        <w:rPr>
          <w:rFonts w:hint="default" w:ascii="Times New Roman" w:hAnsi="Times New Roman" w:cs="Times New Roman"/>
          <w:color w:val="auto"/>
          <w:szCs w:val="24"/>
          <w:highlight w:val="none"/>
        </w:rPr>
        <w:t>日均浓度满足</w:t>
      </w:r>
      <w:r>
        <w:rPr>
          <w:rFonts w:hint="default" w:ascii="Times New Roman" w:hAnsi="Times New Roman" w:cs="Times New Roman"/>
          <w:color w:val="auto"/>
          <w:szCs w:val="24"/>
          <w:highlight w:val="none"/>
          <w:lang w:eastAsia="zh-CN"/>
        </w:rPr>
        <w:t>《环境空气质量标准》（GB3095-2026）</w:t>
      </w:r>
      <w:r>
        <w:rPr>
          <w:rFonts w:hint="default" w:ascii="Times New Roman" w:hAnsi="Times New Roman" w:cs="Times New Roman"/>
          <w:color w:val="auto"/>
          <w:spacing w:val="-4"/>
          <w:szCs w:val="24"/>
          <w:highlight w:val="none"/>
        </w:rPr>
        <w:t>二级标准要求</w:t>
      </w:r>
      <w:r>
        <w:rPr>
          <w:rFonts w:hint="default" w:ascii="Times New Roman" w:hAnsi="Times New Roman" w:cs="Times New Roman"/>
          <w:color w:val="auto"/>
          <w:szCs w:val="24"/>
          <w:highlight w:val="none"/>
        </w:rPr>
        <w:t>。</w:t>
      </w:r>
    </w:p>
    <w:p w14:paraId="22F8C9A6">
      <w:pPr>
        <w:pStyle w:val="4"/>
        <w:rPr>
          <w:rFonts w:hint="default" w:ascii="Times New Roman" w:hAnsi="Times New Roman" w:cs="Times New Roman"/>
          <w:color w:val="auto"/>
          <w:highlight w:val="none"/>
        </w:rPr>
      </w:pPr>
      <w:bookmarkStart w:id="1159" w:name="_Toc26387"/>
      <w:bookmarkStart w:id="1160" w:name="_Toc25270"/>
      <w:bookmarkStart w:id="1161" w:name="_Toc2266"/>
      <w:bookmarkStart w:id="1162" w:name="_Toc13535"/>
      <w:bookmarkStart w:id="1163" w:name="_Toc17200"/>
      <w:bookmarkStart w:id="1164" w:name="_Toc11095"/>
      <w:bookmarkStart w:id="1165" w:name="_Toc21865"/>
      <w:bookmarkStart w:id="1166" w:name="_Toc15121"/>
      <w:r>
        <w:rPr>
          <w:rFonts w:hint="default" w:ascii="Times New Roman" w:hAnsi="Times New Roman" w:cs="Times New Roman"/>
          <w:color w:val="auto"/>
          <w:highlight w:val="none"/>
        </w:rPr>
        <w:t>9.3.2水环境现状</w:t>
      </w:r>
      <w:bookmarkEnd w:id="1159"/>
      <w:bookmarkEnd w:id="1160"/>
      <w:bookmarkEnd w:id="1161"/>
      <w:bookmarkEnd w:id="1162"/>
      <w:bookmarkEnd w:id="1163"/>
      <w:bookmarkEnd w:id="1164"/>
      <w:bookmarkEnd w:id="1165"/>
      <w:bookmarkEnd w:id="1166"/>
    </w:p>
    <w:p w14:paraId="3E752554">
      <w:pPr>
        <w:pStyle w:val="43"/>
        <w:overflowPunct w:val="0"/>
        <w:topLinePunct/>
        <w:spacing w:line="480" w:lineRule="exact"/>
        <w:ind w:firstLine="480"/>
        <w:rPr>
          <w:rFonts w:hint="default" w:ascii="Times New Roman" w:hAnsi="Times New Roman" w:eastAsia="宋体" w:cs="Times New Roman"/>
          <w:bCs/>
          <w:snapToGrid w:val="0"/>
          <w:color w:val="auto"/>
          <w:kern w:val="2"/>
          <w:sz w:val="24"/>
          <w:szCs w:val="24"/>
          <w:highlight w:val="none"/>
          <w:lang w:val="en-US" w:eastAsia="zh-CN" w:bidi="ar-SA"/>
        </w:rPr>
      </w:pPr>
      <w:r>
        <w:rPr>
          <w:rFonts w:hint="default" w:ascii="Times New Roman" w:hAnsi="Times New Roman" w:eastAsia="宋体" w:cs="Times New Roman"/>
          <w:bCs/>
          <w:snapToGrid w:val="0"/>
          <w:color w:val="auto"/>
          <w:kern w:val="2"/>
          <w:sz w:val="24"/>
          <w:szCs w:val="24"/>
          <w:highlight w:val="none"/>
          <w:lang w:val="en-US" w:eastAsia="zh-CN" w:bidi="ar-SA"/>
        </w:rPr>
        <w:t>本项目周边1km范围内无地表水体，另外本项目产生废水不外排，与地表水体无水力联系，因此本次不对地表水体进行监测。</w:t>
      </w:r>
    </w:p>
    <w:p w14:paraId="15CF4944">
      <w:pPr>
        <w:pStyle w:val="43"/>
        <w:overflowPunct w:val="0"/>
        <w:topLinePunct/>
        <w:spacing w:line="480" w:lineRule="exact"/>
        <w:ind w:firstLine="480"/>
        <w:rPr>
          <w:rFonts w:hint="default" w:ascii="Times New Roman" w:hAnsi="Times New Roman" w:eastAsia="宋体" w:cs="Times New Roman"/>
          <w:bCs/>
          <w:snapToGrid w:val="0"/>
          <w:color w:val="auto"/>
          <w:kern w:val="2"/>
          <w:sz w:val="24"/>
          <w:szCs w:val="24"/>
          <w:highlight w:val="none"/>
          <w:lang w:val="en-US" w:eastAsia="zh-CN" w:bidi="ar-SA"/>
        </w:rPr>
      </w:pPr>
      <w:r>
        <w:rPr>
          <w:rFonts w:hint="eastAsia" w:cs="Times New Roman"/>
          <w:bCs/>
          <w:snapToGrid w:val="0"/>
          <w:color w:val="auto"/>
          <w:kern w:val="2"/>
          <w:sz w:val="24"/>
          <w:szCs w:val="24"/>
          <w:highlight w:val="none"/>
          <w:lang w:val="en-US" w:eastAsia="zh-CN" w:bidi="ar-SA"/>
        </w:rPr>
        <w:t>本项目地下水</w:t>
      </w:r>
      <w:r>
        <w:rPr>
          <w:rFonts w:hint="default" w:ascii="Times New Roman" w:hAnsi="Times New Roman" w:eastAsia="宋体" w:cs="Times New Roman"/>
          <w:bCs/>
          <w:snapToGrid w:val="0"/>
          <w:color w:val="auto"/>
          <w:kern w:val="2"/>
          <w:sz w:val="24"/>
          <w:szCs w:val="24"/>
          <w:highlight w:val="none"/>
          <w:lang w:val="en-US" w:eastAsia="zh-CN" w:bidi="ar-SA"/>
        </w:rPr>
        <w:t>各点位溶解性总固体、总硬度、硫酸盐、氯化物、钠、铁等指标均超过《地下水质量标准》（GB/T14848-2017）Ⅲ类标准限值，锰在1#点位达标外，其余点位已超过《地下水质量标准》（GB/T14848-2017）Ⅲ类标准限值。地下水超标指标主要为常规无机盐类和硬度指标，其超标原因是区域天然地质背景及干旱气候条件下地下水长期蒸发浓缩所致。</w:t>
      </w:r>
    </w:p>
    <w:p w14:paraId="6EA88AA1">
      <w:pPr>
        <w:pStyle w:val="4"/>
        <w:rPr>
          <w:rFonts w:hint="default" w:ascii="Times New Roman" w:hAnsi="Times New Roman" w:cs="Times New Roman"/>
          <w:color w:val="auto"/>
          <w:highlight w:val="none"/>
        </w:rPr>
      </w:pPr>
      <w:bookmarkStart w:id="1167" w:name="_Toc26961"/>
      <w:bookmarkStart w:id="1168" w:name="_Toc8103"/>
      <w:bookmarkStart w:id="1169" w:name="_Toc1615"/>
      <w:r>
        <w:rPr>
          <w:rFonts w:hint="default" w:ascii="Times New Roman" w:hAnsi="Times New Roman" w:cs="Times New Roman"/>
          <w:color w:val="auto"/>
          <w:highlight w:val="none"/>
        </w:rPr>
        <w:t>9.3.3声环境现状</w:t>
      </w:r>
      <w:bookmarkEnd w:id="1167"/>
      <w:bookmarkEnd w:id="1168"/>
      <w:bookmarkEnd w:id="1169"/>
    </w:p>
    <w:p w14:paraId="0DC038B8">
      <w:pPr>
        <w:pStyle w:val="43"/>
        <w:overflowPunct w:val="0"/>
        <w:topLinePunct/>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项目所在区域声环境质量现状均满足《声环境质量标准》（GB3096-2008）</w:t>
      </w:r>
      <w:r>
        <w:rPr>
          <w:rFonts w:hint="default" w:ascii="Times New Roman" w:hAnsi="Times New Roman" w:cs="Times New Roman"/>
          <w:color w:val="auto"/>
          <w:kern w:val="0"/>
          <w:highlight w:val="none"/>
          <w:lang w:val="en-US" w:eastAsia="zh-CN"/>
        </w:rPr>
        <w:t>2</w:t>
      </w:r>
      <w:r>
        <w:rPr>
          <w:rFonts w:hint="default" w:ascii="Times New Roman" w:hAnsi="Times New Roman" w:cs="Times New Roman"/>
          <w:color w:val="auto"/>
          <w:kern w:val="0"/>
          <w:highlight w:val="none"/>
        </w:rPr>
        <w:t>类区标准限值，评价区域内的声环境质量较好。</w:t>
      </w:r>
    </w:p>
    <w:p w14:paraId="2FBF7112">
      <w:pPr>
        <w:pStyle w:val="4"/>
        <w:rPr>
          <w:rFonts w:hint="default" w:ascii="Times New Roman" w:hAnsi="Times New Roman" w:cs="Times New Roman"/>
          <w:color w:val="auto"/>
          <w:highlight w:val="none"/>
        </w:rPr>
      </w:pPr>
      <w:bookmarkStart w:id="1170" w:name="_Toc4246"/>
      <w:bookmarkStart w:id="1171" w:name="_Toc27415"/>
      <w:bookmarkStart w:id="1172" w:name="_Toc4205"/>
      <w:r>
        <w:rPr>
          <w:rFonts w:hint="default" w:ascii="Times New Roman" w:hAnsi="Times New Roman" w:cs="Times New Roman"/>
          <w:color w:val="auto"/>
          <w:highlight w:val="none"/>
        </w:rPr>
        <w:t>9.3.4土壤环境现状</w:t>
      </w:r>
      <w:bookmarkEnd w:id="1170"/>
      <w:bookmarkEnd w:id="1171"/>
      <w:bookmarkEnd w:id="1172"/>
    </w:p>
    <w:p w14:paraId="5C823789">
      <w:pPr>
        <w:pStyle w:val="43"/>
        <w:overflowPunct w:val="0"/>
        <w:topLinePunct/>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土壤监测结果表明：常规和特征监测因子监测值均低于《土壤环境质量 建设用地土壤污染风险管控标准</w:t>
      </w:r>
      <w:r>
        <w:rPr>
          <w:rFonts w:hint="eastAsia" w:cs="Times New Roman"/>
          <w:color w:val="auto"/>
          <w:kern w:val="0"/>
          <w:highlight w:val="none"/>
          <w:lang w:eastAsia="zh-CN"/>
        </w:rPr>
        <w:t>（试行）》</w:t>
      </w:r>
      <w:r>
        <w:rPr>
          <w:rFonts w:hint="default" w:ascii="Times New Roman" w:hAnsi="Times New Roman" w:cs="Times New Roman"/>
          <w:color w:val="auto"/>
          <w:kern w:val="0"/>
          <w:highlight w:val="none"/>
        </w:rPr>
        <w:t>中的筛选值。</w:t>
      </w:r>
    </w:p>
    <w:p w14:paraId="1CA260CE">
      <w:pPr>
        <w:pStyle w:val="3"/>
        <w:rPr>
          <w:rFonts w:hint="default" w:ascii="Times New Roman" w:hAnsi="Times New Roman" w:cs="Times New Roman"/>
          <w:color w:val="auto"/>
          <w:highlight w:val="none"/>
        </w:rPr>
      </w:pPr>
      <w:bookmarkStart w:id="1173" w:name="_Toc492457110"/>
      <w:bookmarkStart w:id="1174" w:name="_Toc30815"/>
      <w:bookmarkStart w:id="1175" w:name="_Toc361840113"/>
      <w:bookmarkStart w:id="1176" w:name="_Toc355715735"/>
      <w:bookmarkStart w:id="1177" w:name="_Toc338153326"/>
      <w:bookmarkStart w:id="1178" w:name="_Toc5251"/>
      <w:bookmarkStart w:id="1179" w:name="_Toc17148"/>
      <w:bookmarkStart w:id="1180" w:name="_Toc278281234"/>
      <w:bookmarkStart w:id="1181" w:name="_Toc107414688"/>
      <w:bookmarkStart w:id="1182" w:name="_Toc318298695"/>
      <w:bookmarkStart w:id="1183" w:name="_Toc27089"/>
      <w:bookmarkStart w:id="1184" w:name="_Toc16977"/>
      <w:bookmarkStart w:id="1185" w:name="_Toc15613"/>
      <w:bookmarkStart w:id="1186" w:name="_Toc242"/>
      <w:bookmarkStart w:id="1187" w:name="_Toc28962"/>
      <w:bookmarkStart w:id="1188" w:name="_Toc4197"/>
      <w:bookmarkStart w:id="1189" w:name="_Toc120683074"/>
      <w:bookmarkStart w:id="1190" w:name="_Toc107413921"/>
      <w:bookmarkStart w:id="1191" w:name="_Toc482784730"/>
      <w:bookmarkStart w:id="1192" w:name="_Toc8118"/>
      <w:bookmarkStart w:id="1193" w:name="_Toc31690"/>
      <w:bookmarkStart w:id="1194" w:name="_Toc17832"/>
      <w:bookmarkStart w:id="1195" w:name="_Toc25951"/>
      <w:bookmarkStart w:id="1196" w:name="_Toc8060"/>
      <w:bookmarkStart w:id="1197" w:name="_Toc10848"/>
      <w:bookmarkStart w:id="1198" w:name="_Toc31043"/>
      <w:bookmarkStart w:id="1199" w:name="_Toc360205164"/>
      <w:bookmarkStart w:id="1200" w:name="_Toc282074159"/>
      <w:r>
        <w:rPr>
          <w:rFonts w:hint="default" w:ascii="Times New Roman" w:hAnsi="Times New Roman" w:cs="Times New Roman"/>
          <w:color w:val="auto"/>
          <w:highlight w:val="none"/>
        </w:rPr>
        <w:t>9.4环境影响评价</w:t>
      </w:r>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p>
    <w:p w14:paraId="3A878C6A">
      <w:pPr>
        <w:pStyle w:val="4"/>
        <w:rPr>
          <w:rFonts w:hint="default" w:ascii="Times New Roman" w:hAnsi="Times New Roman" w:cs="Times New Roman"/>
          <w:color w:val="auto"/>
          <w:highlight w:val="none"/>
        </w:rPr>
      </w:pPr>
      <w:bookmarkStart w:id="1201" w:name="_Toc2073"/>
      <w:bookmarkStart w:id="1202" w:name="_Toc12680"/>
      <w:bookmarkStart w:id="1203" w:name="_Toc6124"/>
      <w:bookmarkStart w:id="1204" w:name="_Toc2287"/>
      <w:bookmarkStart w:id="1205" w:name="_Toc14678"/>
      <w:bookmarkStart w:id="1206" w:name="_Toc28282"/>
      <w:bookmarkStart w:id="1207" w:name="_Toc31433"/>
      <w:bookmarkStart w:id="1208" w:name="_Toc12184"/>
      <w:r>
        <w:rPr>
          <w:rFonts w:hint="default" w:ascii="Times New Roman" w:hAnsi="Times New Roman" w:cs="Times New Roman"/>
          <w:color w:val="auto"/>
          <w:highlight w:val="none"/>
        </w:rPr>
        <w:t>9.4.1大气环境影响评价</w:t>
      </w:r>
      <w:bookmarkEnd w:id="1201"/>
      <w:bookmarkEnd w:id="1202"/>
      <w:bookmarkEnd w:id="1203"/>
      <w:bookmarkEnd w:id="1204"/>
      <w:bookmarkEnd w:id="1205"/>
      <w:bookmarkEnd w:id="1206"/>
      <w:bookmarkEnd w:id="1207"/>
      <w:bookmarkEnd w:id="1208"/>
    </w:p>
    <w:p w14:paraId="56A7B725">
      <w:pPr>
        <w:overflowPunct w:val="0"/>
        <w:topLinePunct/>
        <w:ind w:firstLine="480"/>
        <w:rPr>
          <w:rFonts w:hint="default" w:ascii="Times New Roman" w:hAnsi="Times New Roman" w:cs="Times New Roman"/>
          <w:color w:val="auto"/>
          <w:kern w:val="0"/>
          <w:highlight w:val="none"/>
        </w:rPr>
      </w:pPr>
      <w:r>
        <w:rPr>
          <w:rFonts w:hint="default" w:ascii="Times New Roman" w:hAnsi="Times New Roman" w:eastAsia="宋体" w:cs="Times New Roman"/>
          <w:color w:val="auto"/>
          <w:sz w:val="24"/>
          <w:highlight w:val="none"/>
          <w:lang w:val="en-US" w:eastAsia="zh-CN"/>
        </w:rPr>
        <w:t>根据AERSCREEN模式估算，项目</w:t>
      </w:r>
      <w:r>
        <w:rPr>
          <w:rFonts w:hint="eastAsia" w:cs="Times New Roman"/>
          <w:color w:val="auto"/>
          <w:sz w:val="24"/>
          <w:highlight w:val="none"/>
          <w:lang w:val="en-US" w:eastAsia="zh-CN"/>
        </w:rPr>
        <w:t>氮氧化物</w:t>
      </w:r>
      <w:r>
        <w:rPr>
          <w:rFonts w:hint="default" w:ascii="Times New Roman" w:hAnsi="Times New Roman" w:eastAsia="宋体" w:cs="Times New Roman"/>
          <w:color w:val="auto"/>
          <w:sz w:val="24"/>
          <w:highlight w:val="none"/>
          <w:lang w:val="en-US" w:eastAsia="zh-CN"/>
        </w:rPr>
        <w:t>最大1h地面空气质量浓度为23.54728mg/m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，占标率</w:t>
      </w:r>
      <w:r>
        <w:rPr>
          <w:rFonts w:hint="default" w:ascii="Times New Roman" w:hAnsi="Times New Roman" w:cs="Times New Roman"/>
          <w:color w:val="auto"/>
          <w:sz w:val="24"/>
          <w:highlight w:val="none"/>
          <w:lang w:val="en-US" w:eastAsia="zh-CN"/>
        </w:rPr>
        <w:t>9.42</w:t>
      </w:r>
      <w:r>
        <w:rPr>
          <w:rFonts w:hint="default" w:ascii="Times New Roman" w:hAnsi="Times New Roman" w:eastAsia="宋体" w:cs="Times New Roman"/>
          <w:color w:val="auto"/>
          <w:sz w:val="24"/>
          <w:highlight w:val="none"/>
          <w:lang w:val="en-US" w:eastAsia="zh-CN"/>
        </w:rPr>
        <w:t>%。本</w:t>
      </w:r>
      <w:r>
        <w:rPr>
          <w:rFonts w:hint="default" w:ascii="Times New Roman" w:hAnsi="Times New Roman" w:cs="Times New Roman"/>
          <w:color w:val="auto"/>
          <w:sz w:val="24"/>
          <w:highlight w:val="none"/>
          <w:lang w:val="en-US" w:eastAsia="zh-CN"/>
        </w:rPr>
        <w:t>项目</w:t>
      </w:r>
      <w:r>
        <w:rPr>
          <w:rFonts w:hint="default" w:ascii="Times New Roman" w:hAnsi="Times New Roman" w:eastAsia="宋体" w:cs="Times New Roman"/>
          <w:color w:val="auto"/>
          <w:sz w:val="24"/>
          <w:highlight w:val="none"/>
          <w:lang w:val="en-US" w:eastAsia="zh-CN"/>
        </w:rPr>
        <w:t>大气污染物厂界贡献浓度无超标点，对周边大气环境影响较小。</w:t>
      </w:r>
      <w:r>
        <w:rPr>
          <w:rFonts w:hint="default" w:ascii="Times New Roman" w:hAnsi="Times New Roman" w:cs="Times New Roman"/>
          <w:color w:val="auto"/>
          <w:sz w:val="24"/>
          <w:highlight w:val="none"/>
          <w:shd w:val="clear" w:color="auto" w:fill="FFFFFF"/>
        </w:rPr>
        <w:t>根据</w:t>
      </w:r>
      <w:r>
        <w:rPr>
          <w:rFonts w:hint="default" w:ascii="Times New Roman" w:hAnsi="Times New Roman" w:eastAsia="宋体" w:cs="Times New Roman"/>
          <w:color w:val="auto"/>
          <w:sz w:val="24"/>
          <w:highlight w:val="none"/>
          <w:lang w:val="en-US" w:eastAsia="zh-CN"/>
        </w:rPr>
        <w:t>估算结果，</w:t>
      </w:r>
      <w:r>
        <w:rPr>
          <w:rFonts w:hint="default" w:ascii="Times New Roman" w:hAnsi="Times New Roman" w:cs="Times New Roman"/>
          <w:color w:val="auto"/>
          <w:sz w:val="24"/>
          <w:highlight w:val="none"/>
        </w:rPr>
        <w:t>说明本项目</w:t>
      </w:r>
      <w:r>
        <w:rPr>
          <w:rFonts w:hint="default" w:ascii="Times New Roman" w:hAnsi="Times New Roman" w:cs="Times New Roman"/>
          <w:color w:val="auto"/>
          <w:sz w:val="24"/>
          <w:highlight w:val="none"/>
          <w:lang w:eastAsia="zh-CN"/>
        </w:rPr>
        <w:t>产生的大气污染物</w:t>
      </w:r>
      <w:r>
        <w:rPr>
          <w:rFonts w:hint="default" w:ascii="Times New Roman" w:hAnsi="Times New Roman" w:cs="Times New Roman"/>
          <w:color w:val="auto"/>
          <w:sz w:val="24"/>
          <w:highlight w:val="none"/>
        </w:rPr>
        <w:t>对</w:t>
      </w:r>
      <w:r>
        <w:rPr>
          <w:rFonts w:hint="default" w:ascii="Times New Roman" w:hAnsi="Times New Roman" w:cs="Times New Roman"/>
          <w:color w:val="auto"/>
          <w:sz w:val="24"/>
          <w:highlight w:val="none"/>
          <w:shd w:val="clear" w:color="auto" w:fill="FFFFFF"/>
        </w:rPr>
        <w:t>项目区</w:t>
      </w:r>
      <w:r>
        <w:rPr>
          <w:rFonts w:hint="default" w:ascii="Times New Roman" w:hAnsi="Times New Roman" w:cs="Times New Roman"/>
          <w:color w:val="auto"/>
          <w:sz w:val="24"/>
          <w:highlight w:val="none"/>
          <w:shd w:val="clear" w:color="auto" w:fill="FFFFFF"/>
          <w:lang w:eastAsia="zh-CN"/>
        </w:rPr>
        <w:t>的</w:t>
      </w:r>
      <w:r>
        <w:rPr>
          <w:rFonts w:hint="default" w:ascii="Times New Roman" w:hAnsi="Times New Roman" w:cs="Times New Roman"/>
          <w:bCs/>
          <w:color w:val="auto"/>
          <w:kern w:val="0"/>
          <w:sz w:val="24"/>
          <w:highlight w:val="none"/>
        </w:rPr>
        <w:t>影响较小，</w:t>
      </w:r>
      <w:r>
        <w:rPr>
          <w:rFonts w:hint="default" w:ascii="Times New Roman" w:hAnsi="Times New Roman" w:cs="Times New Roman"/>
          <w:color w:val="auto"/>
          <w:sz w:val="24"/>
          <w:highlight w:val="none"/>
        </w:rPr>
        <w:t>在可接受范围内</w:t>
      </w:r>
      <w:r>
        <w:rPr>
          <w:rFonts w:hint="default" w:ascii="Times New Roman" w:hAnsi="Times New Roman" w:cs="Times New Roman"/>
          <w:color w:val="auto"/>
          <w:highlight w:val="none"/>
          <w:shd w:val="clear" w:color="auto" w:fill="FFFFFF"/>
        </w:rPr>
        <w:t>。</w:t>
      </w:r>
    </w:p>
    <w:p w14:paraId="79485379">
      <w:pPr>
        <w:pStyle w:val="4"/>
        <w:rPr>
          <w:rFonts w:hint="default" w:ascii="Times New Roman" w:hAnsi="Times New Roman" w:cs="Times New Roman"/>
          <w:color w:val="auto"/>
          <w:highlight w:val="none"/>
        </w:rPr>
      </w:pPr>
      <w:bookmarkStart w:id="1209" w:name="_Toc6154"/>
      <w:bookmarkStart w:id="1210" w:name="_Toc12705"/>
      <w:bookmarkStart w:id="1211" w:name="_Toc10434"/>
      <w:bookmarkStart w:id="1212" w:name="_Toc24973"/>
      <w:bookmarkStart w:id="1213" w:name="_Toc32573"/>
      <w:bookmarkStart w:id="1214" w:name="_Toc10249"/>
      <w:bookmarkStart w:id="1215" w:name="_Toc22647"/>
      <w:bookmarkStart w:id="1216" w:name="_Toc5891"/>
      <w:r>
        <w:rPr>
          <w:rFonts w:hint="default" w:ascii="Times New Roman" w:hAnsi="Times New Roman" w:cs="Times New Roman"/>
          <w:color w:val="auto"/>
          <w:highlight w:val="none"/>
        </w:rPr>
        <w:t>9.4.2水环境影响评价</w:t>
      </w:r>
      <w:bookmarkEnd w:id="1209"/>
      <w:bookmarkEnd w:id="1210"/>
      <w:bookmarkEnd w:id="1211"/>
      <w:bookmarkEnd w:id="1212"/>
      <w:bookmarkEnd w:id="1213"/>
      <w:bookmarkEnd w:id="1214"/>
      <w:bookmarkEnd w:id="1215"/>
      <w:bookmarkEnd w:id="1216"/>
    </w:p>
    <w:p w14:paraId="03A337EE">
      <w:pPr>
        <w:ind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kern w:val="0"/>
          <w:highlight w:val="none"/>
        </w:rPr>
        <w:t>正常工况下：项目选矿废水</w:t>
      </w:r>
      <w:r>
        <w:rPr>
          <w:rFonts w:hint="eastAsia" w:cs="Times New Roman"/>
          <w:color w:val="auto"/>
          <w:kern w:val="0"/>
          <w:highlight w:val="none"/>
          <w:lang w:eastAsia="zh-CN"/>
        </w:rPr>
        <w:t>“</w:t>
      </w:r>
      <w:r>
        <w:rPr>
          <w:rFonts w:hint="default" w:ascii="Times New Roman" w:hAnsi="Times New Roman" w:cs="Times New Roman"/>
          <w:color w:val="auto"/>
          <w:kern w:val="0"/>
          <w:highlight w:val="none"/>
        </w:rPr>
        <w:t>闭路循环</w:t>
      </w:r>
      <w:r>
        <w:rPr>
          <w:rFonts w:hint="eastAsia" w:cs="Times New Roman"/>
          <w:color w:val="auto"/>
          <w:kern w:val="0"/>
          <w:highlight w:val="none"/>
          <w:lang w:eastAsia="zh-CN"/>
        </w:rPr>
        <w:t>”</w:t>
      </w:r>
      <w:r>
        <w:rPr>
          <w:rFonts w:hint="default" w:ascii="Times New Roman" w:hAnsi="Times New Roman" w:cs="Times New Roman"/>
          <w:color w:val="auto"/>
          <w:kern w:val="0"/>
          <w:highlight w:val="none"/>
        </w:rPr>
        <w:t>，全部回用，不外排；生活污水经</w:t>
      </w:r>
      <w:r>
        <w:rPr>
          <w:rFonts w:hint="eastAsia" w:cs="Times New Roman"/>
          <w:snapToGrid/>
          <w:color w:val="auto"/>
          <w:kern w:val="2"/>
          <w:sz w:val="24"/>
          <w:szCs w:val="24"/>
          <w:highlight w:val="none"/>
          <w:lang w:val="en-US" w:eastAsia="zh-CN" w:bidi="ar-SA"/>
        </w:rPr>
        <w:t>化粪池处理后，定期抽运至</w:t>
      </w:r>
      <w:r>
        <w:rPr>
          <w:rFonts w:hint="default" w:ascii="Times New Roman" w:hAnsi="Times New Roman" w:cs="Times New Roman"/>
          <w:color w:val="auto"/>
          <w:sz w:val="24"/>
          <w:highlight w:val="none"/>
          <w:lang w:eastAsia="zh-CN" w:bidi="ar"/>
        </w:rPr>
        <w:t>哈密市污水处理厂</w:t>
      </w:r>
      <w:r>
        <w:rPr>
          <w:rFonts w:hint="default" w:ascii="Times New Roman" w:hAnsi="Times New Roman" w:cs="Times New Roman"/>
          <w:color w:val="auto"/>
          <w:kern w:val="0"/>
          <w:highlight w:val="none"/>
        </w:rPr>
        <w:t>。锅炉废水包括</w:t>
      </w:r>
      <w:r>
        <w:rPr>
          <w:rFonts w:hint="default" w:ascii="Times New Roman" w:hAnsi="Times New Roman" w:cs="Times New Roman"/>
          <w:color w:val="auto"/>
          <w:highlight w:val="none"/>
        </w:rPr>
        <w:t>锅炉排污水、软化废水</w:t>
      </w:r>
      <w:r>
        <w:rPr>
          <w:rFonts w:hint="eastAsia" w:cs="Times New Roman"/>
          <w:color w:val="auto"/>
          <w:highlight w:val="none"/>
          <w:lang w:val="en-US" w:eastAsia="zh-CN"/>
        </w:rPr>
        <w:t>及脱硫废水</w:t>
      </w:r>
      <w:r>
        <w:rPr>
          <w:rFonts w:hint="default" w:ascii="Times New Roman" w:hAnsi="Times New Roman" w:cs="Times New Roman"/>
          <w:color w:val="auto"/>
          <w:highlight w:val="none"/>
        </w:rPr>
        <w:t>，</w:t>
      </w:r>
      <w:r>
        <w:rPr>
          <w:rFonts w:hint="eastAsia" w:cs="Times New Roman"/>
          <w:color w:val="auto"/>
          <w:highlight w:val="none"/>
          <w:lang w:val="en-US" w:eastAsia="zh-CN"/>
        </w:rPr>
        <w:t>锅炉废水经沉淀池沉淀、中和处理后上清液回用选矿生产工序循环使用，不外排。</w:t>
      </w:r>
    </w:p>
    <w:p w14:paraId="01A5343C">
      <w:pPr>
        <w:pStyle w:val="43"/>
        <w:overflowPunct w:val="0"/>
        <w:topLinePunct/>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lang w:val="en-GB"/>
        </w:rPr>
        <w:t>非正常工况下：为防止选矿生产系统故障或事故矿浆溢流对外环境造成污染影响，选厂在</w:t>
      </w:r>
      <w:r>
        <w:rPr>
          <w:rFonts w:hint="default" w:ascii="Times New Roman" w:hAnsi="Times New Roman" w:cs="Times New Roman"/>
          <w:color w:val="auto"/>
          <w:kern w:val="0"/>
          <w:highlight w:val="none"/>
        </w:rPr>
        <w:t>发生事故时立即停止生产，溢出水排入车间排水沟，最终由车间回水泵排入防渗循环水池。</w:t>
      </w:r>
      <w:r>
        <w:rPr>
          <w:rFonts w:hint="default" w:ascii="Times New Roman" w:hAnsi="Times New Roman" w:cs="Times New Roman"/>
          <w:color w:val="auto"/>
          <w:kern w:val="0"/>
          <w:highlight w:val="none"/>
          <w:lang w:val="en-GB"/>
        </w:rPr>
        <w:t>及时维修</w:t>
      </w:r>
      <w:r>
        <w:rPr>
          <w:rFonts w:hint="default" w:ascii="Times New Roman" w:hAnsi="Times New Roman" w:cs="Times New Roman"/>
          <w:color w:val="auto"/>
          <w:kern w:val="0"/>
          <w:highlight w:val="none"/>
        </w:rPr>
        <w:t>故障设备</w:t>
      </w:r>
      <w:r>
        <w:rPr>
          <w:rFonts w:hint="default" w:ascii="Times New Roman" w:hAnsi="Times New Roman" w:cs="Times New Roman"/>
          <w:color w:val="auto"/>
          <w:kern w:val="0"/>
          <w:highlight w:val="none"/>
          <w:lang w:val="en-GB"/>
        </w:rPr>
        <w:t>，在故障或事故排除后，再泵回生产系统，不会发生外排，对外环境影响不大。</w:t>
      </w:r>
    </w:p>
    <w:p w14:paraId="66640170">
      <w:pPr>
        <w:pStyle w:val="4"/>
        <w:rPr>
          <w:rFonts w:hint="default" w:ascii="Times New Roman" w:hAnsi="Times New Roman" w:cs="Times New Roman"/>
          <w:color w:val="auto"/>
          <w:highlight w:val="none"/>
        </w:rPr>
      </w:pPr>
      <w:bookmarkStart w:id="1217" w:name="_Toc26325"/>
      <w:bookmarkStart w:id="1218" w:name="_Toc31320"/>
      <w:bookmarkStart w:id="1219" w:name="_Toc113"/>
      <w:bookmarkStart w:id="1220" w:name="_Toc1867"/>
      <w:bookmarkStart w:id="1221" w:name="_Toc20444"/>
      <w:bookmarkStart w:id="1222" w:name="_Toc628"/>
      <w:bookmarkStart w:id="1223" w:name="_Toc31165"/>
      <w:bookmarkStart w:id="1224" w:name="_Toc23232"/>
      <w:r>
        <w:rPr>
          <w:rFonts w:hint="default" w:ascii="Times New Roman" w:hAnsi="Times New Roman" w:cs="Times New Roman"/>
          <w:color w:val="auto"/>
          <w:highlight w:val="none"/>
        </w:rPr>
        <w:t>9.4.3声环境影响评价</w:t>
      </w:r>
      <w:bookmarkEnd w:id="1217"/>
      <w:bookmarkEnd w:id="1218"/>
      <w:bookmarkEnd w:id="1219"/>
      <w:bookmarkEnd w:id="1220"/>
      <w:bookmarkEnd w:id="1221"/>
      <w:bookmarkEnd w:id="1222"/>
      <w:bookmarkEnd w:id="1223"/>
      <w:bookmarkEnd w:id="1224"/>
    </w:p>
    <w:p w14:paraId="22D503E0">
      <w:pPr>
        <w:pStyle w:val="43"/>
        <w:overflowPunct w:val="0"/>
        <w:topLinePunct/>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项目投产后，本项目噪声影响预测值可以达到《工业企业厂界环境噪声排放标准》（GB12348-2008）中</w:t>
      </w:r>
      <w:r>
        <w:rPr>
          <w:rFonts w:hint="default" w:ascii="Times New Roman" w:hAnsi="Times New Roman" w:cs="Times New Roman"/>
          <w:color w:val="auto"/>
          <w:kern w:val="0"/>
          <w:highlight w:val="none"/>
          <w:lang w:val="en-US" w:eastAsia="zh-CN"/>
        </w:rPr>
        <w:t>2</w:t>
      </w:r>
      <w:r>
        <w:rPr>
          <w:rFonts w:hint="default" w:ascii="Times New Roman" w:hAnsi="Times New Roman" w:cs="Times New Roman"/>
          <w:color w:val="auto"/>
          <w:kern w:val="0"/>
          <w:highlight w:val="none"/>
        </w:rPr>
        <w:t>类标准。</w:t>
      </w:r>
    </w:p>
    <w:p w14:paraId="11377418">
      <w:pPr>
        <w:pStyle w:val="4"/>
        <w:rPr>
          <w:rFonts w:hint="default" w:ascii="Times New Roman" w:hAnsi="Times New Roman" w:cs="Times New Roman"/>
          <w:color w:val="auto"/>
          <w:highlight w:val="none"/>
        </w:rPr>
      </w:pPr>
      <w:bookmarkStart w:id="1225" w:name="_Toc21283"/>
      <w:bookmarkStart w:id="1226" w:name="_Toc24346"/>
      <w:bookmarkStart w:id="1227" w:name="_Toc2757"/>
      <w:bookmarkStart w:id="1228" w:name="_Toc24937"/>
      <w:bookmarkStart w:id="1229" w:name="_Toc7410"/>
      <w:bookmarkStart w:id="1230" w:name="_Toc4221"/>
      <w:bookmarkStart w:id="1231" w:name="_Toc12140"/>
      <w:bookmarkStart w:id="1232" w:name="_Toc2198"/>
      <w:r>
        <w:rPr>
          <w:rFonts w:hint="default" w:ascii="Times New Roman" w:hAnsi="Times New Roman" w:cs="Times New Roman"/>
          <w:color w:val="auto"/>
          <w:highlight w:val="none"/>
        </w:rPr>
        <w:t>9.4.4固体废物影响评价</w:t>
      </w:r>
      <w:bookmarkEnd w:id="1225"/>
      <w:bookmarkEnd w:id="1226"/>
      <w:bookmarkEnd w:id="1227"/>
      <w:bookmarkEnd w:id="1228"/>
      <w:bookmarkEnd w:id="1229"/>
      <w:bookmarkEnd w:id="1230"/>
      <w:bookmarkEnd w:id="1231"/>
      <w:bookmarkEnd w:id="1232"/>
    </w:p>
    <w:p w14:paraId="60E304AC">
      <w:pPr>
        <w:pStyle w:val="43"/>
        <w:overflowPunct w:val="0"/>
        <w:topLinePunct/>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本项目运营期固体废物主要来源于选矿工序产生的生活垃圾、尾矿砂、废机油、废油桶、原辅料废包装物、除尘灰、废离子交换树脂、沉淀池底泥、废布袋</w:t>
      </w:r>
      <w:r>
        <w:rPr>
          <w:rFonts w:hint="eastAsia" w:cs="Times New Roman"/>
          <w:color w:val="auto"/>
          <w:kern w:val="0"/>
          <w:highlight w:val="none"/>
          <w:lang w:eastAsia="zh-CN"/>
        </w:rPr>
        <w:t>、</w:t>
      </w:r>
      <w:r>
        <w:rPr>
          <w:rFonts w:hint="eastAsia" w:cs="Times New Roman"/>
          <w:color w:val="auto"/>
          <w:kern w:val="0"/>
          <w:highlight w:val="none"/>
          <w:lang w:val="en-US" w:eastAsia="zh-CN"/>
        </w:rPr>
        <w:t>脱硫石膏</w:t>
      </w:r>
      <w:r>
        <w:rPr>
          <w:rFonts w:hint="default" w:ascii="Times New Roman" w:hAnsi="Times New Roman" w:cs="Times New Roman"/>
          <w:color w:val="auto"/>
          <w:kern w:val="0"/>
          <w:highlight w:val="none"/>
        </w:rPr>
        <w:t>等。</w:t>
      </w:r>
    </w:p>
    <w:p w14:paraId="6E2631D6">
      <w:pPr>
        <w:pStyle w:val="43"/>
        <w:overflowPunct w:val="0"/>
        <w:topLinePunct/>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各项固体废物均得到妥善处置，在满足以上要求的前提下，本项目各项固体废物对项目区及周边环境影响较小。</w:t>
      </w:r>
    </w:p>
    <w:p w14:paraId="62D41970">
      <w:pPr>
        <w:pStyle w:val="4"/>
        <w:rPr>
          <w:rFonts w:hint="default" w:ascii="Times New Roman" w:hAnsi="Times New Roman" w:cs="Times New Roman"/>
          <w:color w:val="auto"/>
          <w:highlight w:val="none"/>
        </w:rPr>
      </w:pPr>
      <w:bookmarkStart w:id="1233" w:name="_Toc10374"/>
      <w:bookmarkStart w:id="1234" w:name="_Toc23843"/>
      <w:bookmarkStart w:id="1235" w:name="_Toc24505"/>
      <w:bookmarkStart w:id="1236" w:name="_Toc25544"/>
      <w:bookmarkStart w:id="1237" w:name="_Toc13287"/>
      <w:bookmarkStart w:id="1238" w:name="_Toc30868"/>
      <w:bookmarkStart w:id="1239" w:name="_Toc779"/>
      <w:bookmarkStart w:id="1240" w:name="_Toc26466"/>
      <w:r>
        <w:rPr>
          <w:rFonts w:hint="default" w:ascii="Times New Roman" w:hAnsi="Times New Roman" w:cs="Times New Roman"/>
          <w:color w:val="auto"/>
          <w:highlight w:val="none"/>
        </w:rPr>
        <w:t>9.4.5环境风险分析结论</w:t>
      </w:r>
      <w:bookmarkEnd w:id="1233"/>
      <w:bookmarkEnd w:id="1234"/>
      <w:bookmarkEnd w:id="1235"/>
      <w:bookmarkEnd w:id="1236"/>
      <w:bookmarkEnd w:id="1237"/>
      <w:bookmarkEnd w:id="1238"/>
      <w:bookmarkEnd w:id="1239"/>
      <w:bookmarkEnd w:id="1240"/>
    </w:p>
    <w:p w14:paraId="1FFC457A">
      <w:pPr>
        <w:pStyle w:val="43"/>
        <w:overflowPunct w:val="0"/>
        <w:topLinePunct/>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在落实本报告书中提出的环境保护措施的前提下，因地制宜地进行环境优化，本项目的环境风险在采取本次评价提出的各项措施并加强管理及风险防范措施得当的情况下，项目风险是可以接受的。</w:t>
      </w:r>
    </w:p>
    <w:p w14:paraId="4FEE47E2">
      <w:pPr>
        <w:pStyle w:val="3"/>
        <w:rPr>
          <w:rFonts w:hint="default" w:ascii="Times New Roman" w:hAnsi="Times New Roman" w:cs="Times New Roman"/>
          <w:color w:val="auto"/>
          <w:highlight w:val="none"/>
        </w:rPr>
      </w:pPr>
      <w:bookmarkStart w:id="1241" w:name="_Toc107413922"/>
      <w:bookmarkStart w:id="1242" w:name="_Toc107414689"/>
      <w:bookmarkStart w:id="1243" w:name="_Toc22173"/>
      <w:r>
        <w:rPr>
          <w:rFonts w:hint="default" w:ascii="Times New Roman" w:hAnsi="Times New Roman" w:cs="Times New Roman"/>
          <w:color w:val="auto"/>
          <w:highlight w:val="none"/>
        </w:rPr>
        <w:t>9.5</w:t>
      </w:r>
      <w:bookmarkEnd w:id="1241"/>
      <w:bookmarkEnd w:id="1242"/>
      <w:r>
        <w:rPr>
          <w:rFonts w:hint="default" w:ascii="Times New Roman" w:hAnsi="Times New Roman" w:cs="Times New Roman"/>
          <w:color w:val="auto"/>
          <w:highlight w:val="none"/>
        </w:rPr>
        <w:t>总量控制</w:t>
      </w:r>
      <w:bookmarkEnd w:id="1243"/>
    </w:p>
    <w:p w14:paraId="6E9C1346">
      <w:pPr>
        <w:pStyle w:val="43"/>
        <w:overflowPunct w:val="0"/>
        <w:topLinePunct/>
        <w:spacing w:line="480" w:lineRule="exact"/>
        <w:ind w:firstLine="480"/>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根据《</w:t>
      </w:r>
      <w:r>
        <w:rPr>
          <w:rFonts w:hint="eastAsia" w:cs="Times New Roman"/>
          <w:color w:val="auto"/>
          <w:kern w:val="0"/>
          <w:highlight w:val="none"/>
          <w:lang w:eastAsia="zh-CN"/>
        </w:rPr>
        <w:t>新疆嘉西矿业有限公司哈密市伊州区雅满苏镇M1033萤石选矿厂及尾矿库建设项目</w:t>
      </w:r>
      <w:r>
        <w:rPr>
          <w:rFonts w:hint="default" w:ascii="Times New Roman" w:hAnsi="Times New Roman" w:cs="Times New Roman"/>
          <w:color w:val="auto"/>
          <w:kern w:val="0"/>
          <w:highlight w:val="none"/>
        </w:rPr>
        <w:t>环境影响报告书》中</w:t>
      </w:r>
      <w:r>
        <w:rPr>
          <w:rFonts w:hint="eastAsia" w:cs="Times New Roman"/>
          <w:color w:val="auto"/>
          <w:kern w:val="0"/>
          <w:highlight w:val="none"/>
          <w:lang w:val="en-US" w:eastAsia="zh-CN"/>
        </w:rPr>
        <w:t>新增燃煤锅炉</w:t>
      </w:r>
      <w:r>
        <w:rPr>
          <w:rFonts w:hint="default" w:ascii="Times New Roman" w:hAnsi="Times New Roman" w:cs="Times New Roman"/>
          <w:color w:val="auto"/>
          <w:kern w:val="0"/>
          <w:highlight w:val="none"/>
        </w:rPr>
        <w:t>排气筒</w:t>
      </w:r>
      <w:r>
        <w:rPr>
          <w:rFonts w:hint="eastAsia" w:cs="Times New Roman"/>
          <w:color w:val="auto"/>
          <w:kern w:val="0"/>
          <w:highlight w:val="none"/>
          <w:lang w:val="en-US" w:eastAsia="zh-CN"/>
        </w:rPr>
        <w:t>NOx</w:t>
      </w:r>
      <w:r>
        <w:rPr>
          <w:rFonts w:hint="default" w:ascii="Times New Roman" w:hAnsi="Times New Roman" w:cs="Times New Roman"/>
          <w:color w:val="auto"/>
          <w:kern w:val="0"/>
          <w:highlight w:val="none"/>
        </w:rPr>
        <w:t>排放量为11.113t/a，总量控制指标总计为</w:t>
      </w:r>
      <w:r>
        <w:rPr>
          <w:rFonts w:hint="eastAsia" w:cs="Times New Roman"/>
          <w:color w:val="auto"/>
          <w:kern w:val="0"/>
          <w:highlight w:val="none"/>
          <w:lang w:val="en-US" w:eastAsia="zh-CN"/>
        </w:rPr>
        <w:t>NOx</w:t>
      </w:r>
      <w:r>
        <w:rPr>
          <w:rFonts w:hint="default" w:ascii="Times New Roman" w:hAnsi="Times New Roman" w:cs="Times New Roman"/>
          <w:color w:val="auto"/>
          <w:kern w:val="0"/>
          <w:highlight w:val="none"/>
        </w:rPr>
        <w:t>：11.113t/a。</w:t>
      </w:r>
    </w:p>
    <w:p w14:paraId="39A6C6BE">
      <w:pPr>
        <w:pStyle w:val="3"/>
        <w:rPr>
          <w:rFonts w:hint="default" w:ascii="Times New Roman" w:hAnsi="Times New Roman" w:cs="Times New Roman"/>
          <w:color w:val="auto"/>
          <w:kern w:val="0"/>
          <w:highlight w:val="none"/>
          <w:lang w:eastAsia="zh-TW"/>
        </w:rPr>
      </w:pPr>
      <w:bookmarkStart w:id="1244" w:name="_Toc107413923"/>
      <w:bookmarkStart w:id="1245" w:name="_Toc4796"/>
      <w:bookmarkStart w:id="1246" w:name="_Toc107414690"/>
      <w:r>
        <w:rPr>
          <w:rFonts w:hint="default" w:ascii="Times New Roman" w:hAnsi="Times New Roman" w:cs="Times New Roman"/>
          <w:color w:val="auto"/>
          <w:highlight w:val="none"/>
          <w:lang w:eastAsia="zh-TW"/>
        </w:rPr>
        <w:t>9.6</w:t>
      </w:r>
      <w:r>
        <w:rPr>
          <w:rFonts w:hint="default" w:ascii="Times New Roman" w:hAnsi="Times New Roman" w:cs="Times New Roman"/>
          <w:bCs w:val="0"/>
          <w:color w:val="auto"/>
          <w:highlight w:val="none"/>
          <w:lang w:eastAsia="zh-TW"/>
        </w:rPr>
        <w:t>公众参与</w:t>
      </w:r>
      <w:bookmarkEnd w:id="1244"/>
      <w:bookmarkEnd w:id="1245"/>
      <w:bookmarkEnd w:id="1246"/>
    </w:p>
    <w:p w14:paraId="574400BE">
      <w:pPr>
        <w:pStyle w:val="43"/>
        <w:keepNext w:val="0"/>
        <w:keepLines w:val="0"/>
        <w:pageBreakBefore w:val="0"/>
        <w:widowControl w:val="0"/>
        <w:kinsoku/>
        <w:wordWrap w:val="0"/>
        <w:overflowPunct w:val="0"/>
        <w:topLinePunct/>
        <w:autoSpaceDE/>
        <w:autoSpaceDN/>
        <w:bidi w:val="0"/>
        <w:adjustRightInd/>
        <w:snapToGrid/>
        <w:spacing w:line="480" w:lineRule="exact"/>
        <w:ind w:firstLine="480"/>
        <w:textAlignment w:val="auto"/>
        <w:rPr>
          <w:rFonts w:hint="default" w:ascii="Times New Roman" w:hAnsi="Times New Roman" w:eastAsia="PMingLiU" w:cs="Times New Roman"/>
          <w:color w:val="auto"/>
          <w:szCs w:val="24"/>
          <w:highlight w:val="none"/>
          <w:lang w:eastAsia="zh-TW"/>
        </w:rPr>
      </w:pPr>
      <w:r>
        <w:rPr>
          <w:rFonts w:hint="default" w:ascii="Times New Roman" w:hAnsi="Times New Roman" w:cs="Times New Roman"/>
          <w:color w:val="auto"/>
          <w:highlight w:val="none"/>
          <w:lang w:eastAsia="zh-CN"/>
        </w:rPr>
        <w:t>新疆嘉西矿业有限公司</w:t>
      </w:r>
      <w:r>
        <w:rPr>
          <w:rFonts w:hint="default" w:ascii="Times New Roman" w:hAnsi="Times New Roman" w:cs="Times New Roman"/>
          <w:color w:val="auto"/>
          <w:szCs w:val="24"/>
          <w:highlight w:val="none"/>
          <w:lang w:eastAsia="zh-TW"/>
        </w:rPr>
        <w:t>按照《环境影响评价公众参与办法》（生态环境部令第4号）的要求进行了本项目环境影响报告书的公众参与调查</w:t>
      </w:r>
      <w:r>
        <w:rPr>
          <w:rFonts w:hint="default" w:ascii="Times New Roman" w:hAnsi="Times New Roman" w:cs="Times New Roman"/>
          <w:color w:val="auto"/>
          <w:highlight w:val="none"/>
        </w:rPr>
        <w:t>。在确定本项目环境影响报告书编制单位后，</w:t>
      </w:r>
      <w:r>
        <w:rPr>
          <w:rFonts w:hint="default" w:ascii="Times New Roman" w:hAnsi="Times New Roman" w:cs="Times New Roman"/>
          <w:color w:val="auto"/>
          <w:szCs w:val="24"/>
          <w:highlight w:val="none"/>
          <w:lang w:eastAsia="zh-TW"/>
        </w:rPr>
        <w:t>于202</w:t>
      </w:r>
      <w:r>
        <w:rPr>
          <w:rFonts w:hint="eastAsia" w:cs="Times New Roman"/>
          <w:color w:val="auto"/>
          <w:szCs w:val="24"/>
          <w:highlight w:val="none"/>
          <w:lang w:val="en-US" w:eastAsia="zh-CN"/>
        </w:rPr>
        <w:t>5</w:t>
      </w:r>
      <w:r>
        <w:rPr>
          <w:rFonts w:hint="default" w:ascii="Times New Roman" w:hAnsi="Times New Roman" w:cs="Times New Roman"/>
          <w:color w:val="auto"/>
          <w:szCs w:val="24"/>
          <w:highlight w:val="none"/>
          <w:lang w:eastAsia="zh-TW"/>
        </w:rPr>
        <w:t>年</w:t>
      </w:r>
      <w:r>
        <w:rPr>
          <w:rFonts w:hint="eastAsia" w:cs="Times New Roman"/>
          <w:color w:val="auto"/>
          <w:szCs w:val="24"/>
          <w:highlight w:val="none"/>
          <w:lang w:val="en-US" w:eastAsia="zh-CN"/>
        </w:rPr>
        <w:t>11</w:t>
      </w:r>
      <w:r>
        <w:rPr>
          <w:rFonts w:hint="default" w:ascii="Times New Roman" w:hAnsi="Times New Roman" w:cs="Times New Roman"/>
          <w:color w:val="auto"/>
          <w:szCs w:val="24"/>
          <w:highlight w:val="none"/>
          <w:lang w:eastAsia="zh-TW"/>
        </w:rPr>
        <w:t>月</w:t>
      </w:r>
      <w:r>
        <w:rPr>
          <w:rFonts w:hint="eastAsia" w:cs="Times New Roman"/>
          <w:color w:val="auto"/>
          <w:szCs w:val="24"/>
          <w:highlight w:val="none"/>
          <w:lang w:val="en-US" w:eastAsia="zh-CN"/>
        </w:rPr>
        <w:t>24</w:t>
      </w:r>
      <w:r>
        <w:rPr>
          <w:rFonts w:hint="default" w:ascii="Times New Roman" w:hAnsi="Times New Roman" w:cs="Times New Roman"/>
          <w:color w:val="auto"/>
          <w:szCs w:val="24"/>
          <w:highlight w:val="none"/>
          <w:lang w:eastAsia="zh-TW"/>
        </w:rPr>
        <w:t>日在</w:t>
      </w:r>
      <w:r>
        <w:rPr>
          <w:rFonts w:hint="eastAsia" w:cs="Times New Roman"/>
          <w:color w:val="auto"/>
          <w:szCs w:val="24"/>
          <w:highlight w:val="none"/>
          <w:lang w:val="en-US" w:eastAsia="zh-CN"/>
        </w:rPr>
        <w:t>生态环境公示网</w:t>
      </w:r>
      <w:r>
        <w:rPr>
          <w:rFonts w:hint="default" w:ascii="Times New Roman" w:hAnsi="Times New Roman" w:cs="Times New Roman"/>
          <w:color w:val="auto"/>
          <w:szCs w:val="24"/>
          <w:highlight w:val="none"/>
          <w:lang w:eastAsia="zh-TW"/>
        </w:rPr>
        <w:t>进行了第一次信息公示（https://gongshi.qsyhbgj.com/h5public-detail?id=487484）</w:t>
      </w:r>
      <w:r>
        <w:rPr>
          <w:rFonts w:hint="default" w:ascii="Times New Roman" w:hAnsi="Times New Roman" w:cs="Times New Roman"/>
          <w:color w:val="auto"/>
          <w:szCs w:val="24"/>
          <w:highlight w:val="none"/>
        </w:rPr>
        <w:t>。</w:t>
      </w:r>
      <w:r>
        <w:rPr>
          <w:rFonts w:hint="default" w:ascii="Times New Roman" w:hAnsi="Times New Roman" w:cs="Times New Roman"/>
          <w:color w:val="auto"/>
          <w:highlight w:val="none"/>
        </w:rPr>
        <w:t>在本项目环境影响报告书征求意见稿形成后，于</w:t>
      </w:r>
      <w:r>
        <w:rPr>
          <w:rFonts w:hint="default" w:ascii="Times New Roman" w:hAnsi="Times New Roman" w:cs="Times New Roman"/>
          <w:color w:val="auto"/>
          <w:szCs w:val="24"/>
          <w:highlight w:val="none"/>
          <w:lang w:eastAsia="zh-TW"/>
        </w:rPr>
        <w:t>202</w:t>
      </w:r>
      <w:r>
        <w:rPr>
          <w:rFonts w:hint="eastAsia" w:cs="Times New Roman"/>
          <w:color w:val="auto"/>
          <w:szCs w:val="24"/>
          <w:highlight w:val="none"/>
          <w:lang w:val="en-US" w:eastAsia="zh-CN"/>
        </w:rPr>
        <w:t>6</w:t>
      </w:r>
      <w:r>
        <w:rPr>
          <w:rFonts w:hint="default" w:ascii="Times New Roman" w:hAnsi="Times New Roman" w:cs="Times New Roman"/>
          <w:color w:val="auto"/>
          <w:szCs w:val="24"/>
          <w:highlight w:val="none"/>
          <w:lang w:eastAsia="zh-TW"/>
        </w:rPr>
        <w:t>年</w:t>
      </w:r>
      <w:r>
        <w:rPr>
          <w:rFonts w:hint="eastAsia" w:cs="Times New Roman"/>
          <w:color w:val="auto"/>
          <w:szCs w:val="24"/>
          <w:highlight w:val="none"/>
          <w:lang w:val="en-US" w:eastAsia="zh-CN"/>
        </w:rPr>
        <w:t>3</w:t>
      </w:r>
      <w:r>
        <w:rPr>
          <w:rFonts w:hint="default" w:ascii="Times New Roman" w:hAnsi="Times New Roman" w:cs="Times New Roman"/>
          <w:color w:val="auto"/>
          <w:szCs w:val="24"/>
          <w:highlight w:val="none"/>
          <w:lang w:eastAsia="zh-TW"/>
        </w:rPr>
        <w:t>月</w:t>
      </w:r>
      <w:r>
        <w:rPr>
          <w:rFonts w:hint="default" w:ascii="Times New Roman" w:hAnsi="Times New Roman" w:cs="Times New Roman"/>
          <w:color w:val="auto"/>
          <w:szCs w:val="24"/>
          <w:highlight w:val="none"/>
          <w:lang w:val="en-US" w:eastAsia="zh-CN"/>
        </w:rPr>
        <w:t>1</w:t>
      </w:r>
      <w:r>
        <w:rPr>
          <w:rFonts w:hint="eastAsia" w:cs="Times New Roman"/>
          <w:color w:val="auto"/>
          <w:szCs w:val="24"/>
          <w:highlight w:val="none"/>
          <w:lang w:val="en-US" w:eastAsia="zh-CN"/>
        </w:rPr>
        <w:t>0</w:t>
      </w:r>
      <w:r>
        <w:rPr>
          <w:rFonts w:hint="default" w:ascii="Times New Roman" w:hAnsi="Times New Roman" w:cs="Times New Roman"/>
          <w:color w:val="auto"/>
          <w:szCs w:val="24"/>
          <w:highlight w:val="none"/>
          <w:lang w:eastAsia="zh-TW"/>
        </w:rPr>
        <w:t>日在</w:t>
      </w:r>
      <w:r>
        <w:rPr>
          <w:rFonts w:hint="default" w:ascii="Times New Roman" w:hAnsi="Times New Roman" w:cs="Times New Roman"/>
          <w:color w:val="auto"/>
          <w:szCs w:val="24"/>
          <w:highlight w:val="none"/>
          <w:lang w:eastAsia="zh-CN"/>
        </w:rPr>
        <w:t>生态环境公示网</w:t>
      </w:r>
      <w:r>
        <w:rPr>
          <w:rFonts w:hint="default" w:ascii="Times New Roman" w:hAnsi="Times New Roman" w:cs="Times New Roman"/>
          <w:color w:val="auto"/>
          <w:szCs w:val="24"/>
          <w:highlight w:val="none"/>
          <w:lang w:eastAsia="zh-TW"/>
        </w:rPr>
        <w:t>进行了第二次信息公示（https://gongshi.qsyhbgj.com/h5public-detail?id=508296）</w:t>
      </w:r>
      <w:r>
        <w:rPr>
          <w:rFonts w:hint="default" w:ascii="Times New Roman" w:hAnsi="Times New Roman" w:cs="Times New Roman"/>
          <w:color w:val="auto"/>
          <w:szCs w:val="24"/>
          <w:highlight w:val="none"/>
        </w:rPr>
        <w:t>，</w:t>
      </w:r>
      <w:r>
        <w:rPr>
          <w:rFonts w:hint="default" w:ascii="Times New Roman" w:hAnsi="Times New Roman" w:cs="Times New Roman"/>
          <w:color w:val="auto"/>
          <w:szCs w:val="24"/>
          <w:highlight w:val="none"/>
          <w:lang w:eastAsia="zh-TW"/>
        </w:rPr>
        <w:t>公示期为10个工作日，并在公示期间以登报和张贴公告的方式进行同步公开。</w:t>
      </w:r>
      <w:r>
        <w:rPr>
          <w:rFonts w:hint="default" w:ascii="Times New Roman" w:hAnsi="Times New Roman" w:cs="Times New Roman"/>
          <w:color w:val="auto"/>
          <w:szCs w:val="21"/>
          <w:highlight w:val="none"/>
          <w:lang w:eastAsia="zh-TW"/>
        </w:rPr>
        <w:t>202</w:t>
      </w:r>
      <w:r>
        <w:rPr>
          <w:rFonts w:hint="eastAsia" w:cs="Times New Roman"/>
          <w:color w:val="auto"/>
          <w:szCs w:val="21"/>
          <w:highlight w:val="none"/>
          <w:lang w:val="en-US" w:eastAsia="zh-CN"/>
        </w:rPr>
        <w:t>6</w:t>
      </w:r>
      <w:r>
        <w:rPr>
          <w:rFonts w:hint="default" w:ascii="Times New Roman" w:hAnsi="Times New Roman" w:cs="Times New Roman"/>
          <w:color w:val="auto"/>
          <w:szCs w:val="21"/>
          <w:highlight w:val="none"/>
          <w:lang w:eastAsia="zh-TW"/>
        </w:rPr>
        <w:t>年</w:t>
      </w:r>
      <w:r>
        <w:rPr>
          <w:rFonts w:hint="eastAsia" w:cs="Times New Roman"/>
          <w:color w:val="auto"/>
          <w:szCs w:val="21"/>
          <w:highlight w:val="none"/>
          <w:lang w:val="en-US" w:eastAsia="zh-CN"/>
        </w:rPr>
        <w:t>4</w:t>
      </w:r>
      <w:r>
        <w:rPr>
          <w:rFonts w:hint="default" w:ascii="Times New Roman" w:hAnsi="Times New Roman" w:cs="Times New Roman"/>
          <w:color w:val="auto"/>
          <w:szCs w:val="21"/>
          <w:highlight w:val="none"/>
          <w:lang w:eastAsia="zh-TW"/>
        </w:rPr>
        <w:t>月</w:t>
      </w:r>
      <w:r>
        <w:rPr>
          <w:rFonts w:hint="eastAsia" w:cs="Times New Roman"/>
          <w:color w:val="auto"/>
          <w:szCs w:val="21"/>
          <w:highlight w:val="none"/>
          <w:lang w:val="en-US" w:eastAsia="zh-CN"/>
        </w:rPr>
        <w:t>1</w:t>
      </w:r>
      <w:r>
        <w:rPr>
          <w:rFonts w:hint="default" w:ascii="Times New Roman" w:hAnsi="Times New Roman" w:cs="Times New Roman"/>
          <w:color w:val="auto"/>
          <w:szCs w:val="21"/>
          <w:highlight w:val="none"/>
          <w:lang w:eastAsia="zh-TW"/>
        </w:rPr>
        <w:t>日</w:t>
      </w:r>
      <w:r>
        <w:rPr>
          <w:rFonts w:hint="default" w:ascii="Times New Roman" w:hAnsi="Times New Roman" w:cs="Times New Roman"/>
          <w:color w:val="auto"/>
          <w:highlight w:val="none"/>
          <w:lang w:eastAsia="zh-TW"/>
        </w:rPr>
        <w:t>在本项目环境影响报告书</w:t>
      </w:r>
      <w:r>
        <w:rPr>
          <w:rFonts w:hint="default" w:ascii="Times New Roman" w:hAnsi="Times New Roman" w:cs="Times New Roman"/>
          <w:color w:val="auto"/>
          <w:highlight w:val="none"/>
          <w:lang w:eastAsia="zh-CN"/>
        </w:rPr>
        <w:t>报</w:t>
      </w:r>
      <w:r>
        <w:rPr>
          <w:rFonts w:hint="eastAsia" w:cs="Times New Roman"/>
          <w:color w:val="auto"/>
          <w:highlight w:val="none"/>
          <w:lang w:val="en-US" w:eastAsia="zh-CN"/>
        </w:rPr>
        <w:t>新疆维吾尔自治区生态环境厅</w:t>
      </w:r>
      <w:r>
        <w:rPr>
          <w:rFonts w:hint="default" w:ascii="Times New Roman" w:hAnsi="Times New Roman" w:cs="Times New Roman"/>
          <w:color w:val="auto"/>
          <w:highlight w:val="none"/>
          <w:lang w:eastAsia="zh-TW"/>
        </w:rPr>
        <w:t>审批前，</w:t>
      </w:r>
      <w:r>
        <w:rPr>
          <w:rFonts w:hint="default" w:ascii="Times New Roman" w:hAnsi="Times New Roman" w:cs="Times New Roman"/>
          <w:color w:val="auto"/>
          <w:highlight w:val="none"/>
          <w:lang w:eastAsia="zh-CN"/>
        </w:rPr>
        <w:t>新疆嘉西矿业有限公司</w:t>
      </w:r>
      <w:r>
        <w:rPr>
          <w:rFonts w:hint="default" w:ascii="Times New Roman" w:hAnsi="Times New Roman" w:cs="Times New Roman"/>
          <w:color w:val="auto"/>
          <w:highlight w:val="none"/>
          <w:lang w:eastAsia="zh-TW"/>
        </w:rPr>
        <w:t>在</w:t>
      </w:r>
      <w:r>
        <w:rPr>
          <w:rFonts w:hint="default" w:ascii="Times New Roman" w:hAnsi="Times New Roman" w:cs="Times New Roman"/>
          <w:color w:val="auto"/>
          <w:szCs w:val="24"/>
          <w:highlight w:val="none"/>
          <w:lang w:eastAsia="zh-CN"/>
        </w:rPr>
        <w:t>生态环境公示网</w:t>
      </w:r>
      <w:r>
        <w:rPr>
          <w:rFonts w:hint="default" w:ascii="Times New Roman" w:hAnsi="Times New Roman" w:cs="Times New Roman"/>
          <w:color w:val="auto"/>
          <w:highlight w:val="none"/>
          <w:lang w:eastAsia="zh-TW"/>
        </w:rPr>
        <w:t>（</w:t>
      </w:r>
      <w:r>
        <w:rPr>
          <w:rFonts w:hint="eastAsia" w:cs="Times New Roman"/>
          <w:color w:val="auto"/>
          <w:szCs w:val="24"/>
          <w:highlight w:val="none"/>
          <w:lang w:val="en-US" w:eastAsia="zh-CN"/>
        </w:rPr>
        <w:t>https://gongshi.qsyhbgj.com/h5public-detail?id=511332</w:t>
      </w:r>
      <w:r>
        <w:rPr>
          <w:rFonts w:hint="default" w:ascii="Times New Roman" w:hAnsi="Times New Roman" w:cs="Times New Roman"/>
          <w:color w:val="auto"/>
          <w:highlight w:val="none"/>
          <w:lang w:eastAsia="zh-TW"/>
        </w:rPr>
        <w:t>）进行拟报批公示。</w:t>
      </w:r>
    </w:p>
    <w:p w14:paraId="0715FC84">
      <w:pPr>
        <w:pStyle w:val="43"/>
        <w:overflowPunct w:val="0"/>
        <w:topLinePunct/>
        <w:spacing w:line="480" w:lineRule="exact"/>
        <w:ind w:firstLine="480"/>
        <w:rPr>
          <w:rFonts w:hint="default" w:ascii="Times New Roman" w:hAnsi="Times New Roman" w:cs="Times New Roman"/>
          <w:color w:val="auto"/>
          <w:kern w:val="0"/>
          <w:highlight w:val="none"/>
          <w:lang w:eastAsia="zh-TW"/>
        </w:rPr>
      </w:pPr>
      <w:r>
        <w:rPr>
          <w:rFonts w:hint="default" w:ascii="Times New Roman" w:hAnsi="Times New Roman" w:cs="Times New Roman"/>
          <w:color w:val="auto"/>
          <w:szCs w:val="24"/>
          <w:highlight w:val="none"/>
          <w:lang w:eastAsia="zh-TW"/>
        </w:rPr>
        <w:t>本项目在公示期间未收到公众通过网络、电话及书信等方式提出的意见。</w:t>
      </w:r>
    </w:p>
    <w:p w14:paraId="5AF95D26">
      <w:pPr>
        <w:pStyle w:val="3"/>
        <w:rPr>
          <w:rFonts w:hint="default" w:ascii="Times New Roman" w:hAnsi="Times New Roman" w:cs="Times New Roman"/>
          <w:color w:val="auto"/>
          <w:highlight w:val="none"/>
        </w:rPr>
      </w:pPr>
      <w:bookmarkStart w:id="1247" w:name="_Toc355715739"/>
      <w:bookmarkStart w:id="1248" w:name="_Toc21279"/>
      <w:bookmarkStart w:id="1249" w:name="_Toc107414691"/>
      <w:bookmarkStart w:id="1250" w:name="_Toc1723"/>
      <w:bookmarkStart w:id="1251" w:name="_Toc22263"/>
      <w:bookmarkStart w:id="1252" w:name="_Toc3273"/>
      <w:bookmarkStart w:id="1253" w:name="_Toc6314"/>
      <w:bookmarkStart w:id="1254" w:name="_Toc482784735"/>
      <w:bookmarkStart w:id="1255" w:name="_Toc12938"/>
      <w:bookmarkStart w:id="1256" w:name="_Toc353"/>
      <w:bookmarkStart w:id="1257" w:name="_Toc2218"/>
      <w:bookmarkStart w:id="1258" w:name="_Toc24706"/>
      <w:bookmarkStart w:id="1259" w:name="_Toc492457115"/>
      <w:bookmarkStart w:id="1260" w:name="_Toc18341"/>
      <w:bookmarkStart w:id="1261" w:name="_Toc360205168"/>
      <w:bookmarkStart w:id="1262" w:name="_Toc14829"/>
      <w:bookmarkStart w:id="1263" w:name="_Toc29976"/>
      <w:bookmarkStart w:id="1264" w:name="_Toc361840117"/>
      <w:bookmarkStart w:id="1265" w:name="_Toc107413924"/>
      <w:bookmarkStart w:id="1266" w:name="_Toc21963"/>
      <w:bookmarkStart w:id="1267" w:name="_Toc6101"/>
      <w:bookmarkStart w:id="1268" w:name="_Toc26314"/>
      <w:bookmarkStart w:id="1269" w:name="_Toc6109"/>
      <w:r>
        <w:rPr>
          <w:rFonts w:hint="default" w:ascii="Times New Roman" w:hAnsi="Times New Roman" w:cs="Times New Roman"/>
          <w:color w:val="auto"/>
          <w:highlight w:val="none"/>
        </w:rPr>
        <w:t>9.7总体结论</w:t>
      </w:r>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p>
    <w:p w14:paraId="261796E0">
      <w:pPr>
        <w:pStyle w:val="43"/>
        <w:overflowPunct w:val="0"/>
        <w:topLinePunct/>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szCs w:val="24"/>
          <w:highlight w:val="none"/>
        </w:rPr>
        <w:t>根据</w:t>
      </w:r>
      <w:r>
        <w:rPr>
          <w:rFonts w:hint="default" w:ascii="Times New Roman" w:hAnsi="Times New Roman" w:cs="Times New Roman"/>
          <w:color w:val="auto"/>
          <w:highlight w:val="none"/>
        </w:rPr>
        <w:t>《产业结构调整指导目录（2024年本）》</w:t>
      </w:r>
      <w:r>
        <w:rPr>
          <w:rFonts w:hint="default" w:ascii="Times New Roman" w:hAnsi="Times New Roman" w:cs="Times New Roman"/>
          <w:color w:val="auto"/>
          <w:kern w:val="0"/>
          <w:szCs w:val="24"/>
          <w:highlight w:val="none"/>
        </w:rPr>
        <w:t>，</w:t>
      </w:r>
      <w:r>
        <w:rPr>
          <w:rFonts w:hint="default" w:ascii="Times New Roman" w:hAnsi="Times New Roman" w:cs="Times New Roman"/>
          <w:color w:val="auto"/>
          <w:highlight w:val="none"/>
        </w:rPr>
        <w:t>本项目属于名录中</w:t>
      </w:r>
      <w:r>
        <w:rPr>
          <w:rFonts w:hint="default" w:ascii="Times New Roman" w:hAnsi="Times New Roman" w:cs="Times New Roman"/>
          <w:color w:val="auto"/>
          <w:highlight w:val="none"/>
          <w:lang w:val="en-US" w:eastAsia="zh-CN"/>
        </w:rPr>
        <w:t>鼓励类项目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本项目符合国家产业政策。</w:t>
      </w:r>
      <w:r>
        <w:rPr>
          <w:rFonts w:hint="default" w:ascii="Times New Roman" w:hAnsi="Times New Roman" w:cs="Times New Roman"/>
          <w:color w:val="auto"/>
          <w:kern w:val="0"/>
          <w:szCs w:val="24"/>
          <w:highlight w:val="none"/>
        </w:rPr>
        <w:t>本项目选矿工艺属于目前国内较成熟应用较广的工艺技术，尾矿砂为第I类一般固体废物，排入尾矿库，工艺路线符合清洁生产的要求，项目建设得到了当地公众的支持。本项目符合国家产业政策和环保政策要求，具有良好的经济效益和社会效益，可满足当地环境保护目标要求，在严格落实本报告提出的环保、节能降耗措施，特别是污染防治和风险防范措施后，从保护环境的角度出发，本项目的建设是可行的。</w:t>
      </w:r>
    </w:p>
    <w:p w14:paraId="024FC4A0">
      <w:pPr>
        <w:pStyle w:val="3"/>
        <w:rPr>
          <w:rFonts w:hint="default" w:ascii="Times New Roman" w:hAnsi="Times New Roman" w:cs="Times New Roman"/>
          <w:color w:val="auto"/>
          <w:highlight w:val="none"/>
        </w:rPr>
      </w:pPr>
      <w:bookmarkStart w:id="1270" w:name="_Toc5843"/>
      <w:bookmarkStart w:id="1271" w:name="_Toc107414692"/>
      <w:bookmarkStart w:id="1272" w:name="_Toc21537"/>
      <w:bookmarkStart w:id="1273" w:name="_Toc5124"/>
      <w:bookmarkStart w:id="1274" w:name="_Toc271"/>
      <w:bookmarkStart w:id="1275" w:name="_Toc482784736"/>
      <w:bookmarkStart w:id="1276" w:name="_Toc16762"/>
      <w:bookmarkStart w:id="1277" w:name="_Toc1518"/>
      <w:bookmarkStart w:id="1278" w:name="_Toc14571"/>
      <w:bookmarkStart w:id="1279" w:name="_Toc9825"/>
      <w:bookmarkStart w:id="1280" w:name="_Toc6306"/>
      <w:bookmarkStart w:id="1281" w:name="_Toc492457116"/>
      <w:bookmarkStart w:id="1282" w:name="_Toc107413925"/>
      <w:bookmarkStart w:id="1283" w:name="_Toc14092"/>
      <w:bookmarkStart w:id="1284" w:name="_Toc518"/>
      <w:bookmarkStart w:id="1285" w:name="_Toc18295"/>
      <w:bookmarkStart w:id="1286" w:name="_Toc16527"/>
      <w:bookmarkStart w:id="1287" w:name="_Toc20840"/>
      <w:bookmarkStart w:id="1288" w:name="_Toc13052"/>
      <w:bookmarkStart w:id="1289" w:name="_Toc13147"/>
      <w:r>
        <w:rPr>
          <w:rFonts w:hint="default" w:ascii="Times New Roman" w:hAnsi="Times New Roman" w:cs="Times New Roman"/>
          <w:color w:val="auto"/>
          <w:highlight w:val="none"/>
        </w:rPr>
        <w:t>9.8建议</w:t>
      </w:r>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p>
    <w:p w14:paraId="4BA87176">
      <w:pPr>
        <w:pStyle w:val="43"/>
        <w:overflowPunct w:val="0"/>
        <w:topLinePunct/>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（1）企业应加强环保设施的日常管理、维护，建立健全环保设施的运行管理制度、定期检查制度、设备维护和检修制度，确保环保设施高效运行，尽量减少和避免事故排放情况发生。</w:t>
      </w:r>
    </w:p>
    <w:p w14:paraId="02ADD28B">
      <w:pPr>
        <w:pStyle w:val="43"/>
        <w:overflowPunct w:val="0"/>
        <w:topLinePunct/>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（2）工程在生产过程中应按国家规定实施严格管理，确保安全性，避免事故发生时对环境产生破坏性影响。</w:t>
      </w:r>
    </w:p>
    <w:p w14:paraId="1620F40E">
      <w:pPr>
        <w:pStyle w:val="43"/>
        <w:overflowPunct w:val="0"/>
        <w:topLinePunct/>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（3）公司应当搞好日常环境监督管理，使</w:t>
      </w:r>
      <w:r>
        <w:rPr>
          <w:rFonts w:hint="eastAsia" w:cs="Times New Roman"/>
          <w:color w:val="auto"/>
          <w:kern w:val="0"/>
          <w:highlight w:val="none"/>
          <w:lang w:eastAsia="zh-CN"/>
        </w:rPr>
        <w:t>环境治理</w:t>
      </w:r>
      <w:r>
        <w:rPr>
          <w:rFonts w:hint="default" w:ascii="Times New Roman" w:hAnsi="Times New Roman" w:cs="Times New Roman"/>
          <w:color w:val="auto"/>
          <w:kern w:val="0"/>
          <w:highlight w:val="none"/>
        </w:rPr>
        <w:t>设施长期正常运行，</w:t>
      </w:r>
      <w:r>
        <w:rPr>
          <w:rFonts w:hint="eastAsia" w:cs="Times New Roman"/>
          <w:color w:val="auto"/>
          <w:kern w:val="0"/>
          <w:highlight w:val="none"/>
          <w:lang w:eastAsia="zh-CN"/>
        </w:rPr>
        <w:t>防止</w:t>
      </w:r>
      <w:r>
        <w:rPr>
          <w:rFonts w:hint="default" w:ascii="Times New Roman" w:hAnsi="Times New Roman" w:cs="Times New Roman"/>
          <w:color w:val="auto"/>
          <w:kern w:val="0"/>
          <w:highlight w:val="none"/>
        </w:rPr>
        <w:t>各类污染物非正常排放，确保各项污染物达标排放。规范各排污口管理、按环保部门要求设置相应标准等。</w:t>
      </w:r>
    </w:p>
    <w:p w14:paraId="0CCA8887">
      <w:pPr>
        <w:pStyle w:val="43"/>
        <w:overflowPunct w:val="0"/>
        <w:topLinePunct/>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（4）注意风险防范措施，及时修编相应的应急预案，并制定相应的风险防范演练。</w:t>
      </w:r>
    </w:p>
    <w:p w14:paraId="49A46144">
      <w:pPr>
        <w:pStyle w:val="43"/>
        <w:overflowPunct w:val="0"/>
        <w:topLinePunct/>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（5）生产区工作人员严格按防疫等部门落实生产过程中的防护措施，保护工作人员的身体健康。</w:t>
      </w:r>
    </w:p>
    <w:p w14:paraId="5A7DCA43">
      <w:pPr>
        <w:pStyle w:val="43"/>
        <w:overflowPunct w:val="0"/>
        <w:topLinePunct/>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（6）项目必须严格执行</w:t>
      </w:r>
      <w:r>
        <w:rPr>
          <w:rFonts w:hint="eastAsia" w:cs="Times New Roman"/>
          <w:color w:val="auto"/>
          <w:kern w:val="0"/>
          <w:highlight w:val="none"/>
          <w:lang w:eastAsia="zh-CN"/>
        </w:rPr>
        <w:t>“</w:t>
      </w:r>
      <w:r>
        <w:rPr>
          <w:rFonts w:hint="default" w:ascii="Times New Roman" w:hAnsi="Times New Roman" w:cs="Times New Roman"/>
          <w:color w:val="auto"/>
          <w:kern w:val="0"/>
          <w:highlight w:val="none"/>
        </w:rPr>
        <w:t>三同时</w:t>
      </w:r>
      <w:r>
        <w:rPr>
          <w:rFonts w:hint="eastAsia" w:cs="Times New Roman"/>
          <w:color w:val="auto"/>
          <w:kern w:val="0"/>
          <w:highlight w:val="none"/>
          <w:lang w:eastAsia="zh-CN"/>
        </w:rPr>
        <w:t>”</w:t>
      </w:r>
      <w:r>
        <w:rPr>
          <w:rFonts w:hint="default" w:ascii="Times New Roman" w:hAnsi="Times New Roman" w:cs="Times New Roman"/>
          <w:color w:val="auto"/>
          <w:kern w:val="0"/>
          <w:highlight w:val="none"/>
        </w:rPr>
        <w:t>规定，有关环保设施必须与主体工程同时设计，同时施工，同时使用。</w:t>
      </w:r>
    </w:p>
    <w:p w14:paraId="27833AA6">
      <w:pPr>
        <w:pStyle w:val="43"/>
        <w:overflowPunct w:val="0"/>
        <w:topLinePunct/>
        <w:spacing w:line="480" w:lineRule="exact"/>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（7）加强</w:t>
      </w:r>
      <w:r>
        <w:rPr>
          <w:rFonts w:hint="default" w:ascii="Times New Roman" w:hAnsi="Times New Roman" w:cs="Times New Roman"/>
          <w:color w:val="auto"/>
          <w:kern w:val="0"/>
          <w:highlight w:val="none"/>
          <w:lang w:val="en-US" w:eastAsia="zh-CN"/>
        </w:rPr>
        <w:t>项目区</w:t>
      </w:r>
      <w:r>
        <w:rPr>
          <w:rFonts w:hint="default" w:ascii="Times New Roman" w:hAnsi="Times New Roman" w:cs="Times New Roman"/>
          <w:color w:val="auto"/>
          <w:kern w:val="0"/>
          <w:highlight w:val="none"/>
        </w:rPr>
        <w:t>的绿化，增加景观效益。</w:t>
      </w: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EFF" w:usb1="C000785B" w:usb2="00000009" w:usb3="00000000" w:csb0="400001FF" w:csb1="FFFF0000"/>
  </w:font>
  <w:font w:name="宋体">
    <w:panose1 w:val="02010600030101010101"/>
    <w:charset w:val="83"/>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86"/>
    <w:family w:val="auto"/>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等线">
    <w:panose1 w:val="02010600030101010101"/>
    <w:charset w:val="86"/>
    <w:family w:val="auto"/>
    <w:pitch w:val="default"/>
    <w:sig w:usb0="A00002BF" w:usb1="38CF7CFA" w:usb2="00000016" w:usb3="00000000" w:csb0="0004000F" w:csb1="00000000"/>
  </w:font>
  <w:font w:name="Gulim">
    <w:altName w:val="Malgun Gothic"/>
    <w:panose1 w:val="020B0600000101010101"/>
    <w:charset w:val="81"/>
    <w:family w:val="auto"/>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BA915">
    <w:pPr>
      <w:pStyle w:val="20"/>
      <w:spacing w:line="360" w:lineRule="exact"/>
      <w:ind w:firstLine="0" w:firstLineChars="0"/>
      <w:rPr>
        <w:rFonts w:hint="eastAsia" w:eastAsia="宋体"/>
        <w:lang w:eastAsia="zh-CN"/>
      </w:rPr>
    </w:pPr>
    <w:r>
      <w:rPr>
        <w:b/>
        <w:bCs/>
        <w:sz w:val="21"/>
        <w:szCs w:val="21"/>
      </w:rPr>
      <mc:AlternateContent>
        <mc:Choice Requires="wps">
          <w:drawing>
            <wp:anchor distT="0" distB="0" distL="114300" distR="114300" simplePos="0" relativeHeight="251668480" behindDoc="0" locked="0" layoutInCell="1" allowOverlap="1">
              <wp:simplePos x="0" y="0"/>
              <wp:positionH relativeFrom="page">
                <wp:posOffset>1152525</wp:posOffset>
              </wp:positionH>
              <wp:positionV relativeFrom="page">
                <wp:posOffset>9858375</wp:posOffset>
              </wp:positionV>
              <wp:extent cx="5257800" cy="0"/>
              <wp:effectExtent l="0" t="4445" r="0" b="5080"/>
              <wp:wrapNone/>
              <wp:docPr id="65" name="直接连接符 65"/>
              <wp:cNvGraphicFramePr/>
              <a:graphic xmlns:a="http://schemas.openxmlformats.org/drawingml/2006/main">
                <a:graphicData uri="http://schemas.microsoft.com/office/word/2010/wordprocessingShape">
                  <wps:wsp>
                    <wps:cNvCnPr/>
                    <wps:spPr>
                      <a:xfrm>
                        <a:off x="0" y="0"/>
                        <a:ext cx="5314950" cy="0"/>
                      </a:xfrm>
                      <a:prstGeom prst="line">
                        <a:avLst/>
                      </a:prstGeom>
                      <a:noFill/>
                      <a:ln w="9525" cap="flat" cmpd="sng" algn="ctr">
                        <a:solidFill>
                          <a:srgbClr val="000000"/>
                        </a:solidFill>
                        <a:prstDash val="solid"/>
                        <a:miter lim="800000"/>
                      </a:ln>
                      <a:effectLst/>
                    </wps:spPr>
                    <wps:bodyPr/>
                  </wps:wsp>
                </a:graphicData>
              </a:graphic>
              <wp14:sizeRelH relativeFrom="margin">
                <wp14:pctWidth>100000</wp14:pctWidth>
              </wp14:sizeRelH>
              <wp14:sizeRelV relativeFrom="page">
                <wp14:pctHeight>0</wp14:pctHeight>
              </wp14:sizeRelV>
            </wp:anchor>
          </w:drawing>
        </mc:Choice>
        <mc:Fallback>
          <w:pict>
            <v:line id="_x0000_s1026" o:spid="_x0000_s1026" o:spt="20" style="position:absolute;left:0pt;margin-left:90.75pt;margin-top:776.25pt;height:0pt;width:414pt;mso-position-horizontal-relative:page;mso-position-vertical-relative:page;z-index:251668480;mso-width-relative:margin;mso-height-relative:page;mso-width-percent:1000;" filled="f" stroked="t" coordsize="21600,21600" o:gfxdata="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L&#10;PnTo2QAAAA4BAAAPAAAAAAAAAAEAIAAAACIAAABkcnMvZG93bnJldi54bWxQSwECFAAUAAAACACH&#10;TuJA3t/QIOoBAADBAwAADgAAAAAAAAABACAAAAAoAQAAZHJzL2Uyb0RvYy54bWxQSwUGAAAAAAYA&#10;BgBZAQAAhAUAAAAA&#10;">
              <v:fill on="f" focussize="0,0"/>
              <v:stroke color="#000000" miterlimit="8" joinstyle="miter"/>
              <v:imagedata o:title=""/>
              <o:lock v:ext="edit" aspectratio="f"/>
            </v:line>
          </w:pict>
        </mc:Fallback>
      </mc:AlternateContent>
    </w:r>
    <w:r>
      <w:rPr>
        <w:b/>
        <w:bCs/>
        <w:sz w:val="21"/>
        <w:szCs w:val="21"/>
      </w:rPr>
      <w:t>TEL：</w:t>
    </w:r>
    <w:r>
      <w:rPr>
        <w:rFonts w:hint="eastAsia"/>
        <w:b/>
        <w:bCs/>
        <w:sz w:val="21"/>
        <w:szCs w:val="21"/>
        <w:lang w:eastAsia="zh-CN"/>
      </w:rPr>
      <w:t>0991-3333881</w:t>
    </w:r>
    <w:r>
      <w:rPr>
        <w:rFonts w:hint="eastAsia"/>
        <w:b/>
        <w:bCs/>
        <w:sz w:val="21"/>
        <w:szCs w:val="21"/>
      </w:rPr>
      <w:t xml:space="preserve">                                  </w:t>
    </w:r>
    <w:r>
      <w:rPr>
        <w:rFonts w:hint="eastAsia"/>
        <w:b/>
        <w:bCs/>
        <w:sz w:val="21"/>
        <w:szCs w:val="21"/>
        <w:lang w:eastAsia="zh-CN"/>
      </w:rPr>
      <w:t>新疆恒升融裕环保科技有限公司</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AE1D7">
    <w:pPr>
      <w:pStyle w:val="20"/>
      <w:pBdr>
        <w:top w:val="single" w:color="auto" w:sz="4" w:space="1"/>
        <w:left w:val="none" w:color="auto" w:sz="0" w:space="4"/>
        <w:bottom w:val="none" w:color="auto" w:sz="0" w:space="1"/>
        <w:right w:val="none" w:color="auto" w:sz="0" w:space="4"/>
      </w:pBdr>
      <w:spacing w:line="400" w:lineRule="exact"/>
      <w:ind w:firstLine="0" w:firstLineChars="0"/>
      <w:jc w:val="distribute"/>
      <w:rPr>
        <w:rFonts w:hint="eastAsia" w:eastAsia="宋体"/>
        <w:lang w:eastAsia="zh-CN"/>
      </w:rPr>
    </w:pPr>
    <w:r>
      <w:rPr>
        <w:sz w:val="24"/>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0C3498">
                          <w:pPr>
                            <w:pStyle w:val="20"/>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200C3498">
                    <w:pPr>
                      <w:pStyle w:val="20"/>
                    </w:pPr>
                    <w:r>
                      <w:fldChar w:fldCharType="begin"/>
                    </w:r>
                    <w:r>
                      <w:instrText xml:space="preserve"> PAGE  \* MERGEFORMAT </w:instrText>
                    </w:r>
                    <w:r>
                      <w:fldChar w:fldCharType="separate"/>
                    </w:r>
                    <w:r>
                      <w:t>58</w:t>
                    </w:r>
                    <w:r>
                      <w:fldChar w:fldCharType="end"/>
                    </w:r>
                  </w:p>
                </w:txbxContent>
              </v:textbox>
            </v:shape>
          </w:pict>
        </mc:Fallback>
      </mc:AlternateContent>
    </w:r>
    <w:r>
      <w:rPr>
        <w:b/>
        <w:bCs/>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82404B9">
                          <w:pPr>
                            <w:ind w:firstLine="480"/>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KHrXp80BAACpAwAADgAAAAAAAAABACAAAAAeAQAAZHJzL2Uy&#10;b0RvYy54bWxQSwUGAAAAAAYABgBZAQAAXQUAAAAA&#10;">
              <v:fill on="f" focussize="0,0"/>
              <v:stroke on="f"/>
              <v:imagedata o:title=""/>
              <o:lock v:ext="edit" aspectratio="f"/>
              <v:textbox inset="0mm,0mm,0mm,0mm" style="mso-fit-shape-to-text:t;">
                <w:txbxContent>
                  <w:p w14:paraId="682404B9">
                    <w:pPr>
                      <w:ind w:firstLine="480"/>
                    </w:pPr>
                  </w:p>
                </w:txbxContent>
              </v:textbox>
            </v:shape>
          </w:pict>
        </mc:Fallback>
      </mc:AlternateContent>
    </w:r>
    <w:r>
      <w:rPr>
        <w:rFonts w:hint="eastAsia"/>
        <w:b/>
        <w:bCs/>
        <w:sz w:val="21"/>
        <w:szCs w:val="21"/>
        <w:lang w:eastAsia="zh-CN"/>
      </w:rPr>
      <w:t>新疆恒升融裕环保科技有限公司</w:t>
    </w:r>
    <w:r>
      <w:rPr>
        <w:rFonts w:hint="eastAsia"/>
        <w:b/>
        <w:bCs/>
        <w:sz w:val="21"/>
        <w:szCs w:val="21"/>
      </w:rPr>
      <w:t xml:space="preserve">                                  </w:t>
    </w:r>
    <w:r>
      <w:rPr>
        <w:b/>
        <w:bCs/>
        <w:sz w:val="21"/>
        <w:szCs w:val="21"/>
      </w:rPr>
      <w:t>TEL：</w:t>
    </w:r>
    <w:r>
      <w:rPr>
        <w:rFonts w:hint="eastAsia"/>
        <w:b/>
        <w:bCs/>
        <w:sz w:val="21"/>
        <w:szCs w:val="21"/>
        <w:lang w:eastAsia="zh-CN"/>
      </w:rPr>
      <w:t>0991-3333881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0D269">
    <w:pPr>
      <w:pStyle w:val="20"/>
      <w:spacing w:line="360" w:lineRule="exact"/>
      <w:ind w:firstLine="0" w:firstLineChars="0"/>
      <w:jc w:val="distribute"/>
      <w:rPr>
        <w:rFonts w:hint="eastAsia" w:eastAsia="宋体"/>
        <w:lang w:eastAsia="zh-CN"/>
      </w:rPr>
    </w:pPr>
    <w:r>
      <w:rPr>
        <w:b/>
        <w:bCs/>
        <w:sz w:val="21"/>
        <w:szCs w:val="21"/>
      </w:rPr>
      <mc:AlternateContent>
        <mc:Choice Requires="wps">
          <w:drawing>
            <wp:anchor distT="0" distB="0" distL="114300" distR="114300" simplePos="0" relativeHeight="251669504" behindDoc="0" locked="0" layoutInCell="1" allowOverlap="1">
              <wp:simplePos x="0" y="0"/>
              <wp:positionH relativeFrom="page">
                <wp:posOffset>1143000</wp:posOffset>
              </wp:positionH>
              <wp:positionV relativeFrom="page">
                <wp:posOffset>9867900</wp:posOffset>
              </wp:positionV>
              <wp:extent cx="5257800" cy="0"/>
              <wp:effectExtent l="0" t="4445" r="0" b="5080"/>
              <wp:wrapNone/>
              <wp:docPr id="35" name="直接连接符 35"/>
              <wp:cNvGraphicFramePr/>
              <a:graphic xmlns:a="http://schemas.openxmlformats.org/drawingml/2006/main">
                <a:graphicData uri="http://schemas.microsoft.com/office/word/2010/wordprocessingShape">
                  <wps:wsp>
                    <wps:cNvCnPr/>
                    <wps:spPr>
                      <a:xfrm>
                        <a:off x="0" y="0"/>
                        <a:ext cx="5314950" cy="0"/>
                      </a:xfrm>
                      <a:prstGeom prst="line">
                        <a:avLst/>
                      </a:prstGeom>
                      <a:noFill/>
                      <a:ln w="9525" cap="flat" cmpd="sng" algn="ctr">
                        <a:solidFill>
                          <a:srgbClr val="000000"/>
                        </a:solidFill>
                        <a:prstDash val="solid"/>
                        <a:miter lim="800000"/>
                      </a:ln>
                      <a:effectLst/>
                    </wps:spPr>
                    <wps:bodyPr/>
                  </wps:wsp>
                </a:graphicData>
              </a:graphic>
              <wp14:sizeRelH relativeFrom="margin">
                <wp14:pctWidth>100000</wp14:pctWidth>
              </wp14:sizeRelH>
              <wp14:sizeRelV relativeFrom="page">
                <wp14:pctHeight>0</wp14:pctHeight>
              </wp14:sizeRelV>
            </wp:anchor>
          </w:drawing>
        </mc:Choice>
        <mc:Fallback>
          <w:pict>
            <v:line id="_x0000_s1026" o:spid="_x0000_s1026" o:spt="20" style="position:absolute;left:0pt;margin-left:90pt;margin-top:777pt;height:0pt;width:414pt;mso-position-horizontal-relative:page;mso-position-vertical-relative:page;z-index:251669504;mso-width-relative:margin;mso-height-relative:page;mso-width-percent:1000;" filled="f" stroked="t" coordsize="21600,21600" o:gfxdata="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i0&#10;6/vYAAAADgEAAA8AAAAAAAAAAQAgAAAAIgAAAGRycy9kb3ducmV2LnhtbFBLAQIUABQAAAAIAIdO&#10;4kDTSfRD6gEAAMEDAAAOAAAAAAAAAAEAIAAAACcBAABkcnMvZTJvRG9jLnhtbFBLBQYAAAAABgAG&#10;AFkBAACDBQAAAAA=&#10;">
              <v:fill on="f" focussize="0,0"/>
              <v:stroke color="#000000" miterlimit="8" joinstyle="miter"/>
              <v:imagedata o:title=""/>
              <o:lock v:ext="edit" aspectratio="f"/>
            </v:line>
          </w:pict>
        </mc:Fallback>
      </mc:AlternateContent>
    </w:r>
    <w:r>
      <w:rPr>
        <w:rFonts w:hint="eastAsia"/>
        <w:b/>
        <w:bCs/>
        <w:sz w:val="21"/>
        <w:szCs w:val="21"/>
        <w:lang w:eastAsia="zh-CN"/>
      </w:rPr>
      <w:t>新疆恒升融裕环保科技有限公司</w:t>
    </w:r>
    <w:r>
      <w:rPr>
        <w:rFonts w:hint="eastAsia"/>
        <w:b/>
        <w:bCs/>
        <w:sz w:val="21"/>
        <w:szCs w:val="21"/>
      </w:rPr>
      <w:t xml:space="preserve">                             </w:t>
    </w:r>
    <w:r>
      <w:rPr>
        <w:b/>
        <w:bCs/>
        <w:sz w:val="21"/>
        <w:szCs w:val="21"/>
      </w:rPr>
      <w:t>TEL：</w:t>
    </w:r>
    <w:r>
      <w:rPr>
        <w:rFonts w:hint="eastAsia"/>
        <w:b/>
        <w:bCs/>
        <w:sz w:val="21"/>
        <w:szCs w:val="21"/>
        <w:lang w:eastAsia="zh-CN"/>
      </w:rPr>
      <w:t>0991-3333881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66D66">
    <w:pPr>
      <w:pStyle w:val="20"/>
      <w:spacing w:line="360" w:lineRule="exact"/>
      <w:ind w:firstLine="0" w:firstLineChars="0"/>
      <w:rPr>
        <w:rFonts w:hint="eastAsia" w:eastAsia="宋体"/>
        <w:lang w:eastAsia="zh-CN"/>
      </w:rPr>
    </w:pPr>
    <w:r>
      <w:rPr>
        <w:b/>
        <w:bCs/>
        <w:sz w:val="21"/>
        <w:szCs w:val="21"/>
      </w:rPr>
      <mc:AlternateContent>
        <mc:Choice Requires="wps">
          <w:drawing>
            <wp:anchor distT="0" distB="0" distL="114300" distR="114300" simplePos="0" relativeHeight="251681792" behindDoc="0" locked="0" layoutInCell="1" allowOverlap="1">
              <wp:simplePos x="0" y="0"/>
              <wp:positionH relativeFrom="page">
                <wp:posOffset>1152525</wp:posOffset>
              </wp:positionH>
              <wp:positionV relativeFrom="page">
                <wp:posOffset>9858375</wp:posOffset>
              </wp:positionV>
              <wp:extent cx="5257800" cy="0"/>
              <wp:effectExtent l="0" t="4445" r="0" b="5080"/>
              <wp:wrapNone/>
              <wp:docPr id="43" name="直接连接符 43"/>
              <wp:cNvGraphicFramePr/>
              <a:graphic xmlns:a="http://schemas.openxmlformats.org/drawingml/2006/main">
                <a:graphicData uri="http://schemas.microsoft.com/office/word/2010/wordprocessingShape">
                  <wps:wsp>
                    <wps:cNvCnPr/>
                    <wps:spPr>
                      <a:xfrm>
                        <a:off x="0" y="0"/>
                        <a:ext cx="5314950" cy="0"/>
                      </a:xfrm>
                      <a:prstGeom prst="line">
                        <a:avLst/>
                      </a:prstGeom>
                      <a:noFill/>
                      <a:ln w="9525" cap="flat" cmpd="sng" algn="ctr">
                        <a:solidFill>
                          <a:srgbClr val="000000"/>
                        </a:solidFill>
                        <a:prstDash val="solid"/>
                        <a:miter lim="800000"/>
                      </a:ln>
                      <a:effectLst/>
                    </wps:spPr>
                    <wps:bodyPr/>
                  </wps:wsp>
                </a:graphicData>
              </a:graphic>
              <wp14:sizeRelH relativeFrom="margin">
                <wp14:pctWidth>100000</wp14:pctWidth>
              </wp14:sizeRelH>
              <wp14:sizeRelV relativeFrom="page">
                <wp14:pctHeight>0</wp14:pctHeight>
              </wp14:sizeRelV>
            </wp:anchor>
          </w:drawing>
        </mc:Choice>
        <mc:Fallback>
          <w:pict>
            <v:line id="_x0000_s1026" o:spid="_x0000_s1026" o:spt="20" style="position:absolute;left:0pt;margin-left:90.75pt;margin-top:776.25pt;height:0pt;width:414pt;mso-position-horizontal-relative:page;mso-position-vertical-relative:page;z-index:251681792;mso-width-relative:margin;mso-height-relative:page;mso-width-percent:1000;" filled="f" stroked="t" coordsize="21600,21600" o:gfxdata="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L&#10;PnTo2QAAAA4BAAAPAAAAAAAAAAEAIAAAACIAAABkcnMvZG93bnJldi54bWxQSwECFAAUAAAACACH&#10;TuJAj7DbT+oBAADBAwAADgAAAAAAAAABACAAAAAoAQAAZHJzL2Uyb0RvYy54bWxQSwUGAAAAAAYA&#10;BgBZAQAAhAUAAAAA&#10;">
              <v:fill on="f" focussize="0,0"/>
              <v:stroke color="#000000" miterlimit="8" joinstyle="miter"/>
              <v:imagedata o:title=""/>
              <o:lock v:ext="edit" aspectratio="f"/>
            </v:line>
          </w:pict>
        </mc:Fallback>
      </mc:AlternateContent>
    </w:r>
    <w:r>
      <w:rPr>
        <w:b/>
        <w:bCs/>
        <w:sz w:val="21"/>
        <w:szCs w:val="21"/>
      </w:rPr>
      <w:t>TEL：</w:t>
    </w:r>
    <w:r>
      <w:rPr>
        <w:rFonts w:hint="eastAsia"/>
        <w:b/>
        <w:bCs/>
        <w:sz w:val="21"/>
        <w:szCs w:val="21"/>
        <w:lang w:eastAsia="zh-CN"/>
      </w:rPr>
      <w:t>0991-3333881</w:t>
    </w:r>
    <w:r>
      <w:rPr>
        <w:rFonts w:hint="eastAsia"/>
        <w:b/>
        <w:bCs/>
        <w:sz w:val="21"/>
        <w:szCs w:val="21"/>
      </w:rPr>
      <w:t xml:space="preserve">                                  </w:t>
    </w:r>
    <w:r>
      <w:rPr>
        <w:rFonts w:hint="eastAsia"/>
        <w:b/>
        <w:bCs/>
        <w:sz w:val="21"/>
        <w:szCs w:val="21"/>
        <w:lang w:eastAsia="zh-CN"/>
      </w:rPr>
      <w:t>新疆恒升融裕环保科技有限公司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F66A4">
    <w:pPr>
      <w:pStyle w:val="20"/>
      <w:spacing w:line="360" w:lineRule="exact"/>
      <w:ind w:firstLine="0" w:firstLineChars="0"/>
      <w:jc w:val="distribute"/>
      <w:rPr>
        <w:rFonts w:hint="eastAsia" w:eastAsia="宋体"/>
        <w:lang w:eastAsia="zh-CN"/>
      </w:rPr>
    </w:pPr>
    <w:r>
      <w:rPr>
        <w:b/>
        <w:bCs/>
        <w:sz w:val="21"/>
        <w:szCs w:val="21"/>
      </w:rPr>
      <mc:AlternateContent>
        <mc:Choice Requires="wps">
          <w:drawing>
            <wp:anchor distT="0" distB="0" distL="114300" distR="114300" simplePos="0" relativeHeight="251682816" behindDoc="0" locked="0" layoutInCell="1" allowOverlap="1">
              <wp:simplePos x="0" y="0"/>
              <wp:positionH relativeFrom="page">
                <wp:posOffset>1143000</wp:posOffset>
              </wp:positionH>
              <wp:positionV relativeFrom="page">
                <wp:posOffset>9867900</wp:posOffset>
              </wp:positionV>
              <wp:extent cx="5257800" cy="0"/>
              <wp:effectExtent l="0" t="4445" r="0" b="5080"/>
              <wp:wrapNone/>
              <wp:docPr id="44" name="直接连接符 44"/>
              <wp:cNvGraphicFramePr/>
              <a:graphic xmlns:a="http://schemas.openxmlformats.org/drawingml/2006/main">
                <a:graphicData uri="http://schemas.microsoft.com/office/word/2010/wordprocessingShape">
                  <wps:wsp>
                    <wps:cNvCnPr/>
                    <wps:spPr>
                      <a:xfrm>
                        <a:off x="0" y="0"/>
                        <a:ext cx="5314950" cy="0"/>
                      </a:xfrm>
                      <a:prstGeom prst="line">
                        <a:avLst/>
                      </a:prstGeom>
                      <a:noFill/>
                      <a:ln w="9525" cap="flat" cmpd="sng" algn="ctr">
                        <a:solidFill>
                          <a:srgbClr val="000000"/>
                        </a:solidFill>
                        <a:prstDash val="solid"/>
                        <a:miter lim="800000"/>
                      </a:ln>
                      <a:effectLst/>
                    </wps:spPr>
                    <wps:bodyPr/>
                  </wps:wsp>
                </a:graphicData>
              </a:graphic>
              <wp14:sizeRelH relativeFrom="margin">
                <wp14:pctWidth>100000</wp14:pctWidth>
              </wp14:sizeRelH>
              <wp14:sizeRelV relativeFrom="page">
                <wp14:pctHeight>0</wp14:pctHeight>
              </wp14:sizeRelV>
            </wp:anchor>
          </w:drawing>
        </mc:Choice>
        <mc:Fallback>
          <w:pict>
            <v:line id="_x0000_s1026" o:spid="_x0000_s1026" o:spt="20" style="position:absolute;left:0pt;margin-left:90pt;margin-top:777pt;height:0pt;width:414pt;mso-position-horizontal-relative:page;mso-position-vertical-relative:page;z-index:251682816;mso-width-relative:margin;mso-height-relative:page;mso-width-percent:1000;" filled="f" stroked="t" coordsize="21600,21600" o:gfxdata="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LTr&#10;+9gAAAAOAQAADwAAAAAAAAABACAAAAAiAAAAZHJzL2Rvd25yZXYueG1sUEsBAhQAFAAAAAgAh07i&#10;QGATRXnpAQAAwQMAAA4AAAAAAAAAAQAgAAAAJwEAAGRycy9lMm9Eb2MueG1sUEsFBgAAAAAGAAYA&#10;WQEAAIIFAAAAAA==&#10;">
              <v:fill on="f" focussize="0,0"/>
              <v:stroke color="#000000" miterlimit="8" joinstyle="miter"/>
              <v:imagedata o:title=""/>
              <o:lock v:ext="edit" aspectratio="f"/>
            </v:line>
          </w:pict>
        </mc:Fallback>
      </mc:AlternateContent>
    </w:r>
    <w:r>
      <w:rPr>
        <w:rFonts w:hint="eastAsia"/>
        <w:b/>
        <w:bCs/>
        <w:sz w:val="21"/>
        <w:szCs w:val="21"/>
        <w:lang w:eastAsia="zh-CN"/>
      </w:rPr>
      <w:t>新疆恒升融裕环保科技有限公司</w:t>
    </w:r>
    <w:r>
      <w:rPr>
        <w:rFonts w:hint="eastAsia"/>
        <w:b/>
        <w:bCs/>
        <w:sz w:val="21"/>
        <w:szCs w:val="21"/>
      </w:rPr>
      <w:t xml:space="preserve">                             </w:t>
    </w:r>
    <w:r>
      <w:rPr>
        <w:b/>
        <w:bCs/>
        <w:sz w:val="21"/>
        <w:szCs w:val="21"/>
      </w:rPr>
      <w:t>TEL：</w:t>
    </w:r>
    <w:r>
      <w:rPr>
        <w:rFonts w:hint="eastAsia"/>
        <w:b/>
        <w:bCs/>
        <w:sz w:val="21"/>
        <w:szCs w:val="21"/>
        <w:lang w:eastAsia="zh-CN"/>
      </w:rPr>
      <w:t>0991-3333881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DA50B">
    <w:pPr>
      <w:pStyle w:val="20"/>
      <w:spacing w:line="360" w:lineRule="exact"/>
      <w:ind w:firstLine="0" w:firstLineChars="0"/>
      <w:rPr>
        <w:rFonts w:hint="eastAsia" w:eastAsia="宋体"/>
        <w:lang w:eastAsia="zh-CN"/>
      </w:rPr>
    </w:pPr>
    <w:r>
      <w:rPr>
        <w:b/>
        <w:bCs/>
        <w:sz w:val="21"/>
        <w:szCs w:val="21"/>
      </w:rPr>
      <mc:AlternateContent>
        <mc:Choice Requires="wps">
          <w:drawing>
            <wp:anchor distT="0" distB="0" distL="114300" distR="114300" simplePos="0" relativeHeight="251676672" behindDoc="0" locked="0" layoutInCell="1" allowOverlap="1">
              <wp:simplePos x="0" y="0"/>
              <wp:positionH relativeFrom="page">
                <wp:posOffset>1152525</wp:posOffset>
              </wp:positionH>
              <wp:positionV relativeFrom="page">
                <wp:posOffset>9858375</wp:posOffset>
              </wp:positionV>
              <wp:extent cx="5257800" cy="0"/>
              <wp:effectExtent l="0" t="4445" r="0" b="5080"/>
              <wp:wrapNone/>
              <wp:docPr id="34" name="直接连接符 34"/>
              <wp:cNvGraphicFramePr/>
              <a:graphic xmlns:a="http://schemas.openxmlformats.org/drawingml/2006/main">
                <a:graphicData uri="http://schemas.microsoft.com/office/word/2010/wordprocessingShape">
                  <wps:wsp>
                    <wps:cNvCnPr/>
                    <wps:spPr>
                      <a:xfrm>
                        <a:off x="0" y="0"/>
                        <a:ext cx="5314950" cy="0"/>
                      </a:xfrm>
                      <a:prstGeom prst="line">
                        <a:avLst/>
                      </a:prstGeom>
                      <a:noFill/>
                      <a:ln w="9525" cap="flat" cmpd="sng" algn="ctr">
                        <a:solidFill>
                          <a:srgbClr val="000000"/>
                        </a:solidFill>
                        <a:prstDash val="solid"/>
                        <a:miter lim="800000"/>
                      </a:ln>
                      <a:effectLst/>
                    </wps:spPr>
                    <wps:bodyPr/>
                  </wps:wsp>
                </a:graphicData>
              </a:graphic>
              <wp14:sizeRelH relativeFrom="margin">
                <wp14:pctWidth>100000</wp14:pctWidth>
              </wp14:sizeRelH>
              <wp14:sizeRelV relativeFrom="page">
                <wp14:pctHeight>0</wp14:pctHeight>
              </wp14:sizeRelV>
            </wp:anchor>
          </w:drawing>
        </mc:Choice>
        <mc:Fallback>
          <w:pict>
            <v:line id="_x0000_s1026" o:spid="_x0000_s1026" o:spt="20" style="position:absolute;left:0pt;margin-left:90.75pt;margin-top:776.25pt;height:0pt;width:414pt;mso-position-horizontal-relative:page;mso-position-vertical-relative:page;z-index:251676672;mso-width-relative:margin;mso-height-relative:page;mso-width-percent:1000;" filled="f" stroked="t" coordsize="21600,21600" o:gfxdata="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L&#10;PnTo2QAAAA4BAAAPAAAAAAAAAAEAIAAAACIAAABkcnMvZG93bnJldi54bWxQSwECFAAUAAAACACH&#10;TuJAKnLGSeoBAADBAwAADgAAAAAAAAABACAAAAAoAQAAZHJzL2Uyb0RvYy54bWxQSwUGAAAAAAYA&#10;BgBZAQAAhAUAAAAA&#10;">
              <v:fill on="f" focussize="0,0"/>
              <v:stroke color="#000000" miterlimit="8" joinstyle="miter"/>
              <v:imagedata o:title=""/>
              <o:lock v:ext="edit" aspectratio="f"/>
            </v:line>
          </w:pict>
        </mc:Fallback>
      </mc:AlternateContent>
    </w:r>
    <w:r>
      <w:rPr>
        <w:b/>
        <w:bCs/>
        <w:sz w:val="21"/>
        <w:szCs w:val="21"/>
      </w:rPr>
      <w:t>TEL：</w:t>
    </w:r>
    <w:r>
      <w:rPr>
        <w:rFonts w:hint="eastAsia"/>
        <w:b/>
        <w:bCs/>
        <w:sz w:val="21"/>
        <w:szCs w:val="21"/>
        <w:lang w:eastAsia="zh-CN"/>
      </w:rPr>
      <w:t>0991-3333881</w:t>
    </w:r>
    <w:r>
      <w:rPr>
        <w:rFonts w:hint="eastAsia"/>
        <w:b/>
        <w:bCs/>
        <w:sz w:val="21"/>
        <w:szCs w:val="21"/>
      </w:rPr>
      <w:t xml:space="preserve">                                  </w:t>
    </w:r>
    <w:r>
      <w:rPr>
        <w:rFonts w:hint="eastAsia"/>
        <w:b/>
        <w:bCs/>
        <w:sz w:val="21"/>
        <w:szCs w:val="21"/>
        <w:lang w:eastAsia="zh-CN"/>
      </w:rPr>
      <w:t>新疆恒升融裕环保科技有限公司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BB0C8">
    <w:pPr>
      <w:pStyle w:val="20"/>
      <w:spacing w:line="360" w:lineRule="exact"/>
      <w:ind w:firstLine="0" w:firstLineChars="0"/>
      <w:jc w:val="distribute"/>
      <w:rPr>
        <w:rFonts w:hint="eastAsia" w:eastAsia="宋体"/>
        <w:lang w:eastAsia="zh-CN"/>
      </w:rPr>
    </w:pPr>
    <w:r>
      <w:rPr>
        <w:b/>
        <w:bCs/>
        <w:sz w:val="21"/>
        <w:szCs w:val="21"/>
      </w:rPr>
      <mc:AlternateContent>
        <mc:Choice Requires="wps">
          <w:drawing>
            <wp:anchor distT="0" distB="0" distL="114300" distR="114300" simplePos="0" relativeHeight="251678720" behindDoc="0" locked="0" layoutInCell="1" allowOverlap="1">
              <wp:simplePos x="0" y="0"/>
              <wp:positionH relativeFrom="page">
                <wp:posOffset>1143000</wp:posOffset>
              </wp:positionH>
              <wp:positionV relativeFrom="page">
                <wp:posOffset>9867900</wp:posOffset>
              </wp:positionV>
              <wp:extent cx="5257800" cy="0"/>
              <wp:effectExtent l="0" t="4445" r="0" b="5080"/>
              <wp:wrapNone/>
              <wp:docPr id="36" name="直接连接符 36"/>
              <wp:cNvGraphicFramePr/>
              <a:graphic xmlns:a="http://schemas.openxmlformats.org/drawingml/2006/main">
                <a:graphicData uri="http://schemas.microsoft.com/office/word/2010/wordprocessingShape">
                  <wps:wsp>
                    <wps:cNvCnPr/>
                    <wps:spPr>
                      <a:xfrm>
                        <a:off x="0" y="0"/>
                        <a:ext cx="5314950" cy="0"/>
                      </a:xfrm>
                      <a:prstGeom prst="line">
                        <a:avLst/>
                      </a:prstGeom>
                      <a:noFill/>
                      <a:ln w="9525" cap="flat" cmpd="sng" algn="ctr">
                        <a:solidFill>
                          <a:srgbClr val="000000"/>
                        </a:solidFill>
                        <a:prstDash val="solid"/>
                        <a:miter lim="800000"/>
                      </a:ln>
                      <a:effectLst/>
                    </wps:spPr>
                    <wps:bodyPr/>
                  </wps:wsp>
                </a:graphicData>
              </a:graphic>
              <wp14:sizeRelH relativeFrom="margin">
                <wp14:pctWidth>100000</wp14:pctWidth>
              </wp14:sizeRelH>
              <wp14:sizeRelV relativeFrom="page">
                <wp14:pctHeight>0</wp14:pctHeight>
              </wp14:sizeRelV>
            </wp:anchor>
          </w:drawing>
        </mc:Choice>
        <mc:Fallback>
          <w:pict>
            <v:line id="_x0000_s1026" o:spid="_x0000_s1026" o:spt="20" style="position:absolute;left:0pt;margin-left:90pt;margin-top:777pt;height:0pt;width:414pt;mso-position-horizontal-relative:page;mso-position-vertical-relative:page;z-index:251678720;mso-width-relative:margin;mso-height-relative:page;mso-width-percent:1000;" filled="f" stroked="t" coordsize="21600,21600" o:gfxdata="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i0&#10;6/vYAAAADgEAAA8AAAAAAAAAAQAgAAAAIgAAAGRycy9kb3ducmV2LnhtbFBLAQIUABQAAAAIAIdO&#10;4kDYBaJd6gEAAMEDAAAOAAAAAAAAAAEAIAAAACcBAABkcnMvZTJvRG9jLnhtbFBLBQYAAAAABgAG&#10;AFkBAACDBQAAAAA=&#10;">
              <v:fill on="f" focussize="0,0"/>
              <v:stroke color="#000000" miterlimit="8" joinstyle="miter"/>
              <v:imagedata o:title=""/>
              <o:lock v:ext="edit" aspectratio="f"/>
            </v:line>
          </w:pict>
        </mc:Fallback>
      </mc:AlternateContent>
    </w:r>
    <w:r>
      <w:rPr>
        <w:rFonts w:hint="eastAsia"/>
        <w:b/>
        <w:bCs/>
        <w:sz w:val="21"/>
        <w:szCs w:val="21"/>
        <w:lang w:eastAsia="zh-CN"/>
      </w:rPr>
      <w:t>新疆恒升融裕环保科技有限公司</w:t>
    </w:r>
    <w:r>
      <w:rPr>
        <w:rFonts w:hint="eastAsia"/>
        <w:b/>
        <w:bCs/>
        <w:sz w:val="21"/>
        <w:szCs w:val="21"/>
      </w:rPr>
      <w:t xml:space="preserve">                             </w:t>
    </w:r>
    <w:r>
      <w:rPr>
        <w:b/>
        <w:bCs/>
        <w:sz w:val="21"/>
        <w:szCs w:val="21"/>
      </w:rPr>
      <w:t>TEL：</w:t>
    </w:r>
    <w:r>
      <w:rPr>
        <w:rFonts w:hint="eastAsia"/>
        <w:b/>
        <w:bCs/>
        <w:sz w:val="21"/>
        <w:szCs w:val="21"/>
        <w:lang w:eastAsia="zh-CN"/>
      </w:rPr>
      <w:t>0991-3333881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25230">
    <w:pPr>
      <w:pStyle w:val="20"/>
      <w:spacing w:line="360" w:lineRule="exact"/>
      <w:ind w:firstLine="0" w:firstLineChars="0"/>
      <w:rPr>
        <w:rFonts w:hint="eastAsia" w:eastAsia="宋体"/>
        <w:lang w:eastAsia="zh-CN"/>
      </w:rPr>
    </w:pPr>
    <w:r>
      <w:rPr>
        <w:sz w:val="21"/>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75FAA7">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4675FAA7">
                    <w:pPr>
                      <w:pStyle w:val="20"/>
                    </w:pPr>
                    <w:r>
                      <w:fldChar w:fldCharType="begin"/>
                    </w:r>
                    <w:r>
                      <w:instrText xml:space="preserve"> PAGE  \* MERGEFORMAT </w:instrText>
                    </w:r>
                    <w:r>
                      <w:fldChar w:fldCharType="separate"/>
                    </w:r>
                    <w:r>
                      <w:t>1</w:t>
                    </w:r>
                    <w:r>
                      <w:fldChar w:fldCharType="end"/>
                    </w:r>
                  </w:p>
                </w:txbxContent>
              </v:textbox>
            </v:shape>
          </w:pict>
        </mc:Fallback>
      </mc:AlternateContent>
    </w:r>
    <w:r>
      <w:rPr>
        <w:b/>
        <w:bCs/>
        <w:sz w:val="21"/>
        <w:szCs w:val="21"/>
      </w:rPr>
      <mc:AlternateContent>
        <mc:Choice Requires="wps">
          <w:drawing>
            <wp:anchor distT="0" distB="0" distL="114300" distR="114300" simplePos="0" relativeHeight="251679744" behindDoc="0" locked="0" layoutInCell="1" allowOverlap="1">
              <wp:simplePos x="0" y="0"/>
              <wp:positionH relativeFrom="page">
                <wp:posOffset>1152525</wp:posOffset>
              </wp:positionH>
              <wp:positionV relativeFrom="page">
                <wp:posOffset>9858375</wp:posOffset>
              </wp:positionV>
              <wp:extent cx="5257800" cy="0"/>
              <wp:effectExtent l="0" t="4445" r="0" b="5080"/>
              <wp:wrapNone/>
              <wp:docPr id="39" name="直接连接符 39"/>
              <wp:cNvGraphicFramePr/>
              <a:graphic xmlns:a="http://schemas.openxmlformats.org/drawingml/2006/main">
                <a:graphicData uri="http://schemas.microsoft.com/office/word/2010/wordprocessingShape">
                  <wps:wsp>
                    <wps:cNvCnPr/>
                    <wps:spPr>
                      <a:xfrm>
                        <a:off x="0" y="0"/>
                        <a:ext cx="5314950" cy="0"/>
                      </a:xfrm>
                      <a:prstGeom prst="line">
                        <a:avLst/>
                      </a:prstGeom>
                      <a:noFill/>
                      <a:ln w="9525" cap="flat" cmpd="sng" algn="ctr">
                        <a:solidFill>
                          <a:srgbClr val="000000"/>
                        </a:solidFill>
                        <a:prstDash val="solid"/>
                        <a:miter lim="800000"/>
                      </a:ln>
                      <a:effectLst/>
                    </wps:spPr>
                    <wps:bodyPr/>
                  </wps:wsp>
                </a:graphicData>
              </a:graphic>
              <wp14:sizeRelH relativeFrom="margin">
                <wp14:pctWidth>100000</wp14:pctWidth>
              </wp14:sizeRelH>
              <wp14:sizeRelV relativeFrom="page">
                <wp14:pctHeight>0</wp14:pctHeight>
              </wp14:sizeRelV>
            </wp:anchor>
          </w:drawing>
        </mc:Choice>
        <mc:Fallback>
          <w:pict>
            <v:line id="_x0000_s1026" o:spid="_x0000_s1026" o:spt="20" style="position:absolute;left:0pt;margin-left:90.75pt;margin-top:776.25pt;height:0pt;width:414pt;mso-position-horizontal-relative:page;mso-position-vertical-relative:page;z-index:251679744;mso-width-relative:margin;mso-height-relative:page;mso-width-percent:1000;" filled="f" stroked="t" coordsize="21600,21600" o:gfxdata="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s+&#10;dOjZAAAADgEAAA8AAAAAAAAAAQAgAAAAIgAAAGRycy9kb3ducmV2LnhtbFBLAQIUABQAAAAIAIdO&#10;4kD/ea066QEAAMEDAAAOAAAAAAAAAAEAIAAAACgBAABkcnMvZTJvRG9jLnhtbFBLBQYAAAAABgAG&#10;AFkBAACDBQAAAAA=&#10;">
              <v:fill on="f" focussize="0,0"/>
              <v:stroke color="#000000" miterlimit="8" joinstyle="miter"/>
              <v:imagedata o:title=""/>
              <o:lock v:ext="edit" aspectratio="f"/>
            </v:line>
          </w:pict>
        </mc:Fallback>
      </mc:AlternateContent>
    </w:r>
    <w:r>
      <w:rPr>
        <w:b/>
        <w:bCs/>
        <w:sz w:val="21"/>
        <w:szCs w:val="21"/>
      </w:rPr>
      <w:t>TEL：</w:t>
    </w:r>
    <w:r>
      <w:rPr>
        <w:rFonts w:hint="eastAsia"/>
        <w:b/>
        <w:bCs/>
        <w:sz w:val="21"/>
        <w:szCs w:val="21"/>
        <w:lang w:eastAsia="zh-CN"/>
      </w:rPr>
      <w:t>0991-3333881</w:t>
    </w:r>
    <w:r>
      <w:rPr>
        <w:rFonts w:hint="eastAsia"/>
        <w:b/>
        <w:bCs/>
        <w:sz w:val="21"/>
        <w:szCs w:val="21"/>
      </w:rPr>
      <w:t xml:space="preserve">                                  </w:t>
    </w:r>
    <w:r>
      <w:rPr>
        <w:rFonts w:hint="eastAsia"/>
        <w:b/>
        <w:bCs/>
        <w:sz w:val="21"/>
        <w:szCs w:val="21"/>
        <w:lang w:eastAsia="zh-CN"/>
      </w:rPr>
      <w:t>新疆恒升融裕环保科技有限公司</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E9ABE">
    <w:pPr>
      <w:pStyle w:val="20"/>
      <w:spacing w:line="360" w:lineRule="exact"/>
      <w:ind w:firstLine="0" w:firstLineChars="0"/>
      <w:jc w:val="distribute"/>
      <w:rPr>
        <w:rFonts w:hint="eastAsia" w:eastAsia="宋体"/>
        <w:lang w:eastAsia="zh-CN"/>
      </w:rPr>
    </w:pPr>
    <w:r>
      <w:rPr>
        <w:sz w:val="21"/>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A3EA06">
                          <w:pPr>
                            <w:pStyle w:val="2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01A3EA06">
                    <w:pPr>
                      <w:pStyle w:val="20"/>
                    </w:pPr>
                    <w:r>
                      <w:fldChar w:fldCharType="begin"/>
                    </w:r>
                    <w:r>
                      <w:instrText xml:space="preserve"> PAGE  \* MERGEFORMAT </w:instrText>
                    </w:r>
                    <w:r>
                      <w:fldChar w:fldCharType="separate"/>
                    </w:r>
                    <w:r>
                      <w:t>2</w:t>
                    </w:r>
                    <w:r>
                      <w:fldChar w:fldCharType="end"/>
                    </w:r>
                  </w:p>
                </w:txbxContent>
              </v:textbox>
            </v:shape>
          </w:pict>
        </mc:Fallback>
      </mc:AlternateContent>
    </w:r>
    <w:r>
      <w:rPr>
        <w:b/>
        <w:bCs/>
        <w:sz w:val="21"/>
        <w:szCs w:val="21"/>
      </w:rPr>
      <mc:AlternateContent>
        <mc:Choice Requires="wps">
          <w:drawing>
            <wp:anchor distT="0" distB="0" distL="114300" distR="114300" simplePos="0" relativeHeight="251680768" behindDoc="0" locked="0" layoutInCell="1" allowOverlap="1">
              <wp:simplePos x="0" y="0"/>
              <wp:positionH relativeFrom="page">
                <wp:posOffset>1143000</wp:posOffset>
              </wp:positionH>
              <wp:positionV relativeFrom="page">
                <wp:posOffset>9867900</wp:posOffset>
              </wp:positionV>
              <wp:extent cx="5257800" cy="0"/>
              <wp:effectExtent l="0" t="4445" r="0" b="5080"/>
              <wp:wrapNone/>
              <wp:docPr id="40" name="直接连接符 40"/>
              <wp:cNvGraphicFramePr/>
              <a:graphic xmlns:a="http://schemas.openxmlformats.org/drawingml/2006/main">
                <a:graphicData uri="http://schemas.microsoft.com/office/word/2010/wordprocessingShape">
                  <wps:wsp>
                    <wps:cNvCnPr/>
                    <wps:spPr>
                      <a:xfrm>
                        <a:off x="0" y="0"/>
                        <a:ext cx="5314950" cy="0"/>
                      </a:xfrm>
                      <a:prstGeom prst="line">
                        <a:avLst/>
                      </a:prstGeom>
                      <a:noFill/>
                      <a:ln w="9525" cap="flat" cmpd="sng" algn="ctr">
                        <a:solidFill>
                          <a:srgbClr val="000000"/>
                        </a:solidFill>
                        <a:prstDash val="solid"/>
                        <a:miter lim="800000"/>
                      </a:ln>
                      <a:effectLst/>
                    </wps:spPr>
                    <wps:bodyPr/>
                  </wps:wsp>
                </a:graphicData>
              </a:graphic>
              <wp14:sizeRelH relativeFrom="margin">
                <wp14:pctWidth>100000</wp14:pctWidth>
              </wp14:sizeRelH>
              <wp14:sizeRelV relativeFrom="page">
                <wp14:pctHeight>0</wp14:pctHeight>
              </wp14:sizeRelV>
            </wp:anchor>
          </w:drawing>
        </mc:Choice>
        <mc:Fallback>
          <w:pict>
            <v:line id="_x0000_s1026" o:spid="_x0000_s1026" o:spt="20" style="position:absolute;left:0pt;margin-left:90pt;margin-top:777pt;height:0pt;width:414pt;mso-position-horizontal-relative:page;mso-position-vertical-relative:page;z-index:251680768;mso-width-relative:margin;mso-height-relative:page;mso-width-percent:1000;" filled="f" stroked="t" coordsize="21600,21600" o:gfxdata="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LTr&#10;+9gAAAAOAQAADwAAAAAAAAABACAAAAAiAAAAZHJzL2Rvd25yZXYueG1sUEsBAhQAFAAAAAgAh07i&#10;QIT8jVHpAQAAwQMAAA4AAAAAAAAAAQAgAAAAJwEAAGRycy9lMm9Eb2MueG1sUEsFBgAAAAAGAAYA&#10;WQEAAIIFAAAAAA==&#10;">
              <v:fill on="f" focussize="0,0"/>
              <v:stroke color="#000000" miterlimit="8" joinstyle="miter"/>
              <v:imagedata o:title=""/>
              <o:lock v:ext="edit" aspectratio="f"/>
            </v:line>
          </w:pict>
        </mc:Fallback>
      </mc:AlternateContent>
    </w:r>
    <w:r>
      <w:rPr>
        <w:rFonts w:hint="eastAsia"/>
        <w:b/>
        <w:bCs/>
        <w:sz w:val="21"/>
        <w:szCs w:val="21"/>
        <w:lang w:eastAsia="zh-CN"/>
      </w:rPr>
      <w:t>新疆恒升融裕环保科技有限公司</w:t>
    </w:r>
    <w:r>
      <w:rPr>
        <w:rFonts w:hint="eastAsia"/>
        <w:b/>
        <w:bCs/>
        <w:sz w:val="21"/>
        <w:szCs w:val="21"/>
      </w:rPr>
      <w:t xml:space="preserve">                             </w:t>
    </w:r>
    <w:r>
      <w:rPr>
        <w:b/>
        <w:bCs/>
        <w:sz w:val="21"/>
        <w:szCs w:val="21"/>
      </w:rPr>
      <w:t>TEL：</w:t>
    </w:r>
    <w:r>
      <w:rPr>
        <w:rFonts w:hint="eastAsia"/>
        <w:b/>
        <w:bCs/>
        <w:sz w:val="21"/>
        <w:szCs w:val="21"/>
        <w:lang w:eastAsia="zh-CN"/>
      </w:rPr>
      <w:t>0991-3333881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04375">
    <w:pPr>
      <w:pStyle w:val="20"/>
      <w:pBdr>
        <w:top w:val="single" w:color="auto" w:sz="4" w:space="1"/>
        <w:left w:val="none" w:color="auto" w:sz="0" w:space="4"/>
        <w:bottom w:val="none" w:color="auto" w:sz="0" w:space="1"/>
        <w:right w:val="none" w:color="auto" w:sz="0" w:space="4"/>
      </w:pBdr>
      <w:spacing w:line="400" w:lineRule="exact"/>
      <w:ind w:firstLine="0" w:firstLineChars="0"/>
      <w:jc w:val="distribute"/>
      <w:rPr>
        <w:rFonts w:hint="eastAsia" w:eastAsia="宋体"/>
        <w:sz w:val="21"/>
        <w:szCs w:val="21"/>
        <w:lang w:eastAsia="zh-CN"/>
      </w:rPr>
    </w:pPr>
    <w:r>
      <w:rPr>
        <w:sz w:val="21"/>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BD2CDA">
                          <w:pPr>
                            <w:pStyle w:val="20"/>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06BD2CDA">
                    <w:pPr>
                      <w:pStyle w:val="20"/>
                    </w:pPr>
                    <w:r>
                      <w:fldChar w:fldCharType="begin"/>
                    </w:r>
                    <w:r>
                      <w:instrText xml:space="preserve"> PAGE  \* MERGEFORMAT </w:instrText>
                    </w:r>
                    <w:r>
                      <w:fldChar w:fldCharType="separate"/>
                    </w:r>
                    <w:r>
                      <w:t>59</w:t>
                    </w:r>
                    <w:r>
                      <w:fldChar w:fldCharType="end"/>
                    </w:r>
                  </w:p>
                </w:txbxContent>
              </v:textbox>
            </v:shape>
          </w:pict>
        </mc:Fallback>
      </mc:AlternateContent>
    </w:r>
    <w:r>
      <w:rPr>
        <w:b/>
        <w:bCs/>
        <w:sz w:val="21"/>
        <w:szCs w:val="21"/>
      </w:rPr>
      <w:t>TEL：</w:t>
    </w:r>
    <w:r>
      <w:rPr>
        <w:rFonts w:hint="eastAsia"/>
        <w:b/>
        <w:bCs/>
        <w:sz w:val="21"/>
        <w:szCs w:val="21"/>
        <w:lang w:eastAsia="zh-CN"/>
      </w:rPr>
      <w:t>0991-3333881</w:t>
    </w:r>
    <w:r>
      <w:rPr>
        <w:b/>
        <w:bCs/>
        <w:sz w:val="21"/>
        <w:szCs w:val="21"/>
      </w:rPr>
      <w:t xml:space="preserve">                        </w:t>
    </w:r>
    <w:r>
      <w:rPr>
        <w:rFonts w:hint="eastAsia"/>
        <w:b/>
        <w:bCs/>
        <w:sz w:val="21"/>
        <w:szCs w:val="21"/>
      </w:rPr>
      <w:t xml:space="preserve">          </w:t>
    </w:r>
    <w:r>
      <w:rPr>
        <w:rFonts w:hint="eastAsia"/>
        <w:b/>
        <w:bCs/>
        <w:sz w:val="21"/>
        <w:szCs w:val="21"/>
        <w:lang w:eastAsia="zh-CN"/>
      </w:rPr>
      <w:t>新疆恒升融裕环保科技有限公司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2F923">
    <w:pPr>
      <w:pStyle w:val="21"/>
      <w:pBdr>
        <w:bottom w:val="thinThickMediumGap" w:color="auto" w:sz="18" w:space="1"/>
      </w:pBdr>
      <w:ind w:firstLine="0" w:firstLineChars="0"/>
      <w:rPr>
        <w:sz w:val="21"/>
        <w:szCs w:val="21"/>
      </w:rPr>
    </w:pPr>
    <w:r>
      <w:rPr>
        <w:rFonts w:hint="eastAsia"/>
        <w:sz w:val="18"/>
        <w:szCs w:val="18"/>
        <w:lang w:eastAsia="zh-CN"/>
      </w:rPr>
      <w:t>新疆嘉西矿业有限公司哈密市伊州区雅满苏镇M1033萤石选矿厂及尾矿库建设项目</w:t>
    </w:r>
    <w:r>
      <w:rPr>
        <w:rFonts w:hint="eastAsia"/>
        <w:sz w:val="18"/>
        <w:szCs w:val="18"/>
      </w:rPr>
      <w:t>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A7F65">
    <w:pPr>
      <w:pStyle w:val="21"/>
      <w:pBdr>
        <w:bottom w:val="thinThickMediumGap" w:color="auto" w:sz="18" w:space="1"/>
      </w:pBdr>
      <w:ind w:firstLine="0" w:firstLineChars="0"/>
      <w:rPr>
        <w:sz w:val="21"/>
        <w:szCs w:val="15"/>
      </w:rPr>
    </w:pPr>
    <w:r>
      <w:rPr>
        <w:rFonts w:hint="eastAsia"/>
        <w:sz w:val="18"/>
        <w:szCs w:val="18"/>
        <w:lang w:eastAsia="zh-CN"/>
      </w:rPr>
      <w:t>新疆嘉西矿业有限公司哈密市伊州区雅满苏镇M1033萤石选矿厂及尾矿库建设项目</w:t>
    </w:r>
    <w:r>
      <w:rPr>
        <w:rFonts w:hint="eastAsia"/>
        <w:sz w:val="18"/>
        <w:szCs w:val="18"/>
      </w:rPr>
      <w:t>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D90130">
    <w:pPr>
      <w:pStyle w:val="21"/>
      <w:pBdr>
        <w:bottom w:val="thinThickSmallGap" w:color="auto" w:sz="12" w:space="1"/>
      </w:pBdr>
      <w:ind w:firstLine="0" w:firstLineChars="0"/>
      <w:rPr>
        <w:b/>
        <w:sz w:val="18"/>
        <w:szCs w:val="18"/>
      </w:rPr>
    </w:pPr>
    <w:r>
      <w:rPr>
        <w:rFonts w:hint="eastAsia"/>
        <w:sz w:val="18"/>
        <w:szCs w:val="18"/>
        <w:lang w:eastAsia="zh-CN"/>
      </w:rPr>
      <w:t>新疆嘉西矿业有限公司哈密市伊州区雅满苏镇M1033萤石选矿厂及尾矿库建设项目</w:t>
    </w:r>
    <w:r>
      <w:rPr>
        <w:rFonts w:hint="eastAsia"/>
        <w:sz w:val="18"/>
        <w:szCs w:val="18"/>
      </w:rPr>
      <w:t>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1ED5C">
    <w:pPr>
      <w:pStyle w:val="21"/>
      <w:pBdr>
        <w:bottom w:val="thinThickSmallGap" w:color="auto" w:sz="12" w:space="1"/>
      </w:pBdr>
      <w:ind w:firstLine="0" w:firstLineChars="0"/>
      <w:rPr>
        <w:sz w:val="21"/>
        <w:szCs w:val="15"/>
      </w:rPr>
    </w:pPr>
    <w:r>
      <w:rPr>
        <w:rFonts w:hint="eastAsia"/>
        <w:sz w:val="18"/>
        <w:szCs w:val="18"/>
        <w:lang w:eastAsia="zh-CN"/>
      </w:rPr>
      <w:t>新疆嘉西矿业有限公司哈密市伊州区雅满苏镇M1033萤石选矿厂及尾矿库建设项目</w:t>
    </w:r>
    <w:r>
      <w:rPr>
        <w:rFonts w:hint="eastAsia"/>
        <w:sz w:val="18"/>
        <w:szCs w:val="18"/>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4D7E77"/>
    <w:multiLevelType w:val="singleLevel"/>
    <w:tmpl w:val="DA4D7E77"/>
    <w:lvl w:ilvl="0" w:tentative="0">
      <w:start w:val="1"/>
      <w:numFmt w:val="decimal"/>
      <w:suff w:val="nothing"/>
      <w:lvlText w:val="（%1）"/>
      <w:lvlJc w:val="left"/>
    </w:lvl>
  </w:abstractNum>
  <w:abstractNum w:abstractNumId="1">
    <w:nsid w:val="13B9B85F"/>
    <w:multiLevelType w:val="singleLevel"/>
    <w:tmpl w:val="13B9B85F"/>
    <w:lvl w:ilvl="0" w:tentative="0">
      <w:start w:val="1"/>
      <w:numFmt w:val="decimal"/>
      <w:pStyle w:val="16"/>
      <w:lvlText w:val="%1."/>
      <w:lvlJc w:val="left"/>
      <w:pPr>
        <w:tabs>
          <w:tab w:val="left" w:pos="2040"/>
        </w:tabs>
        <w:ind w:left="204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evenAndOddHeaders w:val="1"/>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FiYWUyYWZiY2Y0MWY5OTlmNDc0NzYxOWFiNzFiZGIifQ=="/>
  </w:docVars>
  <w:rsids>
    <w:rsidRoot w:val="00172A27"/>
    <w:rsid w:val="00000027"/>
    <w:rsid w:val="00001378"/>
    <w:rsid w:val="00002B7F"/>
    <w:rsid w:val="00003F25"/>
    <w:rsid w:val="000055C3"/>
    <w:rsid w:val="00005994"/>
    <w:rsid w:val="00006067"/>
    <w:rsid w:val="00006D10"/>
    <w:rsid w:val="000071C6"/>
    <w:rsid w:val="00010DD6"/>
    <w:rsid w:val="00012D8A"/>
    <w:rsid w:val="00013060"/>
    <w:rsid w:val="0001665B"/>
    <w:rsid w:val="000208CB"/>
    <w:rsid w:val="00020BA2"/>
    <w:rsid w:val="00024266"/>
    <w:rsid w:val="00024820"/>
    <w:rsid w:val="0002692C"/>
    <w:rsid w:val="00030280"/>
    <w:rsid w:val="0003119F"/>
    <w:rsid w:val="00031FBE"/>
    <w:rsid w:val="000323BE"/>
    <w:rsid w:val="00034656"/>
    <w:rsid w:val="00035D9B"/>
    <w:rsid w:val="0003631D"/>
    <w:rsid w:val="00036F88"/>
    <w:rsid w:val="00037162"/>
    <w:rsid w:val="0004072C"/>
    <w:rsid w:val="00041427"/>
    <w:rsid w:val="00041549"/>
    <w:rsid w:val="00043D5D"/>
    <w:rsid w:val="000444B7"/>
    <w:rsid w:val="00046AD3"/>
    <w:rsid w:val="000510CF"/>
    <w:rsid w:val="00052470"/>
    <w:rsid w:val="000535E1"/>
    <w:rsid w:val="00053BE9"/>
    <w:rsid w:val="0005416D"/>
    <w:rsid w:val="000551D8"/>
    <w:rsid w:val="0005589E"/>
    <w:rsid w:val="000562C6"/>
    <w:rsid w:val="000562EC"/>
    <w:rsid w:val="00063AAB"/>
    <w:rsid w:val="00065A59"/>
    <w:rsid w:val="000667D5"/>
    <w:rsid w:val="0006768F"/>
    <w:rsid w:val="000676DA"/>
    <w:rsid w:val="00080831"/>
    <w:rsid w:val="00081E38"/>
    <w:rsid w:val="00082865"/>
    <w:rsid w:val="00085E34"/>
    <w:rsid w:val="000863C9"/>
    <w:rsid w:val="00086597"/>
    <w:rsid w:val="0009257E"/>
    <w:rsid w:val="00095B1F"/>
    <w:rsid w:val="000960DB"/>
    <w:rsid w:val="0009626A"/>
    <w:rsid w:val="00096C83"/>
    <w:rsid w:val="000A0881"/>
    <w:rsid w:val="000A1609"/>
    <w:rsid w:val="000A32A6"/>
    <w:rsid w:val="000A37FD"/>
    <w:rsid w:val="000A4FF4"/>
    <w:rsid w:val="000A5484"/>
    <w:rsid w:val="000A57E4"/>
    <w:rsid w:val="000A5819"/>
    <w:rsid w:val="000A7875"/>
    <w:rsid w:val="000B37DE"/>
    <w:rsid w:val="000B39B7"/>
    <w:rsid w:val="000B5AB4"/>
    <w:rsid w:val="000B5D97"/>
    <w:rsid w:val="000B72FC"/>
    <w:rsid w:val="000C042F"/>
    <w:rsid w:val="000C0501"/>
    <w:rsid w:val="000C1636"/>
    <w:rsid w:val="000C1CD6"/>
    <w:rsid w:val="000C5448"/>
    <w:rsid w:val="000C59C6"/>
    <w:rsid w:val="000C6429"/>
    <w:rsid w:val="000C6692"/>
    <w:rsid w:val="000D16CC"/>
    <w:rsid w:val="000D27C1"/>
    <w:rsid w:val="000D4539"/>
    <w:rsid w:val="000D5D95"/>
    <w:rsid w:val="000D63AD"/>
    <w:rsid w:val="000D6A2D"/>
    <w:rsid w:val="000D7704"/>
    <w:rsid w:val="000D7CB4"/>
    <w:rsid w:val="000E3595"/>
    <w:rsid w:val="000E4D4D"/>
    <w:rsid w:val="000E6A35"/>
    <w:rsid w:val="000E791F"/>
    <w:rsid w:val="000F64CC"/>
    <w:rsid w:val="000F76B7"/>
    <w:rsid w:val="00100570"/>
    <w:rsid w:val="0010306B"/>
    <w:rsid w:val="001049F4"/>
    <w:rsid w:val="00105FDF"/>
    <w:rsid w:val="00107680"/>
    <w:rsid w:val="001076CD"/>
    <w:rsid w:val="00111053"/>
    <w:rsid w:val="00111BBF"/>
    <w:rsid w:val="00115EAA"/>
    <w:rsid w:val="0011752B"/>
    <w:rsid w:val="0011760F"/>
    <w:rsid w:val="00121592"/>
    <w:rsid w:val="00123A23"/>
    <w:rsid w:val="00125EB7"/>
    <w:rsid w:val="00131F96"/>
    <w:rsid w:val="00134722"/>
    <w:rsid w:val="001353E6"/>
    <w:rsid w:val="001370B5"/>
    <w:rsid w:val="00140394"/>
    <w:rsid w:val="001409AB"/>
    <w:rsid w:val="00142E93"/>
    <w:rsid w:val="0014625D"/>
    <w:rsid w:val="00146C6B"/>
    <w:rsid w:val="001516D0"/>
    <w:rsid w:val="00151EE6"/>
    <w:rsid w:val="001525CB"/>
    <w:rsid w:val="001539D6"/>
    <w:rsid w:val="00153AF5"/>
    <w:rsid w:val="001542FB"/>
    <w:rsid w:val="00154999"/>
    <w:rsid w:val="00155208"/>
    <w:rsid w:val="0016079A"/>
    <w:rsid w:val="00161633"/>
    <w:rsid w:val="00161B1C"/>
    <w:rsid w:val="00162572"/>
    <w:rsid w:val="00162EC4"/>
    <w:rsid w:val="001639D2"/>
    <w:rsid w:val="00165300"/>
    <w:rsid w:val="00170C8B"/>
    <w:rsid w:val="00171284"/>
    <w:rsid w:val="00171AA4"/>
    <w:rsid w:val="0017240E"/>
    <w:rsid w:val="0017259D"/>
    <w:rsid w:val="00172A27"/>
    <w:rsid w:val="001760CE"/>
    <w:rsid w:val="00180EF2"/>
    <w:rsid w:val="00180FD6"/>
    <w:rsid w:val="00182055"/>
    <w:rsid w:val="00182AB3"/>
    <w:rsid w:val="00183C41"/>
    <w:rsid w:val="00186108"/>
    <w:rsid w:val="001861F3"/>
    <w:rsid w:val="00187838"/>
    <w:rsid w:val="00187AE1"/>
    <w:rsid w:val="00187CBB"/>
    <w:rsid w:val="00191344"/>
    <w:rsid w:val="0019140C"/>
    <w:rsid w:val="00193998"/>
    <w:rsid w:val="00194CD0"/>
    <w:rsid w:val="00195590"/>
    <w:rsid w:val="001961CC"/>
    <w:rsid w:val="001A31FE"/>
    <w:rsid w:val="001A4F97"/>
    <w:rsid w:val="001B316E"/>
    <w:rsid w:val="001B36E2"/>
    <w:rsid w:val="001B6B47"/>
    <w:rsid w:val="001B6BD5"/>
    <w:rsid w:val="001B6F02"/>
    <w:rsid w:val="001B70E2"/>
    <w:rsid w:val="001B7ABB"/>
    <w:rsid w:val="001C03E1"/>
    <w:rsid w:val="001C1439"/>
    <w:rsid w:val="001C350B"/>
    <w:rsid w:val="001C4261"/>
    <w:rsid w:val="001C5E7A"/>
    <w:rsid w:val="001C6CAD"/>
    <w:rsid w:val="001C6D79"/>
    <w:rsid w:val="001C79F0"/>
    <w:rsid w:val="001D0E71"/>
    <w:rsid w:val="001D0E8F"/>
    <w:rsid w:val="001D0F43"/>
    <w:rsid w:val="001D23B1"/>
    <w:rsid w:val="001D310D"/>
    <w:rsid w:val="001D61AF"/>
    <w:rsid w:val="001D63BF"/>
    <w:rsid w:val="001E053D"/>
    <w:rsid w:val="001E0918"/>
    <w:rsid w:val="001E2C49"/>
    <w:rsid w:val="001E6F69"/>
    <w:rsid w:val="001F129A"/>
    <w:rsid w:val="001F1F04"/>
    <w:rsid w:val="001F2B80"/>
    <w:rsid w:val="001F2C0B"/>
    <w:rsid w:val="001F4C94"/>
    <w:rsid w:val="001F62B7"/>
    <w:rsid w:val="001F68FD"/>
    <w:rsid w:val="001F6BCA"/>
    <w:rsid w:val="001F70AB"/>
    <w:rsid w:val="00200CCC"/>
    <w:rsid w:val="002047DD"/>
    <w:rsid w:val="00205595"/>
    <w:rsid w:val="0020609D"/>
    <w:rsid w:val="00206C23"/>
    <w:rsid w:val="0021055F"/>
    <w:rsid w:val="00211339"/>
    <w:rsid w:val="00211EC8"/>
    <w:rsid w:val="00213291"/>
    <w:rsid w:val="00213AF5"/>
    <w:rsid w:val="00217327"/>
    <w:rsid w:val="00220F60"/>
    <w:rsid w:val="00221A04"/>
    <w:rsid w:val="00222E8E"/>
    <w:rsid w:val="0022393B"/>
    <w:rsid w:val="00225378"/>
    <w:rsid w:val="00227270"/>
    <w:rsid w:val="00227EE5"/>
    <w:rsid w:val="00230957"/>
    <w:rsid w:val="00230EE9"/>
    <w:rsid w:val="00231C02"/>
    <w:rsid w:val="00233495"/>
    <w:rsid w:val="002343D5"/>
    <w:rsid w:val="00245013"/>
    <w:rsid w:val="002460E2"/>
    <w:rsid w:val="00247EF9"/>
    <w:rsid w:val="00247F27"/>
    <w:rsid w:val="00250288"/>
    <w:rsid w:val="0025233D"/>
    <w:rsid w:val="00252453"/>
    <w:rsid w:val="0025340F"/>
    <w:rsid w:val="00253CF6"/>
    <w:rsid w:val="00254A27"/>
    <w:rsid w:val="0025516B"/>
    <w:rsid w:val="00255389"/>
    <w:rsid w:val="002576E8"/>
    <w:rsid w:val="002601EF"/>
    <w:rsid w:val="00260C75"/>
    <w:rsid w:val="00261512"/>
    <w:rsid w:val="002618E9"/>
    <w:rsid w:val="0026301E"/>
    <w:rsid w:val="00264DF5"/>
    <w:rsid w:val="002655B2"/>
    <w:rsid w:val="00270F18"/>
    <w:rsid w:val="0027221F"/>
    <w:rsid w:val="00272325"/>
    <w:rsid w:val="0027342C"/>
    <w:rsid w:val="00274E36"/>
    <w:rsid w:val="0027784F"/>
    <w:rsid w:val="00281B7F"/>
    <w:rsid w:val="002835D6"/>
    <w:rsid w:val="0028492E"/>
    <w:rsid w:val="00284CB0"/>
    <w:rsid w:val="00287121"/>
    <w:rsid w:val="002874E5"/>
    <w:rsid w:val="00287D0C"/>
    <w:rsid w:val="00290293"/>
    <w:rsid w:val="00290605"/>
    <w:rsid w:val="00291773"/>
    <w:rsid w:val="00291C0D"/>
    <w:rsid w:val="00292151"/>
    <w:rsid w:val="002933F2"/>
    <w:rsid w:val="00295643"/>
    <w:rsid w:val="00296499"/>
    <w:rsid w:val="002A0AA3"/>
    <w:rsid w:val="002A3AD7"/>
    <w:rsid w:val="002A5A26"/>
    <w:rsid w:val="002A5C34"/>
    <w:rsid w:val="002B2383"/>
    <w:rsid w:val="002B4191"/>
    <w:rsid w:val="002B4C53"/>
    <w:rsid w:val="002B60B8"/>
    <w:rsid w:val="002B6A48"/>
    <w:rsid w:val="002C16EF"/>
    <w:rsid w:val="002C28F9"/>
    <w:rsid w:val="002C2E48"/>
    <w:rsid w:val="002C44AC"/>
    <w:rsid w:val="002C6AB9"/>
    <w:rsid w:val="002C6E9A"/>
    <w:rsid w:val="002D25C1"/>
    <w:rsid w:val="002D3DCC"/>
    <w:rsid w:val="002D500E"/>
    <w:rsid w:val="002D526D"/>
    <w:rsid w:val="002D5FB3"/>
    <w:rsid w:val="002D6BC3"/>
    <w:rsid w:val="002D7D6E"/>
    <w:rsid w:val="002E2618"/>
    <w:rsid w:val="002E366F"/>
    <w:rsid w:val="002E37C4"/>
    <w:rsid w:val="002E500A"/>
    <w:rsid w:val="002E5ECF"/>
    <w:rsid w:val="002F0059"/>
    <w:rsid w:val="002F0337"/>
    <w:rsid w:val="002F0A7D"/>
    <w:rsid w:val="002F0FD0"/>
    <w:rsid w:val="002F17CD"/>
    <w:rsid w:val="002F3C24"/>
    <w:rsid w:val="002F3E4E"/>
    <w:rsid w:val="002F69DA"/>
    <w:rsid w:val="002F74BF"/>
    <w:rsid w:val="002F7641"/>
    <w:rsid w:val="00300979"/>
    <w:rsid w:val="00303ABB"/>
    <w:rsid w:val="00303F6B"/>
    <w:rsid w:val="0030400C"/>
    <w:rsid w:val="00304069"/>
    <w:rsid w:val="00311938"/>
    <w:rsid w:val="003123A1"/>
    <w:rsid w:val="00315463"/>
    <w:rsid w:val="003174AC"/>
    <w:rsid w:val="003206B5"/>
    <w:rsid w:val="0032106F"/>
    <w:rsid w:val="003254B8"/>
    <w:rsid w:val="00326E03"/>
    <w:rsid w:val="00327710"/>
    <w:rsid w:val="00327790"/>
    <w:rsid w:val="0033293F"/>
    <w:rsid w:val="0033451D"/>
    <w:rsid w:val="00334E0F"/>
    <w:rsid w:val="00334EAC"/>
    <w:rsid w:val="00335AB9"/>
    <w:rsid w:val="00340DB5"/>
    <w:rsid w:val="0034161C"/>
    <w:rsid w:val="00342CC9"/>
    <w:rsid w:val="00342E63"/>
    <w:rsid w:val="003446F9"/>
    <w:rsid w:val="0034691E"/>
    <w:rsid w:val="00347899"/>
    <w:rsid w:val="00352F68"/>
    <w:rsid w:val="003531C1"/>
    <w:rsid w:val="00362E56"/>
    <w:rsid w:val="003659B3"/>
    <w:rsid w:val="00365D81"/>
    <w:rsid w:val="00366231"/>
    <w:rsid w:val="00372901"/>
    <w:rsid w:val="003735BF"/>
    <w:rsid w:val="00373EAB"/>
    <w:rsid w:val="00377621"/>
    <w:rsid w:val="00380DF9"/>
    <w:rsid w:val="00381221"/>
    <w:rsid w:val="003860FC"/>
    <w:rsid w:val="00386868"/>
    <w:rsid w:val="0038770F"/>
    <w:rsid w:val="00387F25"/>
    <w:rsid w:val="00390ABB"/>
    <w:rsid w:val="00392F66"/>
    <w:rsid w:val="00396FA1"/>
    <w:rsid w:val="003A002D"/>
    <w:rsid w:val="003A2380"/>
    <w:rsid w:val="003A28E0"/>
    <w:rsid w:val="003A352F"/>
    <w:rsid w:val="003A3C62"/>
    <w:rsid w:val="003A443C"/>
    <w:rsid w:val="003A69A7"/>
    <w:rsid w:val="003B0385"/>
    <w:rsid w:val="003B2202"/>
    <w:rsid w:val="003B3FD4"/>
    <w:rsid w:val="003B6A01"/>
    <w:rsid w:val="003B7AFB"/>
    <w:rsid w:val="003C100F"/>
    <w:rsid w:val="003C1E8C"/>
    <w:rsid w:val="003C555F"/>
    <w:rsid w:val="003C791A"/>
    <w:rsid w:val="003D1B44"/>
    <w:rsid w:val="003D33A0"/>
    <w:rsid w:val="003D47BA"/>
    <w:rsid w:val="003D54DD"/>
    <w:rsid w:val="003D7B84"/>
    <w:rsid w:val="003E0293"/>
    <w:rsid w:val="003E202E"/>
    <w:rsid w:val="003E2BD8"/>
    <w:rsid w:val="003E30F4"/>
    <w:rsid w:val="003E437F"/>
    <w:rsid w:val="003E70B7"/>
    <w:rsid w:val="003E7DB4"/>
    <w:rsid w:val="003F1B4B"/>
    <w:rsid w:val="003F1C9C"/>
    <w:rsid w:val="003F289E"/>
    <w:rsid w:val="003F2DBD"/>
    <w:rsid w:val="003F61B1"/>
    <w:rsid w:val="003F7B40"/>
    <w:rsid w:val="00400AEF"/>
    <w:rsid w:val="004018EE"/>
    <w:rsid w:val="004042B6"/>
    <w:rsid w:val="00405FD7"/>
    <w:rsid w:val="004062CF"/>
    <w:rsid w:val="00411676"/>
    <w:rsid w:val="00412E68"/>
    <w:rsid w:val="00414B76"/>
    <w:rsid w:val="004151EB"/>
    <w:rsid w:val="004164B7"/>
    <w:rsid w:val="00421636"/>
    <w:rsid w:val="00423DF1"/>
    <w:rsid w:val="00424FB7"/>
    <w:rsid w:val="0043095E"/>
    <w:rsid w:val="004325ED"/>
    <w:rsid w:val="004326F4"/>
    <w:rsid w:val="00441B18"/>
    <w:rsid w:val="004423B9"/>
    <w:rsid w:val="00446A4F"/>
    <w:rsid w:val="00446CD5"/>
    <w:rsid w:val="00451019"/>
    <w:rsid w:val="004520B4"/>
    <w:rsid w:val="0045550D"/>
    <w:rsid w:val="00455D9E"/>
    <w:rsid w:val="0046014F"/>
    <w:rsid w:val="00460673"/>
    <w:rsid w:val="00461505"/>
    <w:rsid w:val="00461F08"/>
    <w:rsid w:val="004636C0"/>
    <w:rsid w:val="004640AF"/>
    <w:rsid w:val="004669DE"/>
    <w:rsid w:val="004705C5"/>
    <w:rsid w:val="00471B02"/>
    <w:rsid w:val="00472751"/>
    <w:rsid w:val="00472A12"/>
    <w:rsid w:val="00477BE0"/>
    <w:rsid w:val="00477E37"/>
    <w:rsid w:val="00480BB8"/>
    <w:rsid w:val="00481DA3"/>
    <w:rsid w:val="00484D27"/>
    <w:rsid w:val="0048782C"/>
    <w:rsid w:val="0049021E"/>
    <w:rsid w:val="004907E0"/>
    <w:rsid w:val="00491208"/>
    <w:rsid w:val="004918C0"/>
    <w:rsid w:val="004937DD"/>
    <w:rsid w:val="004942AE"/>
    <w:rsid w:val="004946A6"/>
    <w:rsid w:val="00494AB6"/>
    <w:rsid w:val="004954E0"/>
    <w:rsid w:val="004958F5"/>
    <w:rsid w:val="004961AD"/>
    <w:rsid w:val="00496502"/>
    <w:rsid w:val="004A136F"/>
    <w:rsid w:val="004A1FDE"/>
    <w:rsid w:val="004A3D1B"/>
    <w:rsid w:val="004A4006"/>
    <w:rsid w:val="004A704F"/>
    <w:rsid w:val="004A72A3"/>
    <w:rsid w:val="004A7891"/>
    <w:rsid w:val="004A79C4"/>
    <w:rsid w:val="004A7F58"/>
    <w:rsid w:val="004A7FC5"/>
    <w:rsid w:val="004B09B1"/>
    <w:rsid w:val="004B1769"/>
    <w:rsid w:val="004B5886"/>
    <w:rsid w:val="004B5BEF"/>
    <w:rsid w:val="004B5F5D"/>
    <w:rsid w:val="004B6904"/>
    <w:rsid w:val="004C00EA"/>
    <w:rsid w:val="004C04B7"/>
    <w:rsid w:val="004C22F6"/>
    <w:rsid w:val="004C3614"/>
    <w:rsid w:val="004C3C35"/>
    <w:rsid w:val="004C43A4"/>
    <w:rsid w:val="004C5301"/>
    <w:rsid w:val="004C54C7"/>
    <w:rsid w:val="004C6654"/>
    <w:rsid w:val="004C7286"/>
    <w:rsid w:val="004C780E"/>
    <w:rsid w:val="004C7A4E"/>
    <w:rsid w:val="004D1321"/>
    <w:rsid w:val="004D1DE4"/>
    <w:rsid w:val="004D27F6"/>
    <w:rsid w:val="004D291C"/>
    <w:rsid w:val="004D6621"/>
    <w:rsid w:val="004D6BA0"/>
    <w:rsid w:val="004E2B1E"/>
    <w:rsid w:val="004E2E75"/>
    <w:rsid w:val="004E40B7"/>
    <w:rsid w:val="004E4E04"/>
    <w:rsid w:val="004E53FE"/>
    <w:rsid w:val="004E7FB3"/>
    <w:rsid w:val="004F01FE"/>
    <w:rsid w:val="004F0E90"/>
    <w:rsid w:val="004F2B32"/>
    <w:rsid w:val="004F5A79"/>
    <w:rsid w:val="004F5C2F"/>
    <w:rsid w:val="004F7882"/>
    <w:rsid w:val="004F7C84"/>
    <w:rsid w:val="0050132E"/>
    <w:rsid w:val="005023D5"/>
    <w:rsid w:val="005043B0"/>
    <w:rsid w:val="005066AF"/>
    <w:rsid w:val="005071B2"/>
    <w:rsid w:val="005072D8"/>
    <w:rsid w:val="005107C8"/>
    <w:rsid w:val="00511CDA"/>
    <w:rsid w:val="00512795"/>
    <w:rsid w:val="005141A7"/>
    <w:rsid w:val="0051739D"/>
    <w:rsid w:val="00522314"/>
    <w:rsid w:val="005237F0"/>
    <w:rsid w:val="005243CD"/>
    <w:rsid w:val="0052464F"/>
    <w:rsid w:val="0053175C"/>
    <w:rsid w:val="00531D06"/>
    <w:rsid w:val="00532AAA"/>
    <w:rsid w:val="0053308D"/>
    <w:rsid w:val="005378B8"/>
    <w:rsid w:val="00540164"/>
    <w:rsid w:val="00542014"/>
    <w:rsid w:val="0054346B"/>
    <w:rsid w:val="005435DB"/>
    <w:rsid w:val="00544369"/>
    <w:rsid w:val="00544613"/>
    <w:rsid w:val="00546769"/>
    <w:rsid w:val="00547DA4"/>
    <w:rsid w:val="00550FBD"/>
    <w:rsid w:val="0055572C"/>
    <w:rsid w:val="00556FC6"/>
    <w:rsid w:val="005573C6"/>
    <w:rsid w:val="00557AD3"/>
    <w:rsid w:val="00561EBC"/>
    <w:rsid w:val="00563E97"/>
    <w:rsid w:val="00565CCF"/>
    <w:rsid w:val="005661EC"/>
    <w:rsid w:val="005663E4"/>
    <w:rsid w:val="00573A49"/>
    <w:rsid w:val="00574E16"/>
    <w:rsid w:val="005755BC"/>
    <w:rsid w:val="00575F0A"/>
    <w:rsid w:val="0057668A"/>
    <w:rsid w:val="005771A4"/>
    <w:rsid w:val="005779E2"/>
    <w:rsid w:val="005818B5"/>
    <w:rsid w:val="005834B9"/>
    <w:rsid w:val="00583949"/>
    <w:rsid w:val="00584708"/>
    <w:rsid w:val="00585330"/>
    <w:rsid w:val="0058564F"/>
    <w:rsid w:val="00585ABC"/>
    <w:rsid w:val="00585DD3"/>
    <w:rsid w:val="00586FD8"/>
    <w:rsid w:val="00587497"/>
    <w:rsid w:val="00591520"/>
    <w:rsid w:val="005921EF"/>
    <w:rsid w:val="00592336"/>
    <w:rsid w:val="0059337A"/>
    <w:rsid w:val="00593CBE"/>
    <w:rsid w:val="00593E59"/>
    <w:rsid w:val="00594E66"/>
    <w:rsid w:val="005A3C6C"/>
    <w:rsid w:val="005A3E08"/>
    <w:rsid w:val="005A42A9"/>
    <w:rsid w:val="005A74A0"/>
    <w:rsid w:val="005A7BC9"/>
    <w:rsid w:val="005B270F"/>
    <w:rsid w:val="005B2C58"/>
    <w:rsid w:val="005B2E93"/>
    <w:rsid w:val="005B5AE6"/>
    <w:rsid w:val="005B6A38"/>
    <w:rsid w:val="005B7029"/>
    <w:rsid w:val="005C0D05"/>
    <w:rsid w:val="005C11FD"/>
    <w:rsid w:val="005C1216"/>
    <w:rsid w:val="005C19E8"/>
    <w:rsid w:val="005C2666"/>
    <w:rsid w:val="005C3A34"/>
    <w:rsid w:val="005C674E"/>
    <w:rsid w:val="005C6A03"/>
    <w:rsid w:val="005C7D35"/>
    <w:rsid w:val="005C7F66"/>
    <w:rsid w:val="005D024B"/>
    <w:rsid w:val="005D0642"/>
    <w:rsid w:val="005D2303"/>
    <w:rsid w:val="005D2AD2"/>
    <w:rsid w:val="005D3064"/>
    <w:rsid w:val="005D58AC"/>
    <w:rsid w:val="005E2236"/>
    <w:rsid w:val="005E264D"/>
    <w:rsid w:val="005E2D2F"/>
    <w:rsid w:val="005E5CC6"/>
    <w:rsid w:val="005E63A2"/>
    <w:rsid w:val="005E774D"/>
    <w:rsid w:val="005F01C2"/>
    <w:rsid w:val="005F04FD"/>
    <w:rsid w:val="005F06C7"/>
    <w:rsid w:val="005F1EE8"/>
    <w:rsid w:val="005F2F90"/>
    <w:rsid w:val="005F39C8"/>
    <w:rsid w:val="005F4586"/>
    <w:rsid w:val="005F5799"/>
    <w:rsid w:val="005F7192"/>
    <w:rsid w:val="0060186C"/>
    <w:rsid w:val="00602BAA"/>
    <w:rsid w:val="0060647F"/>
    <w:rsid w:val="00606B5E"/>
    <w:rsid w:val="00606E41"/>
    <w:rsid w:val="00611BE0"/>
    <w:rsid w:val="00612D48"/>
    <w:rsid w:val="00615565"/>
    <w:rsid w:val="00616336"/>
    <w:rsid w:val="00617D7F"/>
    <w:rsid w:val="0062117E"/>
    <w:rsid w:val="00622701"/>
    <w:rsid w:val="006246A4"/>
    <w:rsid w:val="00624E68"/>
    <w:rsid w:val="00626509"/>
    <w:rsid w:val="006308C2"/>
    <w:rsid w:val="0063148C"/>
    <w:rsid w:val="00631828"/>
    <w:rsid w:val="00634042"/>
    <w:rsid w:val="00634D3F"/>
    <w:rsid w:val="0063553D"/>
    <w:rsid w:val="0064043D"/>
    <w:rsid w:val="006406A0"/>
    <w:rsid w:val="00641E0D"/>
    <w:rsid w:val="00642B4E"/>
    <w:rsid w:val="0064444A"/>
    <w:rsid w:val="006453A2"/>
    <w:rsid w:val="006460B8"/>
    <w:rsid w:val="0064719F"/>
    <w:rsid w:val="00651A0E"/>
    <w:rsid w:val="00655706"/>
    <w:rsid w:val="0065697C"/>
    <w:rsid w:val="006613FA"/>
    <w:rsid w:val="0066398A"/>
    <w:rsid w:val="006666FC"/>
    <w:rsid w:val="00667F84"/>
    <w:rsid w:val="00671F20"/>
    <w:rsid w:val="0068600C"/>
    <w:rsid w:val="00694B6D"/>
    <w:rsid w:val="00695C90"/>
    <w:rsid w:val="006A2186"/>
    <w:rsid w:val="006A650F"/>
    <w:rsid w:val="006A7765"/>
    <w:rsid w:val="006A784F"/>
    <w:rsid w:val="006A7F29"/>
    <w:rsid w:val="006B06D1"/>
    <w:rsid w:val="006B3B42"/>
    <w:rsid w:val="006B42DE"/>
    <w:rsid w:val="006B7B53"/>
    <w:rsid w:val="006B7F60"/>
    <w:rsid w:val="006C5EC5"/>
    <w:rsid w:val="006C61EB"/>
    <w:rsid w:val="006C76E2"/>
    <w:rsid w:val="006C78C2"/>
    <w:rsid w:val="006C7CA5"/>
    <w:rsid w:val="006D6AD6"/>
    <w:rsid w:val="006D6CA0"/>
    <w:rsid w:val="006D7087"/>
    <w:rsid w:val="006E0896"/>
    <w:rsid w:val="006E134E"/>
    <w:rsid w:val="006E381D"/>
    <w:rsid w:val="006E3917"/>
    <w:rsid w:val="006E4026"/>
    <w:rsid w:val="006E6AB8"/>
    <w:rsid w:val="006F07A0"/>
    <w:rsid w:val="006F2143"/>
    <w:rsid w:val="006F24E5"/>
    <w:rsid w:val="006F3FD2"/>
    <w:rsid w:val="006F4022"/>
    <w:rsid w:val="006F5358"/>
    <w:rsid w:val="006F551B"/>
    <w:rsid w:val="00700677"/>
    <w:rsid w:val="00700925"/>
    <w:rsid w:val="00701A17"/>
    <w:rsid w:val="00702286"/>
    <w:rsid w:val="00705952"/>
    <w:rsid w:val="007112CB"/>
    <w:rsid w:val="00711F69"/>
    <w:rsid w:val="007156A1"/>
    <w:rsid w:val="0071764B"/>
    <w:rsid w:val="00723D45"/>
    <w:rsid w:val="00724C7B"/>
    <w:rsid w:val="0072556A"/>
    <w:rsid w:val="0072710D"/>
    <w:rsid w:val="0073190B"/>
    <w:rsid w:val="00732E28"/>
    <w:rsid w:val="00735EE9"/>
    <w:rsid w:val="00736B7B"/>
    <w:rsid w:val="00737499"/>
    <w:rsid w:val="00737792"/>
    <w:rsid w:val="00743438"/>
    <w:rsid w:val="00743682"/>
    <w:rsid w:val="0074397F"/>
    <w:rsid w:val="00744C3A"/>
    <w:rsid w:val="00745375"/>
    <w:rsid w:val="00745E38"/>
    <w:rsid w:val="00747006"/>
    <w:rsid w:val="00747B58"/>
    <w:rsid w:val="007501A9"/>
    <w:rsid w:val="00752146"/>
    <w:rsid w:val="007524BD"/>
    <w:rsid w:val="0075286B"/>
    <w:rsid w:val="007560F6"/>
    <w:rsid w:val="007573E4"/>
    <w:rsid w:val="007608DC"/>
    <w:rsid w:val="00761D77"/>
    <w:rsid w:val="007628CD"/>
    <w:rsid w:val="0076326E"/>
    <w:rsid w:val="00764A2B"/>
    <w:rsid w:val="00765617"/>
    <w:rsid w:val="0076681A"/>
    <w:rsid w:val="00766D68"/>
    <w:rsid w:val="007719D4"/>
    <w:rsid w:val="007770F9"/>
    <w:rsid w:val="007865EF"/>
    <w:rsid w:val="007874A9"/>
    <w:rsid w:val="0078783A"/>
    <w:rsid w:val="00790448"/>
    <w:rsid w:val="007917FF"/>
    <w:rsid w:val="0079457A"/>
    <w:rsid w:val="00794F22"/>
    <w:rsid w:val="0079759B"/>
    <w:rsid w:val="007A12BA"/>
    <w:rsid w:val="007A2276"/>
    <w:rsid w:val="007A3CA8"/>
    <w:rsid w:val="007A3CB6"/>
    <w:rsid w:val="007A4154"/>
    <w:rsid w:val="007A4908"/>
    <w:rsid w:val="007A503B"/>
    <w:rsid w:val="007B1219"/>
    <w:rsid w:val="007B3A9C"/>
    <w:rsid w:val="007C0AB4"/>
    <w:rsid w:val="007C1A46"/>
    <w:rsid w:val="007C1E5C"/>
    <w:rsid w:val="007C1F62"/>
    <w:rsid w:val="007C2555"/>
    <w:rsid w:val="007C49DA"/>
    <w:rsid w:val="007C56CF"/>
    <w:rsid w:val="007D4D42"/>
    <w:rsid w:val="007D7097"/>
    <w:rsid w:val="007D743F"/>
    <w:rsid w:val="007E39AD"/>
    <w:rsid w:val="007E4CD0"/>
    <w:rsid w:val="007E6781"/>
    <w:rsid w:val="007E68CB"/>
    <w:rsid w:val="007F1FC0"/>
    <w:rsid w:val="007F2B95"/>
    <w:rsid w:val="007F627E"/>
    <w:rsid w:val="007F6B8C"/>
    <w:rsid w:val="007F729D"/>
    <w:rsid w:val="00802033"/>
    <w:rsid w:val="008049CE"/>
    <w:rsid w:val="00804C59"/>
    <w:rsid w:val="0080667B"/>
    <w:rsid w:val="00806EC0"/>
    <w:rsid w:val="00807CF3"/>
    <w:rsid w:val="00810D1E"/>
    <w:rsid w:val="00811386"/>
    <w:rsid w:val="00813939"/>
    <w:rsid w:val="00816257"/>
    <w:rsid w:val="00820815"/>
    <w:rsid w:val="008223AB"/>
    <w:rsid w:val="00822A38"/>
    <w:rsid w:val="0082322C"/>
    <w:rsid w:val="00823674"/>
    <w:rsid w:val="008242C7"/>
    <w:rsid w:val="0082485B"/>
    <w:rsid w:val="008257FD"/>
    <w:rsid w:val="00825882"/>
    <w:rsid w:val="00825C4F"/>
    <w:rsid w:val="008265D7"/>
    <w:rsid w:val="00827D46"/>
    <w:rsid w:val="0083133A"/>
    <w:rsid w:val="0083359A"/>
    <w:rsid w:val="00836D7F"/>
    <w:rsid w:val="00837097"/>
    <w:rsid w:val="008377B4"/>
    <w:rsid w:val="008403F9"/>
    <w:rsid w:val="008420C6"/>
    <w:rsid w:val="00843784"/>
    <w:rsid w:val="00843A53"/>
    <w:rsid w:val="00846380"/>
    <w:rsid w:val="008504AA"/>
    <w:rsid w:val="00850BD9"/>
    <w:rsid w:val="008538E7"/>
    <w:rsid w:val="00857518"/>
    <w:rsid w:val="0086103E"/>
    <w:rsid w:val="00862FCC"/>
    <w:rsid w:val="00862FE9"/>
    <w:rsid w:val="00863BC1"/>
    <w:rsid w:val="0086487B"/>
    <w:rsid w:val="00865CD3"/>
    <w:rsid w:val="00865F45"/>
    <w:rsid w:val="00867019"/>
    <w:rsid w:val="00874603"/>
    <w:rsid w:val="00874E1A"/>
    <w:rsid w:val="00875468"/>
    <w:rsid w:val="00876CBD"/>
    <w:rsid w:val="008773BF"/>
    <w:rsid w:val="00881FE6"/>
    <w:rsid w:val="00882605"/>
    <w:rsid w:val="0088395F"/>
    <w:rsid w:val="0088532B"/>
    <w:rsid w:val="00891AA0"/>
    <w:rsid w:val="00893659"/>
    <w:rsid w:val="00895250"/>
    <w:rsid w:val="008A3CF6"/>
    <w:rsid w:val="008A46EB"/>
    <w:rsid w:val="008B0296"/>
    <w:rsid w:val="008B44D9"/>
    <w:rsid w:val="008B4F8A"/>
    <w:rsid w:val="008C34F9"/>
    <w:rsid w:val="008C3899"/>
    <w:rsid w:val="008C5025"/>
    <w:rsid w:val="008C6323"/>
    <w:rsid w:val="008D1C3D"/>
    <w:rsid w:val="008D46A8"/>
    <w:rsid w:val="008D52E3"/>
    <w:rsid w:val="008D56BF"/>
    <w:rsid w:val="008D6067"/>
    <w:rsid w:val="008D7BDC"/>
    <w:rsid w:val="008E392B"/>
    <w:rsid w:val="008E7B39"/>
    <w:rsid w:val="008F0B7B"/>
    <w:rsid w:val="008F127C"/>
    <w:rsid w:val="008F4A18"/>
    <w:rsid w:val="008F5A20"/>
    <w:rsid w:val="008F6EB2"/>
    <w:rsid w:val="008F6FED"/>
    <w:rsid w:val="008F703A"/>
    <w:rsid w:val="008F7841"/>
    <w:rsid w:val="00902661"/>
    <w:rsid w:val="009061CB"/>
    <w:rsid w:val="0090705D"/>
    <w:rsid w:val="00907A34"/>
    <w:rsid w:val="0091094B"/>
    <w:rsid w:val="00911943"/>
    <w:rsid w:val="00915F20"/>
    <w:rsid w:val="0091761C"/>
    <w:rsid w:val="00917D41"/>
    <w:rsid w:val="00921737"/>
    <w:rsid w:val="00924ECD"/>
    <w:rsid w:val="00930109"/>
    <w:rsid w:val="00930DF9"/>
    <w:rsid w:val="00931B0C"/>
    <w:rsid w:val="00932F11"/>
    <w:rsid w:val="00933204"/>
    <w:rsid w:val="00933641"/>
    <w:rsid w:val="00940877"/>
    <w:rsid w:val="009443CA"/>
    <w:rsid w:val="009503A1"/>
    <w:rsid w:val="009508EA"/>
    <w:rsid w:val="009519B5"/>
    <w:rsid w:val="0095236F"/>
    <w:rsid w:val="009563EC"/>
    <w:rsid w:val="00956C23"/>
    <w:rsid w:val="00957938"/>
    <w:rsid w:val="00961C87"/>
    <w:rsid w:val="0096248C"/>
    <w:rsid w:val="00965BB2"/>
    <w:rsid w:val="00972127"/>
    <w:rsid w:val="009734E6"/>
    <w:rsid w:val="00974A24"/>
    <w:rsid w:val="00975206"/>
    <w:rsid w:val="009766D1"/>
    <w:rsid w:val="00976768"/>
    <w:rsid w:val="00977045"/>
    <w:rsid w:val="009776D8"/>
    <w:rsid w:val="00977FB3"/>
    <w:rsid w:val="00980F0E"/>
    <w:rsid w:val="00982BEF"/>
    <w:rsid w:val="00982EE3"/>
    <w:rsid w:val="00984686"/>
    <w:rsid w:val="00985443"/>
    <w:rsid w:val="00987666"/>
    <w:rsid w:val="00987888"/>
    <w:rsid w:val="0099152A"/>
    <w:rsid w:val="00991AAA"/>
    <w:rsid w:val="00992675"/>
    <w:rsid w:val="0099360F"/>
    <w:rsid w:val="009953FA"/>
    <w:rsid w:val="00995572"/>
    <w:rsid w:val="009962A1"/>
    <w:rsid w:val="00996BF2"/>
    <w:rsid w:val="009974F3"/>
    <w:rsid w:val="00997709"/>
    <w:rsid w:val="009A0CC4"/>
    <w:rsid w:val="009A1511"/>
    <w:rsid w:val="009A3A4C"/>
    <w:rsid w:val="009A53D7"/>
    <w:rsid w:val="009A66FB"/>
    <w:rsid w:val="009A7379"/>
    <w:rsid w:val="009A7848"/>
    <w:rsid w:val="009B0927"/>
    <w:rsid w:val="009B0A08"/>
    <w:rsid w:val="009B13D9"/>
    <w:rsid w:val="009B2243"/>
    <w:rsid w:val="009B44C4"/>
    <w:rsid w:val="009B5697"/>
    <w:rsid w:val="009B7BB0"/>
    <w:rsid w:val="009B7BC9"/>
    <w:rsid w:val="009B7FFD"/>
    <w:rsid w:val="009C04AA"/>
    <w:rsid w:val="009C226A"/>
    <w:rsid w:val="009C2654"/>
    <w:rsid w:val="009C6954"/>
    <w:rsid w:val="009C7FA2"/>
    <w:rsid w:val="009D056B"/>
    <w:rsid w:val="009D0BD5"/>
    <w:rsid w:val="009D1890"/>
    <w:rsid w:val="009D47D9"/>
    <w:rsid w:val="009D4AD8"/>
    <w:rsid w:val="009E28D3"/>
    <w:rsid w:val="009E316D"/>
    <w:rsid w:val="009E4F88"/>
    <w:rsid w:val="009E532D"/>
    <w:rsid w:val="009E57A9"/>
    <w:rsid w:val="009F28D5"/>
    <w:rsid w:val="009F4E9D"/>
    <w:rsid w:val="009F6C26"/>
    <w:rsid w:val="009F7205"/>
    <w:rsid w:val="00A00542"/>
    <w:rsid w:val="00A05713"/>
    <w:rsid w:val="00A06847"/>
    <w:rsid w:val="00A075F1"/>
    <w:rsid w:val="00A120C6"/>
    <w:rsid w:val="00A1724E"/>
    <w:rsid w:val="00A213DF"/>
    <w:rsid w:val="00A2241A"/>
    <w:rsid w:val="00A22BB0"/>
    <w:rsid w:val="00A24161"/>
    <w:rsid w:val="00A25F3B"/>
    <w:rsid w:val="00A26E6E"/>
    <w:rsid w:val="00A27C07"/>
    <w:rsid w:val="00A352CE"/>
    <w:rsid w:val="00A4031A"/>
    <w:rsid w:val="00A40E24"/>
    <w:rsid w:val="00A40E7D"/>
    <w:rsid w:val="00A4500E"/>
    <w:rsid w:val="00A45B75"/>
    <w:rsid w:val="00A47236"/>
    <w:rsid w:val="00A50E03"/>
    <w:rsid w:val="00A518B1"/>
    <w:rsid w:val="00A51BF5"/>
    <w:rsid w:val="00A51C72"/>
    <w:rsid w:val="00A53D4E"/>
    <w:rsid w:val="00A53D9A"/>
    <w:rsid w:val="00A54A6C"/>
    <w:rsid w:val="00A55D21"/>
    <w:rsid w:val="00A60A84"/>
    <w:rsid w:val="00A61F13"/>
    <w:rsid w:val="00A63F98"/>
    <w:rsid w:val="00A65D9E"/>
    <w:rsid w:val="00A6661C"/>
    <w:rsid w:val="00A705B1"/>
    <w:rsid w:val="00A70FAE"/>
    <w:rsid w:val="00A71E53"/>
    <w:rsid w:val="00A72556"/>
    <w:rsid w:val="00A7312A"/>
    <w:rsid w:val="00A74345"/>
    <w:rsid w:val="00A751F8"/>
    <w:rsid w:val="00A83FDB"/>
    <w:rsid w:val="00A840D1"/>
    <w:rsid w:val="00A84618"/>
    <w:rsid w:val="00A856C3"/>
    <w:rsid w:val="00A85DC3"/>
    <w:rsid w:val="00A86445"/>
    <w:rsid w:val="00A91232"/>
    <w:rsid w:val="00A94AC6"/>
    <w:rsid w:val="00A94CBA"/>
    <w:rsid w:val="00A953E4"/>
    <w:rsid w:val="00A958D7"/>
    <w:rsid w:val="00A964BA"/>
    <w:rsid w:val="00A9741D"/>
    <w:rsid w:val="00AA251A"/>
    <w:rsid w:val="00AA2DB1"/>
    <w:rsid w:val="00AB03D4"/>
    <w:rsid w:val="00AB0650"/>
    <w:rsid w:val="00AB0D31"/>
    <w:rsid w:val="00AB1067"/>
    <w:rsid w:val="00AB1E12"/>
    <w:rsid w:val="00AB1F7F"/>
    <w:rsid w:val="00AB34B6"/>
    <w:rsid w:val="00AB4976"/>
    <w:rsid w:val="00AB4B83"/>
    <w:rsid w:val="00AB7ACB"/>
    <w:rsid w:val="00AC1BFD"/>
    <w:rsid w:val="00AC4041"/>
    <w:rsid w:val="00AC46F1"/>
    <w:rsid w:val="00AC4894"/>
    <w:rsid w:val="00AC761B"/>
    <w:rsid w:val="00AC79AD"/>
    <w:rsid w:val="00AD1647"/>
    <w:rsid w:val="00AD376F"/>
    <w:rsid w:val="00AD4E35"/>
    <w:rsid w:val="00AE2E42"/>
    <w:rsid w:val="00AE34CB"/>
    <w:rsid w:val="00AE4B51"/>
    <w:rsid w:val="00AE54D3"/>
    <w:rsid w:val="00AF007C"/>
    <w:rsid w:val="00AF0482"/>
    <w:rsid w:val="00AF13E9"/>
    <w:rsid w:val="00AF5389"/>
    <w:rsid w:val="00AF6427"/>
    <w:rsid w:val="00B01E11"/>
    <w:rsid w:val="00B02EEA"/>
    <w:rsid w:val="00B03260"/>
    <w:rsid w:val="00B065CC"/>
    <w:rsid w:val="00B067E2"/>
    <w:rsid w:val="00B076C0"/>
    <w:rsid w:val="00B10C1B"/>
    <w:rsid w:val="00B13542"/>
    <w:rsid w:val="00B15BC9"/>
    <w:rsid w:val="00B165A1"/>
    <w:rsid w:val="00B20DBD"/>
    <w:rsid w:val="00B217D1"/>
    <w:rsid w:val="00B22E5D"/>
    <w:rsid w:val="00B24267"/>
    <w:rsid w:val="00B27EF8"/>
    <w:rsid w:val="00B36E60"/>
    <w:rsid w:val="00B36F57"/>
    <w:rsid w:val="00B40EEE"/>
    <w:rsid w:val="00B410F8"/>
    <w:rsid w:val="00B41128"/>
    <w:rsid w:val="00B413FB"/>
    <w:rsid w:val="00B41601"/>
    <w:rsid w:val="00B4356C"/>
    <w:rsid w:val="00B438C4"/>
    <w:rsid w:val="00B4675B"/>
    <w:rsid w:val="00B469CA"/>
    <w:rsid w:val="00B50CD4"/>
    <w:rsid w:val="00B50E3F"/>
    <w:rsid w:val="00B518C1"/>
    <w:rsid w:val="00B51997"/>
    <w:rsid w:val="00B5302F"/>
    <w:rsid w:val="00B535ED"/>
    <w:rsid w:val="00B53F0E"/>
    <w:rsid w:val="00B545C9"/>
    <w:rsid w:val="00B56777"/>
    <w:rsid w:val="00B57387"/>
    <w:rsid w:val="00B61935"/>
    <w:rsid w:val="00B64EC1"/>
    <w:rsid w:val="00B70EBE"/>
    <w:rsid w:val="00B71B0B"/>
    <w:rsid w:val="00B72F32"/>
    <w:rsid w:val="00B745A6"/>
    <w:rsid w:val="00B76514"/>
    <w:rsid w:val="00B80182"/>
    <w:rsid w:val="00B80D3F"/>
    <w:rsid w:val="00B80ED5"/>
    <w:rsid w:val="00B83FCD"/>
    <w:rsid w:val="00B8421C"/>
    <w:rsid w:val="00B852EB"/>
    <w:rsid w:val="00B8544B"/>
    <w:rsid w:val="00B85521"/>
    <w:rsid w:val="00B90ACF"/>
    <w:rsid w:val="00B92E8B"/>
    <w:rsid w:val="00B92FAB"/>
    <w:rsid w:val="00B95070"/>
    <w:rsid w:val="00B951B6"/>
    <w:rsid w:val="00BA0997"/>
    <w:rsid w:val="00BA0AEC"/>
    <w:rsid w:val="00BA0D47"/>
    <w:rsid w:val="00BA0F8A"/>
    <w:rsid w:val="00BA1971"/>
    <w:rsid w:val="00BA1A39"/>
    <w:rsid w:val="00BA4FFB"/>
    <w:rsid w:val="00BA7A22"/>
    <w:rsid w:val="00BB05ED"/>
    <w:rsid w:val="00BB0894"/>
    <w:rsid w:val="00BB09EB"/>
    <w:rsid w:val="00BB1494"/>
    <w:rsid w:val="00BB1D7B"/>
    <w:rsid w:val="00BB243B"/>
    <w:rsid w:val="00BB359D"/>
    <w:rsid w:val="00BB4E51"/>
    <w:rsid w:val="00BB4EB1"/>
    <w:rsid w:val="00BB5C46"/>
    <w:rsid w:val="00BC03E6"/>
    <w:rsid w:val="00BC059E"/>
    <w:rsid w:val="00BC1FB0"/>
    <w:rsid w:val="00BC21FF"/>
    <w:rsid w:val="00BC226F"/>
    <w:rsid w:val="00BC24E3"/>
    <w:rsid w:val="00BC3E1D"/>
    <w:rsid w:val="00BC3F0F"/>
    <w:rsid w:val="00BC556A"/>
    <w:rsid w:val="00BC6427"/>
    <w:rsid w:val="00BC6CF9"/>
    <w:rsid w:val="00BC731F"/>
    <w:rsid w:val="00BD2DDC"/>
    <w:rsid w:val="00BD2EE6"/>
    <w:rsid w:val="00BD55A8"/>
    <w:rsid w:val="00BD6D4D"/>
    <w:rsid w:val="00BE38A3"/>
    <w:rsid w:val="00BF1A84"/>
    <w:rsid w:val="00BF1C11"/>
    <w:rsid w:val="00C0005F"/>
    <w:rsid w:val="00C029FA"/>
    <w:rsid w:val="00C02B57"/>
    <w:rsid w:val="00C02CC0"/>
    <w:rsid w:val="00C0489F"/>
    <w:rsid w:val="00C07289"/>
    <w:rsid w:val="00C07964"/>
    <w:rsid w:val="00C07D55"/>
    <w:rsid w:val="00C10EF8"/>
    <w:rsid w:val="00C11178"/>
    <w:rsid w:val="00C120E4"/>
    <w:rsid w:val="00C122F6"/>
    <w:rsid w:val="00C12F34"/>
    <w:rsid w:val="00C157E0"/>
    <w:rsid w:val="00C206B7"/>
    <w:rsid w:val="00C22067"/>
    <w:rsid w:val="00C220CA"/>
    <w:rsid w:val="00C22BB6"/>
    <w:rsid w:val="00C25BC3"/>
    <w:rsid w:val="00C308DA"/>
    <w:rsid w:val="00C30ACE"/>
    <w:rsid w:val="00C30FA0"/>
    <w:rsid w:val="00C3125E"/>
    <w:rsid w:val="00C32FB8"/>
    <w:rsid w:val="00C3444F"/>
    <w:rsid w:val="00C348F4"/>
    <w:rsid w:val="00C35570"/>
    <w:rsid w:val="00C36459"/>
    <w:rsid w:val="00C36731"/>
    <w:rsid w:val="00C4078A"/>
    <w:rsid w:val="00C40807"/>
    <w:rsid w:val="00C410B3"/>
    <w:rsid w:val="00C4158D"/>
    <w:rsid w:val="00C443C3"/>
    <w:rsid w:val="00C47037"/>
    <w:rsid w:val="00C50095"/>
    <w:rsid w:val="00C5124F"/>
    <w:rsid w:val="00C52FD3"/>
    <w:rsid w:val="00C55006"/>
    <w:rsid w:val="00C55D58"/>
    <w:rsid w:val="00C57E59"/>
    <w:rsid w:val="00C616E7"/>
    <w:rsid w:val="00C61F0B"/>
    <w:rsid w:val="00C62A85"/>
    <w:rsid w:val="00C64AB1"/>
    <w:rsid w:val="00C65AC4"/>
    <w:rsid w:val="00C66F19"/>
    <w:rsid w:val="00C67F37"/>
    <w:rsid w:val="00C72527"/>
    <w:rsid w:val="00C74F5F"/>
    <w:rsid w:val="00C77235"/>
    <w:rsid w:val="00C82381"/>
    <w:rsid w:val="00C839C8"/>
    <w:rsid w:val="00C8432D"/>
    <w:rsid w:val="00C85AFF"/>
    <w:rsid w:val="00C87A70"/>
    <w:rsid w:val="00C913C1"/>
    <w:rsid w:val="00CA07F6"/>
    <w:rsid w:val="00CA1315"/>
    <w:rsid w:val="00CA3CA8"/>
    <w:rsid w:val="00CA4F8D"/>
    <w:rsid w:val="00CA5062"/>
    <w:rsid w:val="00CA521E"/>
    <w:rsid w:val="00CA540C"/>
    <w:rsid w:val="00CA6CDB"/>
    <w:rsid w:val="00CA7B6F"/>
    <w:rsid w:val="00CB0F1E"/>
    <w:rsid w:val="00CB2AA8"/>
    <w:rsid w:val="00CB4050"/>
    <w:rsid w:val="00CB422D"/>
    <w:rsid w:val="00CB7ED7"/>
    <w:rsid w:val="00CC00F0"/>
    <w:rsid w:val="00CC020F"/>
    <w:rsid w:val="00CC03FC"/>
    <w:rsid w:val="00CC1A78"/>
    <w:rsid w:val="00CC2B79"/>
    <w:rsid w:val="00CC3421"/>
    <w:rsid w:val="00CC4266"/>
    <w:rsid w:val="00CC558C"/>
    <w:rsid w:val="00CC5D30"/>
    <w:rsid w:val="00CC71C4"/>
    <w:rsid w:val="00CD4807"/>
    <w:rsid w:val="00CD4E5A"/>
    <w:rsid w:val="00CD67FF"/>
    <w:rsid w:val="00CD69E9"/>
    <w:rsid w:val="00CD7814"/>
    <w:rsid w:val="00CE0309"/>
    <w:rsid w:val="00CE06B9"/>
    <w:rsid w:val="00CE07CE"/>
    <w:rsid w:val="00CE16E0"/>
    <w:rsid w:val="00CE2E3A"/>
    <w:rsid w:val="00CE50DF"/>
    <w:rsid w:val="00CE641A"/>
    <w:rsid w:val="00CE648C"/>
    <w:rsid w:val="00CE69C8"/>
    <w:rsid w:val="00CF120A"/>
    <w:rsid w:val="00CF54B6"/>
    <w:rsid w:val="00CF69C6"/>
    <w:rsid w:val="00D03BB3"/>
    <w:rsid w:val="00D10526"/>
    <w:rsid w:val="00D12718"/>
    <w:rsid w:val="00D13E9B"/>
    <w:rsid w:val="00D14641"/>
    <w:rsid w:val="00D15E88"/>
    <w:rsid w:val="00D1618B"/>
    <w:rsid w:val="00D20858"/>
    <w:rsid w:val="00D209F3"/>
    <w:rsid w:val="00D27777"/>
    <w:rsid w:val="00D323F9"/>
    <w:rsid w:val="00D358A3"/>
    <w:rsid w:val="00D37924"/>
    <w:rsid w:val="00D4041C"/>
    <w:rsid w:val="00D41B40"/>
    <w:rsid w:val="00D41FEC"/>
    <w:rsid w:val="00D441EC"/>
    <w:rsid w:val="00D44B7E"/>
    <w:rsid w:val="00D44F35"/>
    <w:rsid w:val="00D4534E"/>
    <w:rsid w:val="00D4730D"/>
    <w:rsid w:val="00D47ED2"/>
    <w:rsid w:val="00D508EC"/>
    <w:rsid w:val="00D514BC"/>
    <w:rsid w:val="00D524B0"/>
    <w:rsid w:val="00D54E10"/>
    <w:rsid w:val="00D55984"/>
    <w:rsid w:val="00D56E53"/>
    <w:rsid w:val="00D611BB"/>
    <w:rsid w:val="00D61AF6"/>
    <w:rsid w:val="00D6444A"/>
    <w:rsid w:val="00D64608"/>
    <w:rsid w:val="00D65397"/>
    <w:rsid w:val="00D653A2"/>
    <w:rsid w:val="00D71450"/>
    <w:rsid w:val="00D7689F"/>
    <w:rsid w:val="00D7773F"/>
    <w:rsid w:val="00D77F1D"/>
    <w:rsid w:val="00D77F1F"/>
    <w:rsid w:val="00D83620"/>
    <w:rsid w:val="00D85FD8"/>
    <w:rsid w:val="00D8620F"/>
    <w:rsid w:val="00D86218"/>
    <w:rsid w:val="00D900AA"/>
    <w:rsid w:val="00D91CEA"/>
    <w:rsid w:val="00D9260D"/>
    <w:rsid w:val="00D95427"/>
    <w:rsid w:val="00DA1402"/>
    <w:rsid w:val="00DA3267"/>
    <w:rsid w:val="00DB23D7"/>
    <w:rsid w:val="00DB3B85"/>
    <w:rsid w:val="00DB47AC"/>
    <w:rsid w:val="00DB4C8C"/>
    <w:rsid w:val="00DB6256"/>
    <w:rsid w:val="00DB6CB6"/>
    <w:rsid w:val="00DC2885"/>
    <w:rsid w:val="00DC3E39"/>
    <w:rsid w:val="00DC570A"/>
    <w:rsid w:val="00DC6265"/>
    <w:rsid w:val="00DD1EDA"/>
    <w:rsid w:val="00DD3627"/>
    <w:rsid w:val="00DD4169"/>
    <w:rsid w:val="00DD723C"/>
    <w:rsid w:val="00DD7691"/>
    <w:rsid w:val="00DE2126"/>
    <w:rsid w:val="00DE29D4"/>
    <w:rsid w:val="00DE3E90"/>
    <w:rsid w:val="00DE4256"/>
    <w:rsid w:val="00DE6A78"/>
    <w:rsid w:val="00DE6C8D"/>
    <w:rsid w:val="00DF1397"/>
    <w:rsid w:val="00DF14BB"/>
    <w:rsid w:val="00DF431E"/>
    <w:rsid w:val="00DF5DE4"/>
    <w:rsid w:val="00DF7EA4"/>
    <w:rsid w:val="00E05F28"/>
    <w:rsid w:val="00E07C2B"/>
    <w:rsid w:val="00E103B3"/>
    <w:rsid w:val="00E10691"/>
    <w:rsid w:val="00E10FA8"/>
    <w:rsid w:val="00E1330A"/>
    <w:rsid w:val="00E13984"/>
    <w:rsid w:val="00E1702C"/>
    <w:rsid w:val="00E17374"/>
    <w:rsid w:val="00E203AE"/>
    <w:rsid w:val="00E20B45"/>
    <w:rsid w:val="00E21AB1"/>
    <w:rsid w:val="00E22755"/>
    <w:rsid w:val="00E228B9"/>
    <w:rsid w:val="00E235F5"/>
    <w:rsid w:val="00E24F57"/>
    <w:rsid w:val="00E2695B"/>
    <w:rsid w:val="00E26F68"/>
    <w:rsid w:val="00E30AA1"/>
    <w:rsid w:val="00E31BB6"/>
    <w:rsid w:val="00E32263"/>
    <w:rsid w:val="00E3320C"/>
    <w:rsid w:val="00E41DAF"/>
    <w:rsid w:val="00E4610D"/>
    <w:rsid w:val="00E5110D"/>
    <w:rsid w:val="00E517CD"/>
    <w:rsid w:val="00E53414"/>
    <w:rsid w:val="00E53972"/>
    <w:rsid w:val="00E57425"/>
    <w:rsid w:val="00E57C30"/>
    <w:rsid w:val="00E6069D"/>
    <w:rsid w:val="00E6104E"/>
    <w:rsid w:val="00E64BCA"/>
    <w:rsid w:val="00E6552A"/>
    <w:rsid w:val="00E657BD"/>
    <w:rsid w:val="00E65BE1"/>
    <w:rsid w:val="00E6682E"/>
    <w:rsid w:val="00E67A9D"/>
    <w:rsid w:val="00E703DC"/>
    <w:rsid w:val="00E7063B"/>
    <w:rsid w:val="00E707D7"/>
    <w:rsid w:val="00E71774"/>
    <w:rsid w:val="00E721C0"/>
    <w:rsid w:val="00E73FB0"/>
    <w:rsid w:val="00E74A7A"/>
    <w:rsid w:val="00E750ED"/>
    <w:rsid w:val="00E75A9F"/>
    <w:rsid w:val="00E82923"/>
    <w:rsid w:val="00E83A9B"/>
    <w:rsid w:val="00E84422"/>
    <w:rsid w:val="00E84A98"/>
    <w:rsid w:val="00E84DF5"/>
    <w:rsid w:val="00E85473"/>
    <w:rsid w:val="00E861F5"/>
    <w:rsid w:val="00E90A4B"/>
    <w:rsid w:val="00E91CC4"/>
    <w:rsid w:val="00E95128"/>
    <w:rsid w:val="00E9601D"/>
    <w:rsid w:val="00E9786A"/>
    <w:rsid w:val="00EA03B3"/>
    <w:rsid w:val="00EA1B55"/>
    <w:rsid w:val="00EA20C9"/>
    <w:rsid w:val="00EA3843"/>
    <w:rsid w:val="00EA403D"/>
    <w:rsid w:val="00EA50EE"/>
    <w:rsid w:val="00EA676A"/>
    <w:rsid w:val="00EA699A"/>
    <w:rsid w:val="00EA6EAE"/>
    <w:rsid w:val="00EA7947"/>
    <w:rsid w:val="00EB1D0E"/>
    <w:rsid w:val="00EB1FCA"/>
    <w:rsid w:val="00EB49FE"/>
    <w:rsid w:val="00EB4DBF"/>
    <w:rsid w:val="00EB5A56"/>
    <w:rsid w:val="00EB68F0"/>
    <w:rsid w:val="00EB6F33"/>
    <w:rsid w:val="00EC00A5"/>
    <w:rsid w:val="00EC2DE1"/>
    <w:rsid w:val="00EC3FD4"/>
    <w:rsid w:val="00EC678A"/>
    <w:rsid w:val="00EC6A2C"/>
    <w:rsid w:val="00ED362A"/>
    <w:rsid w:val="00ED393F"/>
    <w:rsid w:val="00ED5A67"/>
    <w:rsid w:val="00ED6306"/>
    <w:rsid w:val="00ED6647"/>
    <w:rsid w:val="00ED7944"/>
    <w:rsid w:val="00EE7EE6"/>
    <w:rsid w:val="00EF31DB"/>
    <w:rsid w:val="00EF4BFB"/>
    <w:rsid w:val="00EF65B3"/>
    <w:rsid w:val="00EF6C8D"/>
    <w:rsid w:val="00F00A3D"/>
    <w:rsid w:val="00F0219D"/>
    <w:rsid w:val="00F04D90"/>
    <w:rsid w:val="00F10E3E"/>
    <w:rsid w:val="00F113D0"/>
    <w:rsid w:val="00F113F6"/>
    <w:rsid w:val="00F116F1"/>
    <w:rsid w:val="00F14324"/>
    <w:rsid w:val="00F1435B"/>
    <w:rsid w:val="00F14487"/>
    <w:rsid w:val="00F14FAD"/>
    <w:rsid w:val="00F164D3"/>
    <w:rsid w:val="00F17C37"/>
    <w:rsid w:val="00F27575"/>
    <w:rsid w:val="00F27A92"/>
    <w:rsid w:val="00F330C8"/>
    <w:rsid w:val="00F3311C"/>
    <w:rsid w:val="00F33D8A"/>
    <w:rsid w:val="00F34491"/>
    <w:rsid w:val="00F3531F"/>
    <w:rsid w:val="00F353B3"/>
    <w:rsid w:val="00F36402"/>
    <w:rsid w:val="00F4022A"/>
    <w:rsid w:val="00F40452"/>
    <w:rsid w:val="00F42537"/>
    <w:rsid w:val="00F43E23"/>
    <w:rsid w:val="00F43EA4"/>
    <w:rsid w:val="00F447D3"/>
    <w:rsid w:val="00F50689"/>
    <w:rsid w:val="00F52939"/>
    <w:rsid w:val="00F53D82"/>
    <w:rsid w:val="00F53E4E"/>
    <w:rsid w:val="00F5408A"/>
    <w:rsid w:val="00F55607"/>
    <w:rsid w:val="00F5616B"/>
    <w:rsid w:val="00F60A09"/>
    <w:rsid w:val="00F616B9"/>
    <w:rsid w:val="00F64376"/>
    <w:rsid w:val="00F64E36"/>
    <w:rsid w:val="00F66D90"/>
    <w:rsid w:val="00F67797"/>
    <w:rsid w:val="00F729AB"/>
    <w:rsid w:val="00F72EDC"/>
    <w:rsid w:val="00F73EAB"/>
    <w:rsid w:val="00F7787C"/>
    <w:rsid w:val="00F77EC1"/>
    <w:rsid w:val="00F82326"/>
    <w:rsid w:val="00F8404A"/>
    <w:rsid w:val="00F86FC3"/>
    <w:rsid w:val="00F87AD7"/>
    <w:rsid w:val="00F87EFF"/>
    <w:rsid w:val="00F92A30"/>
    <w:rsid w:val="00F9459B"/>
    <w:rsid w:val="00FA49AE"/>
    <w:rsid w:val="00FA51EA"/>
    <w:rsid w:val="00FA5D8E"/>
    <w:rsid w:val="00FA7A8D"/>
    <w:rsid w:val="00FB12C2"/>
    <w:rsid w:val="00FB2183"/>
    <w:rsid w:val="00FB3D6A"/>
    <w:rsid w:val="00FB55ED"/>
    <w:rsid w:val="00FC029C"/>
    <w:rsid w:val="00FC05E8"/>
    <w:rsid w:val="00FC1CE5"/>
    <w:rsid w:val="00FC46C9"/>
    <w:rsid w:val="00FC6F5C"/>
    <w:rsid w:val="00FD1280"/>
    <w:rsid w:val="00FD2880"/>
    <w:rsid w:val="00FD7507"/>
    <w:rsid w:val="00FE1432"/>
    <w:rsid w:val="00FE1AEF"/>
    <w:rsid w:val="00FE437C"/>
    <w:rsid w:val="00FE460F"/>
    <w:rsid w:val="00FE4B17"/>
    <w:rsid w:val="00FE5184"/>
    <w:rsid w:val="00FE65A7"/>
    <w:rsid w:val="00FE69E9"/>
    <w:rsid w:val="00FE6D64"/>
    <w:rsid w:val="00FF1369"/>
    <w:rsid w:val="00FF23F6"/>
    <w:rsid w:val="00FF2FDA"/>
    <w:rsid w:val="00FF3ABF"/>
    <w:rsid w:val="00FF5B05"/>
    <w:rsid w:val="010613AE"/>
    <w:rsid w:val="01081CB6"/>
    <w:rsid w:val="011244ED"/>
    <w:rsid w:val="011473B7"/>
    <w:rsid w:val="01341807"/>
    <w:rsid w:val="013D4278"/>
    <w:rsid w:val="01415C7E"/>
    <w:rsid w:val="0145522D"/>
    <w:rsid w:val="014F1C07"/>
    <w:rsid w:val="0150177E"/>
    <w:rsid w:val="01533CF3"/>
    <w:rsid w:val="017817AA"/>
    <w:rsid w:val="017F6F52"/>
    <w:rsid w:val="01880ED4"/>
    <w:rsid w:val="018C1FAB"/>
    <w:rsid w:val="01913D81"/>
    <w:rsid w:val="019542B3"/>
    <w:rsid w:val="01967485"/>
    <w:rsid w:val="01981D96"/>
    <w:rsid w:val="01A079A1"/>
    <w:rsid w:val="01A249C3"/>
    <w:rsid w:val="01A5568A"/>
    <w:rsid w:val="01AA1AC9"/>
    <w:rsid w:val="01B40563"/>
    <w:rsid w:val="01CB320B"/>
    <w:rsid w:val="01D90CF6"/>
    <w:rsid w:val="01DB4184"/>
    <w:rsid w:val="01DD2CD7"/>
    <w:rsid w:val="01E274B5"/>
    <w:rsid w:val="01E70628"/>
    <w:rsid w:val="01E96293"/>
    <w:rsid w:val="01EC72D6"/>
    <w:rsid w:val="01EE694F"/>
    <w:rsid w:val="01F34CB6"/>
    <w:rsid w:val="02067955"/>
    <w:rsid w:val="020B6F4D"/>
    <w:rsid w:val="021F0EF7"/>
    <w:rsid w:val="021F5AB0"/>
    <w:rsid w:val="02203B3A"/>
    <w:rsid w:val="022510C3"/>
    <w:rsid w:val="0228102D"/>
    <w:rsid w:val="022A1A1B"/>
    <w:rsid w:val="024535A0"/>
    <w:rsid w:val="024A32BB"/>
    <w:rsid w:val="025649A5"/>
    <w:rsid w:val="027B04B8"/>
    <w:rsid w:val="027C3466"/>
    <w:rsid w:val="027D172A"/>
    <w:rsid w:val="028E5F70"/>
    <w:rsid w:val="0292348F"/>
    <w:rsid w:val="02966310"/>
    <w:rsid w:val="029704AF"/>
    <w:rsid w:val="02A062D0"/>
    <w:rsid w:val="02B50726"/>
    <w:rsid w:val="02C80C72"/>
    <w:rsid w:val="02D908B8"/>
    <w:rsid w:val="02DA4630"/>
    <w:rsid w:val="02DF3C79"/>
    <w:rsid w:val="02E55A35"/>
    <w:rsid w:val="02E91BE7"/>
    <w:rsid w:val="02E94EF6"/>
    <w:rsid w:val="02F2197A"/>
    <w:rsid w:val="02F27DF5"/>
    <w:rsid w:val="02FF5E45"/>
    <w:rsid w:val="03040222"/>
    <w:rsid w:val="03045209"/>
    <w:rsid w:val="03084030"/>
    <w:rsid w:val="031122D6"/>
    <w:rsid w:val="03165668"/>
    <w:rsid w:val="03231159"/>
    <w:rsid w:val="03306F17"/>
    <w:rsid w:val="03560EB6"/>
    <w:rsid w:val="03573CAE"/>
    <w:rsid w:val="0363541E"/>
    <w:rsid w:val="03675C60"/>
    <w:rsid w:val="036868D0"/>
    <w:rsid w:val="036A00FB"/>
    <w:rsid w:val="036F4D79"/>
    <w:rsid w:val="03712359"/>
    <w:rsid w:val="03716088"/>
    <w:rsid w:val="03716D43"/>
    <w:rsid w:val="03717C55"/>
    <w:rsid w:val="03742742"/>
    <w:rsid w:val="03936EA0"/>
    <w:rsid w:val="03A878E7"/>
    <w:rsid w:val="03AF2633"/>
    <w:rsid w:val="03DD1CE2"/>
    <w:rsid w:val="03E21CB5"/>
    <w:rsid w:val="03E833E2"/>
    <w:rsid w:val="03F014FB"/>
    <w:rsid w:val="03F1527C"/>
    <w:rsid w:val="03F2766E"/>
    <w:rsid w:val="03FF20B6"/>
    <w:rsid w:val="03FF3E8D"/>
    <w:rsid w:val="04065340"/>
    <w:rsid w:val="04203268"/>
    <w:rsid w:val="04247A6D"/>
    <w:rsid w:val="042C4A18"/>
    <w:rsid w:val="042C52AA"/>
    <w:rsid w:val="04300A32"/>
    <w:rsid w:val="043D75EE"/>
    <w:rsid w:val="04423EBB"/>
    <w:rsid w:val="04432587"/>
    <w:rsid w:val="04443ADB"/>
    <w:rsid w:val="04473600"/>
    <w:rsid w:val="045A1585"/>
    <w:rsid w:val="045F6B9B"/>
    <w:rsid w:val="045F72F9"/>
    <w:rsid w:val="046362A4"/>
    <w:rsid w:val="04722D72"/>
    <w:rsid w:val="04734094"/>
    <w:rsid w:val="04753971"/>
    <w:rsid w:val="04814D63"/>
    <w:rsid w:val="048A360E"/>
    <w:rsid w:val="048D5037"/>
    <w:rsid w:val="048E4B7A"/>
    <w:rsid w:val="04917575"/>
    <w:rsid w:val="04AA1375"/>
    <w:rsid w:val="04AF7112"/>
    <w:rsid w:val="04E63957"/>
    <w:rsid w:val="04FA6A8C"/>
    <w:rsid w:val="0509095B"/>
    <w:rsid w:val="050A52AF"/>
    <w:rsid w:val="050F0CF9"/>
    <w:rsid w:val="051A3912"/>
    <w:rsid w:val="05200DCD"/>
    <w:rsid w:val="052E2959"/>
    <w:rsid w:val="0530344A"/>
    <w:rsid w:val="05303BBE"/>
    <w:rsid w:val="053C11E9"/>
    <w:rsid w:val="054B711F"/>
    <w:rsid w:val="0559183C"/>
    <w:rsid w:val="056920C6"/>
    <w:rsid w:val="056D52E8"/>
    <w:rsid w:val="056E3A92"/>
    <w:rsid w:val="05777F14"/>
    <w:rsid w:val="059027D0"/>
    <w:rsid w:val="05971D90"/>
    <w:rsid w:val="059A29F4"/>
    <w:rsid w:val="059E3096"/>
    <w:rsid w:val="059F6B88"/>
    <w:rsid w:val="05A0746B"/>
    <w:rsid w:val="05A85419"/>
    <w:rsid w:val="05AB10D4"/>
    <w:rsid w:val="05B218B4"/>
    <w:rsid w:val="05B72A07"/>
    <w:rsid w:val="05C0515E"/>
    <w:rsid w:val="05C30127"/>
    <w:rsid w:val="05C70E9C"/>
    <w:rsid w:val="05C92DEC"/>
    <w:rsid w:val="05D47115"/>
    <w:rsid w:val="05DB4947"/>
    <w:rsid w:val="05DE75E2"/>
    <w:rsid w:val="05EC4E9D"/>
    <w:rsid w:val="05EF03F3"/>
    <w:rsid w:val="06071754"/>
    <w:rsid w:val="060D3FCC"/>
    <w:rsid w:val="060E0147"/>
    <w:rsid w:val="06113EC5"/>
    <w:rsid w:val="061600B5"/>
    <w:rsid w:val="06192012"/>
    <w:rsid w:val="06271BF8"/>
    <w:rsid w:val="062B72A2"/>
    <w:rsid w:val="062C7A39"/>
    <w:rsid w:val="062F1B50"/>
    <w:rsid w:val="063A3C2B"/>
    <w:rsid w:val="06400403"/>
    <w:rsid w:val="06420522"/>
    <w:rsid w:val="0649706E"/>
    <w:rsid w:val="06503885"/>
    <w:rsid w:val="065578BA"/>
    <w:rsid w:val="066947C7"/>
    <w:rsid w:val="067D77AC"/>
    <w:rsid w:val="068943A3"/>
    <w:rsid w:val="06973271"/>
    <w:rsid w:val="06A351BB"/>
    <w:rsid w:val="06A74829"/>
    <w:rsid w:val="06AB59C5"/>
    <w:rsid w:val="06B102B1"/>
    <w:rsid w:val="06BE1AFB"/>
    <w:rsid w:val="06C34C6B"/>
    <w:rsid w:val="06CE7DED"/>
    <w:rsid w:val="06D8204E"/>
    <w:rsid w:val="06D82C35"/>
    <w:rsid w:val="06DC0977"/>
    <w:rsid w:val="06DF6A8B"/>
    <w:rsid w:val="07072694"/>
    <w:rsid w:val="07080FDE"/>
    <w:rsid w:val="070A2FBC"/>
    <w:rsid w:val="07100621"/>
    <w:rsid w:val="071874D5"/>
    <w:rsid w:val="071C0D73"/>
    <w:rsid w:val="072075C5"/>
    <w:rsid w:val="072145DC"/>
    <w:rsid w:val="07366C2D"/>
    <w:rsid w:val="07397B77"/>
    <w:rsid w:val="07406F3C"/>
    <w:rsid w:val="0758479C"/>
    <w:rsid w:val="07647A4F"/>
    <w:rsid w:val="076D2D2B"/>
    <w:rsid w:val="076E65DD"/>
    <w:rsid w:val="07783EDF"/>
    <w:rsid w:val="078D62E6"/>
    <w:rsid w:val="07A629CC"/>
    <w:rsid w:val="07A92215"/>
    <w:rsid w:val="07AC659B"/>
    <w:rsid w:val="07BB5456"/>
    <w:rsid w:val="07C17B6D"/>
    <w:rsid w:val="07C51ACA"/>
    <w:rsid w:val="07E1307C"/>
    <w:rsid w:val="07EE6AE4"/>
    <w:rsid w:val="07EF6047"/>
    <w:rsid w:val="07F4792D"/>
    <w:rsid w:val="07F87313"/>
    <w:rsid w:val="08065580"/>
    <w:rsid w:val="0808579C"/>
    <w:rsid w:val="081705FB"/>
    <w:rsid w:val="081929B8"/>
    <w:rsid w:val="081C76DD"/>
    <w:rsid w:val="081E3021"/>
    <w:rsid w:val="08247553"/>
    <w:rsid w:val="08271BB3"/>
    <w:rsid w:val="082E0A9E"/>
    <w:rsid w:val="083B0B2B"/>
    <w:rsid w:val="083B34FB"/>
    <w:rsid w:val="0842185D"/>
    <w:rsid w:val="0845037E"/>
    <w:rsid w:val="08513E84"/>
    <w:rsid w:val="085C29D0"/>
    <w:rsid w:val="085F360E"/>
    <w:rsid w:val="086329D2"/>
    <w:rsid w:val="086E55FF"/>
    <w:rsid w:val="0871029A"/>
    <w:rsid w:val="08716D3D"/>
    <w:rsid w:val="08724BD6"/>
    <w:rsid w:val="087C1565"/>
    <w:rsid w:val="087D1D0C"/>
    <w:rsid w:val="088911A3"/>
    <w:rsid w:val="08894B1B"/>
    <w:rsid w:val="08A060F3"/>
    <w:rsid w:val="08A2174C"/>
    <w:rsid w:val="08A84518"/>
    <w:rsid w:val="08C60F15"/>
    <w:rsid w:val="08D0328A"/>
    <w:rsid w:val="08D1158A"/>
    <w:rsid w:val="08EC5921"/>
    <w:rsid w:val="08EE4992"/>
    <w:rsid w:val="08EE77B6"/>
    <w:rsid w:val="08FF26FB"/>
    <w:rsid w:val="090E7492"/>
    <w:rsid w:val="0911242E"/>
    <w:rsid w:val="091C0B9B"/>
    <w:rsid w:val="09216B15"/>
    <w:rsid w:val="09232323"/>
    <w:rsid w:val="09240330"/>
    <w:rsid w:val="09246B6F"/>
    <w:rsid w:val="09254FEF"/>
    <w:rsid w:val="09297778"/>
    <w:rsid w:val="09441636"/>
    <w:rsid w:val="094817DD"/>
    <w:rsid w:val="094A058F"/>
    <w:rsid w:val="097736D5"/>
    <w:rsid w:val="097A67FC"/>
    <w:rsid w:val="09861F8F"/>
    <w:rsid w:val="0986681C"/>
    <w:rsid w:val="098B766D"/>
    <w:rsid w:val="09975029"/>
    <w:rsid w:val="099F7A3A"/>
    <w:rsid w:val="09B83739"/>
    <w:rsid w:val="09BF4501"/>
    <w:rsid w:val="09C6146A"/>
    <w:rsid w:val="09C87915"/>
    <w:rsid w:val="09CB2973"/>
    <w:rsid w:val="09D516AE"/>
    <w:rsid w:val="09D60752"/>
    <w:rsid w:val="09D916F0"/>
    <w:rsid w:val="09DB4F16"/>
    <w:rsid w:val="09DC47EA"/>
    <w:rsid w:val="09F126FD"/>
    <w:rsid w:val="0A033FB3"/>
    <w:rsid w:val="0A073F5D"/>
    <w:rsid w:val="0A1335B9"/>
    <w:rsid w:val="0A1828E4"/>
    <w:rsid w:val="0A1F0C00"/>
    <w:rsid w:val="0A2061C3"/>
    <w:rsid w:val="0A227126"/>
    <w:rsid w:val="0A2E3071"/>
    <w:rsid w:val="0A3609CC"/>
    <w:rsid w:val="0A3F2E4F"/>
    <w:rsid w:val="0A460D6A"/>
    <w:rsid w:val="0A4A7648"/>
    <w:rsid w:val="0A4C631C"/>
    <w:rsid w:val="0A5A755B"/>
    <w:rsid w:val="0A6C3DC0"/>
    <w:rsid w:val="0A823454"/>
    <w:rsid w:val="0A832E34"/>
    <w:rsid w:val="0AA148F9"/>
    <w:rsid w:val="0AA413E9"/>
    <w:rsid w:val="0AA84C3E"/>
    <w:rsid w:val="0AAD4FEB"/>
    <w:rsid w:val="0AB72AB4"/>
    <w:rsid w:val="0ABB08A3"/>
    <w:rsid w:val="0AC03279"/>
    <w:rsid w:val="0AC16ABD"/>
    <w:rsid w:val="0ACA278E"/>
    <w:rsid w:val="0AD100C7"/>
    <w:rsid w:val="0AD51547"/>
    <w:rsid w:val="0AE55920"/>
    <w:rsid w:val="0AE565DF"/>
    <w:rsid w:val="0AF50259"/>
    <w:rsid w:val="0AFA4FF7"/>
    <w:rsid w:val="0AFA763E"/>
    <w:rsid w:val="0B0C4430"/>
    <w:rsid w:val="0B187AA4"/>
    <w:rsid w:val="0B1A23BD"/>
    <w:rsid w:val="0B260413"/>
    <w:rsid w:val="0B344594"/>
    <w:rsid w:val="0B414B94"/>
    <w:rsid w:val="0B4765DB"/>
    <w:rsid w:val="0B51154E"/>
    <w:rsid w:val="0B522679"/>
    <w:rsid w:val="0B5D5B62"/>
    <w:rsid w:val="0B6034A0"/>
    <w:rsid w:val="0B6E5916"/>
    <w:rsid w:val="0B7051A7"/>
    <w:rsid w:val="0B733189"/>
    <w:rsid w:val="0B787400"/>
    <w:rsid w:val="0B8769D7"/>
    <w:rsid w:val="0B903ADE"/>
    <w:rsid w:val="0B9F6417"/>
    <w:rsid w:val="0BA20E12"/>
    <w:rsid w:val="0BA624F3"/>
    <w:rsid w:val="0BA96C49"/>
    <w:rsid w:val="0BBA7DCD"/>
    <w:rsid w:val="0BC20ECB"/>
    <w:rsid w:val="0BCA4BCE"/>
    <w:rsid w:val="0BCC7BCD"/>
    <w:rsid w:val="0BCF72A4"/>
    <w:rsid w:val="0BD317A9"/>
    <w:rsid w:val="0BD87640"/>
    <w:rsid w:val="0BF21886"/>
    <w:rsid w:val="0BF4069F"/>
    <w:rsid w:val="0C105208"/>
    <w:rsid w:val="0C191A5C"/>
    <w:rsid w:val="0C1C35C4"/>
    <w:rsid w:val="0C2923CE"/>
    <w:rsid w:val="0C30545C"/>
    <w:rsid w:val="0C3206CE"/>
    <w:rsid w:val="0C3A50BE"/>
    <w:rsid w:val="0C474AE5"/>
    <w:rsid w:val="0C4B6E38"/>
    <w:rsid w:val="0C4D4F79"/>
    <w:rsid w:val="0C500D7B"/>
    <w:rsid w:val="0C5114BF"/>
    <w:rsid w:val="0C5631CA"/>
    <w:rsid w:val="0C637294"/>
    <w:rsid w:val="0C6A6533"/>
    <w:rsid w:val="0C714D1C"/>
    <w:rsid w:val="0C752FB1"/>
    <w:rsid w:val="0C836B7D"/>
    <w:rsid w:val="0C8767B2"/>
    <w:rsid w:val="0C8F2DF8"/>
    <w:rsid w:val="0C9413AC"/>
    <w:rsid w:val="0C945850"/>
    <w:rsid w:val="0C975227"/>
    <w:rsid w:val="0C977DC3"/>
    <w:rsid w:val="0C9D216B"/>
    <w:rsid w:val="0C9D3C17"/>
    <w:rsid w:val="0CA041F5"/>
    <w:rsid w:val="0CA74DD7"/>
    <w:rsid w:val="0CA75FBD"/>
    <w:rsid w:val="0CA90C18"/>
    <w:rsid w:val="0CAA69BB"/>
    <w:rsid w:val="0CB13FF3"/>
    <w:rsid w:val="0CB422C4"/>
    <w:rsid w:val="0CB657C6"/>
    <w:rsid w:val="0CBE2872"/>
    <w:rsid w:val="0CC651F0"/>
    <w:rsid w:val="0CC87B74"/>
    <w:rsid w:val="0CCB5588"/>
    <w:rsid w:val="0CD209FB"/>
    <w:rsid w:val="0CE20369"/>
    <w:rsid w:val="0CE254B4"/>
    <w:rsid w:val="0CF449BB"/>
    <w:rsid w:val="0CF626F0"/>
    <w:rsid w:val="0CF84031"/>
    <w:rsid w:val="0CFE1FC1"/>
    <w:rsid w:val="0D0165D4"/>
    <w:rsid w:val="0D054058"/>
    <w:rsid w:val="0D1A2F3A"/>
    <w:rsid w:val="0D2125EB"/>
    <w:rsid w:val="0D4451BB"/>
    <w:rsid w:val="0D485E8D"/>
    <w:rsid w:val="0D5F19BA"/>
    <w:rsid w:val="0D651406"/>
    <w:rsid w:val="0D6B00AF"/>
    <w:rsid w:val="0D703BC7"/>
    <w:rsid w:val="0D764ED8"/>
    <w:rsid w:val="0D7C256C"/>
    <w:rsid w:val="0D8368AF"/>
    <w:rsid w:val="0D8B1536"/>
    <w:rsid w:val="0D9474EF"/>
    <w:rsid w:val="0D993CD9"/>
    <w:rsid w:val="0D9965CC"/>
    <w:rsid w:val="0D9A0C44"/>
    <w:rsid w:val="0D9D5CCB"/>
    <w:rsid w:val="0D9E55F7"/>
    <w:rsid w:val="0DA043BC"/>
    <w:rsid w:val="0DA22594"/>
    <w:rsid w:val="0DB6085D"/>
    <w:rsid w:val="0DB81375"/>
    <w:rsid w:val="0DBA45FA"/>
    <w:rsid w:val="0DC44067"/>
    <w:rsid w:val="0DE23731"/>
    <w:rsid w:val="0DF06378"/>
    <w:rsid w:val="0DF742E8"/>
    <w:rsid w:val="0DF94435"/>
    <w:rsid w:val="0DFC42FA"/>
    <w:rsid w:val="0E0367E9"/>
    <w:rsid w:val="0E056E2D"/>
    <w:rsid w:val="0E076A11"/>
    <w:rsid w:val="0E0A13BF"/>
    <w:rsid w:val="0E0E0D81"/>
    <w:rsid w:val="0E1409F6"/>
    <w:rsid w:val="0E14727F"/>
    <w:rsid w:val="0E1924B1"/>
    <w:rsid w:val="0E1E4428"/>
    <w:rsid w:val="0E2C2B37"/>
    <w:rsid w:val="0E2C3669"/>
    <w:rsid w:val="0E2F1180"/>
    <w:rsid w:val="0E34320A"/>
    <w:rsid w:val="0E3545CB"/>
    <w:rsid w:val="0E39045D"/>
    <w:rsid w:val="0E464928"/>
    <w:rsid w:val="0E5C1077"/>
    <w:rsid w:val="0E5D4CD0"/>
    <w:rsid w:val="0E63372C"/>
    <w:rsid w:val="0E6F20D1"/>
    <w:rsid w:val="0E744FA2"/>
    <w:rsid w:val="0E790283"/>
    <w:rsid w:val="0E8B73B1"/>
    <w:rsid w:val="0E920845"/>
    <w:rsid w:val="0E9360EE"/>
    <w:rsid w:val="0E9E4B99"/>
    <w:rsid w:val="0EA55AF2"/>
    <w:rsid w:val="0EAD49A7"/>
    <w:rsid w:val="0EAE3E09"/>
    <w:rsid w:val="0ECD67E4"/>
    <w:rsid w:val="0ED70216"/>
    <w:rsid w:val="0EED6FFA"/>
    <w:rsid w:val="0F02192F"/>
    <w:rsid w:val="0F0312ED"/>
    <w:rsid w:val="0F0B10DD"/>
    <w:rsid w:val="0F0C791F"/>
    <w:rsid w:val="0F0D70B7"/>
    <w:rsid w:val="0F2332BA"/>
    <w:rsid w:val="0F256C33"/>
    <w:rsid w:val="0F280FD5"/>
    <w:rsid w:val="0F296C0A"/>
    <w:rsid w:val="0F31382A"/>
    <w:rsid w:val="0F582B65"/>
    <w:rsid w:val="0F6634D4"/>
    <w:rsid w:val="0F8E6586"/>
    <w:rsid w:val="0F9954C0"/>
    <w:rsid w:val="0F9D2C6D"/>
    <w:rsid w:val="0F9E47AC"/>
    <w:rsid w:val="0FA828C0"/>
    <w:rsid w:val="0FBE45FA"/>
    <w:rsid w:val="0FC91CB4"/>
    <w:rsid w:val="0FC97CB9"/>
    <w:rsid w:val="0FD04031"/>
    <w:rsid w:val="0FDD4B16"/>
    <w:rsid w:val="0FEC3128"/>
    <w:rsid w:val="0FED31DB"/>
    <w:rsid w:val="0FEE5277"/>
    <w:rsid w:val="10044A9B"/>
    <w:rsid w:val="101324FA"/>
    <w:rsid w:val="1025693D"/>
    <w:rsid w:val="10260B06"/>
    <w:rsid w:val="102A7B27"/>
    <w:rsid w:val="10352EA6"/>
    <w:rsid w:val="103932FC"/>
    <w:rsid w:val="103E61FE"/>
    <w:rsid w:val="105904E7"/>
    <w:rsid w:val="105F7F23"/>
    <w:rsid w:val="10664CAB"/>
    <w:rsid w:val="10675BAF"/>
    <w:rsid w:val="106944ED"/>
    <w:rsid w:val="107B59E5"/>
    <w:rsid w:val="107B7BA2"/>
    <w:rsid w:val="10832D25"/>
    <w:rsid w:val="109F7F04"/>
    <w:rsid w:val="10A87B1C"/>
    <w:rsid w:val="10AA1B06"/>
    <w:rsid w:val="10AA63F7"/>
    <w:rsid w:val="10AD6EE0"/>
    <w:rsid w:val="10BA53FD"/>
    <w:rsid w:val="10C77FA2"/>
    <w:rsid w:val="10C81F6C"/>
    <w:rsid w:val="10E5667A"/>
    <w:rsid w:val="10F42D61"/>
    <w:rsid w:val="11001706"/>
    <w:rsid w:val="11105D06"/>
    <w:rsid w:val="111E456B"/>
    <w:rsid w:val="11262D07"/>
    <w:rsid w:val="1128459B"/>
    <w:rsid w:val="112E47E4"/>
    <w:rsid w:val="11307875"/>
    <w:rsid w:val="113109DB"/>
    <w:rsid w:val="11422AFB"/>
    <w:rsid w:val="11455671"/>
    <w:rsid w:val="11534B75"/>
    <w:rsid w:val="11584D21"/>
    <w:rsid w:val="116D77CE"/>
    <w:rsid w:val="11765524"/>
    <w:rsid w:val="117874EE"/>
    <w:rsid w:val="1182557E"/>
    <w:rsid w:val="118D3F72"/>
    <w:rsid w:val="11982E23"/>
    <w:rsid w:val="11C444E1"/>
    <w:rsid w:val="11C91AF8"/>
    <w:rsid w:val="11D91CB8"/>
    <w:rsid w:val="11E64458"/>
    <w:rsid w:val="11F5422C"/>
    <w:rsid w:val="11F8418B"/>
    <w:rsid w:val="11FF27F2"/>
    <w:rsid w:val="1202500A"/>
    <w:rsid w:val="12082E08"/>
    <w:rsid w:val="12130FC5"/>
    <w:rsid w:val="12141F17"/>
    <w:rsid w:val="1215405E"/>
    <w:rsid w:val="121F2ECD"/>
    <w:rsid w:val="122424DD"/>
    <w:rsid w:val="122D7E36"/>
    <w:rsid w:val="123F625E"/>
    <w:rsid w:val="12454C58"/>
    <w:rsid w:val="12465492"/>
    <w:rsid w:val="124A795A"/>
    <w:rsid w:val="126128B3"/>
    <w:rsid w:val="12644C1A"/>
    <w:rsid w:val="126F08F1"/>
    <w:rsid w:val="127F6575"/>
    <w:rsid w:val="128564F3"/>
    <w:rsid w:val="12863E8D"/>
    <w:rsid w:val="12982589"/>
    <w:rsid w:val="129E076F"/>
    <w:rsid w:val="12A64675"/>
    <w:rsid w:val="12AF4946"/>
    <w:rsid w:val="12B81741"/>
    <w:rsid w:val="12BE212B"/>
    <w:rsid w:val="12C30C3D"/>
    <w:rsid w:val="12C56181"/>
    <w:rsid w:val="12D82A49"/>
    <w:rsid w:val="12D907DF"/>
    <w:rsid w:val="12DC4A9B"/>
    <w:rsid w:val="12DD2C37"/>
    <w:rsid w:val="12E666D9"/>
    <w:rsid w:val="12E7492B"/>
    <w:rsid w:val="12E81D55"/>
    <w:rsid w:val="130478F5"/>
    <w:rsid w:val="131D65BB"/>
    <w:rsid w:val="1327142E"/>
    <w:rsid w:val="13421B62"/>
    <w:rsid w:val="13517FF7"/>
    <w:rsid w:val="135367A2"/>
    <w:rsid w:val="13547380"/>
    <w:rsid w:val="136F1CA1"/>
    <w:rsid w:val="136F4921"/>
    <w:rsid w:val="137331E2"/>
    <w:rsid w:val="137B1060"/>
    <w:rsid w:val="137C2D15"/>
    <w:rsid w:val="137E4FA7"/>
    <w:rsid w:val="13813031"/>
    <w:rsid w:val="13963C5C"/>
    <w:rsid w:val="139F1E83"/>
    <w:rsid w:val="13A10153"/>
    <w:rsid w:val="13AE711E"/>
    <w:rsid w:val="13CC2482"/>
    <w:rsid w:val="13CD31B0"/>
    <w:rsid w:val="13D03611"/>
    <w:rsid w:val="13D11D1F"/>
    <w:rsid w:val="13D50C28"/>
    <w:rsid w:val="13D60AF6"/>
    <w:rsid w:val="13DE58F9"/>
    <w:rsid w:val="13DE6B14"/>
    <w:rsid w:val="13E413AA"/>
    <w:rsid w:val="13EB1A0B"/>
    <w:rsid w:val="13F21D43"/>
    <w:rsid w:val="13F76DF0"/>
    <w:rsid w:val="13F82B68"/>
    <w:rsid w:val="13FA068E"/>
    <w:rsid w:val="13FA41EA"/>
    <w:rsid w:val="14084BF4"/>
    <w:rsid w:val="140D682E"/>
    <w:rsid w:val="140F7FCE"/>
    <w:rsid w:val="141A73E9"/>
    <w:rsid w:val="14230502"/>
    <w:rsid w:val="142C5DFB"/>
    <w:rsid w:val="14442AC4"/>
    <w:rsid w:val="14461956"/>
    <w:rsid w:val="144A2F48"/>
    <w:rsid w:val="145757D1"/>
    <w:rsid w:val="1457788F"/>
    <w:rsid w:val="14650F9F"/>
    <w:rsid w:val="14692BCB"/>
    <w:rsid w:val="147A1048"/>
    <w:rsid w:val="14954356"/>
    <w:rsid w:val="14984A52"/>
    <w:rsid w:val="149C1746"/>
    <w:rsid w:val="14A0526F"/>
    <w:rsid w:val="14A3568A"/>
    <w:rsid w:val="14B416E9"/>
    <w:rsid w:val="14B7224E"/>
    <w:rsid w:val="14BA7E1E"/>
    <w:rsid w:val="14CB0DEC"/>
    <w:rsid w:val="14D80BAE"/>
    <w:rsid w:val="14EB1DDB"/>
    <w:rsid w:val="14F34979"/>
    <w:rsid w:val="14FE5F5C"/>
    <w:rsid w:val="150476BD"/>
    <w:rsid w:val="150C0679"/>
    <w:rsid w:val="15106FA0"/>
    <w:rsid w:val="15113EE2"/>
    <w:rsid w:val="15163B63"/>
    <w:rsid w:val="15183362"/>
    <w:rsid w:val="15203A86"/>
    <w:rsid w:val="153417DC"/>
    <w:rsid w:val="15392994"/>
    <w:rsid w:val="153D744C"/>
    <w:rsid w:val="15425226"/>
    <w:rsid w:val="154A11A2"/>
    <w:rsid w:val="154C45E2"/>
    <w:rsid w:val="15625A92"/>
    <w:rsid w:val="156D449B"/>
    <w:rsid w:val="15726F55"/>
    <w:rsid w:val="1573026D"/>
    <w:rsid w:val="15826B8D"/>
    <w:rsid w:val="15843439"/>
    <w:rsid w:val="159D130C"/>
    <w:rsid w:val="159E76C6"/>
    <w:rsid w:val="15AF7257"/>
    <w:rsid w:val="15B33D94"/>
    <w:rsid w:val="15B40B18"/>
    <w:rsid w:val="15BB4760"/>
    <w:rsid w:val="15BC3411"/>
    <w:rsid w:val="15C03212"/>
    <w:rsid w:val="15C471A6"/>
    <w:rsid w:val="15C66528"/>
    <w:rsid w:val="15CA68AC"/>
    <w:rsid w:val="15CD1EA4"/>
    <w:rsid w:val="15D84ADA"/>
    <w:rsid w:val="15D86BF8"/>
    <w:rsid w:val="16033966"/>
    <w:rsid w:val="16363F26"/>
    <w:rsid w:val="1639282B"/>
    <w:rsid w:val="16441B4E"/>
    <w:rsid w:val="16485F9E"/>
    <w:rsid w:val="165006EB"/>
    <w:rsid w:val="165B4EA8"/>
    <w:rsid w:val="166167A3"/>
    <w:rsid w:val="166A3466"/>
    <w:rsid w:val="166C7164"/>
    <w:rsid w:val="16747591"/>
    <w:rsid w:val="168662A0"/>
    <w:rsid w:val="168D3A3C"/>
    <w:rsid w:val="168F60C7"/>
    <w:rsid w:val="16A146CE"/>
    <w:rsid w:val="16A82624"/>
    <w:rsid w:val="16BF34C9"/>
    <w:rsid w:val="16C3745D"/>
    <w:rsid w:val="16C555A8"/>
    <w:rsid w:val="16C86822"/>
    <w:rsid w:val="16C95A02"/>
    <w:rsid w:val="16CB00C0"/>
    <w:rsid w:val="16ED396B"/>
    <w:rsid w:val="16F447A8"/>
    <w:rsid w:val="16F753E9"/>
    <w:rsid w:val="16F9616A"/>
    <w:rsid w:val="17033CFE"/>
    <w:rsid w:val="1704149E"/>
    <w:rsid w:val="17066D07"/>
    <w:rsid w:val="170E6F97"/>
    <w:rsid w:val="171036E6"/>
    <w:rsid w:val="171448A7"/>
    <w:rsid w:val="17190E2C"/>
    <w:rsid w:val="171D1030"/>
    <w:rsid w:val="171F3122"/>
    <w:rsid w:val="172919F9"/>
    <w:rsid w:val="17307914"/>
    <w:rsid w:val="17345881"/>
    <w:rsid w:val="173479F1"/>
    <w:rsid w:val="17422243"/>
    <w:rsid w:val="174340FA"/>
    <w:rsid w:val="17504875"/>
    <w:rsid w:val="17514FF5"/>
    <w:rsid w:val="1752433D"/>
    <w:rsid w:val="17676D6C"/>
    <w:rsid w:val="17693379"/>
    <w:rsid w:val="176E2F0B"/>
    <w:rsid w:val="1780534F"/>
    <w:rsid w:val="178B2244"/>
    <w:rsid w:val="17A15784"/>
    <w:rsid w:val="17A825ED"/>
    <w:rsid w:val="17A857FA"/>
    <w:rsid w:val="17B46C9D"/>
    <w:rsid w:val="17B706D4"/>
    <w:rsid w:val="17B9260F"/>
    <w:rsid w:val="17D66E99"/>
    <w:rsid w:val="17D72F89"/>
    <w:rsid w:val="17EF1B5C"/>
    <w:rsid w:val="17F11DA8"/>
    <w:rsid w:val="17FD6CA6"/>
    <w:rsid w:val="18040CDB"/>
    <w:rsid w:val="180E1588"/>
    <w:rsid w:val="1814258C"/>
    <w:rsid w:val="1816180F"/>
    <w:rsid w:val="18181D10"/>
    <w:rsid w:val="181B1D9C"/>
    <w:rsid w:val="18273A1C"/>
    <w:rsid w:val="182C2DE0"/>
    <w:rsid w:val="182F038D"/>
    <w:rsid w:val="183226B5"/>
    <w:rsid w:val="184355AB"/>
    <w:rsid w:val="18453242"/>
    <w:rsid w:val="184A1798"/>
    <w:rsid w:val="18561D8C"/>
    <w:rsid w:val="18566090"/>
    <w:rsid w:val="185965E1"/>
    <w:rsid w:val="185A5BA0"/>
    <w:rsid w:val="186300C4"/>
    <w:rsid w:val="186458F6"/>
    <w:rsid w:val="18662C80"/>
    <w:rsid w:val="187C14BE"/>
    <w:rsid w:val="18812F89"/>
    <w:rsid w:val="189B3AC2"/>
    <w:rsid w:val="18A167CB"/>
    <w:rsid w:val="18AC3FD1"/>
    <w:rsid w:val="18B8204F"/>
    <w:rsid w:val="18BD1C8B"/>
    <w:rsid w:val="18C64FE3"/>
    <w:rsid w:val="18D23988"/>
    <w:rsid w:val="18D8035B"/>
    <w:rsid w:val="18DC0523"/>
    <w:rsid w:val="18E06E70"/>
    <w:rsid w:val="18E24A74"/>
    <w:rsid w:val="18E93725"/>
    <w:rsid w:val="19002914"/>
    <w:rsid w:val="190D676E"/>
    <w:rsid w:val="19120228"/>
    <w:rsid w:val="19174566"/>
    <w:rsid w:val="19297320"/>
    <w:rsid w:val="192D03A2"/>
    <w:rsid w:val="192E3546"/>
    <w:rsid w:val="19314B62"/>
    <w:rsid w:val="19322C48"/>
    <w:rsid w:val="193A32DB"/>
    <w:rsid w:val="193F08F1"/>
    <w:rsid w:val="194523AC"/>
    <w:rsid w:val="19464784"/>
    <w:rsid w:val="19487E02"/>
    <w:rsid w:val="194D6AA3"/>
    <w:rsid w:val="19515075"/>
    <w:rsid w:val="1954525B"/>
    <w:rsid w:val="195D1361"/>
    <w:rsid w:val="196034A2"/>
    <w:rsid w:val="19672D11"/>
    <w:rsid w:val="19791FCB"/>
    <w:rsid w:val="197B67F0"/>
    <w:rsid w:val="197F5A9B"/>
    <w:rsid w:val="198307A0"/>
    <w:rsid w:val="198F7EB2"/>
    <w:rsid w:val="199576CF"/>
    <w:rsid w:val="19992660"/>
    <w:rsid w:val="199E7D0E"/>
    <w:rsid w:val="19A678DF"/>
    <w:rsid w:val="19B25567"/>
    <w:rsid w:val="19B432D0"/>
    <w:rsid w:val="19B44779"/>
    <w:rsid w:val="19BC25B3"/>
    <w:rsid w:val="19C9728A"/>
    <w:rsid w:val="19D1502D"/>
    <w:rsid w:val="19D50B96"/>
    <w:rsid w:val="19DA3693"/>
    <w:rsid w:val="19E25E4D"/>
    <w:rsid w:val="19E54DA3"/>
    <w:rsid w:val="19F0518B"/>
    <w:rsid w:val="19FB2D5D"/>
    <w:rsid w:val="19FF35B1"/>
    <w:rsid w:val="1A082EDA"/>
    <w:rsid w:val="1A103C1D"/>
    <w:rsid w:val="1A1324AA"/>
    <w:rsid w:val="1A1678A4"/>
    <w:rsid w:val="1A275223"/>
    <w:rsid w:val="1A29576F"/>
    <w:rsid w:val="1A2D2F4F"/>
    <w:rsid w:val="1A3348FA"/>
    <w:rsid w:val="1A3C0AAA"/>
    <w:rsid w:val="1A3C668F"/>
    <w:rsid w:val="1A3D4254"/>
    <w:rsid w:val="1A3F504D"/>
    <w:rsid w:val="1A4E56BB"/>
    <w:rsid w:val="1A515AD2"/>
    <w:rsid w:val="1A517A49"/>
    <w:rsid w:val="1A57419C"/>
    <w:rsid w:val="1A594860"/>
    <w:rsid w:val="1A66545E"/>
    <w:rsid w:val="1A6718AF"/>
    <w:rsid w:val="1A6D736B"/>
    <w:rsid w:val="1A7A42D7"/>
    <w:rsid w:val="1A864952"/>
    <w:rsid w:val="1A864A2A"/>
    <w:rsid w:val="1A8B03C9"/>
    <w:rsid w:val="1A8B64E4"/>
    <w:rsid w:val="1A9A6A0C"/>
    <w:rsid w:val="1A9B3B09"/>
    <w:rsid w:val="1AA270DF"/>
    <w:rsid w:val="1AA749A0"/>
    <w:rsid w:val="1AAE2D84"/>
    <w:rsid w:val="1AB53561"/>
    <w:rsid w:val="1AB87B91"/>
    <w:rsid w:val="1AC34587"/>
    <w:rsid w:val="1AC5013C"/>
    <w:rsid w:val="1ACE450C"/>
    <w:rsid w:val="1ACF15B4"/>
    <w:rsid w:val="1ACF6DD7"/>
    <w:rsid w:val="1AD61526"/>
    <w:rsid w:val="1AD64441"/>
    <w:rsid w:val="1AED4AA9"/>
    <w:rsid w:val="1AF12032"/>
    <w:rsid w:val="1AF926DF"/>
    <w:rsid w:val="1AFB27F7"/>
    <w:rsid w:val="1AFE6CB6"/>
    <w:rsid w:val="1B0344CB"/>
    <w:rsid w:val="1B0C400A"/>
    <w:rsid w:val="1B100797"/>
    <w:rsid w:val="1B102545"/>
    <w:rsid w:val="1B1026FF"/>
    <w:rsid w:val="1B1262BE"/>
    <w:rsid w:val="1B140288"/>
    <w:rsid w:val="1B166B7F"/>
    <w:rsid w:val="1B187D89"/>
    <w:rsid w:val="1B1A1FCC"/>
    <w:rsid w:val="1B245F4B"/>
    <w:rsid w:val="1B2F2AA9"/>
    <w:rsid w:val="1B4346C9"/>
    <w:rsid w:val="1B4B3DC1"/>
    <w:rsid w:val="1B561F58"/>
    <w:rsid w:val="1B5B6E02"/>
    <w:rsid w:val="1B6829F1"/>
    <w:rsid w:val="1B826FFA"/>
    <w:rsid w:val="1B8B2AC5"/>
    <w:rsid w:val="1B9969DF"/>
    <w:rsid w:val="1B9B4505"/>
    <w:rsid w:val="1B9C202B"/>
    <w:rsid w:val="1BA03749"/>
    <w:rsid w:val="1BA35913"/>
    <w:rsid w:val="1BB95D71"/>
    <w:rsid w:val="1BBD13C6"/>
    <w:rsid w:val="1BBD37C0"/>
    <w:rsid w:val="1BBE6445"/>
    <w:rsid w:val="1BC471FC"/>
    <w:rsid w:val="1BCF41AF"/>
    <w:rsid w:val="1BDD5AFE"/>
    <w:rsid w:val="1BFF4DA4"/>
    <w:rsid w:val="1C0E38AC"/>
    <w:rsid w:val="1C1147C7"/>
    <w:rsid w:val="1C1208A8"/>
    <w:rsid w:val="1C164ECA"/>
    <w:rsid w:val="1C1A23CD"/>
    <w:rsid w:val="1C1B3898"/>
    <w:rsid w:val="1C2256C2"/>
    <w:rsid w:val="1C235374"/>
    <w:rsid w:val="1C3322A2"/>
    <w:rsid w:val="1C43143D"/>
    <w:rsid w:val="1C473F2F"/>
    <w:rsid w:val="1C5648D0"/>
    <w:rsid w:val="1C5D5668"/>
    <w:rsid w:val="1C602F14"/>
    <w:rsid w:val="1C6D7577"/>
    <w:rsid w:val="1C6E5681"/>
    <w:rsid w:val="1C894C01"/>
    <w:rsid w:val="1C8C20A0"/>
    <w:rsid w:val="1CA653BE"/>
    <w:rsid w:val="1CA73B51"/>
    <w:rsid w:val="1CB57848"/>
    <w:rsid w:val="1CB6536F"/>
    <w:rsid w:val="1CCA672A"/>
    <w:rsid w:val="1CCC4B92"/>
    <w:rsid w:val="1CDD3710"/>
    <w:rsid w:val="1CE604BC"/>
    <w:rsid w:val="1CE7377A"/>
    <w:rsid w:val="1CE776B6"/>
    <w:rsid w:val="1CED58D0"/>
    <w:rsid w:val="1CF60AB2"/>
    <w:rsid w:val="1D0151C4"/>
    <w:rsid w:val="1D087A89"/>
    <w:rsid w:val="1D0D1432"/>
    <w:rsid w:val="1D1C5FD1"/>
    <w:rsid w:val="1D333A93"/>
    <w:rsid w:val="1D385D84"/>
    <w:rsid w:val="1D40323B"/>
    <w:rsid w:val="1D422339"/>
    <w:rsid w:val="1D44297A"/>
    <w:rsid w:val="1D4C5A8B"/>
    <w:rsid w:val="1D5105C1"/>
    <w:rsid w:val="1D530C7D"/>
    <w:rsid w:val="1D634724"/>
    <w:rsid w:val="1D6372A4"/>
    <w:rsid w:val="1D653086"/>
    <w:rsid w:val="1D6670E7"/>
    <w:rsid w:val="1D6F6D09"/>
    <w:rsid w:val="1D7043FF"/>
    <w:rsid w:val="1D74500E"/>
    <w:rsid w:val="1D7A76D0"/>
    <w:rsid w:val="1D816CC8"/>
    <w:rsid w:val="1D850D29"/>
    <w:rsid w:val="1D8D3608"/>
    <w:rsid w:val="1D8D4321"/>
    <w:rsid w:val="1DA11B7B"/>
    <w:rsid w:val="1DA65E54"/>
    <w:rsid w:val="1DA67F64"/>
    <w:rsid w:val="1DA73277"/>
    <w:rsid w:val="1DA920EF"/>
    <w:rsid w:val="1DCF5533"/>
    <w:rsid w:val="1DD45AAC"/>
    <w:rsid w:val="1DD93C21"/>
    <w:rsid w:val="1DF35D7D"/>
    <w:rsid w:val="1DF47EFC"/>
    <w:rsid w:val="1DFB4752"/>
    <w:rsid w:val="1E0C2D7D"/>
    <w:rsid w:val="1E0D7210"/>
    <w:rsid w:val="1E152FB7"/>
    <w:rsid w:val="1E177107"/>
    <w:rsid w:val="1E1B2ABA"/>
    <w:rsid w:val="1E1D376A"/>
    <w:rsid w:val="1E1E766F"/>
    <w:rsid w:val="1E2307E2"/>
    <w:rsid w:val="1E2833D6"/>
    <w:rsid w:val="1E2A7314"/>
    <w:rsid w:val="1E354CE7"/>
    <w:rsid w:val="1E384CEE"/>
    <w:rsid w:val="1E393FF4"/>
    <w:rsid w:val="1E401394"/>
    <w:rsid w:val="1E435129"/>
    <w:rsid w:val="1E4A3A53"/>
    <w:rsid w:val="1E4C57CB"/>
    <w:rsid w:val="1E512419"/>
    <w:rsid w:val="1E606685"/>
    <w:rsid w:val="1E635082"/>
    <w:rsid w:val="1E6620E4"/>
    <w:rsid w:val="1E670F48"/>
    <w:rsid w:val="1E6A4663"/>
    <w:rsid w:val="1E722427"/>
    <w:rsid w:val="1E7530DB"/>
    <w:rsid w:val="1E767E8B"/>
    <w:rsid w:val="1E786C04"/>
    <w:rsid w:val="1E7E63D0"/>
    <w:rsid w:val="1E8C5474"/>
    <w:rsid w:val="1E8F147B"/>
    <w:rsid w:val="1E99332E"/>
    <w:rsid w:val="1E9E1447"/>
    <w:rsid w:val="1EA062D6"/>
    <w:rsid w:val="1EA435BE"/>
    <w:rsid w:val="1EAB0F00"/>
    <w:rsid w:val="1EAE09F3"/>
    <w:rsid w:val="1EB4523A"/>
    <w:rsid w:val="1EB84B12"/>
    <w:rsid w:val="1EB8717C"/>
    <w:rsid w:val="1EBE2B60"/>
    <w:rsid w:val="1EC51FA9"/>
    <w:rsid w:val="1ECE53E2"/>
    <w:rsid w:val="1ECF0AF1"/>
    <w:rsid w:val="1ED037C4"/>
    <w:rsid w:val="1ED63966"/>
    <w:rsid w:val="1EDD27F2"/>
    <w:rsid w:val="1EDF17FD"/>
    <w:rsid w:val="1EE77648"/>
    <w:rsid w:val="1EE92BB4"/>
    <w:rsid w:val="1EEA4952"/>
    <w:rsid w:val="1EEF42B2"/>
    <w:rsid w:val="1EF521A0"/>
    <w:rsid w:val="1F061279"/>
    <w:rsid w:val="1F071EB1"/>
    <w:rsid w:val="1F072441"/>
    <w:rsid w:val="1F085E63"/>
    <w:rsid w:val="1F0A4DEF"/>
    <w:rsid w:val="1F0F37FF"/>
    <w:rsid w:val="1F2A16DB"/>
    <w:rsid w:val="1F2D7F14"/>
    <w:rsid w:val="1F316E1B"/>
    <w:rsid w:val="1F325EC7"/>
    <w:rsid w:val="1F42113B"/>
    <w:rsid w:val="1F46073D"/>
    <w:rsid w:val="1F4B7FF0"/>
    <w:rsid w:val="1F4C5B16"/>
    <w:rsid w:val="1F615A66"/>
    <w:rsid w:val="1F6B551A"/>
    <w:rsid w:val="1F6B6635"/>
    <w:rsid w:val="1F6C401A"/>
    <w:rsid w:val="1F6D6D9D"/>
    <w:rsid w:val="1F751514"/>
    <w:rsid w:val="1F856DAB"/>
    <w:rsid w:val="1F9A4DC5"/>
    <w:rsid w:val="1FAA11BB"/>
    <w:rsid w:val="1FAA5685"/>
    <w:rsid w:val="1FB12B7B"/>
    <w:rsid w:val="1FB42039"/>
    <w:rsid w:val="1FC50859"/>
    <w:rsid w:val="1FC6454E"/>
    <w:rsid w:val="1FC9072C"/>
    <w:rsid w:val="1FD117A6"/>
    <w:rsid w:val="1FD1664B"/>
    <w:rsid w:val="1FE066F7"/>
    <w:rsid w:val="1FE43DE1"/>
    <w:rsid w:val="1FF60FC9"/>
    <w:rsid w:val="20020FF7"/>
    <w:rsid w:val="20032921"/>
    <w:rsid w:val="200C52B2"/>
    <w:rsid w:val="201144F0"/>
    <w:rsid w:val="20176124"/>
    <w:rsid w:val="20190240"/>
    <w:rsid w:val="20191E9C"/>
    <w:rsid w:val="201D12CF"/>
    <w:rsid w:val="202A6730"/>
    <w:rsid w:val="202A6953"/>
    <w:rsid w:val="202C06AE"/>
    <w:rsid w:val="204017F9"/>
    <w:rsid w:val="2043516B"/>
    <w:rsid w:val="20472317"/>
    <w:rsid w:val="204A043C"/>
    <w:rsid w:val="204A31D1"/>
    <w:rsid w:val="204A474C"/>
    <w:rsid w:val="205B0348"/>
    <w:rsid w:val="205B24B5"/>
    <w:rsid w:val="206F41B2"/>
    <w:rsid w:val="20713F99"/>
    <w:rsid w:val="207812B9"/>
    <w:rsid w:val="20873A34"/>
    <w:rsid w:val="208A7239"/>
    <w:rsid w:val="20AC4673"/>
    <w:rsid w:val="20AE6478"/>
    <w:rsid w:val="20B56876"/>
    <w:rsid w:val="20B81D5F"/>
    <w:rsid w:val="20CF13CE"/>
    <w:rsid w:val="20D22E53"/>
    <w:rsid w:val="20DD5C49"/>
    <w:rsid w:val="20DE6C42"/>
    <w:rsid w:val="20E31D70"/>
    <w:rsid w:val="20E53E04"/>
    <w:rsid w:val="20E70F5E"/>
    <w:rsid w:val="20EE50D7"/>
    <w:rsid w:val="20F22EC2"/>
    <w:rsid w:val="21090163"/>
    <w:rsid w:val="2114147E"/>
    <w:rsid w:val="21154D5A"/>
    <w:rsid w:val="211724F1"/>
    <w:rsid w:val="211D4691"/>
    <w:rsid w:val="2122550F"/>
    <w:rsid w:val="212504BC"/>
    <w:rsid w:val="21296020"/>
    <w:rsid w:val="212E0A02"/>
    <w:rsid w:val="21364BF7"/>
    <w:rsid w:val="213976FC"/>
    <w:rsid w:val="213D638E"/>
    <w:rsid w:val="21442C28"/>
    <w:rsid w:val="21462CF9"/>
    <w:rsid w:val="214D19E9"/>
    <w:rsid w:val="215B1F0C"/>
    <w:rsid w:val="215D29CC"/>
    <w:rsid w:val="21606098"/>
    <w:rsid w:val="21783D0F"/>
    <w:rsid w:val="21797D3C"/>
    <w:rsid w:val="217D599D"/>
    <w:rsid w:val="21810EFB"/>
    <w:rsid w:val="218A3047"/>
    <w:rsid w:val="218F0957"/>
    <w:rsid w:val="219715AE"/>
    <w:rsid w:val="219750A0"/>
    <w:rsid w:val="219D047F"/>
    <w:rsid w:val="21A329BA"/>
    <w:rsid w:val="21B20A39"/>
    <w:rsid w:val="21BB79EF"/>
    <w:rsid w:val="21BD5007"/>
    <w:rsid w:val="21CA558A"/>
    <w:rsid w:val="21DE0DD2"/>
    <w:rsid w:val="21DF0E51"/>
    <w:rsid w:val="21EA7A2A"/>
    <w:rsid w:val="21EF407C"/>
    <w:rsid w:val="21F961C3"/>
    <w:rsid w:val="220106D9"/>
    <w:rsid w:val="2201708C"/>
    <w:rsid w:val="22054661"/>
    <w:rsid w:val="221548E5"/>
    <w:rsid w:val="22155D5E"/>
    <w:rsid w:val="22162B37"/>
    <w:rsid w:val="221A365E"/>
    <w:rsid w:val="22250062"/>
    <w:rsid w:val="2226421E"/>
    <w:rsid w:val="222B1664"/>
    <w:rsid w:val="2230171F"/>
    <w:rsid w:val="223363F5"/>
    <w:rsid w:val="22351DE9"/>
    <w:rsid w:val="22484CBB"/>
    <w:rsid w:val="224A18E5"/>
    <w:rsid w:val="225223AA"/>
    <w:rsid w:val="2257732A"/>
    <w:rsid w:val="225A3DCE"/>
    <w:rsid w:val="2268710B"/>
    <w:rsid w:val="226B3A41"/>
    <w:rsid w:val="226C59BD"/>
    <w:rsid w:val="2283355B"/>
    <w:rsid w:val="22843107"/>
    <w:rsid w:val="229A4F3B"/>
    <w:rsid w:val="229C5B9B"/>
    <w:rsid w:val="22AC2458"/>
    <w:rsid w:val="22B222B9"/>
    <w:rsid w:val="22BA63DA"/>
    <w:rsid w:val="22CA56D0"/>
    <w:rsid w:val="22CB1226"/>
    <w:rsid w:val="22CB3798"/>
    <w:rsid w:val="22D32730"/>
    <w:rsid w:val="22E22A19"/>
    <w:rsid w:val="22EB3FC4"/>
    <w:rsid w:val="22F1429A"/>
    <w:rsid w:val="22F26306"/>
    <w:rsid w:val="2303104A"/>
    <w:rsid w:val="2312765E"/>
    <w:rsid w:val="23221A05"/>
    <w:rsid w:val="233B39AD"/>
    <w:rsid w:val="233C46C9"/>
    <w:rsid w:val="23413D13"/>
    <w:rsid w:val="23483118"/>
    <w:rsid w:val="234A7B92"/>
    <w:rsid w:val="234F405E"/>
    <w:rsid w:val="23530D86"/>
    <w:rsid w:val="235A2EF8"/>
    <w:rsid w:val="23614F24"/>
    <w:rsid w:val="23667489"/>
    <w:rsid w:val="237040AA"/>
    <w:rsid w:val="237F4F9E"/>
    <w:rsid w:val="238330B5"/>
    <w:rsid w:val="239C0C8D"/>
    <w:rsid w:val="23A81EB5"/>
    <w:rsid w:val="23A83C63"/>
    <w:rsid w:val="23B40EE0"/>
    <w:rsid w:val="23B95E70"/>
    <w:rsid w:val="23BA3996"/>
    <w:rsid w:val="23C9261C"/>
    <w:rsid w:val="23CA2971"/>
    <w:rsid w:val="23DA6859"/>
    <w:rsid w:val="23DC5846"/>
    <w:rsid w:val="23F0449E"/>
    <w:rsid w:val="2404503A"/>
    <w:rsid w:val="240772AA"/>
    <w:rsid w:val="24091E96"/>
    <w:rsid w:val="24194B61"/>
    <w:rsid w:val="241B0143"/>
    <w:rsid w:val="241D439D"/>
    <w:rsid w:val="244E2BAF"/>
    <w:rsid w:val="24552F34"/>
    <w:rsid w:val="245B0CD5"/>
    <w:rsid w:val="246E02FC"/>
    <w:rsid w:val="246F7D68"/>
    <w:rsid w:val="24832D6D"/>
    <w:rsid w:val="24863CE1"/>
    <w:rsid w:val="24881E0B"/>
    <w:rsid w:val="249D477C"/>
    <w:rsid w:val="24A21197"/>
    <w:rsid w:val="24A86D25"/>
    <w:rsid w:val="24AD7057"/>
    <w:rsid w:val="24AE25E4"/>
    <w:rsid w:val="24AE27A9"/>
    <w:rsid w:val="24AF2A4F"/>
    <w:rsid w:val="24BB1774"/>
    <w:rsid w:val="24CD7D8A"/>
    <w:rsid w:val="24CE7807"/>
    <w:rsid w:val="24D16B39"/>
    <w:rsid w:val="24DB0068"/>
    <w:rsid w:val="24DE5462"/>
    <w:rsid w:val="24E757FC"/>
    <w:rsid w:val="24EC2E7D"/>
    <w:rsid w:val="24EF14C1"/>
    <w:rsid w:val="24F304CB"/>
    <w:rsid w:val="24FE2F6B"/>
    <w:rsid w:val="24FE5B05"/>
    <w:rsid w:val="250550E5"/>
    <w:rsid w:val="25123BD1"/>
    <w:rsid w:val="251D7E40"/>
    <w:rsid w:val="25263D54"/>
    <w:rsid w:val="252D0733"/>
    <w:rsid w:val="254B5FC3"/>
    <w:rsid w:val="254E4396"/>
    <w:rsid w:val="255319AC"/>
    <w:rsid w:val="25544DD0"/>
    <w:rsid w:val="255663BE"/>
    <w:rsid w:val="25575658"/>
    <w:rsid w:val="25582588"/>
    <w:rsid w:val="255F5E88"/>
    <w:rsid w:val="25672EFA"/>
    <w:rsid w:val="256D4BB8"/>
    <w:rsid w:val="25777D91"/>
    <w:rsid w:val="257D304D"/>
    <w:rsid w:val="25861BE4"/>
    <w:rsid w:val="25925B38"/>
    <w:rsid w:val="25AB68E9"/>
    <w:rsid w:val="25AC730F"/>
    <w:rsid w:val="25B83F05"/>
    <w:rsid w:val="25BC72A3"/>
    <w:rsid w:val="25D0124F"/>
    <w:rsid w:val="25D02118"/>
    <w:rsid w:val="25D02FFD"/>
    <w:rsid w:val="25DA0320"/>
    <w:rsid w:val="25E27E7E"/>
    <w:rsid w:val="25FC0296"/>
    <w:rsid w:val="26041576"/>
    <w:rsid w:val="26162C9C"/>
    <w:rsid w:val="26217CFD"/>
    <w:rsid w:val="26323CB8"/>
    <w:rsid w:val="264964F6"/>
    <w:rsid w:val="264B7BF8"/>
    <w:rsid w:val="264C43EE"/>
    <w:rsid w:val="265C00FB"/>
    <w:rsid w:val="266709E2"/>
    <w:rsid w:val="26711414"/>
    <w:rsid w:val="26735BEC"/>
    <w:rsid w:val="26762ADF"/>
    <w:rsid w:val="267C6B2D"/>
    <w:rsid w:val="267D2C95"/>
    <w:rsid w:val="2680425B"/>
    <w:rsid w:val="268121BE"/>
    <w:rsid w:val="26865DB2"/>
    <w:rsid w:val="26880E9B"/>
    <w:rsid w:val="268D5392"/>
    <w:rsid w:val="26937EB8"/>
    <w:rsid w:val="26976211"/>
    <w:rsid w:val="269D4068"/>
    <w:rsid w:val="26A162B9"/>
    <w:rsid w:val="26A677A2"/>
    <w:rsid w:val="26AE0DB6"/>
    <w:rsid w:val="26B81C9C"/>
    <w:rsid w:val="26BD4C0A"/>
    <w:rsid w:val="26C012C4"/>
    <w:rsid w:val="26D7520B"/>
    <w:rsid w:val="26D92385"/>
    <w:rsid w:val="26DF76F3"/>
    <w:rsid w:val="26E342B8"/>
    <w:rsid w:val="26E56F7C"/>
    <w:rsid w:val="26E96CED"/>
    <w:rsid w:val="26EC030B"/>
    <w:rsid w:val="26F747B3"/>
    <w:rsid w:val="26F83F35"/>
    <w:rsid w:val="27040205"/>
    <w:rsid w:val="27124FEB"/>
    <w:rsid w:val="27167136"/>
    <w:rsid w:val="27190705"/>
    <w:rsid w:val="271B1F10"/>
    <w:rsid w:val="271B7282"/>
    <w:rsid w:val="272B3E84"/>
    <w:rsid w:val="272B613E"/>
    <w:rsid w:val="273738CF"/>
    <w:rsid w:val="27401022"/>
    <w:rsid w:val="27402C58"/>
    <w:rsid w:val="27530322"/>
    <w:rsid w:val="27670468"/>
    <w:rsid w:val="27764078"/>
    <w:rsid w:val="278242F5"/>
    <w:rsid w:val="27866998"/>
    <w:rsid w:val="278B242D"/>
    <w:rsid w:val="278F0C96"/>
    <w:rsid w:val="279C477A"/>
    <w:rsid w:val="27B4466B"/>
    <w:rsid w:val="27B510B5"/>
    <w:rsid w:val="27BA2F03"/>
    <w:rsid w:val="27C16684"/>
    <w:rsid w:val="27D90F7D"/>
    <w:rsid w:val="27F35A3F"/>
    <w:rsid w:val="27FA68BD"/>
    <w:rsid w:val="28017DE6"/>
    <w:rsid w:val="2818185A"/>
    <w:rsid w:val="281C3EDC"/>
    <w:rsid w:val="281C4C20"/>
    <w:rsid w:val="2827335C"/>
    <w:rsid w:val="28355CE1"/>
    <w:rsid w:val="283E7344"/>
    <w:rsid w:val="28474933"/>
    <w:rsid w:val="284E6F27"/>
    <w:rsid w:val="2858552C"/>
    <w:rsid w:val="285E0D94"/>
    <w:rsid w:val="28757CF8"/>
    <w:rsid w:val="287700A8"/>
    <w:rsid w:val="28772BE3"/>
    <w:rsid w:val="287D7D0C"/>
    <w:rsid w:val="28903723"/>
    <w:rsid w:val="28961E30"/>
    <w:rsid w:val="289A53C6"/>
    <w:rsid w:val="28A271D5"/>
    <w:rsid w:val="28A349F9"/>
    <w:rsid w:val="28A864B3"/>
    <w:rsid w:val="28A86680"/>
    <w:rsid w:val="28AC2DD8"/>
    <w:rsid w:val="28B01D1E"/>
    <w:rsid w:val="28B9393E"/>
    <w:rsid w:val="28BC3105"/>
    <w:rsid w:val="28C204A5"/>
    <w:rsid w:val="28C54C0D"/>
    <w:rsid w:val="28CD7CC8"/>
    <w:rsid w:val="28D63020"/>
    <w:rsid w:val="28E05563"/>
    <w:rsid w:val="28E100AF"/>
    <w:rsid w:val="28E8588A"/>
    <w:rsid w:val="28F15BD8"/>
    <w:rsid w:val="28F72937"/>
    <w:rsid w:val="28FA7630"/>
    <w:rsid w:val="29090626"/>
    <w:rsid w:val="29112ED6"/>
    <w:rsid w:val="29183639"/>
    <w:rsid w:val="291B4E46"/>
    <w:rsid w:val="294D5FEE"/>
    <w:rsid w:val="29543B2C"/>
    <w:rsid w:val="296E7531"/>
    <w:rsid w:val="29734F00"/>
    <w:rsid w:val="29746AF3"/>
    <w:rsid w:val="298011DE"/>
    <w:rsid w:val="29852351"/>
    <w:rsid w:val="298B2D5A"/>
    <w:rsid w:val="298D2B9D"/>
    <w:rsid w:val="298F1421"/>
    <w:rsid w:val="299B7267"/>
    <w:rsid w:val="299E316C"/>
    <w:rsid w:val="29A72BFB"/>
    <w:rsid w:val="29A86228"/>
    <w:rsid w:val="29AA5C94"/>
    <w:rsid w:val="29AF291A"/>
    <w:rsid w:val="29B008C0"/>
    <w:rsid w:val="29B3119E"/>
    <w:rsid w:val="29C130D3"/>
    <w:rsid w:val="29E277A3"/>
    <w:rsid w:val="29F3304F"/>
    <w:rsid w:val="29F45DED"/>
    <w:rsid w:val="29FC4BC7"/>
    <w:rsid w:val="2A09652C"/>
    <w:rsid w:val="2A111ACF"/>
    <w:rsid w:val="2A231E00"/>
    <w:rsid w:val="2A2C28AB"/>
    <w:rsid w:val="2A2D7DF7"/>
    <w:rsid w:val="2A303C0E"/>
    <w:rsid w:val="2A406EBE"/>
    <w:rsid w:val="2A421663"/>
    <w:rsid w:val="2A5047A7"/>
    <w:rsid w:val="2A5561C7"/>
    <w:rsid w:val="2A575F6A"/>
    <w:rsid w:val="2A5F4599"/>
    <w:rsid w:val="2A6F465F"/>
    <w:rsid w:val="2A796CD0"/>
    <w:rsid w:val="2A7C5075"/>
    <w:rsid w:val="2A857DA1"/>
    <w:rsid w:val="2A903579"/>
    <w:rsid w:val="2A9B72D8"/>
    <w:rsid w:val="2A9D36CA"/>
    <w:rsid w:val="2AB105A8"/>
    <w:rsid w:val="2ABC3498"/>
    <w:rsid w:val="2ABE4C3D"/>
    <w:rsid w:val="2AC05D36"/>
    <w:rsid w:val="2AC21F1E"/>
    <w:rsid w:val="2AC358D9"/>
    <w:rsid w:val="2AC4768B"/>
    <w:rsid w:val="2AC67A3B"/>
    <w:rsid w:val="2AD01CF1"/>
    <w:rsid w:val="2AD30322"/>
    <w:rsid w:val="2AD66796"/>
    <w:rsid w:val="2AF007E4"/>
    <w:rsid w:val="2AFE69D8"/>
    <w:rsid w:val="2B0227B4"/>
    <w:rsid w:val="2B0F29B5"/>
    <w:rsid w:val="2B1C4BAB"/>
    <w:rsid w:val="2B1E1CFA"/>
    <w:rsid w:val="2B2C33CC"/>
    <w:rsid w:val="2B34487A"/>
    <w:rsid w:val="2B434264"/>
    <w:rsid w:val="2B483C9E"/>
    <w:rsid w:val="2B5F7125"/>
    <w:rsid w:val="2B5F7F28"/>
    <w:rsid w:val="2B656169"/>
    <w:rsid w:val="2B6A39AF"/>
    <w:rsid w:val="2B6B4122"/>
    <w:rsid w:val="2B726FF9"/>
    <w:rsid w:val="2B786611"/>
    <w:rsid w:val="2B806EDE"/>
    <w:rsid w:val="2B836D64"/>
    <w:rsid w:val="2B9152B1"/>
    <w:rsid w:val="2B954E3D"/>
    <w:rsid w:val="2BB13721"/>
    <w:rsid w:val="2BB77190"/>
    <w:rsid w:val="2BBC53B4"/>
    <w:rsid w:val="2BDB094E"/>
    <w:rsid w:val="2BDD5D86"/>
    <w:rsid w:val="2BE55328"/>
    <w:rsid w:val="2BF65788"/>
    <w:rsid w:val="2BFF2BD4"/>
    <w:rsid w:val="2C083A0B"/>
    <w:rsid w:val="2C204F13"/>
    <w:rsid w:val="2C2E728C"/>
    <w:rsid w:val="2C322CE5"/>
    <w:rsid w:val="2C393A47"/>
    <w:rsid w:val="2C3F5034"/>
    <w:rsid w:val="2C401F63"/>
    <w:rsid w:val="2C4464F3"/>
    <w:rsid w:val="2C4A407F"/>
    <w:rsid w:val="2C532462"/>
    <w:rsid w:val="2C7440E3"/>
    <w:rsid w:val="2C833019"/>
    <w:rsid w:val="2C842D93"/>
    <w:rsid w:val="2C8B5ED0"/>
    <w:rsid w:val="2C9019DF"/>
    <w:rsid w:val="2C907388"/>
    <w:rsid w:val="2C9E20A7"/>
    <w:rsid w:val="2CA21912"/>
    <w:rsid w:val="2CA927FA"/>
    <w:rsid w:val="2CAC2E79"/>
    <w:rsid w:val="2CB371D5"/>
    <w:rsid w:val="2CBC04A2"/>
    <w:rsid w:val="2CCA5DB2"/>
    <w:rsid w:val="2CD465A8"/>
    <w:rsid w:val="2CD77D84"/>
    <w:rsid w:val="2CE649EF"/>
    <w:rsid w:val="2CEB299B"/>
    <w:rsid w:val="2CF85B24"/>
    <w:rsid w:val="2CF9225E"/>
    <w:rsid w:val="2CFC0B7C"/>
    <w:rsid w:val="2CFD6DC5"/>
    <w:rsid w:val="2D00683E"/>
    <w:rsid w:val="2D050128"/>
    <w:rsid w:val="2D0837DC"/>
    <w:rsid w:val="2D0B5263"/>
    <w:rsid w:val="2D0E1146"/>
    <w:rsid w:val="2D0F6597"/>
    <w:rsid w:val="2D1050E9"/>
    <w:rsid w:val="2D2E1BD0"/>
    <w:rsid w:val="2D3020A3"/>
    <w:rsid w:val="2D340393"/>
    <w:rsid w:val="2D340D88"/>
    <w:rsid w:val="2D3B19BB"/>
    <w:rsid w:val="2D3C0C46"/>
    <w:rsid w:val="2D454904"/>
    <w:rsid w:val="2D467F89"/>
    <w:rsid w:val="2D5B1D46"/>
    <w:rsid w:val="2D650E53"/>
    <w:rsid w:val="2D66427A"/>
    <w:rsid w:val="2D6D7CCB"/>
    <w:rsid w:val="2D7115E9"/>
    <w:rsid w:val="2D727CFA"/>
    <w:rsid w:val="2D750D4B"/>
    <w:rsid w:val="2D7A230F"/>
    <w:rsid w:val="2D804C1A"/>
    <w:rsid w:val="2D887DD9"/>
    <w:rsid w:val="2D8C2502"/>
    <w:rsid w:val="2D8D306A"/>
    <w:rsid w:val="2D913DED"/>
    <w:rsid w:val="2D914AEC"/>
    <w:rsid w:val="2D990A5E"/>
    <w:rsid w:val="2D9F11BC"/>
    <w:rsid w:val="2DA01E4F"/>
    <w:rsid w:val="2DA84860"/>
    <w:rsid w:val="2DAA0707"/>
    <w:rsid w:val="2DAC4350"/>
    <w:rsid w:val="2DAF3E40"/>
    <w:rsid w:val="2DC84F02"/>
    <w:rsid w:val="2DE64EBA"/>
    <w:rsid w:val="2DE802AD"/>
    <w:rsid w:val="2DE83719"/>
    <w:rsid w:val="2DE955A4"/>
    <w:rsid w:val="2DF26DB4"/>
    <w:rsid w:val="2DF30B03"/>
    <w:rsid w:val="2DFD6962"/>
    <w:rsid w:val="2E0375D3"/>
    <w:rsid w:val="2E0974D4"/>
    <w:rsid w:val="2E0A2FC6"/>
    <w:rsid w:val="2E0A7B32"/>
    <w:rsid w:val="2E0F6966"/>
    <w:rsid w:val="2E121A85"/>
    <w:rsid w:val="2E183793"/>
    <w:rsid w:val="2E1B3283"/>
    <w:rsid w:val="2E2627B5"/>
    <w:rsid w:val="2E284A91"/>
    <w:rsid w:val="2E377418"/>
    <w:rsid w:val="2E381C50"/>
    <w:rsid w:val="2E3C7A20"/>
    <w:rsid w:val="2E3F64A3"/>
    <w:rsid w:val="2E516CA5"/>
    <w:rsid w:val="2E552E83"/>
    <w:rsid w:val="2E6331BE"/>
    <w:rsid w:val="2E644C2A"/>
    <w:rsid w:val="2E70537D"/>
    <w:rsid w:val="2E7E549C"/>
    <w:rsid w:val="2E920D98"/>
    <w:rsid w:val="2EA74F96"/>
    <w:rsid w:val="2EB37FE1"/>
    <w:rsid w:val="2EB75385"/>
    <w:rsid w:val="2EB84F76"/>
    <w:rsid w:val="2EBC3569"/>
    <w:rsid w:val="2ECE7B9B"/>
    <w:rsid w:val="2ED037FD"/>
    <w:rsid w:val="2ED11B32"/>
    <w:rsid w:val="2EE1627B"/>
    <w:rsid w:val="2EE27BD3"/>
    <w:rsid w:val="2EE74466"/>
    <w:rsid w:val="2EFC1797"/>
    <w:rsid w:val="2EFE507F"/>
    <w:rsid w:val="2F0054EF"/>
    <w:rsid w:val="2F034443"/>
    <w:rsid w:val="2F0A6D7A"/>
    <w:rsid w:val="2F154177"/>
    <w:rsid w:val="2F205F90"/>
    <w:rsid w:val="2F2A5E74"/>
    <w:rsid w:val="2F2F1092"/>
    <w:rsid w:val="2F3842D0"/>
    <w:rsid w:val="2F3A0A67"/>
    <w:rsid w:val="2F482CD7"/>
    <w:rsid w:val="2F4862FA"/>
    <w:rsid w:val="2F554E62"/>
    <w:rsid w:val="2F566C69"/>
    <w:rsid w:val="2F622E49"/>
    <w:rsid w:val="2F6623BB"/>
    <w:rsid w:val="2F6904A2"/>
    <w:rsid w:val="2F6A6270"/>
    <w:rsid w:val="2F792957"/>
    <w:rsid w:val="2F875074"/>
    <w:rsid w:val="2FAA2B11"/>
    <w:rsid w:val="2FAE0B39"/>
    <w:rsid w:val="2FB21F44"/>
    <w:rsid w:val="2FB63264"/>
    <w:rsid w:val="2FB827A9"/>
    <w:rsid w:val="2FBC6590"/>
    <w:rsid w:val="2FC034EE"/>
    <w:rsid w:val="2FC242FE"/>
    <w:rsid w:val="2FC71915"/>
    <w:rsid w:val="2FC9609C"/>
    <w:rsid w:val="2FD82D1B"/>
    <w:rsid w:val="2FE64263"/>
    <w:rsid w:val="2FE65397"/>
    <w:rsid w:val="2FE83639"/>
    <w:rsid w:val="2FEC56E4"/>
    <w:rsid w:val="2FEF6776"/>
    <w:rsid w:val="2FFA73AC"/>
    <w:rsid w:val="30071D11"/>
    <w:rsid w:val="30085A89"/>
    <w:rsid w:val="300D096E"/>
    <w:rsid w:val="3011493E"/>
    <w:rsid w:val="30163326"/>
    <w:rsid w:val="302505EE"/>
    <w:rsid w:val="303E1D70"/>
    <w:rsid w:val="30446AC1"/>
    <w:rsid w:val="304765B2"/>
    <w:rsid w:val="304C6D66"/>
    <w:rsid w:val="306313F8"/>
    <w:rsid w:val="30637C28"/>
    <w:rsid w:val="3066691A"/>
    <w:rsid w:val="306C7FDB"/>
    <w:rsid w:val="306E6455"/>
    <w:rsid w:val="307F1C76"/>
    <w:rsid w:val="308511BC"/>
    <w:rsid w:val="3096155A"/>
    <w:rsid w:val="309A4E14"/>
    <w:rsid w:val="309F1F4A"/>
    <w:rsid w:val="30A371B5"/>
    <w:rsid w:val="30A752A2"/>
    <w:rsid w:val="30A969F1"/>
    <w:rsid w:val="30B50BEA"/>
    <w:rsid w:val="30C44106"/>
    <w:rsid w:val="30CC52EF"/>
    <w:rsid w:val="30D15F9F"/>
    <w:rsid w:val="30D42BF6"/>
    <w:rsid w:val="30E25ECB"/>
    <w:rsid w:val="30EC0F07"/>
    <w:rsid w:val="30F60C4E"/>
    <w:rsid w:val="30FF6E8C"/>
    <w:rsid w:val="310E117E"/>
    <w:rsid w:val="31155667"/>
    <w:rsid w:val="311C32D1"/>
    <w:rsid w:val="312566B9"/>
    <w:rsid w:val="31332DED"/>
    <w:rsid w:val="31476416"/>
    <w:rsid w:val="314A6F0A"/>
    <w:rsid w:val="3150207D"/>
    <w:rsid w:val="315F1A1E"/>
    <w:rsid w:val="31687D65"/>
    <w:rsid w:val="31755E7F"/>
    <w:rsid w:val="3176279D"/>
    <w:rsid w:val="3176777A"/>
    <w:rsid w:val="31794DCD"/>
    <w:rsid w:val="317A1163"/>
    <w:rsid w:val="317E4255"/>
    <w:rsid w:val="319555EA"/>
    <w:rsid w:val="31A575B5"/>
    <w:rsid w:val="31B4543C"/>
    <w:rsid w:val="31C93112"/>
    <w:rsid w:val="31CE00C2"/>
    <w:rsid w:val="31D16A7B"/>
    <w:rsid w:val="31D73AB2"/>
    <w:rsid w:val="31E06CBE"/>
    <w:rsid w:val="31F114ED"/>
    <w:rsid w:val="3203418B"/>
    <w:rsid w:val="320A7897"/>
    <w:rsid w:val="320B1001"/>
    <w:rsid w:val="32194D4A"/>
    <w:rsid w:val="321F633F"/>
    <w:rsid w:val="322C7BB2"/>
    <w:rsid w:val="323E5792"/>
    <w:rsid w:val="32406D3A"/>
    <w:rsid w:val="3244724D"/>
    <w:rsid w:val="32475919"/>
    <w:rsid w:val="32523083"/>
    <w:rsid w:val="32661263"/>
    <w:rsid w:val="32693681"/>
    <w:rsid w:val="326D7632"/>
    <w:rsid w:val="327C4B93"/>
    <w:rsid w:val="328238D1"/>
    <w:rsid w:val="32870EE7"/>
    <w:rsid w:val="32942519"/>
    <w:rsid w:val="329554AB"/>
    <w:rsid w:val="32AC7425"/>
    <w:rsid w:val="32B9170B"/>
    <w:rsid w:val="32C4213C"/>
    <w:rsid w:val="32CB171C"/>
    <w:rsid w:val="32CD2946"/>
    <w:rsid w:val="32CF7B4E"/>
    <w:rsid w:val="32DD122E"/>
    <w:rsid w:val="32F02AAA"/>
    <w:rsid w:val="32F87C66"/>
    <w:rsid w:val="32F92709"/>
    <w:rsid w:val="32FD63EA"/>
    <w:rsid w:val="330A5190"/>
    <w:rsid w:val="330E3F00"/>
    <w:rsid w:val="33124708"/>
    <w:rsid w:val="33131907"/>
    <w:rsid w:val="332437D8"/>
    <w:rsid w:val="332F2645"/>
    <w:rsid w:val="3333138D"/>
    <w:rsid w:val="333A0650"/>
    <w:rsid w:val="334E5D5A"/>
    <w:rsid w:val="33576830"/>
    <w:rsid w:val="3358156C"/>
    <w:rsid w:val="335B22B0"/>
    <w:rsid w:val="337B2B33"/>
    <w:rsid w:val="337C550B"/>
    <w:rsid w:val="33896EE1"/>
    <w:rsid w:val="33B26427"/>
    <w:rsid w:val="33B3702F"/>
    <w:rsid w:val="33C341A1"/>
    <w:rsid w:val="33C56533"/>
    <w:rsid w:val="33D13793"/>
    <w:rsid w:val="33EC3263"/>
    <w:rsid w:val="33F24A86"/>
    <w:rsid w:val="33F3230C"/>
    <w:rsid w:val="340A3EA7"/>
    <w:rsid w:val="34333D66"/>
    <w:rsid w:val="3434233A"/>
    <w:rsid w:val="3439166F"/>
    <w:rsid w:val="344A597B"/>
    <w:rsid w:val="345319C9"/>
    <w:rsid w:val="345C7433"/>
    <w:rsid w:val="346516FC"/>
    <w:rsid w:val="34653F05"/>
    <w:rsid w:val="34667B96"/>
    <w:rsid w:val="34692F9B"/>
    <w:rsid w:val="346D47E3"/>
    <w:rsid w:val="347113E2"/>
    <w:rsid w:val="347418D4"/>
    <w:rsid w:val="34790875"/>
    <w:rsid w:val="348776E4"/>
    <w:rsid w:val="349255C1"/>
    <w:rsid w:val="34992B04"/>
    <w:rsid w:val="34A36CAE"/>
    <w:rsid w:val="34A44BB9"/>
    <w:rsid w:val="34A54BD2"/>
    <w:rsid w:val="34B14942"/>
    <w:rsid w:val="34B26747"/>
    <w:rsid w:val="34C223F7"/>
    <w:rsid w:val="34CE1050"/>
    <w:rsid w:val="34D461B6"/>
    <w:rsid w:val="34D621F6"/>
    <w:rsid w:val="350411D9"/>
    <w:rsid w:val="35145B72"/>
    <w:rsid w:val="351975ED"/>
    <w:rsid w:val="351C625F"/>
    <w:rsid w:val="351C6EEB"/>
    <w:rsid w:val="352A46F1"/>
    <w:rsid w:val="35383BE7"/>
    <w:rsid w:val="3538471B"/>
    <w:rsid w:val="353C32BB"/>
    <w:rsid w:val="353C386D"/>
    <w:rsid w:val="356847E1"/>
    <w:rsid w:val="35764E69"/>
    <w:rsid w:val="357C6CFE"/>
    <w:rsid w:val="358833D3"/>
    <w:rsid w:val="359207AA"/>
    <w:rsid w:val="35A02D1F"/>
    <w:rsid w:val="35A40002"/>
    <w:rsid w:val="35B44123"/>
    <w:rsid w:val="35B446E9"/>
    <w:rsid w:val="35BA2EB3"/>
    <w:rsid w:val="35BC17F0"/>
    <w:rsid w:val="35BF6BEA"/>
    <w:rsid w:val="35C12CB5"/>
    <w:rsid w:val="35E25B61"/>
    <w:rsid w:val="35E328D9"/>
    <w:rsid w:val="35EA0C71"/>
    <w:rsid w:val="35EA0E10"/>
    <w:rsid w:val="35ED30FE"/>
    <w:rsid w:val="35FC399A"/>
    <w:rsid w:val="360538C4"/>
    <w:rsid w:val="36090138"/>
    <w:rsid w:val="360A234A"/>
    <w:rsid w:val="360C16FF"/>
    <w:rsid w:val="36152A7C"/>
    <w:rsid w:val="361E134D"/>
    <w:rsid w:val="3627310D"/>
    <w:rsid w:val="3628141C"/>
    <w:rsid w:val="36282385"/>
    <w:rsid w:val="36366925"/>
    <w:rsid w:val="363C023B"/>
    <w:rsid w:val="363D0446"/>
    <w:rsid w:val="36446247"/>
    <w:rsid w:val="36743195"/>
    <w:rsid w:val="36783969"/>
    <w:rsid w:val="367E60DF"/>
    <w:rsid w:val="368A544A"/>
    <w:rsid w:val="368E5920"/>
    <w:rsid w:val="368F6E62"/>
    <w:rsid w:val="369342FF"/>
    <w:rsid w:val="369D117B"/>
    <w:rsid w:val="36A101AE"/>
    <w:rsid w:val="36A2002D"/>
    <w:rsid w:val="36AF4EB1"/>
    <w:rsid w:val="36BD75CE"/>
    <w:rsid w:val="36C62C57"/>
    <w:rsid w:val="36DD557A"/>
    <w:rsid w:val="36E301FD"/>
    <w:rsid w:val="36E67F78"/>
    <w:rsid w:val="36E855B4"/>
    <w:rsid w:val="36F86858"/>
    <w:rsid w:val="3703372E"/>
    <w:rsid w:val="370E7B58"/>
    <w:rsid w:val="3711264A"/>
    <w:rsid w:val="37193D2F"/>
    <w:rsid w:val="371F4BBF"/>
    <w:rsid w:val="37303D59"/>
    <w:rsid w:val="37305314"/>
    <w:rsid w:val="37433A28"/>
    <w:rsid w:val="37497A2D"/>
    <w:rsid w:val="375A66B6"/>
    <w:rsid w:val="375B3648"/>
    <w:rsid w:val="377409E6"/>
    <w:rsid w:val="37755E86"/>
    <w:rsid w:val="377C0A7B"/>
    <w:rsid w:val="37812EE9"/>
    <w:rsid w:val="378458F5"/>
    <w:rsid w:val="378645A5"/>
    <w:rsid w:val="37932920"/>
    <w:rsid w:val="379E147D"/>
    <w:rsid w:val="37A93461"/>
    <w:rsid w:val="37B704C1"/>
    <w:rsid w:val="37B95FE7"/>
    <w:rsid w:val="37C84F19"/>
    <w:rsid w:val="37CE75B8"/>
    <w:rsid w:val="37D270A9"/>
    <w:rsid w:val="37F007A1"/>
    <w:rsid w:val="37F97E78"/>
    <w:rsid w:val="3821593A"/>
    <w:rsid w:val="38277121"/>
    <w:rsid w:val="38514471"/>
    <w:rsid w:val="385E05CD"/>
    <w:rsid w:val="387B4274"/>
    <w:rsid w:val="387C21C9"/>
    <w:rsid w:val="387F4EE2"/>
    <w:rsid w:val="38826C12"/>
    <w:rsid w:val="38871C41"/>
    <w:rsid w:val="388B0A6E"/>
    <w:rsid w:val="38963FD0"/>
    <w:rsid w:val="38A50319"/>
    <w:rsid w:val="38AB6B1C"/>
    <w:rsid w:val="38AE3672"/>
    <w:rsid w:val="38B01BBE"/>
    <w:rsid w:val="38BF4D51"/>
    <w:rsid w:val="38C7177E"/>
    <w:rsid w:val="38D13A7E"/>
    <w:rsid w:val="38D359D5"/>
    <w:rsid w:val="38FD3E94"/>
    <w:rsid w:val="38FE17E0"/>
    <w:rsid w:val="39033AF8"/>
    <w:rsid w:val="390E0EFB"/>
    <w:rsid w:val="392425BE"/>
    <w:rsid w:val="393A4A07"/>
    <w:rsid w:val="39605C72"/>
    <w:rsid w:val="39682ADB"/>
    <w:rsid w:val="39811775"/>
    <w:rsid w:val="398F7CA7"/>
    <w:rsid w:val="3995059C"/>
    <w:rsid w:val="39986581"/>
    <w:rsid w:val="39AD6F07"/>
    <w:rsid w:val="39BC2B51"/>
    <w:rsid w:val="39C150B7"/>
    <w:rsid w:val="39C90037"/>
    <w:rsid w:val="39CF6183"/>
    <w:rsid w:val="39D15594"/>
    <w:rsid w:val="39E62997"/>
    <w:rsid w:val="39EB371B"/>
    <w:rsid w:val="39EE420F"/>
    <w:rsid w:val="39F160C9"/>
    <w:rsid w:val="39F83E2E"/>
    <w:rsid w:val="39F94DC1"/>
    <w:rsid w:val="39FD5F33"/>
    <w:rsid w:val="39FF3B21"/>
    <w:rsid w:val="3A0C36D3"/>
    <w:rsid w:val="3A0E6217"/>
    <w:rsid w:val="3A101F59"/>
    <w:rsid w:val="3A2C1C63"/>
    <w:rsid w:val="3A346732"/>
    <w:rsid w:val="3A3913E2"/>
    <w:rsid w:val="3A4A662E"/>
    <w:rsid w:val="3A4C35B7"/>
    <w:rsid w:val="3A52131F"/>
    <w:rsid w:val="3A5860DF"/>
    <w:rsid w:val="3A6E0437"/>
    <w:rsid w:val="3A804B9A"/>
    <w:rsid w:val="3A816B64"/>
    <w:rsid w:val="3A822B01"/>
    <w:rsid w:val="3A900B55"/>
    <w:rsid w:val="3A95616C"/>
    <w:rsid w:val="3A977DBC"/>
    <w:rsid w:val="3A9C053F"/>
    <w:rsid w:val="3A9C5673"/>
    <w:rsid w:val="3AA21F1A"/>
    <w:rsid w:val="3AA80595"/>
    <w:rsid w:val="3AAF36D1"/>
    <w:rsid w:val="3AB018E2"/>
    <w:rsid w:val="3AC46690"/>
    <w:rsid w:val="3ACB4A2F"/>
    <w:rsid w:val="3AD43138"/>
    <w:rsid w:val="3AD72CD2"/>
    <w:rsid w:val="3AE346F3"/>
    <w:rsid w:val="3AF235BE"/>
    <w:rsid w:val="3AF630AE"/>
    <w:rsid w:val="3AFD3E13"/>
    <w:rsid w:val="3AFD48DB"/>
    <w:rsid w:val="3B003F2D"/>
    <w:rsid w:val="3B005CDB"/>
    <w:rsid w:val="3B017987"/>
    <w:rsid w:val="3B1A3241"/>
    <w:rsid w:val="3B1E6D99"/>
    <w:rsid w:val="3B2319C9"/>
    <w:rsid w:val="3B3B31B7"/>
    <w:rsid w:val="3B3B36F1"/>
    <w:rsid w:val="3B5165B3"/>
    <w:rsid w:val="3B653D90"/>
    <w:rsid w:val="3B6E70E8"/>
    <w:rsid w:val="3B8C62D6"/>
    <w:rsid w:val="3B933667"/>
    <w:rsid w:val="3B9F54F4"/>
    <w:rsid w:val="3BAC736A"/>
    <w:rsid w:val="3BB3183E"/>
    <w:rsid w:val="3BB84807"/>
    <w:rsid w:val="3BC62A80"/>
    <w:rsid w:val="3BC82BB4"/>
    <w:rsid w:val="3BC85A7E"/>
    <w:rsid w:val="3BCA412D"/>
    <w:rsid w:val="3BDC6748"/>
    <w:rsid w:val="3BEA4D45"/>
    <w:rsid w:val="3C027831"/>
    <w:rsid w:val="3C03644E"/>
    <w:rsid w:val="3C045F6C"/>
    <w:rsid w:val="3C0A2A41"/>
    <w:rsid w:val="3C1C0620"/>
    <w:rsid w:val="3C1F3408"/>
    <w:rsid w:val="3C1F3C13"/>
    <w:rsid w:val="3C21649D"/>
    <w:rsid w:val="3C245D0D"/>
    <w:rsid w:val="3C27547D"/>
    <w:rsid w:val="3C2D67DC"/>
    <w:rsid w:val="3C3025F0"/>
    <w:rsid w:val="3C37393C"/>
    <w:rsid w:val="3C380227"/>
    <w:rsid w:val="3C452454"/>
    <w:rsid w:val="3C517860"/>
    <w:rsid w:val="3C5A5BA6"/>
    <w:rsid w:val="3C5E7A15"/>
    <w:rsid w:val="3C654DB3"/>
    <w:rsid w:val="3C793F97"/>
    <w:rsid w:val="3C83601E"/>
    <w:rsid w:val="3C8E413E"/>
    <w:rsid w:val="3C93049A"/>
    <w:rsid w:val="3CAA7B02"/>
    <w:rsid w:val="3CAD05FD"/>
    <w:rsid w:val="3CC2241F"/>
    <w:rsid w:val="3CC4117C"/>
    <w:rsid w:val="3CD63197"/>
    <w:rsid w:val="3CDB255C"/>
    <w:rsid w:val="3CDD76E9"/>
    <w:rsid w:val="3CE874D6"/>
    <w:rsid w:val="3CEC66BD"/>
    <w:rsid w:val="3CFB274A"/>
    <w:rsid w:val="3D045264"/>
    <w:rsid w:val="3D0E510B"/>
    <w:rsid w:val="3D1540F2"/>
    <w:rsid w:val="3D1A6CCB"/>
    <w:rsid w:val="3D1B6DFC"/>
    <w:rsid w:val="3D211F38"/>
    <w:rsid w:val="3D2F77B1"/>
    <w:rsid w:val="3D332927"/>
    <w:rsid w:val="3D380EAC"/>
    <w:rsid w:val="3D486B76"/>
    <w:rsid w:val="3D4E7118"/>
    <w:rsid w:val="3D672A78"/>
    <w:rsid w:val="3D785FFC"/>
    <w:rsid w:val="3D7A6218"/>
    <w:rsid w:val="3D7B789B"/>
    <w:rsid w:val="3D7D1865"/>
    <w:rsid w:val="3D88524A"/>
    <w:rsid w:val="3D8E1413"/>
    <w:rsid w:val="3D984913"/>
    <w:rsid w:val="3DB82366"/>
    <w:rsid w:val="3DBD76E6"/>
    <w:rsid w:val="3DCB54D0"/>
    <w:rsid w:val="3DDE5988"/>
    <w:rsid w:val="3DE511B8"/>
    <w:rsid w:val="3E0A17ED"/>
    <w:rsid w:val="3E10417A"/>
    <w:rsid w:val="3E13537A"/>
    <w:rsid w:val="3E2011BA"/>
    <w:rsid w:val="3E296A6B"/>
    <w:rsid w:val="3E371A14"/>
    <w:rsid w:val="3E386B51"/>
    <w:rsid w:val="3E3A1504"/>
    <w:rsid w:val="3E473C98"/>
    <w:rsid w:val="3E5530FE"/>
    <w:rsid w:val="3E591B51"/>
    <w:rsid w:val="3E592176"/>
    <w:rsid w:val="3E5E022C"/>
    <w:rsid w:val="3E5E7D84"/>
    <w:rsid w:val="3E714241"/>
    <w:rsid w:val="3E7148E7"/>
    <w:rsid w:val="3E8310FD"/>
    <w:rsid w:val="3E8409D1"/>
    <w:rsid w:val="3E86015A"/>
    <w:rsid w:val="3E8E4943"/>
    <w:rsid w:val="3E8F5DA7"/>
    <w:rsid w:val="3E926E3F"/>
    <w:rsid w:val="3E9C6794"/>
    <w:rsid w:val="3EA032D9"/>
    <w:rsid w:val="3EBA24FA"/>
    <w:rsid w:val="3EBE3EE3"/>
    <w:rsid w:val="3EC24B63"/>
    <w:rsid w:val="3EC32EC1"/>
    <w:rsid w:val="3ECA2888"/>
    <w:rsid w:val="3ECC6D7D"/>
    <w:rsid w:val="3ED13384"/>
    <w:rsid w:val="3EE348AC"/>
    <w:rsid w:val="3EF14E0C"/>
    <w:rsid w:val="3F01301E"/>
    <w:rsid w:val="3F033FEC"/>
    <w:rsid w:val="3F0D71D7"/>
    <w:rsid w:val="3F1057D2"/>
    <w:rsid w:val="3F144ECD"/>
    <w:rsid w:val="3F3348D1"/>
    <w:rsid w:val="3F353F4A"/>
    <w:rsid w:val="3F3B1B30"/>
    <w:rsid w:val="3F40206E"/>
    <w:rsid w:val="3F402A81"/>
    <w:rsid w:val="3F467356"/>
    <w:rsid w:val="3F513661"/>
    <w:rsid w:val="3F517BC4"/>
    <w:rsid w:val="3F526E25"/>
    <w:rsid w:val="3F546091"/>
    <w:rsid w:val="3F6E5909"/>
    <w:rsid w:val="3F6F1681"/>
    <w:rsid w:val="3F7942AE"/>
    <w:rsid w:val="3F8B3419"/>
    <w:rsid w:val="3F96513E"/>
    <w:rsid w:val="3F9C31D5"/>
    <w:rsid w:val="3FA774C0"/>
    <w:rsid w:val="3FAE55EA"/>
    <w:rsid w:val="3FAF1572"/>
    <w:rsid w:val="3FB417BE"/>
    <w:rsid w:val="3FB53538"/>
    <w:rsid w:val="3FBC368E"/>
    <w:rsid w:val="3FC11F5E"/>
    <w:rsid w:val="3FD725B4"/>
    <w:rsid w:val="3FDA2F9E"/>
    <w:rsid w:val="3FDB633D"/>
    <w:rsid w:val="3FF33D1E"/>
    <w:rsid w:val="400A4965"/>
    <w:rsid w:val="400E7381"/>
    <w:rsid w:val="400E7732"/>
    <w:rsid w:val="4012098A"/>
    <w:rsid w:val="401F3BF9"/>
    <w:rsid w:val="402709BC"/>
    <w:rsid w:val="402937DB"/>
    <w:rsid w:val="402F67CE"/>
    <w:rsid w:val="40342101"/>
    <w:rsid w:val="404A1E50"/>
    <w:rsid w:val="404A6036"/>
    <w:rsid w:val="4056730F"/>
    <w:rsid w:val="405A40DF"/>
    <w:rsid w:val="405D58FE"/>
    <w:rsid w:val="405F16F6"/>
    <w:rsid w:val="40655AA2"/>
    <w:rsid w:val="406E27D1"/>
    <w:rsid w:val="407056B1"/>
    <w:rsid w:val="407D76AD"/>
    <w:rsid w:val="40833636"/>
    <w:rsid w:val="40864C2D"/>
    <w:rsid w:val="408703A1"/>
    <w:rsid w:val="408B4299"/>
    <w:rsid w:val="40A125A4"/>
    <w:rsid w:val="40AB6967"/>
    <w:rsid w:val="40B4393C"/>
    <w:rsid w:val="40B7699E"/>
    <w:rsid w:val="40C90EAA"/>
    <w:rsid w:val="40CB718C"/>
    <w:rsid w:val="40D479EE"/>
    <w:rsid w:val="40DA0D7C"/>
    <w:rsid w:val="40E770B0"/>
    <w:rsid w:val="40EA3BA5"/>
    <w:rsid w:val="40FA4F7A"/>
    <w:rsid w:val="40FC0B8B"/>
    <w:rsid w:val="4103186F"/>
    <w:rsid w:val="410C67A1"/>
    <w:rsid w:val="410F091C"/>
    <w:rsid w:val="41184819"/>
    <w:rsid w:val="41184DD1"/>
    <w:rsid w:val="411E510D"/>
    <w:rsid w:val="41230B23"/>
    <w:rsid w:val="412D35A2"/>
    <w:rsid w:val="412E4AB4"/>
    <w:rsid w:val="413B181B"/>
    <w:rsid w:val="414175DC"/>
    <w:rsid w:val="41465248"/>
    <w:rsid w:val="414C7BED"/>
    <w:rsid w:val="414D5B0F"/>
    <w:rsid w:val="414E29EF"/>
    <w:rsid w:val="415B4AF2"/>
    <w:rsid w:val="4162324B"/>
    <w:rsid w:val="4177663F"/>
    <w:rsid w:val="41780CC1"/>
    <w:rsid w:val="41786A61"/>
    <w:rsid w:val="417E7959"/>
    <w:rsid w:val="41807A0E"/>
    <w:rsid w:val="418674D3"/>
    <w:rsid w:val="418F1CB1"/>
    <w:rsid w:val="41914247"/>
    <w:rsid w:val="41AA6042"/>
    <w:rsid w:val="41AD051F"/>
    <w:rsid w:val="41AE376E"/>
    <w:rsid w:val="41B50A70"/>
    <w:rsid w:val="41B676E4"/>
    <w:rsid w:val="41BB292E"/>
    <w:rsid w:val="41BE09EA"/>
    <w:rsid w:val="41E579D9"/>
    <w:rsid w:val="41E63168"/>
    <w:rsid w:val="41EE5693"/>
    <w:rsid w:val="420A743F"/>
    <w:rsid w:val="421156DC"/>
    <w:rsid w:val="422425C9"/>
    <w:rsid w:val="422613EE"/>
    <w:rsid w:val="42283FB0"/>
    <w:rsid w:val="4234073A"/>
    <w:rsid w:val="423F533B"/>
    <w:rsid w:val="42422DD9"/>
    <w:rsid w:val="424256D3"/>
    <w:rsid w:val="424D3E68"/>
    <w:rsid w:val="425973CB"/>
    <w:rsid w:val="425D6F3F"/>
    <w:rsid w:val="42607A93"/>
    <w:rsid w:val="426F381D"/>
    <w:rsid w:val="42823479"/>
    <w:rsid w:val="429C453B"/>
    <w:rsid w:val="429D4C7E"/>
    <w:rsid w:val="42A17571"/>
    <w:rsid w:val="42A41642"/>
    <w:rsid w:val="42A41D7A"/>
    <w:rsid w:val="42A571A6"/>
    <w:rsid w:val="42AA3441"/>
    <w:rsid w:val="42AA7468"/>
    <w:rsid w:val="42B10DDF"/>
    <w:rsid w:val="42B21FB1"/>
    <w:rsid w:val="42B33FA8"/>
    <w:rsid w:val="42B71D1D"/>
    <w:rsid w:val="42BA5045"/>
    <w:rsid w:val="42C55CA9"/>
    <w:rsid w:val="42D12262"/>
    <w:rsid w:val="42D160C4"/>
    <w:rsid w:val="42D52A11"/>
    <w:rsid w:val="42D73E41"/>
    <w:rsid w:val="42DA459A"/>
    <w:rsid w:val="42DC3A7C"/>
    <w:rsid w:val="42E34C65"/>
    <w:rsid w:val="42E934A7"/>
    <w:rsid w:val="42EC0F24"/>
    <w:rsid w:val="42F25934"/>
    <w:rsid w:val="42F41450"/>
    <w:rsid w:val="42F51BC3"/>
    <w:rsid w:val="43003AC9"/>
    <w:rsid w:val="430A3B9B"/>
    <w:rsid w:val="430B1DAB"/>
    <w:rsid w:val="431315CB"/>
    <w:rsid w:val="43192030"/>
    <w:rsid w:val="43194A98"/>
    <w:rsid w:val="431D1FE9"/>
    <w:rsid w:val="4322216B"/>
    <w:rsid w:val="432A2E21"/>
    <w:rsid w:val="433149E1"/>
    <w:rsid w:val="433E6C89"/>
    <w:rsid w:val="43487189"/>
    <w:rsid w:val="434F444B"/>
    <w:rsid w:val="435B61A4"/>
    <w:rsid w:val="43602C3F"/>
    <w:rsid w:val="436358BF"/>
    <w:rsid w:val="43697862"/>
    <w:rsid w:val="436D1D09"/>
    <w:rsid w:val="438F2FCD"/>
    <w:rsid w:val="439671DC"/>
    <w:rsid w:val="439E6DDD"/>
    <w:rsid w:val="439F5542"/>
    <w:rsid w:val="43A01E09"/>
    <w:rsid w:val="43A25065"/>
    <w:rsid w:val="43AD1D66"/>
    <w:rsid w:val="43B62C2B"/>
    <w:rsid w:val="43BF1668"/>
    <w:rsid w:val="43CC0E50"/>
    <w:rsid w:val="43CD04F8"/>
    <w:rsid w:val="43D14CEC"/>
    <w:rsid w:val="43D508B0"/>
    <w:rsid w:val="43E67878"/>
    <w:rsid w:val="43E91A02"/>
    <w:rsid w:val="43EA221D"/>
    <w:rsid w:val="43EC32A0"/>
    <w:rsid w:val="43F108B7"/>
    <w:rsid w:val="43F87E97"/>
    <w:rsid w:val="440C283D"/>
    <w:rsid w:val="440E3217"/>
    <w:rsid w:val="441E2E72"/>
    <w:rsid w:val="4420242A"/>
    <w:rsid w:val="44307CFA"/>
    <w:rsid w:val="44347DAA"/>
    <w:rsid w:val="44380293"/>
    <w:rsid w:val="443E2D08"/>
    <w:rsid w:val="4444281F"/>
    <w:rsid w:val="444A30D3"/>
    <w:rsid w:val="4450382F"/>
    <w:rsid w:val="445207EF"/>
    <w:rsid w:val="44557097"/>
    <w:rsid w:val="445A3A94"/>
    <w:rsid w:val="446E63AB"/>
    <w:rsid w:val="44705C7F"/>
    <w:rsid w:val="44734B3F"/>
    <w:rsid w:val="447E5715"/>
    <w:rsid w:val="44850357"/>
    <w:rsid w:val="448654A3"/>
    <w:rsid w:val="4492209A"/>
    <w:rsid w:val="44986F84"/>
    <w:rsid w:val="449D459A"/>
    <w:rsid w:val="44B07C45"/>
    <w:rsid w:val="44B30262"/>
    <w:rsid w:val="44B56469"/>
    <w:rsid w:val="44B57B36"/>
    <w:rsid w:val="44C54606"/>
    <w:rsid w:val="44E74455"/>
    <w:rsid w:val="44FC5765"/>
    <w:rsid w:val="45091C30"/>
    <w:rsid w:val="450E00C3"/>
    <w:rsid w:val="4521611E"/>
    <w:rsid w:val="452C7121"/>
    <w:rsid w:val="452E517F"/>
    <w:rsid w:val="452F74BF"/>
    <w:rsid w:val="453675B0"/>
    <w:rsid w:val="45385419"/>
    <w:rsid w:val="45551365"/>
    <w:rsid w:val="45554E75"/>
    <w:rsid w:val="455832B8"/>
    <w:rsid w:val="455A248C"/>
    <w:rsid w:val="455B1156"/>
    <w:rsid w:val="4568342A"/>
    <w:rsid w:val="456D21BF"/>
    <w:rsid w:val="457221D3"/>
    <w:rsid w:val="457D35AE"/>
    <w:rsid w:val="457E617A"/>
    <w:rsid w:val="45820D0F"/>
    <w:rsid w:val="458B32B0"/>
    <w:rsid w:val="458D50F5"/>
    <w:rsid w:val="45915881"/>
    <w:rsid w:val="45B17A13"/>
    <w:rsid w:val="45B23946"/>
    <w:rsid w:val="45B47DEE"/>
    <w:rsid w:val="45B71398"/>
    <w:rsid w:val="45B73AD5"/>
    <w:rsid w:val="45C073B1"/>
    <w:rsid w:val="45C747BB"/>
    <w:rsid w:val="45C94BFB"/>
    <w:rsid w:val="45D1274E"/>
    <w:rsid w:val="45D70AEE"/>
    <w:rsid w:val="45D71D2E"/>
    <w:rsid w:val="45E02255"/>
    <w:rsid w:val="45E561F9"/>
    <w:rsid w:val="45EA33B3"/>
    <w:rsid w:val="45EE4A2B"/>
    <w:rsid w:val="46072613"/>
    <w:rsid w:val="460E7806"/>
    <w:rsid w:val="46283031"/>
    <w:rsid w:val="46420012"/>
    <w:rsid w:val="46441D9E"/>
    <w:rsid w:val="46446F5C"/>
    <w:rsid w:val="465515D1"/>
    <w:rsid w:val="467905F4"/>
    <w:rsid w:val="468E063F"/>
    <w:rsid w:val="469C7200"/>
    <w:rsid w:val="469E71A8"/>
    <w:rsid w:val="46A905FA"/>
    <w:rsid w:val="46BC3FB1"/>
    <w:rsid w:val="46BF2EEE"/>
    <w:rsid w:val="46C16C66"/>
    <w:rsid w:val="46C2744B"/>
    <w:rsid w:val="46D66D51"/>
    <w:rsid w:val="46D83FB0"/>
    <w:rsid w:val="46DC3AA0"/>
    <w:rsid w:val="46F839A1"/>
    <w:rsid w:val="46F96400"/>
    <w:rsid w:val="46FE6DEC"/>
    <w:rsid w:val="47091BD7"/>
    <w:rsid w:val="47134FE8"/>
    <w:rsid w:val="471425D5"/>
    <w:rsid w:val="471F12E3"/>
    <w:rsid w:val="47232A97"/>
    <w:rsid w:val="47280A93"/>
    <w:rsid w:val="47313114"/>
    <w:rsid w:val="473206A5"/>
    <w:rsid w:val="473C1EED"/>
    <w:rsid w:val="473C57B7"/>
    <w:rsid w:val="47417D21"/>
    <w:rsid w:val="47484892"/>
    <w:rsid w:val="474F5EA5"/>
    <w:rsid w:val="475A54A5"/>
    <w:rsid w:val="475C2F9D"/>
    <w:rsid w:val="47621060"/>
    <w:rsid w:val="476513D3"/>
    <w:rsid w:val="476A2E5A"/>
    <w:rsid w:val="476B3DE4"/>
    <w:rsid w:val="4770221E"/>
    <w:rsid w:val="477261B2"/>
    <w:rsid w:val="47733654"/>
    <w:rsid w:val="47784E4E"/>
    <w:rsid w:val="477B2C7A"/>
    <w:rsid w:val="478262D3"/>
    <w:rsid w:val="478A52AA"/>
    <w:rsid w:val="4792589C"/>
    <w:rsid w:val="479B68D0"/>
    <w:rsid w:val="479C302C"/>
    <w:rsid w:val="47A06E4B"/>
    <w:rsid w:val="47A72F0F"/>
    <w:rsid w:val="47BE04CA"/>
    <w:rsid w:val="47C648EE"/>
    <w:rsid w:val="47D1326E"/>
    <w:rsid w:val="47D136C6"/>
    <w:rsid w:val="47D97FDF"/>
    <w:rsid w:val="47EB17DC"/>
    <w:rsid w:val="47FB4A3E"/>
    <w:rsid w:val="48006E83"/>
    <w:rsid w:val="4803505C"/>
    <w:rsid w:val="48052B82"/>
    <w:rsid w:val="48110445"/>
    <w:rsid w:val="48151225"/>
    <w:rsid w:val="481B50CE"/>
    <w:rsid w:val="481D4A12"/>
    <w:rsid w:val="482B1D2A"/>
    <w:rsid w:val="482E3D45"/>
    <w:rsid w:val="48315726"/>
    <w:rsid w:val="48335942"/>
    <w:rsid w:val="48392258"/>
    <w:rsid w:val="483A45B9"/>
    <w:rsid w:val="483E6094"/>
    <w:rsid w:val="484154FD"/>
    <w:rsid w:val="484336AB"/>
    <w:rsid w:val="484A4A39"/>
    <w:rsid w:val="48514D00"/>
    <w:rsid w:val="48615F8E"/>
    <w:rsid w:val="48692350"/>
    <w:rsid w:val="486B1321"/>
    <w:rsid w:val="486F762B"/>
    <w:rsid w:val="487A6FDE"/>
    <w:rsid w:val="48861F15"/>
    <w:rsid w:val="48865C46"/>
    <w:rsid w:val="488C15B5"/>
    <w:rsid w:val="488E0DCA"/>
    <w:rsid w:val="48967859"/>
    <w:rsid w:val="48A61754"/>
    <w:rsid w:val="48A61E8F"/>
    <w:rsid w:val="48AA192D"/>
    <w:rsid w:val="48C81442"/>
    <w:rsid w:val="48DA3857"/>
    <w:rsid w:val="48E24603"/>
    <w:rsid w:val="48F91BA6"/>
    <w:rsid w:val="48FD1AAC"/>
    <w:rsid w:val="48FF5823"/>
    <w:rsid w:val="49117305"/>
    <w:rsid w:val="49122557"/>
    <w:rsid w:val="49185BC5"/>
    <w:rsid w:val="491868E5"/>
    <w:rsid w:val="492C65D4"/>
    <w:rsid w:val="492D2752"/>
    <w:rsid w:val="49303C2F"/>
    <w:rsid w:val="493556E9"/>
    <w:rsid w:val="49374FBE"/>
    <w:rsid w:val="493A1676"/>
    <w:rsid w:val="49415E3C"/>
    <w:rsid w:val="494646D5"/>
    <w:rsid w:val="4964076A"/>
    <w:rsid w:val="4966701F"/>
    <w:rsid w:val="496672F0"/>
    <w:rsid w:val="49725FF6"/>
    <w:rsid w:val="497D3C70"/>
    <w:rsid w:val="4988748B"/>
    <w:rsid w:val="49942410"/>
    <w:rsid w:val="49A10B34"/>
    <w:rsid w:val="49A36178"/>
    <w:rsid w:val="49A62143"/>
    <w:rsid w:val="49B3237F"/>
    <w:rsid w:val="49B61459"/>
    <w:rsid w:val="49C142C7"/>
    <w:rsid w:val="49EA7DF3"/>
    <w:rsid w:val="49EE69A9"/>
    <w:rsid w:val="49FF380D"/>
    <w:rsid w:val="4A065CC1"/>
    <w:rsid w:val="4A112571"/>
    <w:rsid w:val="4A175E73"/>
    <w:rsid w:val="4A1F4F56"/>
    <w:rsid w:val="4A222EFD"/>
    <w:rsid w:val="4A2527FA"/>
    <w:rsid w:val="4A2B31BF"/>
    <w:rsid w:val="4A2B43F6"/>
    <w:rsid w:val="4A3546F0"/>
    <w:rsid w:val="4A3A2824"/>
    <w:rsid w:val="4A3B1213"/>
    <w:rsid w:val="4A3C2B7D"/>
    <w:rsid w:val="4A3D212B"/>
    <w:rsid w:val="4A403CEB"/>
    <w:rsid w:val="4A495ADA"/>
    <w:rsid w:val="4A496BE3"/>
    <w:rsid w:val="4A522EDD"/>
    <w:rsid w:val="4A541B9F"/>
    <w:rsid w:val="4A58168F"/>
    <w:rsid w:val="4A6B2C0C"/>
    <w:rsid w:val="4A782C2D"/>
    <w:rsid w:val="4A7B35D0"/>
    <w:rsid w:val="4A7E72E8"/>
    <w:rsid w:val="4A813BF5"/>
    <w:rsid w:val="4A857FAB"/>
    <w:rsid w:val="4A8737E0"/>
    <w:rsid w:val="4A8A58B4"/>
    <w:rsid w:val="4A8E499E"/>
    <w:rsid w:val="4A950CC7"/>
    <w:rsid w:val="4A9A009E"/>
    <w:rsid w:val="4AA03036"/>
    <w:rsid w:val="4AA241AB"/>
    <w:rsid w:val="4AA66DFD"/>
    <w:rsid w:val="4AA77F21"/>
    <w:rsid w:val="4AAA655F"/>
    <w:rsid w:val="4AAB5681"/>
    <w:rsid w:val="4AB64608"/>
    <w:rsid w:val="4AB71B3C"/>
    <w:rsid w:val="4AC46D25"/>
    <w:rsid w:val="4AD73910"/>
    <w:rsid w:val="4ADB5E1D"/>
    <w:rsid w:val="4ADC1D82"/>
    <w:rsid w:val="4AE125D5"/>
    <w:rsid w:val="4AE37EC1"/>
    <w:rsid w:val="4AED4B8A"/>
    <w:rsid w:val="4AEF6471"/>
    <w:rsid w:val="4AF931A4"/>
    <w:rsid w:val="4B0B1F4A"/>
    <w:rsid w:val="4B142F47"/>
    <w:rsid w:val="4B143996"/>
    <w:rsid w:val="4B1B1929"/>
    <w:rsid w:val="4B27305E"/>
    <w:rsid w:val="4B327CC6"/>
    <w:rsid w:val="4B3C2D5F"/>
    <w:rsid w:val="4B443785"/>
    <w:rsid w:val="4B445B65"/>
    <w:rsid w:val="4B503E53"/>
    <w:rsid w:val="4B563FA0"/>
    <w:rsid w:val="4B6469EB"/>
    <w:rsid w:val="4B773D97"/>
    <w:rsid w:val="4B79120A"/>
    <w:rsid w:val="4B895879"/>
    <w:rsid w:val="4B8A639D"/>
    <w:rsid w:val="4B8C37AB"/>
    <w:rsid w:val="4B936D2D"/>
    <w:rsid w:val="4B9D0115"/>
    <w:rsid w:val="4B9D07D7"/>
    <w:rsid w:val="4BA150DC"/>
    <w:rsid w:val="4BA20C56"/>
    <w:rsid w:val="4BA5188E"/>
    <w:rsid w:val="4BB167B4"/>
    <w:rsid w:val="4BB26B7D"/>
    <w:rsid w:val="4BB548C0"/>
    <w:rsid w:val="4BC07171"/>
    <w:rsid w:val="4BC74FBB"/>
    <w:rsid w:val="4BD92728"/>
    <w:rsid w:val="4BDC00D7"/>
    <w:rsid w:val="4BDC3BFA"/>
    <w:rsid w:val="4BE8482E"/>
    <w:rsid w:val="4BF278C2"/>
    <w:rsid w:val="4BF96AB2"/>
    <w:rsid w:val="4C0B741D"/>
    <w:rsid w:val="4C0E208E"/>
    <w:rsid w:val="4C1036C9"/>
    <w:rsid w:val="4C163A3A"/>
    <w:rsid w:val="4C172E84"/>
    <w:rsid w:val="4C194EAB"/>
    <w:rsid w:val="4C241899"/>
    <w:rsid w:val="4C265B91"/>
    <w:rsid w:val="4C2B4CBC"/>
    <w:rsid w:val="4C2C179E"/>
    <w:rsid w:val="4C3B2B46"/>
    <w:rsid w:val="4C3D6D8F"/>
    <w:rsid w:val="4C3E6663"/>
    <w:rsid w:val="4C582666"/>
    <w:rsid w:val="4C5B4189"/>
    <w:rsid w:val="4C5E2BF7"/>
    <w:rsid w:val="4C653E79"/>
    <w:rsid w:val="4C6B4B03"/>
    <w:rsid w:val="4C6C5B09"/>
    <w:rsid w:val="4C714C8A"/>
    <w:rsid w:val="4C750CD5"/>
    <w:rsid w:val="4C831121"/>
    <w:rsid w:val="4C92075D"/>
    <w:rsid w:val="4C9A68E4"/>
    <w:rsid w:val="4CA11E2B"/>
    <w:rsid w:val="4CA6016B"/>
    <w:rsid w:val="4CA8697D"/>
    <w:rsid w:val="4CB45D69"/>
    <w:rsid w:val="4CB525DD"/>
    <w:rsid w:val="4CB85696"/>
    <w:rsid w:val="4CBD494A"/>
    <w:rsid w:val="4CBE6435"/>
    <w:rsid w:val="4CC44806"/>
    <w:rsid w:val="4CCF308D"/>
    <w:rsid w:val="4CD540B5"/>
    <w:rsid w:val="4CD722EC"/>
    <w:rsid w:val="4CED39FD"/>
    <w:rsid w:val="4CF168B9"/>
    <w:rsid w:val="4CFB4554"/>
    <w:rsid w:val="4CFE56F6"/>
    <w:rsid w:val="4D162F0A"/>
    <w:rsid w:val="4D2168A6"/>
    <w:rsid w:val="4D293E8A"/>
    <w:rsid w:val="4D2B4DE8"/>
    <w:rsid w:val="4D2D597A"/>
    <w:rsid w:val="4D4201A6"/>
    <w:rsid w:val="4D425AB2"/>
    <w:rsid w:val="4D46724C"/>
    <w:rsid w:val="4D495C06"/>
    <w:rsid w:val="4D4C3002"/>
    <w:rsid w:val="4D554464"/>
    <w:rsid w:val="4D5812A7"/>
    <w:rsid w:val="4D5907D6"/>
    <w:rsid w:val="4D673998"/>
    <w:rsid w:val="4D6B16DA"/>
    <w:rsid w:val="4D6B3488"/>
    <w:rsid w:val="4D7024B8"/>
    <w:rsid w:val="4D806FC0"/>
    <w:rsid w:val="4D8409ED"/>
    <w:rsid w:val="4D860D27"/>
    <w:rsid w:val="4D882021"/>
    <w:rsid w:val="4D907392"/>
    <w:rsid w:val="4D916A64"/>
    <w:rsid w:val="4DA7089B"/>
    <w:rsid w:val="4DAB34C7"/>
    <w:rsid w:val="4DBA7F6B"/>
    <w:rsid w:val="4DBB074D"/>
    <w:rsid w:val="4DBD276F"/>
    <w:rsid w:val="4DBE4A08"/>
    <w:rsid w:val="4DC14ADD"/>
    <w:rsid w:val="4DC42B98"/>
    <w:rsid w:val="4DCD321F"/>
    <w:rsid w:val="4DCF13D9"/>
    <w:rsid w:val="4DD44D20"/>
    <w:rsid w:val="4DD73B61"/>
    <w:rsid w:val="4DD93A69"/>
    <w:rsid w:val="4DE72BC1"/>
    <w:rsid w:val="4DE84AD8"/>
    <w:rsid w:val="4DF46D99"/>
    <w:rsid w:val="4DFF0074"/>
    <w:rsid w:val="4E031912"/>
    <w:rsid w:val="4E0D0208"/>
    <w:rsid w:val="4E2736C3"/>
    <w:rsid w:val="4E31050D"/>
    <w:rsid w:val="4E335B7A"/>
    <w:rsid w:val="4E3E0EF8"/>
    <w:rsid w:val="4E4D7031"/>
    <w:rsid w:val="4E4F6905"/>
    <w:rsid w:val="4E591146"/>
    <w:rsid w:val="4E5B79A0"/>
    <w:rsid w:val="4E604FB7"/>
    <w:rsid w:val="4E65093A"/>
    <w:rsid w:val="4E734EFF"/>
    <w:rsid w:val="4E8605FF"/>
    <w:rsid w:val="4E870C9F"/>
    <w:rsid w:val="4E8B7B62"/>
    <w:rsid w:val="4E9502E8"/>
    <w:rsid w:val="4E9572AE"/>
    <w:rsid w:val="4E9667EE"/>
    <w:rsid w:val="4E9B5FEF"/>
    <w:rsid w:val="4E9D66CB"/>
    <w:rsid w:val="4E9D7BB0"/>
    <w:rsid w:val="4EA2157C"/>
    <w:rsid w:val="4EA325F4"/>
    <w:rsid w:val="4EA55D70"/>
    <w:rsid w:val="4EB304C8"/>
    <w:rsid w:val="4EB3158A"/>
    <w:rsid w:val="4EB3343D"/>
    <w:rsid w:val="4EBD163F"/>
    <w:rsid w:val="4ECA68D4"/>
    <w:rsid w:val="4EDA2D48"/>
    <w:rsid w:val="4EDF6B18"/>
    <w:rsid w:val="4EEA3347"/>
    <w:rsid w:val="4EEF633A"/>
    <w:rsid w:val="4EF0117A"/>
    <w:rsid w:val="4EF851EF"/>
    <w:rsid w:val="4EFA3070"/>
    <w:rsid w:val="4EFE4FDC"/>
    <w:rsid w:val="4F033E58"/>
    <w:rsid w:val="4F0C2A48"/>
    <w:rsid w:val="4F1366D0"/>
    <w:rsid w:val="4F19580E"/>
    <w:rsid w:val="4F2867E2"/>
    <w:rsid w:val="4F2F3EEA"/>
    <w:rsid w:val="4F4E1298"/>
    <w:rsid w:val="4F5878FD"/>
    <w:rsid w:val="4F5E72C0"/>
    <w:rsid w:val="4F5F12D4"/>
    <w:rsid w:val="4F6035FE"/>
    <w:rsid w:val="4F622842"/>
    <w:rsid w:val="4F6777C7"/>
    <w:rsid w:val="4F6C1739"/>
    <w:rsid w:val="4F734876"/>
    <w:rsid w:val="4F7725FA"/>
    <w:rsid w:val="4F79685C"/>
    <w:rsid w:val="4F992FC4"/>
    <w:rsid w:val="4FB221CE"/>
    <w:rsid w:val="4FBD1F95"/>
    <w:rsid w:val="4FC2520C"/>
    <w:rsid w:val="4FD16190"/>
    <w:rsid w:val="4FD97D99"/>
    <w:rsid w:val="4FE35D07"/>
    <w:rsid w:val="4FEE1EC9"/>
    <w:rsid w:val="4FF2599B"/>
    <w:rsid w:val="4FF43C08"/>
    <w:rsid w:val="4FFB1F0C"/>
    <w:rsid w:val="50142188"/>
    <w:rsid w:val="502C7FBC"/>
    <w:rsid w:val="5030034F"/>
    <w:rsid w:val="5039139F"/>
    <w:rsid w:val="5043693E"/>
    <w:rsid w:val="50630D8E"/>
    <w:rsid w:val="50665D8F"/>
    <w:rsid w:val="50684A1C"/>
    <w:rsid w:val="507375BC"/>
    <w:rsid w:val="507B2D9A"/>
    <w:rsid w:val="508807F5"/>
    <w:rsid w:val="508A1E77"/>
    <w:rsid w:val="50962F12"/>
    <w:rsid w:val="50B51B53"/>
    <w:rsid w:val="50CD30BE"/>
    <w:rsid w:val="50D37CC2"/>
    <w:rsid w:val="50DF7AF0"/>
    <w:rsid w:val="50EE4AFC"/>
    <w:rsid w:val="51072542"/>
    <w:rsid w:val="510E0CFA"/>
    <w:rsid w:val="511268B9"/>
    <w:rsid w:val="51173EA0"/>
    <w:rsid w:val="511F0CCF"/>
    <w:rsid w:val="512522EB"/>
    <w:rsid w:val="512F2A1E"/>
    <w:rsid w:val="51304830"/>
    <w:rsid w:val="51343C8C"/>
    <w:rsid w:val="5138246A"/>
    <w:rsid w:val="51383FC9"/>
    <w:rsid w:val="513933BD"/>
    <w:rsid w:val="514069D9"/>
    <w:rsid w:val="514566E6"/>
    <w:rsid w:val="51536197"/>
    <w:rsid w:val="515434B5"/>
    <w:rsid w:val="515964F3"/>
    <w:rsid w:val="515D758B"/>
    <w:rsid w:val="51606F67"/>
    <w:rsid w:val="516C2210"/>
    <w:rsid w:val="51735F11"/>
    <w:rsid w:val="517A638F"/>
    <w:rsid w:val="517C2D91"/>
    <w:rsid w:val="51856AE2"/>
    <w:rsid w:val="51873422"/>
    <w:rsid w:val="519059F2"/>
    <w:rsid w:val="519460C6"/>
    <w:rsid w:val="51973412"/>
    <w:rsid w:val="51A30F55"/>
    <w:rsid w:val="51A37114"/>
    <w:rsid w:val="51A451BA"/>
    <w:rsid w:val="51B8633F"/>
    <w:rsid w:val="51C53C04"/>
    <w:rsid w:val="51CB46D7"/>
    <w:rsid w:val="51D00ACA"/>
    <w:rsid w:val="51D71E5D"/>
    <w:rsid w:val="51E25FB9"/>
    <w:rsid w:val="51E438C4"/>
    <w:rsid w:val="51E43E5C"/>
    <w:rsid w:val="51E657D3"/>
    <w:rsid w:val="51EF4811"/>
    <w:rsid w:val="51F92090"/>
    <w:rsid w:val="52043EAB"/>
    <w:rsid w:val="5204787D"/>
    <w:rsid w:val="5205117D"/>
    <w:rsid w:val="5212481A"/>
    <w:rsid w:val="521E0C81"/>
    <w:rsid w:val="5227673B"/>
    <w:rsid w:val="52340E90"/>
    <w:rsid w:val="52355891"/>
    <w:rsid w:val="52391DA6"/>
    <w:rsid w:val="523F4399"/>
    <w:rsid w:val="52401519"/>
    <w:rsid w:val="5252448D"/>
    <w:rsid w:val="52622E61"/>
    <w:rsid w:val="526A0160"/>
    <w:rsid w:val="526E71BA"/>
    <w:rsid w:val="527E0CA7"/>
    <w:rsid w:val="5281374D"/>
    <w:rsid w:val="52831274"/>
    <w:rsid w:val="5287044A"/>
    <w:rsid w:val="52891B7E"/>
    <w:rsid w:val="52950FA7"/>
    <w:rsid w:val="52963B7A"/>
    <w:rsid w:val="52975C57"/>
    <w:rsid w:val="529F742F"/>
    <w:rsid w:val="52A01652"/>
    <w:rsid w:val="52A37260"/>
    <w:rsid w:val="52A766E1"/>
    <w:rsid w:val="52AA37E4"/>
    <w:rsid w:val="52B80EAD"/>
    <w:rsid w:val="52BC756E"/>
    <w:rsid w:val="52DB6AC6"/>
    <w:rsid w:val="52E070CC"/>
    <w:rsid w:val="52E8610E"/>
    <w:rsid w:val="52EB1B8E"/>
    <w:rsid w:val="52EF3DF8"/>
    <w:rsid w:val="52F60A01"/>
    <w:rsid w:val="52F70605"/>
    <w:rsid w:val="52FF35CB"/>
    <w:rsid w:val="5305327E"/>
    <w:rsid w:val="530D4FE1"/>
    <w:rsid w:val="531445C2"/>
    <w:rsid w:val="532031D8"/>
    <w:rsid w:val="53234805"/>
    <w:rsid w:val="5338150F"/>
    <w:rsid w:val="534C6547"/>
    <w:rsid w:val="53524412"/>
    <w:rsid w:val="535B1FF7"/>
    <w:rsid w:val="53634744"/>
    <w:rsid w:val="53712DDA"/>
    <w:rsid w:val="53740D95"/>
    <w:rsid w:val="53792604"/>
    <w:rsid w:val="5382777D"/>
    <w:rsid w:val="53935E92"/>
    <w:rsid w:val="5398003B"/>
    <w:rsid w:val="539C642B"/>
    <w:rsid w:val="53B10578"/>
    <w:rsid w:val="53B67427"/>
    <w:rsid w:val="53BE4C42"/>
    <w:rsid w:val="53C42413"/>
    <w:rsid w:val="53CB115A"/>
    <w:rsid w:val="53D22EA8"/>
    <w:rsid w:val="53D61877"/>
    <w:rsid w:val="53D86931"/>
    <w:rsid w:val="53DA76A0"/>
    <w:rsid w:val="53E23075"/>
    <w:rsid w:val="53FA37B7"/>
    <w:rsid w:val="53FD389D"/>
    <w:rsid w:val="540013E0"/>
    <w:rsid w:val="540228BA"/>
    <w:rsid w:val="540C0323"/>
    <w:rsid w:val="542208C1"/>
    <w:rsid w:val="543071D9"/>
    <w:rsid w:val="5435659E"/>
    <w:rsid w:val="543D6946"/>
    <w:rsid w:val="54424454"/>
    <w:rsid w:val="544B5DC1"/>
    <w:rsid w:val="545253A1"/>
    <w:rsid w:val="54535FB0"/>
    <w:rsid w:val="54594C92"/>
    <w:rsid w:val="54637D8E"/>
    <w:rsid w:val="546E4625"/>
    <w:rsid w:val="548968E9"/>
    <w:rsid w:val="548C1F50"/>
    <w:rsid w:val="54923895"/>
    <w:rsid w:val="54A11150"/>
    <w:rsid w:val="54B0031A"/>
    <w:rsid w:val="54BA7CF8"/>
    <w:rsid w:val="54C17E31"/>
    <w:rsid w:val="54DE6C35"/>
    <w:rsid w:val="54EC64E8"/>
    <w:rsid w:val="54FE1BA6"/>
    <w:rsid w:val="54FE2E33"/>
    <w:rsid w:val="550146D2"/>
    <w:rsid w:val="5506014C"/>
    <w:rsid w:val="55175CA3"/>
    <w:rsid w:val="551E0C98"/>
    <w:rsid w:val="55350067"/>
    <w:rsid w:val="55413C56"/>
    <w:rsid w:val="55424A04"/>
    <w:rsid w:val="55494F54"/>
    <w:rsid w:val="556233C2"/>
    <w:rsid w:val="55653A2B"/>
    <w:rsid w:val="556613E0"/>
    <w:rsid w:val="557139A2"/>
    <w:rsid w:val="557703FF"/>
    <w:rsid w:val="557830EE"/>
    <w:rsid w:val="55837FA1"/>
    <w:rsid w:val="5588278D"/>
    <w:rsid w:val="55882A88"/>
    <w:rsid w:val="558F36ED"/>
    <w:rsid w:val="559357DD"/>
    <w:rsid w:val="559A7000"/>
    <w:rsid w:val="55B347D2"/>
    <w:rsid w:val="55BB57D3"/>
    <w:rsid w:val="55C55CCE"/>
    <w:rsid w:val="55CC3F34"/>
    <w:rsid w:val="55D85D31"/>
    <w:rsid w:val="55DC3D26"/>
    <w:rsid w:val="55E71B19"/>
    <w:rsid w:val="55E93AE3"/>
    <w:rsid w:val="55F705EB"/>
    <w:rsid w:val="55FB4EAE"/>
    <w:rsid w:val="560352D2"/>
    <w:rsid w:val="560B1CAC"/>
    <w:rsid w:val="560D6F51"/>
    <w:rsid w:val="5612303A"/>
    <w:rsid w:val="56165A3E"/>
    <w:rsid w:val="562348D9"/>
    <w:rsid w:val="562E6AF8"/>
    <w:rsid w:val="56325EB0"/>
    <w:rsid w:val="563C38EF"/>
    <w:rsid w:val="563D7403"/>
    <w:rsid w:val="564565AA"/>
    <w:rsid w:val="5646122F"/>
    <w:rsid w:val="56501831"/>
    <w:rsid w:val="56555037"/>
    <w:rsid w:val="565D12FC"/>
    <w:rsid w:val="565F395E"/>
    <w:rsid w:val="566361BC"/>
    <w:rsid w:val="56775382"/>
    <w:rsid w:val="567F7FA4"/>
    <w:rsid w:val="56854C26"/>
    <w:rsid w:val="56C17BEB"/>
    <w:rsid w:val="56C45BF4"/>
    <w:rsid w:val="56D03DAD"/>
    <w:rsid w:val="56D05028"/>
    <w:rsid w:val="56D21E07"/>
    <w:rsid w:val="56DB3577"/>
    <w:rsid w:val="56F036C3"/>
    <w:rsid w:val="56F1025E"/>
    <w:rsid w:val="56F33910"/>
    <w:rsid w:val="56F67869"/>
    <w:rsid w:val="56FA7F22"/>
    <w:rsid w:val="57016C0B"/>
    <w:rsid w:val="570738A6"/>
    <w:rsid w:val="570F5142"/>
    <w:rsid w:val="570F71B9"/>
    <w:rsid w:val="571D6954"/>
    <w:rsid w:val="571E6A72"/>
    <w:rsid w:val="572054EF"/>
    <w:rsid w:val="57213E2F"/>
    <w:rsid w:val="5738327B"/>
    <w:rsid w:val="57397068"/>
    <w:rsid w:val="574719FA"/>
    <w:rsid w:val="575431DF"/>
    <w:rsid w:val="575C550F"/>
    <w:rsid w:val="575D6537"/>
    <w:rsid w:val="576158FB"/>
    <w:rsid w:val="57692728"/>
    <w:rsid w:val="57813A64"/>
    <w:rsid w:val="5782786B"/>
    <w:rsid w:val="578B2B80"/>
    <w:rsid w:val="579145F2"/>
    <w:rsid w:val="579927C7"/>
    <w:rsid w:val="57996E43"/>
    <w:rsid w:val="57A879E2"/>
    <w:rsid w:val="57AD18A9"/>
    <w:rsid w:val="57BC1475"/>
    <w:rsid w:val="57DA2F5F"/>
    <w:rsid w:val="57DA7B88"/>
    <w:rsid w:val="57E73000"/>
    <w:rsid w:val="57EA210F"/>
    <w:rsid w:val="57EC33A8"/>
    <w:rsid w:val="57EE4715"/>
    <w:rsid w:val="57EE7D88"/>
    <w:rsid w:val="58095082"/>
    <w:rsid w:val="580A2EF6"/>
    <w:rsid w:val="58354DBE"/>
    <w:rsid w:val="584330F2"/>
    <w:rsid w:val="58440EA8"/>
    <w:rsid w:val="585C56FA"/>
    <w:rsid w:val="58604AB4"/>
    <w:rsid w:val="586E207E"/>
    <w:rsid w:val="586E6043"/>
    <w:rsid w:val="586E7AC4"/>
    <w:rsid w:val="586F62DA"/>
    <w:rsid w:val="587F5B29"/>
    <w:rsid w:val="5886386C"/>
    <w:rsid w:val="588F4C03"/>
    <w:rsid w:val="5897524F"/>
    <w:rsid w:val="58B53E16"/>
    <w:rsid w:val="58B633A9"/>
    <w:rsid w:val="58B91100"/>
    <w:rsid w:val="58BA10B8"/>
    <w:rsid w:val="58BC79BE"/>
    <w:rsid w:val="58C05E65"/>
    <w:rsid w:val="58C344FF"/>
    <w:rsid w:val="58C93758"/>
    <w:rsid w:val="58DE0FDC"/>
    <w:rsid w:val="58E155CB"/>
    <w:rsid w:val="58E467E4"/>
    <w:rsid w:val="58E46885"/>
    <w:rsid w:val="58EA07CE"/>
    <w:rsid w:val="58EC0D07"/>
    <w:rsid w:val="58EE31BF"/>
    <w:rsid w:val="58F93429"/>
    <w:rsid w:val="58FD24C7"/>
    <w:rsid w:val="58FF18EE"/>
    <w:rsid w:val="59017396"/>
    <w:rsid w:val="590A0142"/>
    <w:rsid w:val="590A1BB3"/>
    <w:rsid w:val="590C6EBA"/>
    <w:rsid w:val="590F5D40"/>
    <w:rsid w:val="591250FF"/>
    <w:rsid w:val="5913719C"/>
    <w:rsid w:val="59184C1C"/>
    <w:rsid w:val="59235B89"/>
    <w:rsid w:val="59236675"/>
    <w:rsid w:val="59254E33"/>
    <w:rsid w:val="592A1E53"/>
    <w:rsid w:val="59336DA3"/>
    <w:rsid w:val="593376CE"/>
    <w:rsid w:val="593432C8"/>
    <w:rsid w:val="59381148"/>
    <w:rsid w:val="593F3A1A"/>
    <w:rsid w:val="59421958"/>
    <w:rsid w:val="594376A5"/>
    <w:rsid w:val="595439FE"/>
    <w:rsid w:val="596013A4"/>
    <w:rsid w:val="596F62C5"/>
    <w:rsid w:val="597162CA"/>
    <w:rsid w:val="59876129"/>
    <w:rsid w:val="59935D49"/>
    <w:rsid w:val="59956A89"/>
    <w:rsid w:val="599975CF"/>
    <w:rsid w:val="599F6516"/>
    <w:rsid w:val="59AB5F68"/>
    <w:rsid w:val="59AF0BA0"/>
    <w:rsid w:val="59B724FA"/>
    <w:rsid w:val="59BA3C74"/>
    <w:rsid w:val="59BB73EA"/>
    <w:rsid w:val="59BE5287"/>
    <w:rsid w:val="59C760E7"/>
    <w:rsid w:val="59CD6ACD"/>
    <w:rsid w:val="59D80589"/>
    <w:rsid w:val="59D81EA5"/>
    <w:rsid w:val="59DF18E1"/>
    <w:rsid w:val="59EA1BD8"/>
    <w:rsid w:val="59EA68BF"/>
    <w:rsid w:val="59F238FC"/>
    <w:rsid w:val="5A19353F"/>
    <w:rsid w:val="5A305967"/>
    <w:rsid w:val="5A312969"/>
    <w:rsid w:val="5A45609A"/>
    <w:rsid w:val="5A736BAA"/>
    <w:rsid w:val="5A82520F"/>
    <w:rsid w:val="5A84778E"/>
    <w:rsid w:val="5A905E1F"/>
    <w:rsid w:val="5A916AC3"/>
    <w:rsid w:val="5AA7243C"/>
    <w:rsid w:val="5AAD6225"/>
    <w:rsid w:val="5AB342B7"/>
    <w:rsid w:val="5AB71FE9"/>
    <w:rsid w:val="5AC875AC"/>
    <w:rsid w:val="5AEA41E8"/>
    <w:rsid w:val="5AEF428F"/>
    <w:rsid w:val="5AF745AD"/>
    <w:rsid w:val="5AF94575"/>
    <w:rsid w:val="5B022F52"/>
    <w:rsid w:val="5B0704EC"/>
    <w:rsid w:val="5B0A408E"/>
    <w:rsid w:val="5B175BE2"/>
    <w:rsid w:val="5B1A1838"/>
    <w:rsid w:val="5B1E607B"/>
    <w:rsid w:val="5B28184F"/>
    <w:rsid w:val="5B2F5733"/>
    <w:rsid w:val="5B3A4595"/>
    <w:rsid w:val="5B4669BF"/>
    <w:rsid w:val="5B4E4CAB"/>
    <w:rsid w:val="5B7008CE"/>
    <w:rsid w:val="5B743532"/>
    <w:rsid w:val="5B7C4F58"/>
    <w:rsid w:val="5B7D2F0C"/>
    <w:rsid w:val="5B90052A"/>
    <w:rsid w:val="5B936F73"/>
    <w:rsid w:val="5B9A2D41"/>
    <w:rsid w:val="5B9B76D0"/>
    <w:rsid w:val="5B9E4FE6"/>
    <w:rsid w:val="5BB92CA9"/>
    <w:rsid w:val="5BC112B9"/>
    <w:rsid w:val="5BC673A1"/>
    <w:rsid w:val="5BCA2A2F"/>
    <w:rsid w:val="5BD448EE"/>
    <w:rsid w:val="5BD771F3"/>
    <w:rsid w:val="5BD82630"/>
    <w:rsid w:val="5BEF1728"/>
    <w:rsid w:val="5C036677"/>
    <w:rsid w:val="5C0B661C"/>
    <w:rsid w:val="5C0B73BE"/>
    <w:rsid w:val="5C0F2E1E"/>
    <w:rsid w:val="5C1B7675"/>
    <w:rsid w:val="5C220805"/>
    <w:rsid w:val="5C257FDF"/>
    <w:rsid w:val="5C2B7622"/>
    <w:rsid w:val="5C3C4A41"/>
    <w:rsid w:val="5C3D06E5"/>
    <w:rsid w:val="5C3D54C5"/>
    <w:rsid w:val="5C566D9D"/>
    <w:rsid w:val="5C593045"/>
    <w:rsid w:val="5C5E1A9E"/>
    <w:rsid w:val="5C6514C0"/>
    <w:rsid w:val="5C663D78"/>
    <w:rsid w:val="5C682839"/>
    <w:rsid w:val="5C7B77D2"/>
    <w:rsid w:val="5C841E70"/>
    <w:rsid w:val="5C85677C"/>
    <w:rsid w:val="5C877BB2"/>
    <w:rsid w:val="5C8B6098"/>
    <w:rsid w:val="5C945891"/>
    <w:rsid w:val="5C963B4D"/>
    <w:rsid w:val="5C9A3482"/>
    <w:rsid w:val="5CA703D4"/>
    <w:rsid w:val="5CAC68C1"/>
    <w:rsid w:val="5CAC6B74"/>
    <w:rsid w:val="5CAC7619"/>
    <w:rsid w:val="5CB35624"/>
    <w:rsid w:val="5CB37285"/>
    <w:rsid w:val="5CC656EB"/>
    <w:rsid w:val="5CD01559"/>
    <w:rsid w:val="5CE9261B"/>
    <w:rsid w:val="5CFC1217"/>
    <w:rsid w:val="5CFC28FC"/>
    <w:rsid w:val="5CFF3BED"/>
    <w:rsid w:val="5D193930"/>
    <w:rsid w:val="5D213B7C"/>
    <w:rsid w:val="5D251AD2"/>
    <w:rsid w:val="5D367122"/>
    <w:rsid w:val="5D3E01AE"/>
    <w:rsid w:val="5D483823"/>
    <w:rsid w:val="5D55310C"/>
    <w:rsid w:val="5D5848E4"/>
    <w:rsid w:val="5D595546"/>
    <w:rsid w:val="5D6A5670"/>
    <w:rsid w:val="5D752101"/>
    <w:rsid w:val="5D796F08"/>
    <w:rsid w:val="5D7F5195"/>
    <w:rsid w:val="5D81553E"/>
    <w:rsid w:val="5D8F3DBF"/>
    <w:rsid w:val="5D924A61"/>
    <w:rsid w:val="5D944335"/>
    <w:rsid w:val="5D995DEF"/>
    <w:rsid w:val="5D9A4822"/>
    <w:rsid w:val="5D9B663A"/>
    <w:rsid w:val="5DA0717E"/>
    <w:rsid w:val="5DA27EC7"/>
    <w:rsid w:val="5DA65EFA"/>
    <w:rsid w:val="5DBE5856"/>
    <w:rsid w:val="5DC54774"/>
    <w:rsid w:val="5DDC7A8A"/>
    <w:rsid w:val="5DE057CC"/>
    <w:rsid w:val="5DE30E18"/>
    <w:rsid w:val="5DE87ACD"/>
    <w:rsid w:val="5DF272AD"/>
    <w:rsid w:val="5DF35FE0"/>
    <w:rsid w:val="5DF54CD0"/>
    <w:rsid w:val="5DF634D1"/>
    <w:rsid w:val="5E011052"/>
    <w:rsid w:val="5E041685"/>
    <w:rsid w:val="5E191BCF"/>
    <w:rsid w:val="5E1F79F5"/>
    <w:rsid w:val="5E202804"/>
    <w:rsid w:val="5E2730F1"/>
    <w:rsid w:val="5E3133D3"/>
    <w:rsid w:val="5E3B5834"/>
    <w:rsid w:val="5E3D0C05"/>
    <w:rsid w:val="5E4E4C84"/>
    <w:rsid w:val="5E5D71A3"/>
    <w:rsid w:val="5E672C76"/>
    <w:rsid w:val="5E6F6B77"/>
    <w:rsid w:val="5E7B0BF7"/>
    <w:rsid w:val="5E912C8F"/>
    <w:rsid w:val="5E963CA0"/>
    <w:rsid w:val="5E9657A6"/>
    <w:rsid w:val="5E9D755E"/>
    <w:rsid w:val="5E9E291F"/>
    <w:rsid w:val="5EA66AD7"/>
    <w:rsid w:val="5EAA39AC"/>
    <w:rsid w:val="5EAB4386"/>
    <w:rsid w:val="5EAB5E35"/>
    <w:rsid w:val="5EB73322"/>
    <w:rsid w:val="5EBE7F9B"/>
    <w:rsid w:val="5EC84BB5"/>
    <w:rsid w:val="5ECC1B39"/>
    <w:rsid w:val="5ED8184B"/>
    <w:rsid w:val="5EDB5F93"/>
    <w:rsid w:val="5EF414B4"/>
    <w:rsid w:val="5EF446BC"/>
    <w:rsid w:val="5F0246D2"/>
    <w:rsid w:val="5F082B05"/>
    <w:rsid w:val="5F0C439F"/>
    <w:rsid w:val="5F0E0117"/>
    <w:rsid w:val="5F127E9A"/>
    <w:rsid w:val="5F223D0D"/>
    <w:rsid w:val="5F230DB3"/>
    <w:rsid w:val="5F2B2A77"/>
    <w:rsid w:val="5F3406A3"/>
    <w:rsid w:val="5F350F1B"/>
    <w:rsid w:val="5F48753C"/>
    <w:rsid w:val="5F49342D"/>
    <w:rsid w:val="5F531FCE"/>
    <w:rsid w:val="5F546472"/>
    <w:rsid w:val="5F587B58"/>
    <w:rsid w:val="5F631BB7"/>
    <w:rsid w:val="5F665429"/>
    <w:rsid w:val="5F6E38AA"/>
    <w:rsid w:val="5F784121"/>
    <w:rsid w:val="5F79076B"/>
    <w:rsid w:val="5F8E3006"/>
    <w:rsid w:val="5F9A19AB"/>
    <w:rsid w:val="5FAD23B0"/>
    <w:rsid w:val="5FB74466"/>
    <w:rsid w:val="5FB84304"/>
    <w:rsid w:val="5FBA584D"/>
    <w:rsid w:val="5FC24199"/>
    <w:rsid w:val="5FC6687A"/>
    <w:rsid w:val="5FC72377"/>
    <w:rsid w:val="5FD760CD"/>
    <w:rsid w:val="5FD846D0"/>
    <w:rsid w:val="5FDC4C5F"/>
    <w:rsid w:val="5FE36E3B"/>
    <w:rsid w:val="5FE76C95"/>
    <w:rsid w:val="5FE873D0"/>
    <w:rsid w:val="60025ECE"/>
    <w:rsid w:val="600B23EC"/>
    <w:rsid w:val="60156FFE"/>
    <w:rsid w:val="60161979"/>
    <w:rsid w:val="602956C2"/>
    <w:rsid w:val="602E29D0"/>
    <w:rsid w:val="603248E7"/>
    <w:rsid w:val="60433C6C"/>
    <w:rsid w:val="605B5399"/>
    <w:rsid w:val="60615ADD"/>
    <w:rsid w:val="608762A7"/>
    <w:rsid w:val="609C7EC5"/>
    <w:rsid w:val="60A10678"/>
    <w:rsid w:val="60AD0C07"/>
    <w:rsid w:val="60AD21FF"/>
    <w:rsid w:val="60B46A9C"/>
    <w:rsid w:val="60BA4ABA"/>
    <w:rsid w:val="60BC5473"/>
    <w:rsid w:val="60BD61EA"/>
    <w:rsid w:val="60C546D6"/>
    <w:rsid w:val="60CE70BF"/>
    <w:rsid w:val="60D443F1"/>
    <w:rsid w:val="60D5684F"/>
    <w:rsid w:val="60D9225C"/>
    <w:rsid w:val="60DD3A26"/>
    <w:rsid w:val="60DD7FB7"/>
    <w:rsid w:val="60E33809"/>
    <w:rsid w:val="60F45B20"/>
    <w:rsid w:val="612C65EB"/>
    <w:rsid w:val="61306A6A"/>
    <w:rsid w:val="61371BA7"/>
    <w:rsid w:val="61386B7E"/>
    <w:rsid w:val="61454CCC"/>
    <w:rsid w:val="61584C5B"/>
    <w:rsid w:val="615A02FA"/>
    <w:rsid w:val="615A2FA2"/>
    <w:rsid w:val="6165443B"/>
    <w:rsid w:val="61690500"/>
    <w:rsid w:val="617A4DDE"/>
    <w:rsid w:val="617A5F38"/>
    <w:rsid w:val="61870998"/>
    <w:rsid w:val="61967195"/>
    <w:rsid w:val="61972646"/>
    <w:rsid w:val="61AA08FE"/>
    <w:rsid w:val="61AB6509"/>
    <w:rsid w:val="61BD341C"/>
    <w:rsid w:val="61BE5E24"/>
    <w:rsid w:val="61C73498"/>
    <w:rsid w:val="61C775DF"/>
    <w:rsid w:val="61DE24CC"/>
    <w:rsid w:val="61E44C18"/>
    <w:rsid w:val="61F30033"/>
    <w:rsid w:val="61FC4B9F"/>
    <w:rsid w:val="62071C47"/>
    <w:rsid w:val="620A3C36"/>
    <w:rsid w:val="62143EFD"/>
    <w:rsid w:val="622313C8"/>
    <w:rsid w:val="623375C8"/>
    <w:rsid w:val="623B2220"/>
    <w:rsid w:val="624B4BBF"/>
    <w:rsid w:val="624F3F8D"/>
    <w:rsid w:val="62613F8A"/>
    <w:rsid w:val="62634C1E"/>
    <w:rsid w:val="6269194F"/>
    <w:rsid w:val="626A4792"/>
    <w:rsid w:val="628023A8"/>
    <w:rsid w:val="62817E63"/>
    <w:rsid w:val="62874F78"/>
    <w:rsid w:val="628A4669"/>
    <w:rsid w:val="628B7295"/>
    <w:rsid w:val="62954A46"/>
    <w:rsid w:val="62997D6C"/>
    <w:rsid w:val="629A1FB5"/>
    <w:rsid w:val="629C01A7"/>
    <w:rsid w:val="629D6FE8"/>
    <w:rsid w:val="62A10248"/>
    <w:rsid w:val="62C74B48"/>
    <w:rsid w:val="62C93BF4"/>
    <w:rsid w:val="62D7765D"/>
    <w:rsid w:val="62DD5E67"/>
    <w:rsid w:val="62E65151"/>
    <w:rsid w:val="62E80C7F"/>
    <w:rsid w:val="62E95063"/>
    <w:rsid w:val="62ED192C"/>
    <w:rsid w:val="62ED4CCD"/>
    <w:rsid w:val="62EF025F"/>
    <w:rsid w:val="62F360A5"/>
    <w:rsid w:val="62FE3B64"/>
    <w:rsid w:val="630A6E47"/>
    <w:rsid w:val="631749A3"/>
    <w:rsid w:val="63177590"/>
    <w:rsid w:val="632361AD"/>
    <w:rsid w:val="63352116"/>
    <w:rsid w:val="63377DE5"/>
    <w:rsid w:val="6347265C"/>
    <w:rsid w:val="63580825"/>
    <w:rsid w:val="63585A5E"/>
    <w:rsid w:val="635E0F13"/>
    <w:rsid w:val="63624ED5"/>
    <w:rsid w:val="636641F4"/>
    <w:rsid w:val="6367429A"/>
    <w:rsid w:val="63737BAF"/>
    <w:rsid w:val="637E51F4"/>
    <w:rsid w:val="638D28C0"/>
    <w:rsid w:val="638D3114"/>
    <w:rsid w:val="6395542B"/>
    <w:rsid w:val="639565F1"/>
    <w:rsid w:val="639C1066"/>
    <w:rsid w:val="639C7BCD"/>
    <w:rsid w:val="63A03821"/>
    <w:rsid w:val="63A257B4"/>
    <w:rsid w:val="63AB14EE"/>
    <w:rsid w:val="63AE4811"/>
    <w:rsid w:val="63B66293"/>
    <w:rsid w:val="63B76EED"/>
    <w:rsid w:val="63B87C72"/>
    <w:rsid w:val="63C67883"/>
    <w:rsid w:val="63CA5E94"/>
    <w:rsid w:val="63D644F6"/>
    <w:rsid w:val="63EB0A27"/>
    <w:rsid w:val="63F97162"/>
    <w:rsid w:val="63FF23D3"/>
    <w:rsid w:val="63FF2724"/>
    <w:rsid w:val="6412262E"/>
    <w:rsid w:val="64127771"/>
    <w:rsid w:val="641A7895"/>
    <w:rsid w:val="64205462"/>
    <w:rsid w:val="6428256E"/>
    <w:rsid w:val="64287EE0"/>
    <w:rsid w:val="642B03AC"/>
    <w:rsid w:val="64363358"/>
    <w:rsid w:val="64433DBB"/>
    <w:rsid w:val="64456ABF"/>
    <w:rsid w:val="64481421"/>
    <w:rsid w:val="645710E6"/>
    <w:rsid w:val="645B745D"/>
    <w:rsid w:val="6463206A"/>
    <w:rsid w:val="646507D9"/>
    <w:rsid w:val="6470078E"/>
    <w:rsid w:val="6477050C"/>
    <w:rsid w:val="64791C61"/>
    <w:rsid w:val="647A43A8"/>
    <w:rsid w:val="647E0C4B"/>
    <w:rsid w:val="648038B0"/>
    <w:rsid w:val="648C220A"/>
    <w:rsid w:val="64936297"/>
    <w:rsid w:val="649527E1"/>
    <w:rsid w:val="64994927"/>
    <w:rsid w:val="64AB20C6"/>
    <w:rsid w:val="64C2342B"/>
    <w:rsid w:val="64C43F08"/>
    <w:rsid w:val="64C73242"/>
    <w:rsid w:val="64CA36CE"/>
    <w:rsid w:val="64D4018C"/>
    <w:rsid w:val="64DC3495"/>
    <w:rsid w:val="64E26627"/>
    <w:rsid w:val="64EC2CA8"/>
    <w:rsid w:val="65037FF2"/>
    <w:rsid w:val="65091AAC"/>
    <w:rsid w:val="650A312E"/>
    <w:rsid w:val="651E020C"/>
    <w:rsid w:val="651E4E2C"/>
    <w:rsid w:val="6524428F"/>
    <w:rsid w:val="65273A48"/>
    <w:rsid w:val="652752A6"/>
    <w:rsid w:val="652A5B5F"/>
    <w:rsid w:val="652C3CE1"/>
    <w:rsid w:val="652E53C5"/>
    <w:rsid w:val="653D3504"/>
    <w:rsid w:val="653F54CE"/>
    <w:rsid w:val="654044EF"/>
    <w:rsid w:val="654E5711"/>
    <w:rsid w:val="65515529"/>
    <w:rsid w:val="65643779"/>
    <w:rsid w:val="6570141E"/>
    <w:rsid w:val="657B69CF"/>
    <w:rsid w:val="65814C4C"/>
    <w:rsid w:val="658E5AE3"/>
    <w:rsid w:val="658F7EB1"/>
    <w:rsid w:val="6593581A"/>
    <w:rsid w:val="659B647C"/>
    <w:rsid w:val="65A417D5"/>
    <w:rsid w:val="65A719D2"/>
    <w:rsid w:val="65AE0CE8"/>
    <w:rsid w:val="65B96CF0"/>
    <w:rsid w:val="65BD2897"/>
    <w:rsid w:val="65C17CF3"/>
    <w:rsid w:val="65C415C7"/>
    <w:rsid w:val="65CB058E"/>
    <w:rsid w:val="65D8731C"/>
    <w:rsid w:val="65EC7A82"/>
    <w:rsid w:val="65F335EC"/>
    <w:rsid w:val="6605341D"/>
    <w:rsid w:val="661028BE"/>
    <w:rsid w:val="661274E7"/>
    <w:rsid w:val="6613137D"/>
    <w:rsid w:val="661632D0"/>
    <w:rsid w:val="66316BF6"/>
    <w:rsid w:val="663250D0"/>
    <w:rsid w:val="663902D2"/>
    <w:rsid w:val="663A3E2B"/>
    <w:rsid w:val="663D12E2"/>
    <w:rsid w:val="66410DD2"/>
    <w:rsid w:val="664F7993"/>
    <w:rsid w:val="66546CCA"/>
    <w:rsid w:val="66561EA3"/>
    <w:rsid w:val="665F1585"/>
    <w:rsid w:val="666451A4"/>
    <w:rsid w:val="666D606B"/>
    <w:rsid w:val="667165ED"/>
    <w:rsid w:val="667F1618"/>
    <w:rsid w:val="66850428"/>
    <w:rsid w:val="668B6873"/>
    <w:rsid w:val="669B2BD8"/>
    <w:rsid w:val="66A15D14"/>
    <w:rsid w:val="66A16F3B"/>
    <w:rsid w:val="66A246E1"/>
    <w:rsid w:val="66AA03D9"/>
    <w:rsid w:val="66AF1B18"/>
    <w:rsid w:val="66B549DF"/>
    <w:rsid w:val="66BB6DD6"/>
    <w:rsid w:val="66C06B20"/>
    <w:rsid w:val="66C94C75"/>
    <w:rsid w:val="66CC3515"/>
    <w:rsid w:val="66D66A3E"/>
    <w:rsid w:val="66DE0E55"/>
    <w:rsid w:val="66E92A3D"/>
    <w:rsid w:val="66EA0634"/>
    <w:rsid w:val="66F45E44"/>
    <w:rsid w:val="67074C6F"/>
    <w:rsid w:val="67112D62"/>
    <w:rsid w:val="67145DB8"/>
    <w:rsid w:val="671853CD"/>
    <w:rsid w:val="671C1593"/>
    <w:rsid w:val="671C3FB3"/>
    <w:rsid w:val="67254250"/>
    <w:rsid w:val="672F08D0"/>
    <w:rsid w:val="674566A0"/>
    <w:rsid w:val="675114E9"/>
    <w:rsid w:val="67552925"/>
    <w:rsid w:val="67565924"/>
    <w:rsid w:val="67577EB7"/>
    <w:rsid w:val="67594FF9"/>
    <w:rsid w:val="675D7F82"/>
    <w:rsid w:val="67600113"/>
    <w:rsid w:val="676E26A4"/>
    <w:rsid w:val="677C2577"/>
    <w:rsid w:val="6780592A"/>
    <w:rsid w:val="6782772E"/>
    <w:rsid w:val="67894337"/>
    <w:rsid w:val="6794413B"/>
    <w:rsid w:val="67A5667A"/>
    <w:rsid w:val="67A81366"/>
    <w:rsid w:val="67B80075"/>
    <w:rsid w:val="67BB2680"/>
    <w:rsid w:val="67CB129B"/>
    <w:rsid w:val="67E66C0E"/>
    <w:rsid w:val="67E762C2"/>
    <w:rsid w:val="67FA2BB7"/>
    <w:rsid w:val="68076A17"/>
    <w:rsid w:val="68264723"/>
    <w:rsid w:val="68290D96"/>
    <w:rsid w:val="68383071"/>
    <w:rsid w:val="683E29EA"/>
    <w:rsid w:val="68420E31"/>
    <w:rsid w:val="684F1AAC"/>
    <w:rsid w:val="685B1234"/>
    <w:rsid w:val="68615086"/>
    <w:rsid w:val="68694165"/>
    <w:rsid w:val="686D5EAE"/>
    <w:rsid w:val="687F7392"/>
    <w:rsid w:val="6884095D"/>
    <w:rsid w:val="6885769C"/>
    <w:rsid w:val="6890721F"/>
    <w:rsid w:val="689756EC"/>
    <w:rsid w:val="68C46A6D"/>
    <w:rsid w:val="68CE3691"/>
    <w:rsid w:val="68D73C6F"/>
    <w:rsid w:val="68E020E5"/>
    <w:rsid w:val="68E416B1"/>
    <w:rsid w:val="68E65681"/>
    <w:rsid w:val="68EA39A3"/>
    <w:rsid w:val="68F0220F"/>
    <w:rsid w:val="68F768B2"/>
    <w:rsid w:val="69063F85"/>
    <w:rsid w:val="69063FAE"/>
    <w:rsid w:val="69076303"/>
    <w:rsid w:val="690B56C7"/>
    <w:rsid w:val="691532C3"/>
    <w:rsid w:val="69276DCB"/>
    <w:rsid w:val="69407A67"/>
    <w:rsid w:val="6945507D"/>
    <w:rsid w:val="694675AC"/>
    <w:rsid w:val="694F3806"/>
    <w:rsid w:val="69562DE6"/>
    <w:rsid w:val="69577898"/>
    <w:rsid w:val="69605A13"/>
    <w:rsid w:val="69635503"/>
    <w:rsid w:val="69660A25"/>
    <w:rsid w:val="696C085C"/>
    <w:rsid w:val="6974761A"/>
    <w:rsid w:val="697919C0"/>
    <w:rsid w:val="697A2B41"/>
    <w:rsid w:val="697A555E"/>
    <w:rsid w:val="697D65C5"/>
    <w:rsid w:val="6983590A"/>
    <w:rsid w:val="6987602F"/>
    <w:rsid w:val="698A0CE2"/>
    <w:rsid w:val="698F00A6"/>
    <w:rsid w:val="699D27C3"/>
    <w:rsid w:val="69A35DAC"/>
    <w:rsid w:val="69AD5BD3"/>
    <w:rsid w:val="69B5322F"/>
    <w:rsid w:val="69B70A88"/>
    <w:rsid w:val="69C40A70"/>
    <w:rsid w:val="69C45FA2"/>
    <w:rsid w:val="69C63A25"/>
    <w:rsid w:val="69CE6E20"/>
    <w:rsid w:val="69D07214"/>
    <w:rsid w:val="69E228CC"/>
    <w:rsid w:val="69E55F18"/>
    <w:rsid w:val="69E93B36"/>
    <w:rsid w:val="69EB79D2"/>
    <w:rsid w:val="69F307B7"/>
    <w:rsid w:val="6A032F59"/>
    <w:rsid w:val="6A06480C"/>
    <w:rsid w:val="6A1F58CE"/>
    <w:rsid w:val="6A4A492B"/>
    <w:rsid w:val="6A4C63EB"/>
    <w:rsid w:val="6A504E73"/>
    <w:rsid w:val="6A510768"/>
    <w:rsid w:val="6A5D167D"/>
    <w:rsid w:val="6A5F4BF7"/>
    <w:rsid w:val="6A6E5F0E"/>
    <w:rsid w:val="6A723C50"/>
    <w:rsid w:val="6A8120E5"/>
    <w:rsid w:val="6A856AFE"/>
    <w:rsid w:val="6A8754CD"/>
    <w:rsid w:val="6A892A13"/>
    <w:rsid w:val="6A894079"/>
    <w:rsid w:val="6A8A4A65"/>
    <w:rsid w:val="6A9752BF"/>
    <w:rsid w:val="6A9E40CF"/>
    <w:rsid w:val="6AA33E09"/>
    <w:rsid w:val="6AA848D9"/>
    <w:rsid w:val="6AAA5E98"/>
    <w:rsid w:val="6AAD7049"/>
    <w:rsid w:val="6AAF0A00"/>
    <w:rsid w:val="6AB63D06"/>
    <w:rsid w:val="6AD46A66"/>
    <w:rsid w:val="6AD974F2"/>
    <w:rsid w:val="6AE61F66"/>
    <w:rsid w:val="6AE667E3"/>
    <w:rsid w:val="6AE8003A"/>
    <w:rsid w:val="6AF853FA"/>
    <w:rsid w:val="6B041095"/>
    <w:rsid w:val="6B054AC4"/>
    <w:rsid w:val="6B060EFE"/>
    <w:rsid w:val="6B0B7C00"/>
    <w:rsid w:val="6B144D07"/>
    <w:rsid w:val="6B2C1493"/>
    <w:rsid w:val="6B367562"/>
    <w:rsid w:val="6B3D5804"/>
    <w:rsid w:val="6B3E3B32"/>
    <w:rsid w:val="6B421F06"/>
    <w:rsid w:val="6B4F3F91"/>
    <w:rsid w:val="6B513F46"/>
    <w:rsid w:val="6B543355"/>
    <w:rsid w:val="6B6D3031"/>
    <w:rsid w:val="6B767770"/>
    <w:rsid w:val="6B87372B"/>
    <w:rsid w:val="6B8F75C1"/>
    <w:rsid w:val="6B902E71"/>
    <w:rsid w:val="6B9327E3"/>
    <w:rsid w:val="6B99052D"/>
    <w:rsid w:val="6BC54253"/>
    <w:rsid w:val="6BCE5F90"/>
    <w:rsid w:val="6BD91EF0"/>
    <w:rsid w:val="6BE446D9"/>
    <w:rsid w:val="6BE61923"/>
    <w:rsid w:val="6BE8703F"/>
    <w:rsid w:val="6BED0A9C"/>
    <w:rsid w:val="6BF92CF3"/>
    <w:rsid w:val="6C007A3F"/>
    <w:rsid w:val="6C0409ED"/>
    <w:rsid w:val="6C074AF4"/>
    <w:rsid w:val="6C0E559F"/>
    <w:rsid w:val="6C181BE1"/>
    <w:rsid w:val="6C183322"/>
    <w:rsid w:val="6C261CF2"/>
    <w:rsid w:val="6C2E10E7"/>
    <w:rsid w:val="6C3167E1"/>
    <w:rsid w:val="6C3364D6"/>
    <w:rsid w:val="6C376EFF"/>
    <w:rsid w:val="6C53360D"/>
    <w:rsid w:val="6C57134F"/>
    <w:rsid w:val="6C5A20EB"/>
    <w:rsid w:val="6C626F65"/>
    <w:rsid w:val="6C724C25"/>
    <w:rsid w:val="6C744EF1"/>
    <w:rsid w:val="6C7921E1"/>
    <w:rsid w:val="6C7F4AB6"/>
    <w:rsid w:val="6C8900EF"/>
    <w:rsid w:val="6C904861"/>
    <w:rsid w:val="6C9A56E0"/>
    <w:rsid w:val="6CA834B7"/>
    <w:rsid w:val="6CAF118B"/>
    <w:rsid w:val="6CB30BFB"/>
    <w:rsid w:val="6CBD41A8"/>
    <w:rsid w:val="6CDE55CC"/>
    <w:rsid w:val="6CE40709"/>
    <w:rsid w:val="6CE87E93"/>
    <w:rsid w:val="6CED6224"/>
    <w:rsid w:val="6CF57C50"/>
    <w:rsid w:val="6D01279B"/>
    <w:rsid w:val="6D0C5572"/>
    <w:rsid w:val="6D1903A7"/>
    <w:rsid w:val="6D2C2012"/>
    <w:rsid w:val="6D2D3E5E"/>
    <w:rsid w:val="6D322664"/>
    <w:rsid w:val="6D37718C"/>
    <w:rsid w:val="6D481420"/>
    <w:rsid w:val="6D486585"/>
    <w:rsid w:val="6D536BD3"/>
    <w:rsid w:val="6D622403"/>
    <w:rsid w:val="6D702A25"/>
    <w:rsid w:val="6D7F1394"/>
    <w:rsid w:val="6D7F6FE9"/>
    <w:rsid w:val="6D82752C"/>
    <w:rsid w:val="6D8C5028"/>
    <w:rsid w:val="6D8F0B3C"/>
    <w:rsid w:val="6D941941"/>
    <w:rsid w:val="6D9D3606"/>
    <w:rsid w:val="6DA70FF2"/>
    <w:rsid w:val="6DA76631"/>
    <w:rsid w:val="6DB3474B"/>
    <w:rsid w:val="6DB4323D"/>
    <w:rsid w:val="6DC02F24"/>
    <w:rsid w:val="6DC9627D"/>
    <w:rsid w:val="6DCB7ADF"/>
    <w:rsid w:val="6DDA4829"/>
    <w:rsid w:val="6DEB37CD"/>
    <w:rsid w:val="6DED3702"/>
    <w:rsid w:val="6DF87621"/>
    <w:rsid w:val="6E007F7E"/>
    <w:rsid w:val="6E020BA6"/>
    <w:rsid w:val="6E0F1884"/>
    <w:rsid w:val="6E0F6806"/>
    <w:rsid w:val="6E192634"/>
    <w:rsid w:val="6E2F67E0"/>
    <w:rsid w:val="6E384F3C"/>
    <w:rsid w:val="6E3D4048"/>
    <w:rsid w:val="6E445623"/>
    <w:rsid w:val="6E471756"/>
    <w:rsid w:val="6E481100"/>
    <w:rsid w:val="6E4B1F64"/>
    <w:rsid w:val="6E4C4D60"/>
    <w:rsid w:val="6E527582"/>
    <w:rsid w:val="6E5E67A3"/>
    <w:rsid w:val="6E737F96"/>
    <w:rsid w:val="6E787DA6"/>
    <w:rsid w:val="6E8563B9"/>
    <w:rsid w:val="6E895ABC"/>
    <w:rsid w:val="6E8A631D"/>
    <w:rsid w:val="6E8C7305"/>
    <w:rsid w:val="6E932DE0"/>
    <w:rsid w:val="6EA6036C"/>
    <w:rsid w:val="6EA92216"/>
    <w:rsid w:val="6ECC38B8"/>
    <w:rsid w:val="6ECC6094"/>
    <w:rsid w:val="6ED317D6"/>
    <w:rsid w:val="6ED50C51"/>
    <w:rsid w:val="6EF20050"/>
    <w:rsid w:val="6EF32E85"/>
    <w:rsid w:val="6EF773B9"/>
    <w:rsid w:val="6EFF1BEC"/>
    <w:rsid w:val="6EFF4517"/>
    <w:rsid w:val="6F1A6664"/>
    <w:rsid w:val="6F1E33D4"/>
    <w:rsid w:val="6F277E3D"/>
    <w:rsid w:val="6F3A3EF0"/>
    <w:rsid w:val="6F3C1423"/>
    <w:rsid w:val="6F42460E"/>
    <w:rsid w:val="6F4A4D3C"/>
    <w:rsid w:val="6F4A5DDF"/>
    <w:rsid w:val="6F4F4560"/>
    <w:rsid w:val="6F543924"/>
    <w:rsid w:val="6F592878"/>
    <w:rsid w:val="6F5D5B97"/>
    <w:rsid w:val="6F675D4D"/>
    <w:rsid w:val="6F675E4D"/>
    <w:rsid w:val="6F6A0B6A"/>
    <w:rsid w:val="6F790AE6"/>
    <w:rsid w:val="6F7C5620"/>
    <w:rsid w:val="6F811AC9"/>
    <w:rsid w:val="6F831F50"/>
    <w:rsid w:val="6F8C1F27"/>
    <w:rsid w:val="6F975F07"/>
    <w:rsid w:val="6F9C26DC"/>
    <w:rsid w:val="6FB22D40"/>
    <w:rsid w:val="6FB439DE"/>
    <w:rsid w:val="6FC96806"/>
    <w:rsid w:val="6FCF6FF9"/>
    <w:rsid w:val="6FD250A2"/>
    <w:rsid w:val="6FDB2297"/>
    <w:rsid w:val="6FE73A84"/>
    <w:rsid w:val="6FE80510"/>
    <w:rsid w:val="6FE95CEE"/>
    <w:rsid w:val="6FEC5DB0"/>
    <w:rsid w:val="700356AB"/>
    <w:rsid w:val="70057314"/>
    <w:rsid w:val="700C41FF"/>
    <w:rsid w:val="700D274F"/>
    <w:rsid w:val="700E61C9"/>
    <w:rsid w:val="70107D55"/>
    <w:rsid w:val="701778DC"/>
    <w:rsid w:val="70193DD0"/>
    <w:rsid w:val="701F03D6"/>
    <w:rsid w:val="702075CD"/>
    <w:rsid w:val="70291C73"/>
    <w:rsid w:val="70313C65"/>
    <w:rsid w:val="70323176"/>
    <w:rsid w:val="70343755"/>
    <w:rsid w:val="7040714E"/>
    <w:rsid w:val="7046078B"/>
    <w:rsid w:val="705067E1"/>
    <w:rsid w:val="70525F25"/>
    <w:rsid w:val="705426F3"/>
    <w:rsid w:val="7057030E"/>
    <w:rsid w:val="705D4A5A"/>
    <w:rsid w:val="706672CE"/>
    <w:rsid w:val="706F2F57"/>
    <w:rsid w:val="70757FF6"/>
    <w:rsid w:val="70812E3F"/>
    <w:rsid w:val="709E411F"/>
    <w:rsid w:val="70A44070"/>
    <w:rsid w:val="70AF5A5A"/>
    <w:rsid w:val="70BF1F46"/>
    <w:rsid w:val="70CE3BAA"/>
    <w:rsid w:val="70D214F2"/>
    <w:rsid w:val="70DC1E23"/>
    <w:rsid w:val="70DD7ECC"/>
    <w:rsid w:val="70E32D23"/>
    <w:rsid w:val="70EE74E2"/>
    <w:rsid w:val="70F67034"/>
    <w:rsid w:val="70F9386B"/>
    <w:rsid w:val="7106333C"/>
    <w:rsid w:val="710870BC"/>
    <w:rsid w:val="710D1D54"/>
    <w:rsid w:val="71147736"/>
    <w:rsid w:val="711B60CB"/>
    <w:rsid w:val="711E68DF"/>
    <w:rsid w:val="712845F9"/>
    <w:rsid w:val="71415EDB"/>
    <w:rsid w:val="71425BF9"/>
    <w:rsid w:val="71461992"/>
    <w:rsid w:val="7149027E"/>
    <w:rsid w:val="714D12C1"/>
    <w:rsid w:val="714E3B41"/>
    <w:rsid w:val="715D2C0A"/>
    <w:rsid w:val="715F604F"/>
    <w:rsid w:val="71672415"/>
    <w:rsid w:val="716E2EED"/>
    <w:rsid w:val="71706A0F"/>
    <w:rsid w:val="717E5C5B"/>
    <w:rsid w:val="718C28F0"/>
    <w:rsid w:val="718F158B"/>
    <w:rsid w:val="718F34E1"/>
    <w:rsid w:val="719E7794"/>
    <w:rsid w:val="71A633FF"/>
    <w:rsid w:val="71BC14DC"/>
    <w:rsid w:val="71BE2D84"/>
    <w:rsid w:val="71C52D5B"/>
    <w:rsid w:val="71C650B7"/>
    <w:rsid w:val="71CA6844"/>
    <w:rsid w:val="71CD0B09"/>
    <w:rsid w:val="71D46F9E"/>
    <w:rsid w:val="71E01DD0"/>
    <w:rsid w:val="71EA4A14"/>
    <w:rsid w:val="71F56951"/>
    <w:rsid w:val="71F92C75"/>
    <w:rsid w:val="720F6228"/>
    <w:rsid w:val="722417A6"/>
    <w:rsid w:val="72275320"/>
    <w:rsid w:val="72350E81"/>
    <w:rsid w:val="723B08C7"/>
    <w:rsid w:val="725C4CF6"/>
    <w:rsid w:val="726C3AD3"/>
    <w:rsid w:val="726C7FC6"/>
    <w:rsid w:val="727178BF"/>
    <w:rsid w:val="7280357E"/>
    <w:rsid w:val="728564EA"/>
    <w:rsid w:val="728A70A8"/>
    <w:rsid w:val="72902839"/>
    <w:rsid w:val="729C201D"/>
    <w:rsid w:val="72B4658B"/>
    <w:rsid w:val="72BA60D2"/>
    <w:rsid w:val="72C40DC1"/>
    <w:rsid w:val="72C67642"/>
    <w:rsid w:val="72D04854"/>
    <w:rsid w:val="72D2288C"/>
    <w:rsid w:val="72D62DDC"/>
    <w:rsid w:val="72D83CD1"/>
    <w:rsid w:val="72DC0CAB"/>
    <w:rsid w:val="72F2281A"/>
    <w:rsid w:val="72F5541E"/>
    <w:rsid w:val="731C0B42"/>
    <w:rsid w:val="732A3742"/>
    <w:rsid w:val="73353A6C"/>
    <w:rsid w:val="73397A01"/>
    <w:rsid w:val="733E2DDA"/>
    <w:rsid w:val="73460B43"/>
    <w:rsid w:val="734A4459"/>
    <w:rsid w:val="734C10B5"/>
    <w:rsid w:val="734F0FD2"/>
    <w:rsid w:val="73522870"/>
    <w:rsid w:val="73532145"/>
    <w:rsid w:val="7353747A"/>
    <w:rsid w:val="73614861"/>
    <w:rsid w:val="73624E8A"/>
    <w:rsid w:val="73660C3A"/>
    <w:rsid w:val="73682094"/>
    <w:rsid w:val="737773DC"/>
    <w:rsid w:val="738B7B30"/>
    <w:rsid w:val="73A54D3D"/>
    <w:rsid w:val="73AA2FA8"/>
    <w:rsid w:val="73B37E7A"/>
    <w:rsid w:val="73BC23E0"/>
    <w:rsid w:val="73C21924"/>
    <w:rsid w:val="73C678A0"/>
    <w:rsid w:val="73CC4BDD"/>
    <w:rsid w:val="73D35FAE"/>
    <w:rsid w:val="73D43285"/>
    <w:rsid w:val="73D53523"/>
    <w:rsid w:val="73D80DBC"/>
    <w:rsid w:val="73DD5247"/>
    <w:rsid w:val="73E12AB8"/>
    <w:rsid w:val="73E76412"/>
    <w:rsid w:val="73E86D31"/>
    <w:rsid w:val="73EA3BDA"/>
    <w:rsid w:val="73EC68EA"/>
    <w:rsid w:val="73EE1190"/>
    <w:rsid w:val="73F512A3"/>
    <w:rsid w:val="73FF07DC"/>
    <w:rsid w:val="740044D1"/>
    <w:rsid w:val="740958C3"/>
    <w:rsid w:val="741627F4"/>
    <w:rsid w:val="74186380"/>
    <w:rsid w:val="74212243"/>
    <w:rsid w:val="742F2BB2"/>
    <w:rsid w:val="744F7B0E"/>
    <w:rsid w:val="74546133"/>
    <w:rsid w:val="74577806"/>
    <w:rsid w:val="7465570D"/>
    <w:rsid w:val="746A230F"/>
    <w:rsid w:val="746F15A7"/>
    <w:rsid w:val="74705AFE"/>
    <w:rsid w:val="7472416E"/>
    <w:rsid w:val="747D15AF"/>
    <w:rsid w:val="747D4C59"/>
    <w:rsid w:val="74807310"/>
    <w:rsid w:val="74811E67"/>
    <w:rsid w:val="748560FB"/>
    <w:rsid w:val="748A603A"/>
    <w:rsid w:val="748D0583"/>
    <w:rsid w:val="7497094F"/>
    <w:rsid w:val="74A62F76"/>
    <w:rsid w:val="74AD7A8A"/>
    <w:rsid w:val="74B35591"/>
    <w:rsid w:val="74C24D89"/>
    <w:rsid w:val="74D13C69"/>
    <w:rsid w:val="74D21440"/>
    <w:rsid w:val="74D6302D"/>
    <w:rsid w:val="74D87F6C"/>
    <w:rsid w:val="74D92260"/>
    <w:rsid w:val="74DA16B3"/>
    <w:rsid w:val="74DA22BB"/>
    <w:rsid w:val="74DB6BAE"/>
    <w:rsid w:val="74DD6A4E"/>
    <w:rsid w:val="74E874F4"/>
    <w:rsid w:val="74F97F2D"/>
    <w:rsid w:val="74FC36C1"/>
    <w:rsid w:val="74FD05BA"/>
    <w:rsid w:val="750556C0"/>
    <w:rsid w:val="75071439"/>
    <w:rsid w:val="750E27C7"/>
    <w:rsid w:val="75152107"/>
    <w:rsid w:val="75242FFC"/>
    <w:rsid w:val="752E41C6"/>
    <w:rsid w:val="753037A5"/>
    <w:rsid w:val="75330609"/>
    <w:rsid w:val="753E2B52"/>
    <w:rsid w:val="754D17C4"/>
    <w:rsid w:val="75546F0E"/>
    <w:rsid w:val="7561323F"/>
    <w:rsid w:val="75633DE1"/>
    <w:rsid w:val="7567408B"/>
    <w:rsid w:val="75736F2C"/>
    <w:rsid w:val="75811530"/>
    <w:rsid w:val="7582335E"/>
    <w:rsid w:val="75840CDB"/>
    <w:rsid w:val="758C141C"/>
    <w:rsid w:val="759E1D9D"/>
    <w:rsid w:val="75AD0232"/>
    <w:rsid w:val="75AE2816"/>
    <w:rsid w:val="75B443BF"/>
    <w:rsid w:val="75C53A4F"/>
    <w:rsid w:val="75D73501"/>
    <w:rsid w:val="75E37197"/>
    <w:rsid w:val="75EB080A"/>
    <w:rsid w:val="75F05CC0"/>
    <w:rsid w:val="75F60993"/>
    <w:rsid w:val="75F62DFF"/>
    <w:rsid w:val="75F93477"/>
    <w:rsid w:val="75FA60DA"/>
    <w:rsid w:val="76037A0E"/>
    <w:rsid w:val="76077CC8"/>
    <w:rsid w:val="7621477C"/>
    <w:rsid w:val="76380E9E"/>
    <w:rsid w:val="764A459F"/>
    <w:rsid w:val="764D1B91"/>
    <w:rsid w:val="76503AA6"/>
    <w:rsid w:val="76515061"/>
    <w:rsid w:val="76627D61"/>
    <w:rsid w:val="7667383D"/>
    <w:rsid w:val="76782478"/>
    <w:rsid w:val="76805946"/>
    <w:rsid w:val="76901DB2"/>
    <w:rsid w:val="76902896"/>
    <w:rsid w:val="76942367"/>
    <w:rsid w:val="76A61249"/>
    <w:rsid w:val="76AD6966"/>
    <w:rsid w:val="76B31503"/>
    <w:rsid w:val="76B47D13"/>
    <w:rsid w:val="76B52BD7"/>
    <w:rsid w:val="76BD4BB7"/>
    <w:rsid w:val="76BD6C3D"/>
    <w:rsid w:val="76CB7939"/>
    <w:rsid w:val="76DC4F1E"/>
    <w:rsid w:val="76DE189A"/>
    <w:rsid w:val="76E22F47"/>
    <w:rsid w:val="76E5092B"/>
    <w:rsid w:val="76E94580"/>
    <w:rsid w:val="76FA0BC0"/>
    <w:rsid w:val="76FD1ADF"/>
    <w:rsid w:val="77066C6E"/>
    <w:rsid w:val="77157AA1"/>
    <w:rsid w:val="771C695F"/>
    <w:rsid w:val="77226BF5"/>
    <w:rsid w:val="77265B4F"/>
    <w:rsid w:val="772A0B0D"/>
    <w:rsid w:val="772C162A"/>
    <w:rsid w:val="773F310C"/>
    <w:rsid w:val="77403B6B"/>
    <w:rsid w:val="77443184"/>
    <w:rsid w:val="77460CC4"/>
    <w:rsid w:val="77516384"/>
    <w:rsid w:val="775C7796"/>
    <w:rsid w:val="777259CC"/>
    <w:rsid w:val="777464E5"/>
    <w:rsid w:val="77811976"/>
    <w:rsid w:val="77905638"/>
    <w:rsid w:val="77921D7B"/>
    <w:rsid w:val="77A70DAE"/>
    <w:rsid w:val="77A92C7B"/>
    <w:rsid w:val="77AB254F"/>
    <w:rsid w:val="77AD62C7"/>
    <w:rsid w:val="77B06478"/>
    <w:rsid w:val="77B5495A"/>
    <w:rsid w:val="77BF779D"/>
    <w:rsid w:val="77C05C50"/>
    <w:rsid w:val="77D171A2"/>
    <w:rsid w:val="77D31AA6"/>
    <w:rsid w:val="77E048EF"/>
    <w:rsid w:val="77E85551"/>
    <w:rsid w:val="77ED704C"/>
    <w:rsid w:val="77F70052"/>
    <w:rsid w:val="78074C75"/>
    <w:rsid w:val="78171359"/>
    <w:rsid w:val="781E653B"/>
    <w:rsid w:val="78393882"/>
    <w:rsid w:val="783F0EE9"/>
    <w:rsid w:val="784415A8"/>
    <w:rsid w:val="784469E6"/>
    <w:rsid w:val="78453C6F"/>
    <w:rsid w:val="7854292E"/>
    <w:rsid w:val="7867215B"/>
    <w:rsid w:val="786875E7"/>
    <w:rsid w:val="786F0E55"/>
    <w:rsid w:val="78721C39"/>
    <w:rsid w:val="787F3212"/>
    <w:rsid w:val="78811502"/>
    <w:rsid w:val="789045CC"/>
    <w:rsid w:val="78A34B60"/>
    <w:rsid w:val="78A376CA"/>
    <w:rsid w:val="78A42EC6"/>
    <w:rsid w:val="78AA6ED7"/>
    <w:rsid w:val="78AE246B"/>
    <w:rsid w:val="78B92171"/>
    <w:rsid w:val="78BB0AD8"/>
    <w:rsid w:val="78BC4348"/>
    <w:rsid w:val="78BE62B2"/>
    <w:rsid w:val="78C23FF4"/>
    <w:rsid w:val="78D24F23"/>
    <w:rsid w:val="78D71A53"/>
    <w:rsid w:val="78FC7AD8"/>
    <w:rsid w:val="79094DAE"/>
    <w:rsid w:val="790F5E15"/>
    <w:rsid w:val="79114135"/>
    <w:rsid w:val="79220875"/>
    <w:rsid w:val="79294E9F"/>
    <w:rsid w:val="792F0F5E"/>
    <w:rsid w:val="79305402"/>
    <w:rsid w:val="793E7C5B"/>
    <w:rsid w:val="794B3FEA"/>
    <w:rsid w:val="79654980"/>
    <w:rsid w:val="796E3CC3"/>
    <w:rsid w:val="79714E6F"/>
    <w:rsid w:val="7976412D"/>
    <w:rsid w:val="79837106"/>
    <w:rsid w:val="79857138"/>
    <w:rsid w:val="798968C0"/>
    <w:rsid w:val="798D3C69"/>
    <w:rsid w:val="799007CD"/>
    <w:rsid w:val="79A8266A"/>
    <w:rsid w:val="79AC14E6"/>
    <w:rsid w:val="79B5786B"/>
    <w:rsid w:val="79BB3AEB"/>
    <w:rsid w:val="79C54939"/>
    <w:rsid w:val="79C86655"/>
    <w:rsid w:val="79C94C0D"/>
    <w:rsid w:val="79D00993"/>
    <w:rsid w:val="79D4234B"/>
    <w:rsid w:val="79D84D05"/>
    <w:rsid w:val="79E2650F"/>
    <w:rsid w:val="79EF30B0"/>
    <w:rsid w:val="79F92B12"/>
    <w:rsid w:val="79FB30F4"/>
    <w:rsid w:val="7A020420"/>
    <w:rsid w:val="7A0318AA"/>
    <w:rsid w:val="7A093605"/>
    <w:rsid w:val="7A0B19CB"/>
    <w:rsid w:val="7A0F5C67"/>
    <w:rsid w:val="7A18780A"/>
    <w:rsid w:val="7A247BD1"/>
    <w:rsid w:val="7A2B624E"/>
    <w:rsid w:val="7A3048D6"/>
    <w:rsid w:val="7A340F15"/>
    <w:rsid w:val="7A346FCA"/>
    <w:rsid w:val="7A3727C0"/>
    <w:rsid w:val="7A3E584B"/>
    <w:rsid w:val="7A4078C7"/>
    <w:rsid w:val="7A410F49"/>
    <w:rsid w:val="7A490C32"/>
    <w:rsid w:val="7A4A1526"/>
    <w:rsid w:val="7A50583C"/>
    <w:rsid w:val="7A544AB9"/>
    <w:rsid w:val="7A5B64AE"/>
    <w:rsid w:val="7A5F28E5"/>
    <w:rsid w:val="7A5F2CC0"/>
    <w:rsid w:val="7A5F4C7B"/>
    <w:rsid w:val="7A6606C8"/>
    <w:rsid w:val="7A6766B1"/>
    <w:rsid w:val="7A6841AF"/>
    <w:rsid w:val="7A69004B"/>
    <w:rsid w:val="7A7168A6"/>
    <w:rsid w:val="7A774208"/>
    <w:rsid w:val="7A7E7F2D"/>
    <w:rsid w:val="7A8246AE"/>
    <w:rsid w:val="7A9736F9"/>
    <w:rsid w:val="7A98456C"/>
    <w:rsid w:val="7A9C68C7"/>
    <w:rsid w:val="7AA247E1"/>
    <w:rsid w:val="7AA62981"/>
    <w:rsid w:val="7AA86C05"/>
    <w:rsid w:val="7AAC0735"/>
    <w:rsid w:val="7AB055B5"/>
    <w:rsid w:val="7AB60418"/>
    <w:rsid w:val="7ABF72FD"/>
    <w:rsid w:val="7AC6235D"/>
    <w:rsid w:val="7AD365C1"/>
    <w:rsid w:val="7AD86C5D"/>
    <w:rsid w:val="7ADB314B"/>
    <w:rsid w:val="7AE83ABA"/>
    <w:rsid w:val="7AEF26F6"/>
    <w:rsid w:val="7AF1471D"/>
    <w:rsid w:val="7AF31506"/>
    <w:rsid w:val="7B046B46"/>
    <w:rsid w:val="7B070360"/>
    <w:rsid w:val="7B1C2B9E"/>
    <w:rsid w:val="7B272834"/>
    <w:rsid w:val="7B2D7552"/>
    <w:rsid w:val="7B2F5236"/>
    <w:rsid w:val="7B3D3E06"/>
    <w:rsid w:val="7B453D8F"/>
    <w:rsid w:val="7B473269"/>
    <w:rsid w:val="7B56407B"/>
    <w:rsid w:val="7B58136F"/>
    <w:rsid w:val="7B6C0247"/>
    <w:rsid w:val="7B713604"/>
    <w:rsid w:val="7B7D1B70"/>
    <w:rsid w:val="7B7F61CD"/>
    <w:rsid w:val="7B8A17D5"/>
    <w:rsid w:val="7B8C7499"/>
    <w:rsid w:val="7B8F5AA9"/>
    <w:rsid w:val="7BA07EF1"/>
    <w:rsid w:val="7BAE3A38"/>
    <w:rsid w:val="7BB265A2"/>
    <w:rsid w:val="7BBD6A93"/>
    <w:rsid w:val="7BC6204D"/>
    <w:rsid w:val="7BDB201C"/>
    <w:rsid w:val="7BDC476E"/>
    <w:rsid w:val="7BDE568E"/>
    <w:rsid w:val="7BEE3352"/>
    <w:rsid w:val="7BF00E78"/>
    <w:rsid w:val="7BF43264"/>
    <w:rsid w:val="7BF840C1"/>
    <w:rsid w:val="7BF92D42"/>
    <w:rsid w:val="7C041228"/>
    <w:rsid w:val="7C0866BC"/>
    <w:rsid w:val="7C0E596F"/>
    <w:rsid w:val="7C0E7E7C"/>
    <w:rsid w:val="7C1F1B1F"/>
    <w:rsid w:val="7C3201A0"/>
    <w:rsid w:val="7C433D86"/>
    <w:rsid w:val="7C442BE6"/>
    <w:rsid w:val="7C653614"/>
    <w:rsid w:val="7C696409"/>
    <w:rsid w:val="7C716D5B"/>
    <w:rsid w:val="7C7A15A4"/>
    <w:rsid w:val="7C7F3FAA"/>
    <w:rsid w:val="7C830F7C"/>
    <w:rsid w:val="7C9C4244"/>
    <w:rsid w:val="7CA23EDC"/>
    <w:rsid w:val="7CA42150"/>
    <w:rsid w:val="7CAB0562"/>
    <w:rsid w:val="7CC14335"/>
    <w:rsid w:val="7CCB1016"/>
    <w:rsid w:val="7CD857EA"/>
    <w:rsid w:val="7CE10508"/>
    <w:rsid w:val="7CE22C40"/>
    <w:rsid w:val="7CED7166"/>
    <w:rsid w:val="7CF91361"/>
    <w:rsid w:val="7CFF7097"/>
    <w:rsid w:val="7D060CAB"/>
    <w:rsid w:val="7D0753DD"/>
    <w:rsid w:val="7D181794"/>
    <w:rsid w:val="7D192445"/>
    <w:rsid w:val="7D1E04AA"/>
    <w:rsid w:val="7D207053"/>
    <w:rsid w:val="7D2E53CE"/>
    <w:rsid w:val="7D346391"/>
    <w:rsid w:val="7D3F0F24"/>
    <w:rsid w:val="7D473DD3"/>
    <w:rsid w:val="7D5A7A5A"/>
    <w:rsid w:val="7D6E02A7"/>
    <w:rsid w:val="7D6E6F6F"/>
    <w:rsid w:val="7D6F2271"/>
    <w:rsid w:val="7D765E55"/>
    <w:rsid w:val="7D9309C4"/>
    <w:rsid w:val="7D9615AC"/>
    <w:rsid w:val="7D966959"/>
    <w:rsid w:val="7D9D6DDE"/>
    <w:rsid w:val="7DA215B2"/>
    <w:rsid w:val="7DAE0FEB"/>
    <w:rsid w:val="7DC946EF"/>
    <w:rsid w:val="7DCF4319"/>
    <w:rsid w:val="7DDE6CAC"/>
    <w:rsid w:val="7DE61BF9"/>
    <w:rsid w:val="7DEB329C"/>
    <w:rsid w:val="7DEB5D9B"/>
    <w:rsid w:val="7DF77CA9"/>
    <w:rsid w:val="7DF902E7"/>
    <w:rsid w:val="7DFE31E7"/>
    <w:rsid w:val="7E105802"/>
    <w:rsid w:val="7E110D76"/>
    <w:rsid w:val="7E134038"/>
    <w:rsid w:val="7E1C5F55"/>
    <w:rsid w:val="7E204930"/>
    <w:rsid w:val="7E2F7BE5"/>
    <w:rsid w:val="7E3B10C1"/>
    <w:rsid w:val="7E3E1098"/>
    <w:rsid w:val="7E467627"/>
    <w:rsid w:val="7E4B4A8C"/>
    <w:rsid w:val="7E500C29"/>
    <w:rsid w:val="7E6A7E54"/>
    <w:rsid w:val="7E6C1441"/>
    <w:rsid w:val="7E6D661C"/>
    <w:rsid w:val="7E7C4C45"/>
    <w:rsid w:val="7E95008D"/>
    <w:rsid w:val="7E9E2E0E"/>
    <w:rsid w:val="7EA51CCC"/>
    <w:rsid w:val="7EC50B73"/>
    <w:rsid w:val="7EC600D6"/>
    <w:rsid w:val="7EC767B3"/>
    <w:rsid w:val="7EC9775F"/>
    <w:rsid w:val="7ECB4467"/>
    <w:rsid w:val="7ED246B2"/>
    <w:rsid w:val="7ED3576D"/>
    <w:rsid w:val="7EDE76F8"/>
    <w:rsid w:val="7EE82730"/>
    <w:rsid w:val="7EFD1A58"/>
    <w:rsid w:val="7EFE0786"/>
    <w:rsid w:val="7F004CB6"/>
    <w:rsid w:val="7F0C2D8A"/>
    <w:rsid w:val="7F1D4A0B"/>
    <w:rsid w:val="7F1F036B"/>
    <w:rsid w:val="7F2C10A1"/>
    <w:rsid w:val="7F3149A3"/>
    <w:rsid w:val="7F3E639F"/>
    <w:rsid w:val="7F437511"/>
    <w:rsid w:val="7F467A05"/>
    <w:rsid w:val="7F475962"/>
    <w:rsid w:val="7F482A4C"/>
    <w:rsid w:val="7F5B5141"/>
    <w:rsid w:val="7F5E0CF2"/>
    <w:rsid w:val="7F625BE9"/>
    <w:rsid w:val="7F681FFB"/>
    <w:rsid w:val="7F767868"/>
    <w:rsid w:val="7F7F6AE5"/>
    <w:rsid w:val="7F840255"/>
    <w:rsid w:val="7F8F4FE6"/>
    <w:rsid w:val="7F927DE0"/>
    <w:rsid w:val="7F965A4B"/>
    <w:rsid w:val="7FAB3538"/>
    <w:rsid w:val="7FAC6763"/>
    <w:rsid w:val="7FB17D88"/>
    <w:rsid w:val="7FBA3C77"/>
    <w:rsid w:val="7FCF2838"/>
    <w:rsid w:val="7FD3672F"/>
    <w:rsid w:val="7FD6739D"/>
    <w:rsid w:val="7FDC2637"/>
    <w:rsid w:val="7FF33517"/>
    <w:rsid w:val="7FF64583"/>
    <w:rsid w:val="7FF738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qFormat="1"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iPriority="99"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80" w:lineRule="exact"/>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keepNext/>
      <w:keepLines/>
      <w:spacing w:line="560" w:lineRule="exact"/>
      <w:ind w:firstLine="0" w:firstLineChars="0"/>
      <w:outlineLvl w:val="0"/>
    </w:pPr>
    <w:rPr>
      <w:b/>
      <w:bCs/>
      <w:kern w:val="44"/>
      <w:sz w:val="36"/>
      <w:szCs w:val="36"/>
    </w:rPr>
  </w:style>
  <w:style w:type="paragraph" w:styleId="3">
    <w:name w:val="heading 2"/>
    <w:basedOn w:val="1"/>
    <w:next w:val="1"/>
    <w:autoRedefine/>
    <w:qFormat/>
    <w:uiPriority w:val="0"/>
    <w:pPr>
      <w:keepNext/>
      <w:keepLines/>
      <w:spacing w:before="120" w:after="120" w:line="560" w:lineRule="exact"/>
      <w:ind w:firstLine="0" w:firstLineChars="0"/>
      <w:outlineLvl w:val="1"/>
    </w:pPr>
    <w:rPr>
      <w:b/>
      <w:bCs/>
      <w:sz w:val="32"/>
      <w:szCs w:val="32"/>
    </w:rPr>
  </w:style>
  <w:style w:type="paragraph" w:styleId="4">
    <w:name w:val="heading 3"/>
    <w:basedOn w:val="1"/>
    <w:next w:val="1"/>
    <w:autoRedefine/>
    <w:unhideWhenUsed/>
    <w:qFormat/>
    <w:uiPriority w:val="0"/>
    <w:pPr>
      <w:keepNext/>
      <w:keepLines/>
      <w:spacing w:before="60" w:after="60"/>
      <w:ind w:firstLine="0" w:firstLineChars="0"/>
      <w:outlineLvl w:val="2"/>
    </w:pPr>
    <w:rPr>
      <w:b/>
      <w:bCs/>
      <w:sz w:val="30"/>
      <w:szCs w:val="32"/>
    </w:rPr>
  </w:style>
  <w:style w:type="paragraph" w:styleId="5">
    <w:name w:val="heading 4"/>
    <w:basedOn w:val="1"/>
    <w:next w:val="1"/>
    <w:autoRedefine/>
    <w:unhideWhenUsed/>
    <w:qFormat/>
    <w:uiPriority w:val="0"/>
    <w:pPr>
      <w:keepNext/>
      <w:keepLines/>
      <w:ind w:firstLine="0" w:firstLineChars="0"/>
      <w:outlineLvl w:val="3"/>
    </w:pPr>
    <w:rPr>
      <w:b/>
    </w:rPr>
  </w:style>
  <w:style w:type="paragraph" w:styleId="6">
    <w:name w:val="heading 5"/>
    <w:basedOn w:val="1"/>
    <w:next w:val="1"/>
    <w:autoRedefine/>
    <w:unhideWhenUsed/>
    <w:qFormat/>
    <w:uiPriority w:val="0"/>
    <w:pPr>
      <w:keepNext/>
      <w:keepLines/>
      <w:spacing w:line="372" w:lineRule="auto"/>
      <w:outlineLvl w:val="4"/>
    </w:pPr>
    <w:rPr>
      <w:b/>
      <w:sz w:val="28"/>
    </w:rPr>
  </w:style>
  <w:style w:type="character" w:default="1" w:styleId="35">
    <w:name w:val="Default Paragraph Font"/>
    <w:autoRedefine/>
    <w:semiHidden/>
    <w:unhideWhenUsed/>
    <w:qFormat/>
    <w:uiPriority w:val="1"/>
  </w:style>
  <w:style w:type="table" w:default="1" w:styleId="33">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next w:val="1"/>
    <w:link w:val="118"/>
    <w:autoRedefine/>
    <w:qFormat/>
    <w:uiPriority w:val="99"/>
    <w:pPr>
      <w:widowControl/>
      <w:ind w:firstLine="574"/>
      <w:jc w:val="left"/>
    </w:pPr>
    <w:rPr>
      <w:rFonts w:ascii="宋体" w:hAnsi="宋体" w:cs="宋体"/>
      <w:kern w:val="0"/>
      <w:sz w:val="28"/>
      <w:szCs w:val="20"/>
    </w:rPr>
  </w:style>
  <w:style w:type="paragraph" w:styleId="8">
    <w:name w:val="annotation text"/>
    <w:basedOn w:val="1"/>
    <w:link w:val="110"/>
    <w:autoRedefine/>
    <w:qFormat/>
    <w:uiPriority w:val="0"/>
    <w:pPr>
      <w:jc w:val="left"/>
    </w:pPr>
  </w:style>
  <w:style w:type="paragraph" w:styleId="9">
    <w:name w:val="Salutation"/>
    <w:basedOn w:val="1"/>
    <w:next w:val="1"/>
    <w:autoRedefine/>
    <w:qFormat/>
    <w:uiPriority w:val="0"/>
    <w:pPr>
      <w:adjustRightInd w:val="0"/>
      <w:snapToGrid w:val="0"/>
      <w:spacing w:line="360" w:lineRule="auto"/>
      <w:ind w:firstLine="200"/>
    </w:pPr>
    <w:rPr>
      <w:sz w:val="28"/>
    </w:rPr>
  </w:style>
  <w:style w:type="paragraph" w:styleId="10">
    <w:name w:val="Body Text"/>
    <w:basedOn w:val="1"/>
    <w:next w:val="11"/>
    <w:autoRedefine/>
    <w:qFormat/>
    <w:uiPriority w:val="0"/>
    <w:pPr>
      <w:widowControl/>
      <w:spacing w:after="120"/>
      <w:jc w:val="left"/>
    </w:pPr>
    <w:rPr>
      <w:rFonts w:ascii="宋体" w:hAnsi="宋体" w:cs="宋体"/>
      <w:kern w:val="0"/>
    </w:rPr>
  </w:style>
  <w:style w:type="paragraph" w:styleId="11">
    <w:name w:val="Body Text 2"/>
    <w:basedOn w:val="1"/>
    <w:autoRedefine/>
    <w:qFormat/>
    <w:uiPriority w:val="0"/>
    <w:pPr>
      <w:spacing w:line="480" w:lineRule="auto"/>
    </w:pPr>
    <w:rPr>
      <w:rFonts w:eastAsia="仿宋_GB2312"/>
    </w:rPr>
  </w:style>
  <w:style w:type="paragraph" w:styleId="12">
    <w:name w:val="Body Text Indent"/>
    <w:basedOn w:val="1"/>
    <w:link w:val="124"/>
    <w:autoRedefine/>
    <w:qFormat/>
    <w:uiPriority w:val="0"/>
    <w:pPr>
      <w:spacing w:after="120"/>
      <w:ind w:left="420" w:leftChars="200"/>
    </w:pPr>
  </w:style>
  <w:style w:type="paragraph" w:styleId="13">
    <w:name w:val="Block Text"/>
    <w:basedOn w:val="1"/>
    <w:autoRedefine/>
    <w:qFormat/>
    <w:uiPriority w:val="0"/>
    <w:pPr>
      <w:spacing w:line="500" w:lineRule="exact"/>
      <w:ind w:left="-105" w:leftChars="-50" w:right="-108"/>
      <w:jc w:val="center"/>
    </w:pPr>
    <w:rPr>
      <w:rFonts w:ascii="宋体" w:hAnsi="宋体" w:eastAsia="华文中宋"/>
      <w:spacing w:val="-6"/>
      <w:szCs w:val="32"/>
    </w:rPr>
  </w:style>
  <w:style w:type="paragraph" w:styleId="14">
    <w:name w:val="toc 3"/>
    <w:basedOn w:val="1"/>
    <w:next w:val="1"/>
    <w:autoRedefine/>
    <w:qFormat/>
    <w:uiPriority w:val="0"/>
    <w:pPr>
      <w:ind w:left="840" w:leftChars="400"/>
    </w:pPr>
  </w:style>
  <w:style w:type="paragraph" w:styleId="15">
    <w:name w:val="Plain Text"/>
    <w:basedOn w:val="1"/>
    <w:next w:val="16"/>
    <w:autoRedefine/>
    <w:semiHidden/>
    <w:qFormat/>
    <w:uiPriority w:val="0"/>
    <w:rPr>
      <w:rFonts w:ascii="宋体" w:hAnsi="Courier New" w:cs="Courier New"/>
      <w:szCs w:val="21"/>
    </w:rPr>
  </w:style>
  <w:style w:type="paragraph" w:styleId="16">
    <w:name w:val="List Number 5"/>
    <w:basedOn w:val="1"/>
    <w:autoRedefine/>
    <w:qFormat/>
    <w:uiPriority w:val="0"/>
    <w:pPr>
      <w:numPr>
        <w:ilvl w:val="0"/>
        <w:numId w:val="1"/>
      </w:numPr>
    </w:pPr>
  </w:style>
  <w:style w:type="paragraph" w:styleId="17">
    <w:name w:val="index 3"/>
    <w:basedOn w:val="1"/>
    <w:next w:val="1"/>
    <w:autoRedefine/>
    <w:qFormat/>
    <w:uiPriority w:val="0"/>
    <w:pPr>
      <w:spacing w:line="520" w:lineRule="exact"/>
      <w:ind w:left="630" w:hanging="210"/>
      <w:jc w:val="left"/>
    </w:pPr>
    <w:rPr>
      <w:rFonts w:cstheme="minorBidi"/>
      <w:sz w:val="20"/>
      <w:szCs w:val="20"/>
    </w:rPr>
  </w:style>
  <w:style w:type="paragraph" w:styleId="18">
    <w:name w:val="Date"/>
    <w:basedOn w:val="1"/>
    <w:next w:val="1"/>
    <w:autoRedefine/>
    <w:qFormat/>
    <w:uiPriority w:val="0"/>
    <w:pPr>
      <w:ind w:left="100" w:leftChars="2500"/>
    </w:pPr>
    <w:rPr>
      <w:kern w:val="0"/>
      <w:sz w:val="20"/>
    </w:rPr>
  </w:style>
  <w:style w:type="paragraph" w:styleId="19">
    <w:name w:val="Balloon Text"/>
    <w:basedOn w:val="1"/>
    <w:link w:val="88"/>
    <w:autoRedefine/>
    <w:qFormat/>
    <w:uiPriority w:val="0"/>
    <w:pPr>
      <w:spacing w:line="240" w:lineRule="auto"/>
    </w:pPr>
    <w:rPr>
      <w:sz w:val="18"/>
      <w:szCs w:val="18"/>
    </w:rPr>
  </w:style>
  <w:style w:type="paragraph" w:styleId="20">
    <w:name w:val="footer"/>
    <w:basedOn w:val="1"/>
    <w:next w:val="1"/>
    <w:link w:val="106"/>
    <w:autoRedefine/>
    <w:qFormat/>
    <w:uiPriority w:val="0"/>
    <w:pPr>
      <w:tabs>
        <w:tab w:val="center" w:pos="4153"/>
        <w:tab w:val="right" w:pos="8306"/>
      </w:tabs>
      <w:adjustRightInd w:val="0"/>
      <w:snapToGrid w:val="0"/>
      <w:jc w:val="left"/>
    </w:pPr>
    <w:rPr>
      <w:szCs w:val="18"/>
    </w:rPr>
  </w:style>
  <w:style w:type="paragraph" w:styleId="21">
    <w:name w:val="header"/>
    <w:basedOn w:val="1"/>
    <w:link w:val="105"/>
    <w:autoRedefine/>
    <w:qFormat/>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qFormat/>
    <w:uiPriority w:val="39"/>
  </w:style>
  <w:style w:type="paragraph" w:styleId="23">
    <w:name w:val="List Continue 4"/>
    <w:basedOn w:val="1"/>
    <w:next w:val="1"/>
    <w:autoRedefine/>
    <w:qFormat/>
    <w:uiPriority w:val="0"/>
    <w:pPr>
      <w:spacing w:after="120"/>
      <w:ind w:left="1680" w:firstLine="480"/>
    </w:pPr>
    <w:rPr>
      <w:rFonts w:ascii="宋体"/>
    </w:rPr>
  </w:style>
  <w:style w:type="paragraph" w:styleId="24">
    <w:name w:val="index heading"/>
    <w:basedOn w:val="1"/>
    <w:next w:val="25"/>
    <w:autoRedefine/>
    <w:unhideWhenUsed/>
    <w:qFormat/>
    <w:uiPriority w:val="99"/>
    <w:rPr>
      <w:szCs w:val="20"/>
    </w:rPr>
  </w:style>
  <w:style w:type="paragraph" w:styleId="25">
    <w:name w:val="index 1"/>
    <w:basedOn w:val="1"/>
    <w:next w:val="1"/>
    <w:autoRedefine/>
    <w:qFormat/>
    <w:uiPriority w:val="0"/>
    <w:pPr>
      <w:spacing w:line="400" w:lineRule="exact"/>
    </w:pPr>
    <w:rPr>
      <w:rFonts w:ascii="宋体" w:hAnsi="宋体"/>
      <w:color w:val="000000"/>
      <w:sz w:val="28"/>
      <w:szCs w:val="28"/>
    </w:rPr>
  </w:style>
  <w:style w:type="paragraph" w:styleId="26">
    <w:name w:val="List"/>
    <w:basedOn w:val="1"/>
    <w:next w:val="1"/>
    <w:autoRedefine/>
    <w:qFormat/>
    <w:uiPriority w:val="0"/>
    <w:pPr>
      <w:widowControl/>
      <w:spacing w:after="120"/>
      <w:ind w:firstLine="567"/>
      <w:jc w:val="left"/>
      <w:outlineLvl w:val="2"/>
    </w:pPr>
    <w:rPr>
      <w:rFonts w:eastAsia="黑体"/>
      <w:b/>
      <w:color w:val="000000"/>
      <w:kern w:val="0"/>
      <w:sz w:val="28"/>
      <w:szCs w:val="20"/>
      <w:lang w:eastAsia="en-US" w:bidi="en-US"/>
    </w:rPr>
  </w:style>
  <w:style w:type="paragraph" w:styleId="27">
    <w:name w:val="toc 2"/>
    <w:basedOn w:val="1"/>
    <w:next w:val="1"/>
    <w:autoRedefine/>
    <w:qFormat/>
    <w:uiPriority w:val="39"/>
    <w:pPr>
      <w:ind w:left="420" w:leftChars="200"/>
    </w:pPr>
  </w:style>
  <w:style w:type="paragraph" w:styleId="28">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rPr>
  </w:style>
  <w:style w:type="paragraph" w:styleId="29">
    <w:name w:val="Normal (Web)"/>
    <w:basedOn w:val="1"/>
    <w:autoRedefine/>
    <w:qFormat/>
    <w:uiPriority w:val="99"/>
    <w:pPr>
      <w:widowControl/>
      <w:spacing w:before="100" w:beforeAutospacing="1" w:after="100" w:afterAutospacing="1"/>
      <w:jc w:val="left"/>
    </w:pPr>
    <w:rPr>
      <w:rFonts w:ascii="宋体" w:hAnsi="宋体" w:cs="宋体"/>
      <w:color w:val="000000"/>
      <w:kern w:val="0"/>
    </w:rPr>
  </w:style>
  <w:style w:type="paragraph" w:styleId="30">
    <w:name w:val="annotation subject"/>
    <w:basedOn w:val="8"/>
    <w:next w:val="8"/>
    <w:link w:val="111"/>
    <w:autoRedefine/>
    <w:qFormat/>
    <w:uiPriority w:val="0"/>
    <w:rPr>
      <w:b/>
      <w:bCs/>
    </w:rPr>
  </w:style>
  <w:style w:type="paragraph" w:styleId="31">
    <w:name w:val="Body Text First Indent"/>
    <w:basedOn w:val="10"/>
    <w:next w:val="32"/>
    <w:autoRedefine/>
    <w:qFormat/>
    <w:uiPriority w:val="0"/>
    <w:pPr>
      <w:ind w:firstLine="420" w:firstLineChars="100"/>
    </w:pPr>
  </w:style>
  <w:style w:type="paragraph" w:styleId="32">
    <w:name w:val="Body Text First Indent 2"/>
    <w:basedOn w:val="12"/>
    <w:link w:val="123"/>
    <w:autoRedefine/>
    <w:qFormat/>
    <w:uiPriority w:val="0"/>
    <w:pPr>
      <w:spacing w:after="120"/>
      <w:ind w:left="420" w:leftChars="200" w:firstLine="420"/>
    </w:pPr>
    <w:rPr>
      <w:sz w:val="21"/>
    </w:rPr>
  </w:style>
  <w:style w:type="table" w:styleId="34">
    <w:name w:val="Table Grid"/>
    <w:basedOn w:val="3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basedOn w:val="35"/>
    <w:autoRedefine/>
    <w:qFormat/>
    <w:uiPriority w:val="0"/>
    <w:rPr>
      <w:b/>
    </w:rPr>
  </w:style>
  <w:style w:type="character" w:styleId="37">
    <w:name w:val="FollowedHyperlink"/>
    <w:autoRedefine/>
    <w:unhideWhenUsed/>
    <w:qFormat/>
    <w:uiPriority w:val="99"/>
    <w:rPr>
      <w:color w:val="954F72"/>
      <w:u w:val="single"/>
    </w:rPr>
  </w:style>
  <w:style w:type="character" w:styleId="38">
    <w:name w:val="Emphasis"/>
    <w:autoRedefine/>
    <w:qFormat/>
    <w:uiPriority w:val="0"/>
    <w:rPr>
      <w:i/>
    </w:rPr>
  </w:style>
  <w:style w:type="character" w:styleId="39">
    <w:name w:val="Hyperlink"/>
    <w:basedOn w:val="35"/>
    <w:autoRedefine/>
    <w:qFormat/>
    <w:uiPriority w:val="99"/>
    <w:rPr>
      <w:color w:val="0000FF"/>
      <w:u w:val="single"/>
    </w:rPr>
  </w:style>
  <w:style w:type="character" w:styleId="40">
    <w:name w:val="annotation reference"/>
    <w:basedOn w:val="35"/>
    <w:autoRedefine/>
    <w:qFormat/>
    <w:uiPriority w:val="0"/>
    <w:rPr>
      <w:sz w:val="21"/>
      <w:szCs w:val="21"/>
    </w:rPr>
  </w:style>
  <w:style w:type="paragraph" w:customStyle="1" w:styleId="41">
    <w:name w:val="Default"/>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2">
    <w:name w:val="表格内"/>
    <w:basedOn w:val="1"/>
    <w:autoRedefine/>
    <w:qFormat/>
    <w:uiPriority w:val="0"/>
    <w:pPr>
      <w:adjustRightInd w:val="0"/>
      <w:snapToGrid w:val="0"/>
      <w:spacing w:line="360" w:lineRule="exact"/>
      <w:jc w:val="center"/>
    </w:pPr>
    <w:rPr>
      <w:snapToGrid w:val="0"/>
      <w:kern w:val="0"/>
      <w:szCs w:val="21"/>
    </w:rPr>
  </w:style>
  <w:style w:type="paragraph" w:customStyle="1" w:styleId="43">
    <w:name w:val="样式 首行缩进:  2 字符1"/>
    <w:basedOn w:val="1"/>
    <w:autoRedefine/>
    <w:qFormat/>
    <w:uiPriority w:val="0"/>
    <w:pPr>
      <w:spacing w:line="360" w:lineRule="auto"/>
      <w:ind w:firstLine="200"/>
    </w:pPr>
    <w:rPr>
      <w:rFonts w:cs="宋体"/>
      <w:szCs w:val="20"/>
    </w:rPr>
  </w:style>
  <w:style w:type="paragraph" w:customStyle="1" w:styleId="44">
    <w:name w:val="正文格式"/>
    <w:basedOn w:val="31"/>
    <w:next w:val="45"/>
    <w:autoRedefine/>
    <w:qFormat/>
    <w:uiPriority w:val="0"/>
    <w:pPr>
      <w:widowControl w:val="0"/>
      <w:ind w:firstLine="200" w:firstLineChars="200"/>
    </w:pPr>
    <w:rPr>
      <w:rFonts w:hAnsi="Times New Roman" w:cs="Times New Roman"/>
      <w:kern w:val="2"/>
    </w:rPr>
  </w:style>
  <w:style w:type="paragraph" w:customStyle="1" w:styleId="45">
    <w:name w:val="_Style 5"/>
    <w:basedOn w:val="1"/>
    <w:autoRedefine/>
    <w:qFormat/>
    <w:uiPriority w:val="0"/>
    <w:pPr>
      <w:ind w:firstLine="420"/>
    </w:pPr>
    <w:rPr>
      <w:rFonts w:ascii="Calibri" w:hAnsi="Calibri"/>
      <w:szCs w:val="22"/>
    </w:rPr>
  </w:style>
  <w:style w:type="paragraph" w:customStyle="1" w:styleId="46">
    <w:name w:val="表、图名宋旭峰"/>
    <w:basedOn w:val="1"/>
    <w:autoRedefine/>
    <w:qFormat/>
    <w:uiPriority w:val="99"/>
    <w:pPr>
      <w:snapToGrid w:val="0"/>
      <w:jc w:val="center"/>
    </w:pPr>
    <w:rPr>
      <w:rFonts w:ascii="黑体" w:hAnsi="黑体" w:eastAsia="黑体"/>
    </w:rPr>
  </w:style>
  <w:style w:type="paragraph" w:customStyle="1" w:styleId="47">
    <w:name w:val="Table Paragraph"/>
    <w:basedOn w:val="1"/>
    <w:autoRedefine/>
    <w:qFormat/>
    <w:uiPriority w:val="1"/>
    <w:pPr>
      <w:spacing w:before="100" w:beforeAutospacing="1"/>
      <w:jc w:val="left"/>
    </w:pPr>
    <w:rPr>
      <w:kern w:val="0"/>
      <w:sz w:val="22"/>
      <w:szCs w:val="22"/>
    </w:rPr>
  </w:style>
  <w:style w:type="paragraph" w:customStyle="1" w:styleId="48">
    <w:name w:val="表格文字样式14"/>
    <w:basedOn w:val="1"/>
    <w:autoRedefine/>
    <w:qFormat/>
    <w:uiPriority w:val="99"/>
    <w:pPr>
      <w:overflowPunct w:val="0"/>
      <w:adjustRightInd w:val="0"/>
      <w:snapToGrid w:val="0"/>
      <w:spacing w:line="360" w:lineRule="exact"/>
      <w:jc w:val="center"/>
    </w:pPr>
    <w:rPr>
      <w:bCs/>
      <w:snapToGrid w:val="0"/>
      <w:sz w:val="21"/>
      <w:szCs w:val="21"/>
    </w:rPr>
  </w:style>
  <w:style w:type="paragraph" w:customStyle="1" w:styleId="49">
    <w:name w:val="表头"/>
    <w:basedOn w:val="50"/>
    <w:next w:val="1"/>
    <w:link w:val="114"/>
    <w:autoRedefine/>
    <w:qFormat/>
    <w:uiPriority w:val="0"/>
    <w:pPr>
      <w:spacing w:beforeLines="0" w:afterLines="0" w:line="480" w:lineRule="exact"/>
      <w:ind w:firstLine="0" w:firstLineChars="0"/>
      <w:jc w:val="center"/>
    </w:pPr>
    <w:rPr>
      <w:b/>
    </w:rPr>
  </w:style>
  <w:style w:type="paragraph" w:customStyle="1" w:styleId="50">
    <w:name w:val="正文1"/>
    <w:basedOn w:val="7"/>
    <w:next w:val="7"/>
    <w:autoRedefine/>
    <w:qFormat/>
    <w:uiPriority w:val="0"/>
    <w:pPr>
      <w:spacing w:beforeLines="25" w:afterLines="25" w:line="360" w:lineRule="auto"/>
      <w:ind w:firstLine="480"/>
    </w:pPr>
    <w:rPr>
      <w:rFonts w:ascii="Times New Roman" w:hAnsi="Times New Roman" w:cs="Times New Roman"/>
      <w:kern w:val="2"/>
      <w:sz w:val="24"/>
      <w:szCs w:val="24"/>
    </w:rPr>
  </w:style>
  <w:style w:type="paragraph" w:customStyle="1" w:styleId="51">
    <w:name w:val="表格内容"/>
    <w:basedOn w:val="52"/>
    <w:next w:val="1"/>
    <w:autoRedefine/>
    <w:qFormat/>
    <w:uiPriority w:val="0"/>
    <w:pPr>
      <w:autoSpaceDE w:val="0"/>
      <w:autoSpaceDN w:val="0"/>
      <w:adjustRightInd w:val="0"/>
      <w:snapToGrid w:val="0"/>
      <w:spacing w:line="360" w:lineRule="exact"/>
      <w:ind w:firstLine="0" w:firstLineChars="0"/>
      <w:jc w:val="center"/>
    </w:pPr>
    <w:rPr>
      <w:kern w:val="0"/>
    </w:rPr>
  </w:style>
  <w:style w:type="paragraph" w:customStyle="1" w:styleId="52">
    <w:name w:val="附录 标题"/>
    <w:basedOn w:val="1"/>
    <w:qFormat/>
    <w:uiPriority w:val="0"/>
    <w:pPr>
      <w:ind w:firstLine="0" w:firstLineChars="0"/>
      <w:jc w:val="center"/>
    </w:pPr>
    <w:rPr>
      <w:rFonts w:ascii="Calibri" w:hAnsi="Calibri" w:eastAsia="宋体"/>
      <w:b/>
      <w:sz w:val="30"/>
    </w:rPr>
  </w:style>
  <w:style w:type="paragraph" w:customStyle="1" w:styleId="53">
    <w:name w:val="正文2002"/>
    <w:basedOn w:val="1"/>
    <w:autoRedefine/>
    <w:qFormat/>
    <w:uiPriority w:val="0"/>
    <w:pPr>
      <w:spacing w:line="340" w:lineRule="exact"/>
      <w:ind w:firstLine="0" w:firstLineChars="0"/>
      <w:jc w:val="center"/>
    </w:pPr>
    <w:rPr>
      <w:sz w:val="21"/>
    </w:rPr>
  </w:style>
  <w:style w:type="paragraph" w:customStyle="1" w:styleId="54">
    <w:name w:val="表格"/>
    <w:basedOn w:val="26"/>
    <w:autoRedefine/>
    <w:qFormat/>
    <w:uiPriority w:val="0"/>
    <w:pPr>
      <w:jc w:val="center"/>
    </w:pPr>
    <w:rPr>
      <w:rFonts w:ascii="宋体" w:hAnsi="宋体" w:cs="宋体"/>
      <w:sz w:val="24"/>
      <w:szCs w:val="21"/>
    </w:rPr>
  </w:style>
  <w:style w:type="paragraph" w:customStyle="1" w:styleId="55">
    <w:name w:val="正文(首行缩进)"/>
    <w:basedOn w:val="1"/>
    <w:next w:val="1"/>
    <w:link w:val="122"/>
    <w:autoRedefine/>
    <w:qFormat/>
    <w:uiPriority w:val="0"/>
    <w:pPr>
      <w:adjustRightInd w:val="0"/>
      <w:ind w:firstLine="540" w:firstLineChars="225"/>
      <w:textAlignment w:val="baseline"/>
    </w:pPr>
    <w:rPr>
      <w:color w:val="000000"/>
    </w:rPr>
  </w:style>
  <w:style w:type="paragraph" w:customStyle="1" w:styleId="56">
    <w:name w:val="A正文"/>
    <w:basedOn w:val="15"/>
    <w:autoRedefine/>
    <w:qFormat/>
    <w:uiPriority w:val="0"/>
    <w:pPr>
      <w:snapToGrid w:val="0"/>
      <w:spacing w:line="360" w:lineRule="auto"/>
      <w:ind w:firstLine="200"/>
    </w:pPr>
    <w:rPr>
      <w:rFonts w:ascii="Times New Roman" w:hAnsi="Times New Roman" w:cs="宋体"/>
      <w:sz w:val="28"/>
      <w:szCs w:val="24"/>
    </w:rPr>
  </w:style>
  <w:style w:type="paragraph" w:customStyle="1" w:styleId="57">
    <w:name w:val="A表格"/>
    <w:basedOn w:val="56"/>
    <w:autoRedefine/>
    <w:qFormat/>
    <w:uiPriority w:val="0"/>
    <w:pPr>
      <w:adjustRightInd w:val="0"/>
      <w:spacing w:line="240" w:lineRule="auto"/>
      <w:ind w:firstLine="0" w:firstLineChars="0"/>
    </w:pPr>
    <w:rPr>
      <w:sz w:val="21"/>
    </w:rPr>
  </w:style>
  <w:style w:type="paragraph" w:customStyle="1" w:styleId="58">
    <w:name w:val="表格正文"/>
    <w:basedOn w:val="1"/>
    <w:autoRedefine/>
    <w:qFormat/>
    <w:uiPriority w:val="0"/>
    <w:pPr>
      <w:jc w:val="center"/>
    </w:pPr>
    <w:rPr>
      <w:szCs w:val="22"/>
    </w:rPr>
  </w:style>
  <w:style w:type="paragraph" w:customStyle="1" w:styleId="59">
    <w:name w:val="环评正文"/>
    <w:basedOn w:val="1"/>
    <w:autoRedefine/>
    <w:qFormat/>
    <w:uiPriority w:val="0"/>
    <w:rPr>
      <w:rFonts w:ascii="宋体" w:hAnsi="宋体"/>
      <w:szCs w:val="22"/>
    </w:rPr>
  </w:style>
  <w:style w:type="paragraph" w:customStyle="1" w:styleId="60">
    <w:name w:val="_正文格式"/>
    <w:basedOn w:val="1"/>
    <w:autoRedefine/>
    <w:qFormat/>
    <w:uiPriority w:val="0"/>
    <w:pPr>
      <w:spacing w:line="500" w:lineRule="exact"/>
      <w:ind w:firstLine="567"/>
      <w:jc w:val="left"/>
    </w:pPr>
  </w:style>
  <w:style w:type="paragraph" w:customStyle="1" w:styleId="61">
    <w:name w:val="样式 首行缩进:  2 字符 行距: 1.5 倍行距"/>
    <w:basedOn w:val="1"/>
    <w:autoRedefine/>
    <w:qFormat/>
    <w:uiPriority w:val="0"/>
    <w:pPr>
      <w:spacing w:line="360" w:lineRule="auto"/>
    </w:pPr>
    <w:rPr>
      <w:rFonts w:cs="宋体"/>
    </w:rPr>
  </w:style>
  <w:style w:type="paragraph" w:customStyle="1" w:styleId="62">
    <w:name w:val="正文 楷体"/>
    <w:basedOn w:val="1"/>
    <w:autoRedefine/>
    <w:qFormat/>
    <w:uiPriority w:val="0"/>
    <w:pPr>
      <w:spacing w:line="500" w:lineRule="exact"/>
      <w:ind w:firstLine="200"/>
    </w:pPr>
    <w:rPr>
      <w:rFonts w:ascii="楷体_GB2312" w:hAnsi="楷体_GB2312" w:eastAsia="楷体_GB2312" w:cs="宋体"/>
    </w:rPr>
  </w:style>
  <w:style w:type="paragraph" w:customStyle="1" w:styleId="63">
    <w:name w:val="正文-ls"/>
    <w:basedOn w:val="1"/>
    <w:autoRedefine/>
    <w:qFormat/>
    <w:uiPriority w:val="0"/>
    <w:pPr>
      <w:spacing w:line="360" w:lineRule="auto"/>
      <w:ind w:firstLine="200"/>
    </w:pPr>
    <w:rPr>
      <w:rFonts w:hAnsi="宋体" w:cs="宋体"/>
      <w:szCs w:val="20"/>
    </w:rPr>
  </w:style>
  <w:style w:type="paragraph" w:customStyle="1" w:styleId="64">
    <w:name w:val="样式 首行缩进:  0.85 厘米"/>
    <w:basedOn w:val="1"/>
    <w:autoRedefine/>
    <w:qFormat/>
    <w:uiPriority w:val="0"/>
    <w:pPr>
      <w:spacing w:line="500" w:lineRule="exact"/>
      <w:ind w:firstLine="200"/>
    </w:pPr>
    <w:rPr>
      <w:rFonts w:ascii="楷体_GB2312" w:hAnsi="楷体_GB2312" w:eastAsia="楷体_GB2312" w:cs="楷体_GB2312"/>
    </w:rPr>
  </w:style>
  <w:style w:type="paragraph" w:customStyle="1" w:styleId="65">
    <w:name w:val="样式 (西文) 楷体_GB2312 首行缩进:  0.85 厘米1"/>
    <w:basedOn w:val="1"/>
    <w:autoRedefine/>
    <w:qFormat/>
    <w:uiPriority w:val="0"/>
    <w:pPr>
      <w:spacing w:line="500" w:lineRule="exact"/>
      <w:ind w:firstLine="200"/>
    </w:pPr>
    <w:rPr>
      <w:rFonts w:ascii="楷体_GB2312" w:hAnsi="楷体_GB2312" w:eastAsia="楷体_GB2312" w:cs="楷体_GB2312"/>
    </w:rPr>
  </w:style>
  <w:style w:type="paragraph" w:customStyle="1" w:styleId="66">
    <w:name w:val="样式 样式 样式 样式 报告正文 + 宋体 五号 黑色 + 五号 + (西文) Times New Roman (中文) 华文中..."/>
    <w:basedOn w:val="1"/>
    <w:autoRedefine/>
    <w:qFormat/>
    <w:uiPriority w:val="0"/>
    <w:pPr>
      <w:adjustRightInd w:val="0"/>
      <w:snapToGrid w:val="0"/>
      <w:spacing w:line="520" w:lineRule="exact"/>
      <w:ind w:firstLine="200"/>
    </w:pPr>
    <w:rPr>
      <w:rFonts w:ascii="宋体" w:eastAsia="华文中宋" w:cs="宋体"/>
      <w:b/>
      <w:bCs/>
      <w:color w:val="000000"/>
    </w:rPr>
  </w:style>
  <w:style w:type="paragraph" w:customStyle="1" w:styleId="67">
    <w:name w:val="表内字体"/>
    <w:basedOn w:val="1"/>
    <w:autoRedefine/>
    <w:qFormat/>
    <w:uiPriority w:val="0"/>
    <w:pPr>
      <w:jc w:val="center"/>
    </w:pPr>
    <w:rPr>
      <w:rFonts w:hAnsi="宋体"/>
      <w:szCs w:val="20"/>
    </w:rPr>
  </w:style>
  <w:style w:type="paragraph" w:customStyle="1" w:styleId="68">
    <w:name w:val="！正文"/>
    <w:basedOn w:val="1"/>
    <w:link w:val="103"/>
    <w:autoRedefine/>
    <w:qFormat/>
    <w:uiPriority w:val="0"/>
    <w:pPr>
      <w:spacing w:line="500" w:lineRule="exact"/>
      <w:ind w:firstLine="200"/>
    </w:pPr>
    <w:rPr>
      <w:rFonts w:eastAsia="华文中宋"/>
    </w:rPr>
  </w:style>
  <w:style w:type="paragraph" w:customStyle="1" w:styleId="69">
    <w:name w:val="表格文字"/>
    <w:basedOn w:val="10"/>
    <w:next w:val="1"/>
    <w:autoRedefine/>
    <w:qFormat/>
    <w:uiPriority w:val="0"/>
    <w:pPr>
      <w:widowControl w:val="0"/>
      <w:tabs>
        <w:tab w:val="left" w:pos="1119"/>
      </w:tabs>
      <w:spacing w:after="0"/>
      <w:ind w:left="-90" w:leftChars="-43"/>
    </w:pPr>
    <w:rPr>
      <w:snapToGrid w:val="0"/>
      <w:color w:val="000000"/>
      <w:sz w:val="18"/>
      <w:szCs w:val="18"/>
    </w:rPr>
  </w:style>
  <w:style w:type="paragraph" w:customStyle="1" w:styleId="70">
    <w:name w:val="正文（首行式样2）"/>
    <w:basedOn w:val="7"/>
    <w:autoRedefine/>
    <w:qFormat/>
    <w:uiPriority w:val="0"/>
    <w:pPr>
      <w:snapToGrid w:val="0"/>
      <w:spacing w:line="360" w:lineRule="auto"/>
      <w:ind w:right="-13" w:rightChars="-6" w:firstLine="526" w:firstLineChars="219"/>
    </w:pPr>
    <w:rPr>
      <w:color w:val="000000"/>
      <w:sz w:val="24"/>
    </w:rPr>
  </w:style>
  <w:style w:type="paragraph" w:customStyle="1" w:styleId="71">
    <w:name w:val="样式 宋体 小四 居中 左侧:  0.74 厘米 行距: 固定值 20 磅"/>
    <w:basedOn w:val="1"/>
    <w:autoRedefine/>
    <w:qFormat/>
    <w:uiPriority w:val="0"/>
    <w:pPr>
      <w:jc w:val="center"/>
    </w:pPr>
    <w:rPr>
      <w:rFonts w:ascii="黑体" w:hAnsi="宋体" w:eastAsia="黑体"/>
      <w:lang w:bidi="ar-QA"/>
    </w:rPr>
  </w:style>
  <w:style w:type="paragraph" w:customStyle="1" w:styleId="72">
    <w:name w:val="A3"/>
    <w:basedOn w:val="4"/>
    <w:autoRedefine/>
    <w:qFormat/>
    <w:uiPriority w:val="0"/>
    <w:rPr>
      <w:sz w:val="28"/>
    </w:rPr>
  </w:style>
  <w:style w:type="paragraph" w:customStyle="1" w:styleId="73">
    <w:name w:val="A4"/>
    <w:basedOn w:val="4"/>
    <w:autoRedefine/>
    <w:qFormat/>
    <w:uiPriority w:val="0"/>
    <w:pPr>
      <w:outlineLvl w:val="3"/>
    </w:pPr>
    <w:rPr>
      <w:sz w:val="28"/>
    </w:rPr>
  </w:style>
  <w:style w:type="paragraph" w:customStyle="1" w:styleId="74">
    <w:name w:val="A表头"/>
    <w:basedOn w:val="1"/>
    <w:autoRedefine/>
    <w:qFormat/>
    <w:uiPriority w:val="0"/>
    <w:pPr>
      <w:adjustRightInd w:val="0"/>
      <w:snapToGrid w:val="0"/>
      <w:jc w:val="left"/>
    </w:pPr>
    <w:rPr>
      <w:b/>
      <w:szCs w:val="20"/>
    </w:rPr>
  </w:style>
  <w:style w:type="paragraph" w:customStyle="1" w:styleId="75">
    <w:name w:val="A-表头"/>
    <w:basedOn w:val="1"/>
    <w:autoRedefine/>
    <w:qFormat/>
    <w:uiPriority w:val="0"/>
    <w:pPr>
      <w:adjustRightInd w:val="0"/>
      <w:snapToGrid w:val="0"/>
    </w:pPr>
    <w:rPr>
      <w:sz w:val="28"/>
      <w:szCs w:val="28"/>
    </w:rPr>
  </w:style>
  <w:style w:type="character" w:customStyle="1" w:styleId="76">
    <w:name w:val="fontstyle01"/>
    <w:autoRedefine/>
    <w:qFormat/>
    <w:uiPriority w:val="0"/>
    <w:rPr>
      <w:rFonts w:hint="eastAsia" w:ascii="宋体" w:hAnsi="宋体" w:eastAsia="宋体"/>
      <w:color w:val="000000"/>
      <w:sz w:val="28"/>
      <w:szCs w:val="28"/>
    </w:rPr>
  </w:style>
  <w:style w:type="character" w:customStyle="1" w:styleId="77">
    <w:name w:val="fontstyle21"/>
    <w:autoRedefine/>
    <w:qFormat/>
    <w:uiPriority w:val="0"/>
    <w:rPr>
      <w:rFonts w:hint="default" w:ascii="TimesNewRomanPSMT" w:hAnsi="TimesNewRomanPSMT"/>
      <w:color w:val="000000"/>
      <w:sz w:val="28"/>
      <w:szCs w:val="28"/>
    </w:rPr>
  </w:style>
  <w:style w:type="paragraph" w:customStyle="1" w:styleId="78">
    <w:name w:val="表头A"/>
    <w:basedOn w:val="49"/>
    <w:autoRedefine/>
    <w:qFormat/>
    <w:uiPriority w:val="0"/>
    <w:rPr>
      <w:rFonts w:ascii="华文仿宋" w:hAnsi="华文仿宋" w:eastAsia="华文仿宋"/>
    </w:rPr>
  </w:style>
  <w:style w:type="paragraph" w:customStyle="1" w:styleId="79">
    <w:name w:val="表格1"/>
    <w:basedOn w:val="1"/>
    <w:autoRedefine/>
    <w:qFormat/>
    <w:uiPriority w:val="0"/>
    <w:pPr>
      <w:adjustRightInd w:val="0"/>
      <w:spacing w:line="400" w:lineRule="atLeast"/>
      <w:jc w:val="center"/>
    </w:pPr>
    <w:rPr>
      <w:kern w:val="0"/>
    </w:rPr>
  </w:style>
  <w:style w:type="paragraph" w:customStyle="1" w:styleId="80">
    <w:name w:val="。。。。。。。。。正文格式"/>
    <w:basedOn w:val="1"/>
    <w:autoRedefine/>
    <w:qFormat/>
    <w:uiPriority w:val="0"/>
    <w:pPr>
      <w:spacing w:line="360" w:lineRule="auto"/>
      <w:ind w:firstLine="480"/>
    </w:pPr>
    <w:rPr>
      <w:rFonts w:hAnsi="宋体"/>
      <w:kern w:val="0"/>
      <w:szCs w:val="20"/>
    </w:rPr>
  </w:style>
  <w:style w:type="character" w:customStyle="1" w:styleId="81">
    <w:name w:val="江正文格式 Char Char"/>
    <w:autoRedefine/>
    <w:semiHidden/>
    <w:qFormat/>
    <w:uiPriority w:val="0"/>
    <w:rPr>
      <w:rFonts w:hint="default" w:ascii="Times New Roman" w:hAnsi="Times New Roman" w:eastAsia="宋体" w:cs="Times New Roman"/>
      <w:kern w:val="2"/>
      <w:sz w:val="24"/>
      <w:szCs w:val="24"/>
      <w:lang w:val="en-US" w:eastAsia="zh-CN" w:bidi="ar-SA"/>
    </w:rPr>
  </w:style>
  <w:style w:type="paragraph" w:customStyle="1" w:styleId="82">
    <w:name w:val="正文样式暗暗"/>
    <w:basedOn w:val="1"/>
    <w:autoRedefine/>
    <w:qFormat/>
    <w:uiPriority w:val="0"/>
    <w:pPr>
      <w:widowControl/>
      <w:ind w:firstLine="420" w:firstLineChars="175"/>
    </w:pPr>
    <w:rPr>
      <w:rFonts w:ascii="宋体" w:hAnsi="宋体" w:cs="宋体"/>
      <w:szCs w:val="22"/>
    </w:rPr>
  </w:style>
  <w:style w:type="paragraph" w:customStyle="1" w:styleId="83">
    <w:name w:val="表中文字"/>
    <w:next w:val="1"/>
    <w:autoRedefine/>
    <w:qFormat/>
    <w:uiPriority w:val="0"/>
    <w:pPr>
      <w:jc w:val="center"/>
    </w:pPr>
    <w:rPr>
      <w:rFonts w:ascii="Times New Roman" w:hAnsi="Times New Roman" w:eastAsia="宋体" w:cs="Times New Roman"/>
      <w:color w:val="000000"/>
      <w:kern w:val="2"/>
      <w:sz w:val="21"/>
      <w:szCs w:val="24"/>
      <w:lang w:val="en-US" w:eastAsia="zh-CN" w:bidi="ar-SA"/>
    </w:rPr>
  </w:style>
  <w:style w:type="paragraph" w:customStyle="1" w:styleId="84">
    <w:name w:val="正文11"/>
    <w:basedOn w:val="7"/>
    <w:next w:val="7"/>
    <w:autoRedefine/>
    <w:qFormat/>
    <w:uiPriority w:val="0"/>
    <w:pPr>
      <w:spacing w:beforeLines="25" w:afterLines="25" w:line="360" w:lineRule="auto"/>
      <w:ind w:firstLine="480"/>
    </w:pPr>
    <w:rPr>
      <w:sz w:val="24"/>
    </w:rPr>
  </w:style>
  <w:style w:type="character" w:customStyle="1" w:styleId="85">
    <w:name w:val="font21"/>
    <w:autoRedefine/>
    <w:qFormat/>
    <w:uiPriority w:val="0"/>
    <w:rPr>
      <w:rFonts w:hint="default" w:ascii="Times New Roman" w:hAnsi="Times New Roman" w:cs="Times New Roman"/>
      <w:color w:val="000000"/>
      <w:sz w:val="20"/>
      <w:szCs w:val="20"/>
      <w:u w:val="none"/>
    </w:rPr>
  </w:style>
  <w:style w:type="character" w:customStyle="1" w:styleId="86">
    <w:name w:val="font31"/>
    <w:autoRedefine/>
    <w:qFormat/>
    <w:uiPriority w:val="0"/>
    <w:rPr>
      <w:rFonts w:hint="eastAsia" w:ascii="宋体" w:hAnsi="宋体" w:eastAsia="宋体"/>
      <w:color w:val="000000"/>
      <w:sz w:val="20"/>
      <w:szCs w:val="20"/>
      <w:u w:val="none"/>
    </w:rPr>
  </w:style>
  <w:style w:type="character" w:customStyle="1" w:styleId="87">
    <w:name w:val="font41"/>
    <w:autoRedefine/>
    <w:qFormat/>
    <w:uiPriority w:val="0"/>
    <w:rPr>
      <w:rFonts w:hint="eastAsia" w:ascii="宋体" w:hAnsi="宋体" w:eastAsia="宋体"/>
      <w:color w:val="000000"/>
      <w:sz w:val="14"/>
      <w:szCs w:val="14"/>
      <w:u w:val="none"/>
    </w:rPr>
  </w:style>
  <w:style w:type="character" w:customStyle="1" w:styleId="88">
    <w:name w:val="批注框文本 字符"/>
    <w:basedOn w:val="35"/>
    <w:link w:val="19"/>
    <w:autoRedefine/>
    <w:qFormat/>
    <w:uiPriority w:val="0"/>
    <w:rPr>
      <w:kern w:val="2"/>
      <w:sz w:val="18"/>
      <w:szCs w:val="18"/>
    </w:rPr>
  </w:style>
  <w:style w:type="paragraph" w:customStyle="1" w:styleId="89">
    <w:name w:val="图头"/>
    <w:basedOn w:val="49"/>
    <w:next w:val="84"/>
    <w:autoRedefine/>
    <w:qFormat/>
    <w:uiPriority w:val="0"/>
    <w:rPr>
      <w:color w:val="FF00FF"/>
    </w:rPr>
  </w:style>
  <w:style w:type="paragraph" w:customStyle="1" w:styleId="90">
    <w:name w:val="无间隔1"/>
    <w:autoRedefine/>
    <w:qFormat/>
    <w:uiPriority w:val="99"/>
    <w:pPr>
      <w:widowControl w:val="0"/>
      <w:spacing w:before="120" w:after="120"/>
      <w:jc w:val="center"/>
    </w:pPr>
    <w:rPr>
      <w:rFonts w:ascii="Calibri" w:hAnsi="Calibri" w:eastAsia="宋体" w:cs="Calibri"/>
      <w:kern w:val="2"/>
      <w:sz w:val="21"/>
      <w:szCs w:val="21"/>
      <w:lang w:val="en-US" w:eastAsia="zh-CN" w:bidi="ar-SA"/>
    </w:rPr>
  </w:style>
  <w:style w:type="paragraph" w:customStyle="1" w:styleId="91">
    <w:name w:val="正式本文"/>
    <w:basedOn w:val="2"/>
    <w:autoRedefine/>
    <w:qFormat/>
    <w:uiPriority w:val="0"/>
    <w:pPr>
      <w:keepNext w:val="0"/>
      <w:keepLines w:val="0"/>
      <w:adjustRightInd w:val="0"/>
      <w:ind w:firstLine="480" w:firstLineChars="200"/>
      <w:jc w:val="left"/>
      <w:outlineLvl w:val="9"/>
    </w:pPr>
    <w:rPr>
      <w:rFonts w:ascii="宋体" w:hAnsi="宋体"/>
      <w:b w:val="0"/>
      <w:kern w:val="2"/>
      <w:sz w:val="24"/>
      <w:szCs w:val="24"/>
    </w:rPr>
  </w:style>
  <w:style w:type="paragraph" w:customStyle="1" w:styleId="92">
    <w:name w:val="无间隔2"/>
    <w:autoRedefine/>
    <w:qFormat/>
    <w:uiPriority w:val="1"/>
    <w:pPr>
      <w:widowControl w:val="0"/>
      <w:spacing w:line="360" w:lineRule="auto"/>
      <w:ind w:firstLine="200" w:firstLineChars="200"/>
    </w:pPr>
    <w:rPr>
      <w:rFonts w:ascii="Times New Roman" w:hAnsi="Times New Roman" w:eastAsia="宋体" w:cs="Times New Roman"/>
      <w:spacing w:val="10"/>
      <w:kern w:val="2"/>
      <w:sz w:val="24"/>
      <w:szCs w:val="28"/>
      <w:lang w:val="en-US" w:eastAsia="zh-CN" w:bidi="ar-SA"/>
    </w:rPr>
  </w:style>
  <w:style w:type="paragraph" w:customStyle="1" w:styleId="93">
    <w:name w:val="首行缩进"/>
    <w:basedOn w:val="1"/>
    <w:autoRedefine/>
    <w:qFormat/>
    <w:uiPriority w:val="0"/>
    <w:pPr>
      <w:spacing w:line="400" w:lineRule="exact"/>
      <w:jc w:val="center"/>
    </w:pPr>
    <w:rPr>
      <w:rFonts w:eastAsia="黑体"/>
    </w:rPr>
  </w:style>
  <w:style w:type="paragraph" w:customStyle="1" w:styleId="94">
    <w:name w:val="默认段落字体 Para Char"/>
    <w:basedOn w:val="1"/>
    <w:next w:val="1"/>
    <w:autoRedefine/>
    <w:qFormat/>
    <w:uiPriority w:val="0"/>
    <w:pPr>
      <w:widowControl/>
      <w:spacing w:line="360" w:lineRule="auto"/>
      <w:ind w:firstLine="200"/>
      <w:jc w:val="left"/>
    </w:pPr>
    <w:rPr>
      <w:rFonts w:ascii="宋体" w:hAnsi="宋体" w:cs="宋体"/>
      <w:kern w:val="0"/>
    </w:rPr>
  </w:style>
  <w:style w:type="paragraph" w:customStyle="1" w:styleId="95">
    <w:name w:val="报告正文小四"/>
    <w:basedOn w:val="1"/>
    <w:autoRedefine/>
    <w:qFormat/>
    <w:uiPriority w:val="0"/>
    <w:pPr>
      <w:adjustRightInd w:val="0"/>
      <w:snapToGrid w:val="0"/>
      <w:spacing w:before="120" w:line="420" w:lineRule="atLeast"/>
      <w:ind w:firstLine="510"/>
    </w:pPr>
    <w:rPr>
      <w:szCs w:val="20"/>
    </w:rPr>
  </w:style>
  <w:style w:type="paragraph" w:customStyle="1" w:styleId="96">
    <w:name w:val="BodyText1I2"/>
    <w:basedOn w:val="97"/>
    <w:autoRedefine/>
    <w:semiHidden/>
    <w:qFormat/>
    <w:uiPriority w:val="0"/>
    <w:pPr>
      <w:spacing w:line="560" w:lineRule="exact"/>
      <w:ind w:left="0" w:leftChars="0" w:firstLine="420"/>
    </w:pPr>
    <w:rPr>
      <w:rFonts w:eastAsia="仿宋_GB2312"/>
      <w:sz w:val="32"/>
    </w:rPr>
  </w:style>
  <w:style w:type="paragraph" w:customStyle="1" w:styleId="97">
    <w:name w:val="BodyTextIndent"/>
    <w:basedOn w:val="1"/>
    <w:autoRedefine/>
    <w:semiHidden/>
    <w:qFormat/>
    <w:uiPriority w:val="0"/>
    <w:pPr>
      <w:ind w:left="420" w:leftChars="200"/>
      <w:textAlignment w:val="baseline"/>
    </w:pPr>
  </w:style>
  <w:style w:type="paragraph" w:customStyle="1" w:styleId="98">
    <w:name w:val="4正文"/>
    <w:basedOn w:val="1"/>
    <w:autoRedefine/>
    <w:qFormat/>
    <w:uiPriority w:val="0"/>
    <w:pPr>
      <w:snapToGrid w:val="0"/>
      <w:spacing w:beforeLines="50"/>
    </w:pPr>
  </w:style>
  <w:style w:type="table" w:customStyle="1" w:styleId="99">
    <w:name w:val="Table Normal"/>
    <w:autoRedefine/>
    <w:semiHidden/>
    <w:qFormat/>
    <w:uiPriority w:val="2"/>
    <w:pPr>
      <w:widowControl w:val="0"/>
    </w:pPr>
    <w:rPr>
      <w:rFonts w:eastAsia="Times New Roman"/>
      <w:sz w:val="22"/>
      <w:szCs w:val="22"/>
      <w:lang w:eastAsia="en-US"/>
    </w:rPr>
    <w:tblPr>
      <w:tblCellMar>
        <w:top w:w="0" w:type="dxa"/>
        <w:left w:w="0" w:type="dxa"/>
        <w:bottom w:w="0" w:type="dxa"/>
        <w:right w:w="0" w:type="dxa"/>
      </w:tblCellMar>
    </w:tblPr>
  </w:style>
  <w:style w:type="character" w:customStyle="1" w:styleId="100">
    <w:name w:val="font61"/>
    <w:basedOn w:val="35"/>
    <w:autoRedefine/>
    <w:qFormat/>
    <w:uiPriority w:val="0"/>
    <w:rPr>
      <w:rFonts w:ascii="宋体" w:hAnsi="宋体" w:eastAsia="宋体" w:cs="宋体"/>
      <w:color w:val="000000"/>
      <w:sz w:val="22"/>
      <w:szCs w:val="22"/>
      <w:u w:val="none"/>
    </w:rPr>
  </w:style>
  <w:style w:type="character" w:customStyle="1" w:styleId="101">
    <w:name w:val="font11"/>
    <w:basedOn w:val="35"/>
    <w:autoRedefine/>
    <w:qFormat/>
    <w:uiPriority w:val="0"/>
    <w:rPr>
      <w:rFonts w:hint="eastAsia" w:ascii="宋体" w:hAnsi="宋体" w:eastAsia="宋体" w:cs="宋体"/>
      <w:color w:val="000000"/>
      <w:sz w:val="21"/>
      <w:szCs w:val="21"/>
      <w:u w:val="none"/>
    </w:rPr>
  </w:style>
  <w:style w:type="character" w:customStyle="1" w:styleId="102">
    <w:name w:val="font01"/>
    <w:basedOn w:val="35"/>
    <w:autoRedefine/>
    <w:qFormat/>
    <w:uiPriority w:val="0"/>
    <w:rPr>
      <w:rFonts w:hint="default" w:ascii="Times New Roman" w:hAnsi="Times New Roman" w:cs="Times New Roman"/>
      <w:color w:val="000000"/>
      <w:sz w:val="21"/>
      <w:szCs w:val="21"/>
      <w:u w:val="none"/>
    </w:rPr>
  </w:style>
  <w:style w:type="character" w:customStyle="1" w:styleId="103">
    <w:name w:val="！正文 Char"/>
    <w:link w:val="68"/>
    <w:autoRedefine/>
    <w:qFormat/>
    <w:uiPriority w:val="0"/>
    <w:rPr>
      <w:rFonts w:eastAsia="华文中宋"/>
      <w:kern w:val="2"/>
      <w:sz w:val="24"/>
      <w:szCs w:val="24"/>
    </w:rPr>
  </w:style>
  <w:style w:type="paragraph" w:customStyle="1" w:styleId="104">
    <w:name w:val="1正文段落"/>
    <w:basedOn w:val="1"/>
    <w:autoRedefine/>
    <w:qFormat/>
    <w:uiPriority w:val="0"/>
    <w:pPr>
      <w:spacing w:line="360" w:lineRule="auto"/>
      <w:ind w:firstLine="480"/>
      <w:jc w:val="left"/>
    </w:pPr>
    <w:rPr>
      <w:snapToGrid w:val="0"/>
    </w:rPr>
  </w:style>
  <w:style w:type="character" w:customStyle="1" w:styleId="105">
    <w:name w:val="页眉 字符"/>
    <w:basedOn w:val="35"/>
    <w:link w:val="21"/>
    <w:autoRedefine/>
    <w:qFormat/>
    <w:uiPriority w:val="0"/>
    <w:rPr>
      <w:kern w:val="2"/>
      <w:sz w:val="24"/>
      <w:szCs w:val="18"/>
    </w:rPr>
  </w:style>
  <w:style w:type="character" w:customStyle="1" w:styleId="106">
    <w:name w:val="页脚 字符"/>
    <w:basedOn w:val="35"/>
    <w:link w:val="20"/>
    <w:autoRedefine/>
    <w:qFormat/>
    <w:uiPriority w:val="0"/>
    <w:rPr>
      <w:kern w:val="2"/>
      <w:sz w:val="24"/>
      <w:szCs w:val="18"/>
    </w:rPr>
  </w:style>
  <w:style w:type="paragraph" w:customStyle="1" w:styleId="107">
    <w:name w:val="列出段落1"/>
    <w:basedOn w:val="1"/>
    <w:autoRedefine/>
    <w:qFormat/>
    <w:uiPriority w:val="99"/>
    <w:pPr>
      <w:ind w:firstLine="420"/>
    </w:pPr>
  </w:style>
  <w:style w:type="paragraph" w:customStyle="1" w:styleId="108">
    <w:name w:val="表内文字"/>
    <w:basedOn w:val="1"/>
    <w:autoRedefine/>
    <w:qFormat/>
    <w:uiPriority w:val="0"/>
    <w:pPr>
      <w:adjustRightInd w:val="0"/>
      <w:snapToGrid w:val="0"/>
      <w:ind w:firstLine="0" w:firstLineChars="0"/>
      <w:jc w:val="center"/>
    </w:pPr>
    <w:rPr>
      <w:rFonts w:ascii="Calibri" w:hAnsi="Calibri"/>
      <w:sz w:val="21"/>
      <w:szCs w:val="21"/>
    </w:rPr>
  </w:style>
  <w:style w:type="paragraph" w:customStyle="1" w:styleId="109">
    <w:name w:val="Char Char Char Char Char Char Char Char Char Char Char Char Char Char Char Char Char Char Char Char Char Char Char Char"/>
    <w:basedOn w:val="1"/>
    <w:autoRedefine/>
    <w:qFormat/>
    <w:uiPriority w:val="0"/>
    <w:pPr>
      <w:widowControl/>
      <w:spacing w:line="360" w:lineRule="auto"/>
      <w:ind w:firstLine="0" w:firstLineChars="0"/>
      <w:jc w:val="left"/>
    </w:pPr>
    <w:rPr>
      <w:sz w:val="21"/>
      <w:szCs w:val="21"/>
    </w:rPr>
  </w:style>
  <w:style w:type="character" w:customStyle="1" w:styleId="110">
    <w:name w:val="批注文字 字符"/>
    <w:basedOn w:val="35"/>
    <w:link w:val="8"/>
    <w:autoRedefine/>
    <w:qFormat/>
    <w:uiPriority w:val="0"/>
    <w:rPr>
      <w:rFonts w:ascii="Times New Roman" w:hAnsi="Times New Roman"/>
      <w:kern w:val="2"/>
      <w:sz w:val="24"/>
      <w:szCs w:val="24"/>
    </w:rPr>
  </w:style>
  <w:style w:type="character" w:customStyle="1" w:styleId="111">
    <w:name w:val="批注主题 字符"/>
    <w:basedOn w:val="110"/>
    <w:link w:val="30"/>
    <w:autoRedefine/>
    <w:qFormat/>
    <w:uiPriority w:val="0"/>
    <w:rPr>
      <w:rFonts w:ascii="Times New Roman" w:hAnsi="Times New Roman"/>
      <w:b/>
      <w:bCs/>
      <w:kern w:val="2"/>
      <w:sz w:val="24"/>
      <w:szCs w:val="24"/>
    </w:rPr>
  </w:style>
  <w:style w:type="paragraph" w:customStyle="1" w:styleId="112">
    <w:name w:val="表内"/>
    <w:autoRedefine/>
    <w:qFormat/>
    <w:uiPriority w:val="0"/>
    <w:pPr>
      <w:adjustRightInd w:val="0"/>
      <w:snapToGrid w:val="0"/>
      <w:ind w:left="-105" w:leftChars="-50" w:right="-105" w:rightChars="-50"/>
      <w:jc w:val="center"/>
    </w:pPr>
    <w:rPr>
      <w:rFonts w:ascii="Times New Roman" w:hAnsi="Times New Roman" w:eastAsia="宋体" w:cs="Times New Roman"/>
      <w:kern w:val="2"/>
      <w:sz w:val="21"/>
      <w:lang w:val="en-US" w:eastAsia="zh-CN" w:bidi="ar-SA"/>
    </w:rPr>
  </w:style>
  <w:style w:type="paragraph" w:customStyle="1" w:styleId="113">
    <w:name w:val="列出段落2"/>
    <w:basedOn w:val="1"/>
    <w:autoRedefine/>
    <w:qFormat/>
    <w:uiPriority w:val="99"/>
    <w:pPr>
      <w:ind w:firstLine="420"/>
    </w:pPr>
  </w:style>
  <w:style w:type="character" w:customStyle="1" w:styleId="114">
    <w:name w:val="表头 Char1"/>
    <w:link w:val="49"/>
    <w:autoRedefine/>
    <w:qFormat/>
    <w:uiPriority w:val="0"/>
    <w:rPr>
      <w:rFonts w:ascii="Times New Roman" w:hAnsi="Times New Roman"/>
      <w:b/>
      <w:kern w:val="2"/>
      <w:sz w:val="24"/>
      <w:szCs w:val="24"/>
    </w:rPr>
  </w:style>
  <w:style w:type="paragraph" w:customStyle="1" w:styleId="115">
    <w:name w:val="农贸市场表格表头"/>
    <w:basedOn w:val="1"/>
    <w:autoRedefine/>
    <w:qFormat/>
    <w:uiPriority w:val="0"/>
    <w:pPr>
      <w:jc w:val="center"/>
    </w:pPr>
    <w:rPr>
      <w:rFonts w:ascii="Calibri" w:hAnsi="宋体" w:cs="仿宋_GB2312"/>
      <w:b/>
      <w:sz w:val="21"/>
      <w:szCs w:val="21"/>
    </w:rPr>
  </w:style>
  <w:style w:type="character" w:customStyle="1" w:styleId="116">
    <w:name w:val="页脚 字符1"/>
    <w:basedOn w:val="35"/>
    <w:autoRedefine/>
    <w:qFormat/>
    <w:uiPriority w:val="0"/>
    <w:rPr>
      <w:sz w:val="18"/>
      <w:szCs w:val="18"/>
    </w:rPr>
  </w:style>
  <w:style w:type="paragraph" w:customStyle="1" w:styleId="117">
    <w:name w:val="报告正文"/>
    <w:basedOn w:val="1"/>
    <w:autoRedefine/>
    <w:qFormat/>
    <w:uiPriority w:val="0"/>
    <w:pPr>
      <w:widowControl/>
      <w:suppressAutoHyphens/>
      <w:topLinePunct/>
      <w:adjustRightInd w:val="0"/>
      <w:snapToGrid w:val="0"/>
    </w:pPr>
    <w:rPr>
      <w:rFonts w:ascii="Calibri" w:hAnsi="Calibri"/>
      <w:sz w:val="21"/>
      <w:szCs w:val="22"/>
    </w:rPr>
  </w:style>
  <w:style w:type="character" w:customStyle="1" w:styleId="118">
    <w:name w:val="正文缩进 字符"/>
    <w:link w:val="7"/>
    <w:autoRedefine/>
    <w:qFormat/>
    <w:uiPriority w:val="99"/>
    <w:rPr>
      <w:rFonts w:ascii="宋体" w:hAnsi="宋体" w:cs="宋体"/>
      <w:sz w:val="28"/>
    </w:rPr>
  </w:style>
  <w:style w:type="paragraph" w:customStyle="1" w:styleId="119">
    <w:name w:val="列出段落3"/>
    <w:basedOn w:val="1"/>
    <w:autoRedefine/>
    <w:qFormat/>
    <w:uiPriority w:val="99"/>
    <w:pPr>
      <w:ind w:firstLine="420"/>
    </w:pPr>
  </w:style>
  <w:style w:type="paragraph" w:customStyle="1" w:styleId="120">
    <w:name w:val="样式14"/>
    <w:basedOn w:val="1"/>
    <w:autoRedefine/>
    <w:qFormat/>
    <w:uiPriority w:val="0"/>
    <w:pPr>
      <w:widowControl/>
      <w:spacing w:line="500" w:lineRule="exact"/>
      <w:ind w:firstLine="0" w:firstLineChars="0"/>
      <w:jc w:val="left"/>
      <w:outlineLvl w:val="3"/>
    </w:pPr>
    <w:rPr>
      <w:rFonts w:eastAsia="华文中宋"/>
      <w:b/>
      <w:snapToGrid w:val="0"/>
      <w:color w:val="000000"/>
      <w:kern w:val="0"/>
      <w:szCs w:val="20"/>
    </w:rPr>
  </w:style>
  <w:style w:type="paragraph" w:customStyle="1" w:styleId="121">
    <w:name w:val="表格文字邓"/>
    <w:basedOn w:val="1"/>
    <w:autoRedefine/>
    <w:qFormat/>
    <w:uiPriority w:val="0"/>
    <w:pPr>
      <w:widowControl/>
      <w:snapToGrid w:val="0"/>
      <w:spacing w:line="240" w:lineRule="exact"/>
      <w:jc w:val="center"/>
    </w:pPr>
    <w:rPr>
      <w:rFonts w:ascii="宋体" w:hAnsi="宋体"/>
      <w:snapToGrid w:val="0"/>
      <w:color w:val="000000"/>
      <w:sz w:val="18"/>
      <w:szCs w:val="21"/>
    </w:rPr>
  </w:style>
  <w:style w:type="character" w:customStyle="1" w:styleId="122">
    <w:name w:val="正文(首行缩进) Char"/>
    <w:link w:val="55"/>
    <w:autoRedefine/>
    <w:qFormat/>
    <w:uiPriority w:val="0"/>
    <w:rPr>
      <w:rFonts w:ascii="Times New Roman" w:hAnsi="Times New Roman"/>
      <w:color w:val="000000"/>
      <w:kern w:val="2"/>
      <w:sz w:val="24"/>
      <w:szCs w:val="24"/>
    </w:rPr>
  </w:style>
  <w:style w:type="character" w:customStyle="1" w:styleId="123">
    <w:name w:val="正文首行缩进 2 字符"/>
    <w:basedOn w:val="124"/>
    <w:link w:val="32"/>
    <w:autoRedefine/>
    <w:qFormat/>
    <w:uiPriority w:val="0"/>
    <w:rPr>
      <w:kern w:val="2"/>
      <w:sz w:val="21"/>
      <w:szCs w:val="22"/>
    </w:rPr>
  </w:style>
  <w:style w:type="character" w:customStyle="1" w:styleId="124">
    <w:name w:val="正文文本缩进 字符"/>
    <w:basedOn w:val="35"/>
    <w:link w:val="12"/>
    <w:autoRedefine/>
    <w:qFormat/>
    <w:uiPriority w:val="0"/>
    <w:rPr>
      <w:kern w:val="2"/>
      <w:sz w:val="21"/>
      <w:szCs w:val="22"/>
    </w:rPr>
  </w:style>
  <w:style w:type="paragraph" w:styleId="125">
    <w:name w:val="List Paragraph"/>
    <w:basedOn w:val="1"/>
    <w:autoRedefine/>
    <w:qFormat/>
    <w:uiPriority w:val="99"/>
    <w:pPr>
      <w:ind w:firstLine="420"/>
    </w:pPr>
  </w:style>
  <w:style w:type="paragraph" w:customStyle="1" w:styleId="126">
    <w:name w:val="正文 首行缩进:  2 字符"/>
    <w:basedOn w:val="1"/>
    <w:autoRedefine/>
    <w:qFormat/>
    <w:uiPriority w:val="0"/>
    <w:pPr>
      <w:adjustRightInd w:val="0"/>
      <w:snapToGrid w:val="0"/>
      <w:spacing w:line="500" w:lineRule="exact"/>
      <w:ind w:firstLine="480"/>
    </w:pPr>
    <w:rPr>
      <w:rFonts w:eastAsia="楷体_GB2312"/>
      <w:lang w:val="zh-CN"/>
    </w:rPr>
  </w:style>
  <w:style w:type="paragraph" w:customStyle="1" w:styleId="127">
    <w:name w:val="xu-设备"/>
    <w:basedOn w:val="1"/>
    <w:autoRedefine/>
    <w:qFormat/>
    <w:uiPriority w:val="2"/>
    <w:pPr>
      <w:jc w:val="center"/>
    </w:pPr>
    <w:rPr>
      <w:rFonts w:ascii="宋体" w:hAnsi="宋体" w:cs="宋体"/>
      <w:kern w:val="1"/>
      <w:szCs w:val="13"/>
    </w:rPr>
  </w:style>
  <w:style w:type="paragraph" w:customStyle="1" w:styleId="128">
    <w:name w:val="插表-表头"/>
    <w:basedOn w:val="129"/>
    <w:autoRedefine/>
    <w:qFormat/>
    <w:uiPriority w:val="0"/>
    <w:pPr>
      <w:snapToGrid w:val="0"/>
      <w:spacing w:beforeLines="50" w:afterLines="0" w:line="120" w:lineRule="atLeast"/>
    </w:pPr>
    <w:rPr>
      <w:sz w:val="24"/>
    </w:rPr>
  </w:style>
  <w:style w:type="paragraph" w:customStyle="1" w:styleId="129">
    <w:name w:val="专业-表头"/>
    <w:autoRedefine/>
    <w:qFormat/>
    <w:uiPriority w:val="0"/>
    <w:pPr>
      <w:spacing w:beforeLines="300" w:afterLines="100" w:line="360" w:lineRule="auto"/>
      <w:jc w:val="center"/>
    </w:pPr>
    <w:rPr>
      <w:rFonts w:ascii="Times New Roman" w:hAnsi="Times New Roman" w:eastAsia="黑体" w:cs="Times New Roman"/>
      <w:b/>
      <w:iCs/>
      <w:kern w:val="2"/>
      <w:sz w:val="36"/>
      <w:szCs w:val="36"/>
      <w:lang w:val="en-US" w:eastAsia="zh-CN" w:bidi="ar-SA"/>
    </w:rPr>
  </w:style>
  <w:style w:type="paragraph" w:customStyle="1" w:styleId="130">
    <w:name w:val="正文正"/>
    <w:basedOn w:val="12"/>
    <w:autoRedefine/>
    <w:qFormat/>
    <w:uiPriority w:val="99"/>
    <w:pPr>
      <w:spacing w:after="0" w:line="320" w:lineRule="exact"/>
      <w:ind w:left="0" w:leftChars="0" w:firstLine="473" w:firstLineChars="225"/>
    </w:pPr>
    <w:rPr>
      <w:kern w:val="0"/>
      <w:szCs w:val="18"/>
    </w:rPr>
  </w:style>
  <w:style w:type="paragraph" w:customStyle="1" w:styleId="131">
    <w:name w:val="Char"/>
    <w:basedOn w:val="1"/>
    <w:next w:val="1"/>
    <w:autoRedefine/>
    <w:qFormat/>
    <w:uiPriority w:val="0"/>
    <w:pPr>
      <w:spacing w:line="360" w:lineRule="auto"/>
      <w:ind w:firstLine="200" w:firstLineChars="200"/>
    </w:pPr>
  </w:style>
  <w:style w:type="paragraph" w:customStyle="1" w:styleId="132">
    <w:name w:val="aaa正文"/>
    <w:basedOn w:val="1"/>
    <w:autoRedefine/>
    <w:qFormat/>
    <w:uiPriority w:val="99"/>
    <w:pPr>
      <w:spacing w:line="480" w:lineRule="exact"/>
      <w:ind w:firstLine="200" w:firstLineChars="200"/>
    </w:pPr>
    <w:rPr>
      <w:kern w:val="0"/>
      <w:sz w:val="24"/>
      <w:szCs w:val="20"/>
    </w:rPr>
  </w:style>
  <w:style w:type="character" w:customStyle="1" w:styleId="133">
    <w:name w:val="source-badge1"/>
    <w:qFormat/>
    <w:uiPriority w:val="0"/>
    <w:rPr>
      <w:color w:val="1E40AF"/>
      <w:sz w:val="18"/>
      <w:szCs w:val="18"/>
      <w:shd w:val="clear" w:fill="DBEAFE"/>
    </w:rPr>
  </w:style>
  <w:style w:type="paragraph" w:customStyle="1" w:styleId="134">
    <w:name w:val="正文邓"/>
    <w:autoRedefine/>
    <w:qFormat/>
    <w:uiPriority w:val="0"/>
    <w:pPr>
      <w:widowControl w:val="0"/>
      <w:adjustRightInd w:val="0"/>
      <w:snapToGrid w:val="0"/>
      <w:spacing w:line="460" w:lineRule="exact"/>
      <w:ind w:firstLine="360" w:firstLineChars="150"/>
      <w:jc w:val="left"/>
    </w:pPr>
    <w:rPr>
      <w:rFonts w:ascii="仿宋" w:hAnsi="仿宋" w:eastAsia="仿宋" w:cs="Times New Roman"/>
      <w:kern w:val="0"/>
      <w:sz w:val="24"/>
      <w:szCs w:val="24"/>
      <w:lang w:val="en-US" w:eastAsia="zh-CN" w:bidi="ar-SA"/>
    </w:rPr>
  </w:style>
  <w:style w:type="paragraph" w:customStyle="1" w:styleId="135">
    <w:name w:val="A-表格文字"/>
    <w:basedOn w:val="1"/>
    <w:qFormat/>
    <w:uiPriority w:val="0"/>
    <w:pPr>
      <w:autoSpaceDE w:val="0"/>
      <w:autoSpaceDN w:val="0"/>
      <w:adjustRightInd w:val="0"/>
      <w:snapToGrid w:val="0"/>
      <w:jc w:val="center"/>
      <w:textAlignment w:val="center"/>
    </w:pPr>
    <w:rPr>
      <w:rFonts w:ascii="Times New Roman" w:hAnsi="Times New Roman" w:eastAsiaTheme="minorEastAsia" w:cstheme="minorEastAsia"/>
      <w:kern w:val="0"/>
    </w:rPr>
  </w:style>
  <w:style w:type="paragraph" w:customStyle="1" w:styleId="136">
    <w:name w:val="1 表头"/>
    <w:basedOn w:val="1"/>
    <w:autoRedefine/>
    <w:qFormat/>
    <w:uiPriority w:val="0"/>
    <w:pPr>
      <w:autoSpaceDE w:val="0"/>
      <w:autoSpaceDN w:val="0"/>
      <w:adjustRightInd w:val="0"/>
      <w:spacing w:line="240" w:lineRule="auto"/>
      <w:ind w:firstLine="480" w:firstLineChars="0"/>
      <w:jc w:val="center"/>
    </w:pPr>
    <w:rPr>
      <w:rFonts w:ascii="Times New Roman" w:hAnsi="Times New Roman" w:eastAsia="宋体" w:cs="Times New Roman"/>
      <w:b/>
      <w:kern w:val="0"/>
      <w:sz w:val="21"/>
      <w:szCs w:val="21"/>
      <w:lang w:val="zh-CN" w:bidi="zh-CN"/>
    </w:rPr>
  </w:style>
  <w:style w:type="paragraph" w:customStyle="1" w:styleId="137">
    <w:name w:val="1正文"/>
    <w:qFormat/>
    <w:uiPriority w:val="0"/>
    <w:pPr>
      <w:snapToGri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38">
    <w:name w:val="样式11"/>
    <w:basedOn w:val="1"/>
    <w:qFormat/>
    <w:uiPriority w:val="0"/>
    <w:pPr>
      <w:spacing w:line="480" w:lineRule="exact"/>
      <w:ind w:firstLine="420" w:firstLineChars="200"/>
    </w:pPr>
    <w:rPr>
      <w:sz w:val="24"/>
      <w:szCs w:val="24"/>
    </w:rPr>
  </w:style>
  <w:style w:type="character" w:customStyle="1" w:styleId="139">
    <w:name w:val="level-badge1"/>
    <w:basedOn w:val="35"/>
    <w:qFormat/>
    <w:uiPriority w:val="0"/>
    <w:rPr>
      <w:color w:val="1E5A7A"/>
      <w:shd w:val="clear" w:fill="EEF2FF"/>
    </w:rPr>
  </w:style>
  <w:style w:type="paragraph" w:customStyle="1" w:styleId="140">
    <w:name w:val="Table Text"/>
    <w:basedOn w:val="1"/>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5" Type="http://schemas.openxmlformats.org/officeDocument/2006/relationships/fontTable" Target="fontTable.xml"/><Relationship Id="rId64" Type="http://schemas.openxmlformats.org/officeDocument/2006/relationships/customXml" Target="../customXml/item3.xml"/><Relationship Id="rId63" Type="http://schemas.openxmlformats.org/officeDocument/2006/relationships/customXml" Target="../customXml/item2.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31.jpeg"/><Relationship Id="rId6" Type="http://schemas.openxmlformats.org/officeDocument/2006/relationships/header" Target="header2.xml"/><Relationship Id="rId59" Type="http://schemas.openxmlformats.org/officeDocument/2006/relationships/image" Target="media/image30.jpeg"/><Relationship Id="rId58" Type="http://schemas.openxmlformats.org/officeDocument/2006/relationships/image" Target="media/image29.jpeg"/><Relationship Id="rId57" Type="http://schemas.openxmlformats.org/officeDocument/2006/relationships/image" Target="media/image28.jpeg"/><Relationship Id="rId56" Type="http://schemas.openxmlformats.org/officeDocument/2006/relationships/image" Target="media/image27.wmf"/><Relationship Id="rId55" Type="http://schemas.openxmlformats.org/officeDocument/2006/relationships/image" Target="media/image26.wmf"/><Relationship Id="rId54" Type="http://schemas.openxmlformats.org/officeDocument/2006/relationships/oleObject" Target="embeddings/oleObject10.bin"/><Relationship Id="rId53" Type="http://schemas.openxmlformats.org/officeDocument/2006/relationships/image" Target="media/image25.jpeg"/><Relationship Id="rId52" Type="http://schemas.openxmlformats.org/officeDocument/2006/relationships/image" Target="media/image24.wmf"/><Relationship Id="rId51" Type="http://schemas.openxmlformats.org/officeDocument/2006/relationships/oleObject" Target="embeddings/oleObject9.bin"/><Relationship Id="rId50" Type="http://schemas.openxmlformats.org/officeDocument/2006/relationships/image" Target="media/image23.wmf"/><Relationship Id="rId5" Type="http://schemas.openxmlformats.org/officeDocument/2006/relationships/header" Target="header1.xml"/><Relationship Id="rId49" Type="http://schemas.openxmlformats.org/officeDocument/2006/relationships/oleObject" Target="embeddings/oleObject8.bin"/><Relationship Id="rId48" Type="http://schemas.openxmlformats.org/officeDocument/2006/relationships/image" Target="media/image22.wmf"/><Relationship Id="rId47" Type="http://schemas.openxmlformats.org/officeDocument/2006/relationships/oleObject" Target="embeddings/oleObject7.bin"/><Relationship Id="rId46" Type="http://schemas.openxmlformats.org/officeDocument/2006/relationships/image" Target="media/image21.wmf"/><Relationship Id="rId45" Type="http://schemas.openxmlformats.org/officeDocument/2006/relationships/oleObject" Target="embeddings/oleObject6.bin"/><Relationship Id="rId44" Type="http://schemas.openxmlformats.org/officeDocument/2006/relationships/image" Target="media/image20.wmf"/><Relationship Id="rId43" Type="http://schemas.openxmlformats.org/officeDocument/2006/relationships/oleObject" Target="embeddings/oleObject5.bin"/><Relationship Id="rId42" Type="http://schemas.openxmlformats.org/officeDocument/2006/relationships/image" Target="media/image19.png"/><Relationship Id="rId41" Type="http://schemas.openxmlformats.org/officeDocument/2006/relationships/image" Target="media/image18.wmf"/><Relationship Id="rId40" Type="http://schemas.openxmlformats.org/officeDocument/2006/relationships/oleObject" Target="embeddings/oleObject4.bin"/><Relationship Id="rId4" Type="http://schemas.openxmlformats.org/officeDocument/2006/relationships/endnotes" Target="endnotes.xml"/><Relationship Id="rId39" Type="http://schemas.openxmlformats.org/officeDocument/2006/relationships/image" Target="media/image17.png"/><Relationship Id="rId38" Type="http://schemas.openxmlformats.org/officeDocument/2006/relationships/image" Target="media/image16.png"/><Relationship Id="rId37" Type="http://schemas.openxmlformats.org/officeDocument/2006/relationships/image" Target="media/image15.jpeg"/><Relationship Id="rId36" Type="http://schemas.openxmlformats.org/officeDocument/2006/relationships/image" Target="media/image14.jpeg"/><Relationship Id="rId35" Type="http://schemas.openxmlformats.org/officeDocument/2006/relationships/image" Target="media/image13.jpeg"/><Relationship Id="rId34" Type="http://schemas.openxmlformats.org/officeDocument/2006/relationships/image" Target="media/image12.jpeg"/><Relationship Id="rId33" Type="http://schemas.openxmlformats.org/officeDocument/2006/relationships/image" Target="media/image11.wmf"/><Relationship Id="rId32" Type="http://schemas.openxmlformats.org/officeDocument/2006/relationships/oleObject" Target="embeddings/oleObject3.bin"/><Relationship Id="rId31" Type="http://schemas.openxmlformats.org/officeDocument/2006/relationships/image" Target="media/image10.wmf"/><Relationship Id="rId30" Type="http://schemas.openxmlformats.org/officeDocument/2006/relationships/oleObject" Target="embeddings/oleObject2.bin"/><Relationship Id="rId3" Type="http://schemas.openxmlformats.org/officeDocument/2006/relationships/footnotes" Target="footnotes.xml"/><Relationship Id="rId29" Type="http://schemas.openxmlformats.org/officeDocument/2006/relationships/image" Target="media/image9.wmf"/><Relationship Id="rId28" Type="http://schemas.openxmlformats.org/officeDocument/2006/relationships/oleObject" Target="embeddings/oleObject1.bin"/><Relationship Id="rId27" Type="http://schemas.openxmlformats.org/officeDocument/2006/relationships/image" Target="media/image8.wmf"/><Relationship Id="rId26" Type="http://schemas.openxmlformats.org/officeDocument/2006/relationships/image" Target="media/image7.wmf"/><Relationship Id="rId25" Type="http://schemas.openxmlformats.org/officeDocument/2006/relationships/image" Target="media/image6.wmf"/><Relationship Id="rId24" Type="http://schemas.openxmlformats.org/officeDocument/2006/relationships/image" Target="media/image5.png"/><Relationship Id="rId23" Type="http://schemas.openxmlformats.org/officeDocument/2006/relationships/image" Target="media/image4.jpeg"/><Relationship Id="rId22" Type="http://schemas.openxmlformats.org/officeDocument/2006/relationships/image" Target="media/image3.png"/><Relationship Id="rId21" Type="http://schemas.openxmlformats.org/officeDocument/2006/relationships/image" Target="media/image2.jpe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4.xml"/><Relationship Id="rId15" Type="http://schemas.openxmlformats.org/officeDocument/2006/relationships/header" Target="header3.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ntractReview xmlns="http://schemas.wps.cn/vas-ai-hub/contract-review">
  <reviewItems>
    <reviewItem>
      <errorID>2d3618ee-b2d7-4b28-9013-068ab9f946c4</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12E99A70</paraID>
      <start>98</start>
      <end>105</end>
      <status>ignored</status>
      <modifiedWord/>
      <trackRevisions>false</trackRevisions>
    </reviewItem>
    <reviewItem>
      <errorID>40b78332-aaf7-4514-b1c5-23bffbe03973</errorID>
      <errorWord>文化自然遗产</errorWord>
      <group>L1_Word</group>
      <groupName>字词问题</groupName>
      <ability>L2_Typo</ability>
      <abilityName>字词错误</abilityName>
      <candidateList>
        <item>文化和自然遗产</item>
      </candidateList>
      <explain/>
      <paraID> 5AAD4E4</paraID>
      <start>84</start>
      <end>90</end>
      <status>ignored</status>
      <modifiedWord/>
      <trackRevisions>false</trackRevisions>
    </reviewItem>
    <reviewItem>
      <errorID>55f2ecd4-b59f-441e-b539-b47279adb22e</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367C2DAF</paraID>
      <start>6</start>
      <end>13</end>
      <status>ignored</status>
      <modifiedWord/>
      <trackRevisions>false</trackRevisions>
    </reviewItem>
    <reviewItem>
      <errorID>babd4f87-9f7a-469c-bf49-ccfccde6d8ba</errorID>
      <errorWord>砾幕</errorWord>
      <group>L1_Word</group>
      <groupName>字词问题</groupName>
      <ability>L2_Typo</ability>
      <abilityName>字词错误</abilityName>
      <candidateList>
        <item>林木</item>
      </candidateList>
      <explain/>
      <paraID>7B1310F4</paraID>
      <start>2</start>
      <end>4</end>
      <status>ignored</status>
      <modifiedWord/>
      <trackRevisions>false</trackRevisions>
    </reviewItem>
    <reviewItem>
      <errorID>b7401326-8cad-4084-b3cb-d843e5e725ee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46DD172D</paraID>
      <start>30</start>
      <end>31</end>
      <status>ignored</status>
      <modifiedWord/>
      <trackRevisions>false</trackRevisions>
    </reviewItem>
    <reviewItem>
      <errorID>d5bdfd18-5ac6-4233-9434-2cedbf9d3cc1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FF08C83</paraID>
      <start>24</start>
      <end>25</end>
      <status>ignored</status>
      <modifiedWord/>
      <trackRevisions>false</trackRevisions>
    </reviewItem>
    <reviewItem>
      <errorID>dac7e909-5d4f-46df-adf6-8db46bf42d30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FF08C83</paraID>
      <start>240</start>
      <end>241</end>
      <status>ignored</status>
      <modifiedWord/>
      <trackRevisions>false</trackRevisions>
    </reviewItem>
    <reviewItem>
      <errorID>b9b3ee90-59bb-41ec-a19b-80db76e55ed7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3E27BA93</paraID>
      <start>22</start>
      <end>23</end>
      <status>ignored</status>
      <modifiedWord/>
      <trackRevisions>false</trackRevisions>
    </reviewItem>
    <reviewItem>
      <errorID>a1068c66-c6d4-4e43-b009-c0a0447d0641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1EBD9115</paraID>
      <start>126</start>
      <end>127</end>
      <status>ignored</status>
      <modifiedWord/>
      <trackRevisions>false</trackRevisions>
    </reviewItem>
    <reviewItem>
      <errorID>d81abd6e-a519-4225-a030-8945005fc08e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5921CF90</paraID>
      <start>30</start>
      <end>31</end>
      <status>ignored</status>
      <modifiedWord/>
      <trackRevisions>false</trackRevisions>
    </reviewItem>
    <reviewItem>
      <errorID>20d9c029-7aa1-4634-a067-176b342601b1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1098A5AF</paraID>
      <start>28</start>
      <end>29</end>
      <status>ignored</status>
      <modifiedWord/>
      <trackRevisions>false</trackRevisions>
    </reviewItem>
    <reviewItem>
      <errorID>7974bda1-d38e-4dcd-8e5b-99d9bdfad84a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27811840</paraID>
      <start>22</start>
      <end>23</end>
      <status>ignored</status>
      <modifiedWord/>
      <trackRevisions>false</trackRevisions>
    </reviewItem>
    <reviewItem>
      <errorID>aff3ee92-33a9-4c5e-b435-c028cc362b29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4B32B0AE</paraID>
      <start>20</start>
      <end>21</end>
      <status>ignored</status>
      <modifiedWord/>
      <trackRevisions>false</trackRevisions>
    </reviewItem>
    <reviewItem>
      <errorID>014fdee5-90de-4136-8e81-68ee997f381e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3D44B100</paraID>
      <start>28</start>
      <end>29</end>
      <status>ignored</status>
      <modifiedWord/>
      <trackRevisions>false</trackRevisions>
    </reviewItem>
    <reviewItem>
      <errorID>41b715f1-ac86-409a-b757-5e3eb06245d9</errorID>
      <errorWord>厂</errorWord>
      <group>L1_Word</group>
      <groupName>字词问题</groupName>
      <ability>L2_Typo</ability>
      <abilityName>字词错误</abilityName>
      <candidateList>
        <item>场</item>
      </candidateList>
      <explain/>
      <paraID>7E81A472</paraID>
      <start>37</start>
      <end>38</end>
      <status>ignored</status>
      <modifiedWord/>
      <trackRevisions>false</trackRevisions>
    </reviewItem>
    <reviewItem>
      <errorID>7a48684a-ed6e-4a42-a79f-2a28879d9074</errorID>
      <errorWord>&lt;</errorWord>
      <group>L1_Format</group>
      <groupName>格式问题</groupName>
      <ability>L2_HalfPunc</ability>
      <abilityName>全半角检查</abilityName>
      <candidateList>
        <item>〈</item>
      </candidateList>
      <explain>文本全半角错误。</explain>
      <paraID>258E5CBD</paraID>
      <start>23</start>
      <end>24</end>
      <status>ignored</status>
      <modifiedWord/>
      <trackRevisions>false</trackRevisions>
    </reviewItem>
    <reviewItem>
      <errorID>6e1aaa41-92d9-491f-a1f5-2d3fe6609fee</errorID>
      <errorWord>&gt;的通知》</errorWord>
      <group>L1_Punc</group>
      <groupName>标点问题</groupName>
      <ability>L2_Punc</ability>
      <abilityName>标点符号检查</abilityName>
      <candidateList>
        <item>〉的通知》</item>
      </candidateList>
      <explain/>
      <paraID>258E5CBD</paraID>
      <start>36</start>
      <end>41</end>
      <status>ignored</status>
      <modifiedWord/>
      <trackRevisions>false</trackRevisions>
    </reviewItem>
    <reviewItem>
      <errorID>d02fab52-fdd2-4007-94d6-835419d65d69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28BCAFCC</paraID>
      <start>50</start>
      <end>51</end>
      <status>ignored</status>
      <modifiedWord/>
      <trackRevisions>false</trackRevisions>
    </reviewItem>
    <reviewItem>
      <errorID>4826abf6-6b32-405d-af0a-4688eca0bc2f</errorID>
      <errorWord>中华人民共和国突发事件应对法</errorWord>
      <group>L1_Knowledge</group>
      <groupName>知识性问题</groupName>
      <ability>L2_Knowledge</ability>
      <abilityName>其他知识</abilityName>
      <candidateList>
        <item>《中华人民共和国突发事件应对法》</item>
      </candidateList>
      <explain>完整法律法规名称需要加书名号，请注意检查。</explain>
      <paraID>296BAB33</paraID>
      <start>0</start>
      <end>14</end>
      <status>ignored</status>
      <modifiedWord/>
      <trackRevisions>false</trackRevisions>
    </reviewItem>
    <reviewItem>
      <errorID>6cfbc502-4873-4ec0-90a4-91328dbc5e66</errorID>
      <errorWord>中华人民共和国矿产资源法</errorWord>
      <group>L1_Knowledge</group>
      <groupName>知识性问题</groupName>
      <ability>L2_Knowledge</ability>
      <abilityName>其他知识</abilityName>
      <candidateList>
        <item>《中华人民共和国矿产资源法》</item>
      </candidateList>
      <explain>完整法律法规名称需要加书名号，请注意检查。</explain>
      <paraID>74291D33</paraID>
      <start>0</start>
      <end>12</end>
      <status>ignored</status>
      <modifiedWord/>
      <trackRevisions>false</trackRevisions>
    </reviewItem>
    <reviewItem>
      <errorID>8217c832-f73e-4f45-a32b-dfd354db438e</errorID>
      <errorWord>中华人民共和国防洪法</errorWord>
      <group>L1_Knowledge</group>
      <groupName>知识性问题</groupName>
      <ability>L2_Knowledge</ability>
      <abilityName>其他知识</abilityName>
      <candidateList>
        <item>《中华人民共和国防洪法》</item>
      </candidateList>
      <explain>完整法律法规名称需要加书名号，请注意检查。</explain>
      <paraID>2AD4ECE6</paraID>
      <start>0</start>
      <end>10</end>
      <status>ignored</status>
      <modifiedWord/>
      <trackRevisions>false</trackRevisions>
    </reviewItem>
    <reviewItem>
      <errorID>2a10298f-5c60-49a8-8cea-603b6c738f8b</errorID>
      <errorWord>中华人民共和国水法</errorWord>
      <group>L1_Knowledge</group>
      <groupName>知识性问题</groupName>
      <ability>L2_Knowledge</ability>
      <abilityName>其他知识</abilityName>
      <candidateList>
        <item>《中华人民共和国水法》</item>
      </candidateList>
      <explain>完整法律法规名称需要加书名号，请注意检查。</explain>
      <paraID> DDED3DA</paraID>
      <start>0</start>
      <end>9</end>
      <status>ignored</status>
      <modifiedWord/>
      <trackRevisions>false</trackRevisions>
    </reviewItem>
    <reviewItem>
      <errorID>b6892092-e969-4109-9833-02b31db3c6a5</errorID>
      <errorWord>中华人民共和国水土保持法</errorWord>
      <group>L1_Knowledge</group>
      <groupName>知识性问题</groupName>
      <ability>L2_Knowledge</ability>
      <abilityName>其他知识</abilityName>
      <candidateList>
        <item>《中华人民共和国水土保持法》</item>
      </candidateList>
      <explain>完整法律法规名称需要加书名号，请注意检查。</explain>
      <paraID> 1827F1A</paraID>
      <start>0</start>
      <end>12</end>
      <status>ignored</status>
      <modifiedWord/>
      <trackRevisions>false</trackRevisions>
    </reviewItem>
    <reviewItem>
      <errorID>183381c7-7feb-4d02-a081-be13ade0a6e7</errorID>
      <errorWord>土地复垦条例</errorWord>
      <group>L1_Knowledge</group>
      <groupName>知识性问题</groupName>
      <ability>L2_Knowledge</ability>
      <abilityName>其他知识</abilityName>
      <candidateList>
        <item>《土地复垦条例》</item>
      </candidateList>
      <explain>完整法律法规名称需要加书名号，请注意检查。</explain>
      <paraID>76836069</paraID>
      <start>0</start>
      <end>6</end>
      <status>ignored</status>
      <modifiedWord/>
      <trackRevisions>false</trackRevisions>
    </reviewItem>
    <reviewItem>
      <errorID>bf37d700-68a4-40e3-90aa-c645bd31ce30</errorID>
      <errorWord>中华人民共和国清洁生产促进法</errorWord>
      <group>L1_Knowledge</group>
      <groupName>知识性问题</groupName>
      <ability>L2_Knowledge</ability>
      <abilityName>其他知识</abilityName>
      <candidateList>
        <item>《中华人民共和国清洁生产促进法》</item>
      </candidateList>
      <explain>完整法律法规名称需要加书名号，请注意检查。</explain>
      <paraID>6C4D9BB7</paraID>
      <start>0</start>
      <end>14</end>
      <status>ignored</status>
      <modifiedWord/>
      <trackRevisions>false</trackRevisions>
    </reviewItem>
    <reviewItem>
      <errorID>4636a549-22c3-4a68-81f6-87d05005a4d6</errorID>
      <errorWord>危险化学品安全管理条例</errorWord>
      <group>L1_Knowledge</group>
      <groupName>知识性问题</groupName>
      <ability>L2_Knowledge</ability>
      <abilityName>其他知识</abilityName>
      <candidateList>
        <item>《危险化学品安全管理条例》</item>
      </candidateList>
      <explain>完整法律法规名称需要加书名号，请注意检查。</explain>
      <paraID>2C9EF520</paraID>
      <start>39</start>
      <end>50</end>
      <status>ignored</status>
      <modifiedWord/>
      <trackRevisions>false</trackRevisions>
    </reviewItem>
    <reviewItem>
      <errorID>05b99279-2589-4a78-942e-00f13015868f</errorID>
      <errorWord>中华人民共和国环境保护法</errorWord>
      <group>L1_Knowledge</group>
      <groupName>知识性问题</groupName>
      <ability>L2_Knowledge</ability>
      <abilityName>其他知识</abilityName>
      <candidateList>
        <item>《中华人民共和国环境保护法》</item>
      </candidateList>
      <explain>完整法律法规名称需要加书名号，请注意检查。</explain>
      <paraID>721EC48C</paraID>
      <start>0</start>
      <end>12</end>
      <status>ignored</status>
      <modifiedWord/>
      <trackRevisions>false</trackRevisions>
    </reviewItem>
    <reviewItem>
      <errorID>3c90aeb7-a7c8-4081-83de-8d29432b9e4e</errorID>
      <errorWord>中华人民共和国陆生野生动物保护实施条例</errorWord>
      <group>L1_Knowledge</group>
      <groupName>知识性问题</groupName>
      <ability>L2_Knowledge</ability>
      <abilityName>其他知识</abilityName>
      <candidateList>
        <item>《中华人民共和国陆生野生动物保护实施条例》</item>
      </candidateList>
      <explain>完整法律法规名称需要加书名号，请注意检查。</explain>
      <paraID>25F91605</paraID>
      <start>0</start>
      <end>19</end>
      <status>ignored</status>
      <modifiedWord/>
      <trackRevisions>false</trackRevisions>
    </reviewItem>
    <reviewItem>
      <errorID>6d9178a8-739d-4b35-bcc4-0ffa0d8814fd</errorID>
      <errorWord>中共中央办公厅 国务院办公厅</errorWord>
      <group>L1_Political</group>
      <groupName>政治性问题</groupName>
      <ability>L2_Keyword</ability>
      <abilityName>固定表述</abilityName>
      <candidateList>
        <item>中共中央办公厅、国务院办公厅</item>
      </candidateList>
      <explain>词汇“中共中央办公厅、国务院办公厅”在特定场景下为固定表述形式，请确认此处的“中共中央办公厅 国务院办公厅”是否存在不当。</explain>
      <paraID>20BC8239</paraID>
      <start>0</start>
      <end>14</end>
      <status>ignored</status>
      <modifiedWord/>
      <trackRevisions>false</trackRevisions>
    </reviewItem>
    <reviewItem>
      <errorID>0b13d835-d7e1-40cf-8534-944290a3ad1e</errorID>
      <errorWord>建设项目环境保护管理条例</errorWord>
      <group>L1_Knowledge</group>
      <groupName>知识性问题</groupName>
      <ability>L2_Knowledge</ability>
      <abilityName>其他知识</abilityName>
      <candidateList>
        <item>《建设项目环境保护管理条例》</item>
      </candidateList>
      <explain>完整法律法规名称需要加书名号，请注意检查。</explain>
      <paraID>4D2FDE22</paraID>
      <start>0</start>
      <end>12</end>
      <status>ignored</status>
      <modifiedWord/>
      <trackRevisions>false</trackRevisions>
    </reviewItem>
    <reviewItem>
      <errorID>2c9b144d-f75b-4a2f-a9ed-e39ae9d1c8bf</errorID>
      <errorWord>中华人民共和国野生植物保护条例</errorWord>
      <group>L1_Knowledge</group>
      <groupName>知识性问题</groupName>
      <ability>L2_Knowledge</ability>
      <abilityName>其他知识</abilityName>
      <candidateList>
        <item>《中华人民共和国野生植物保护条例》</item>
      </candidateList>
      <explain>完整法律法规名称需要加书名号，请注意检查。</explain>
      <paraID>40489DC8</paraID>
      <start>0</start>
      <end>15</end>
      <status>ignored</status>
      <modifiedWord/>
      <trackRevisions>false</trackRevisions>
    </reviewItem>
    <reviewItem>
      <errorID>8c3755b6-f79a-4936-b143-fcd3e22d5342</errorID>
      <errorWord>中华人民共和国道路交通安全法实施条例</errorWord>
      <group>L1_Knowledge</group>
      <groupName>知识性问题</groupName>
      <ability>L2_Knowledge</ability>
      <abilityName>其他知识</abilityName>
      <candidateList>
        <item>《中华人民共和国道路交通安全法实施条例》</item>
      </candidateList>
      <explain>完整法律法规名称需要加书名号，请注意检查。</explain>
      <paraID>3EAF117B</paraID>
      <start>0</start>
      <end>18</end>
      <status>ignored</status>
      <modifiedWord/>
      <trackRevisions>false</trackRevisions>
    </reviewItem>
    <reviewItem>
      <errorID>5c7843fd-7f43-4fa7-8076-24f3e95bbcf1</errorID>
      <errorWord>中华人民共和国自然保护区条例</errorWord>
      <group>L1_Knowledge</group>
      <groupName>知识性问题</groupName>
      <ability>L2_Knowledge</ability>
      <abilityName>其他知识</abilityName>
      <candidateList>
        <item>《中华人民共和国自然保护区条例》</item>
      </candidateList>
      <explain>完整法律法规名称需要加书名号，请注意检查。</explain>
      <paraID>411F8BDF</paraID>
      <start>0</start>
      <end>14</end>
      <status>ignored</status>
      <modifiedWord/>
      <trackRevisions>false</trackRevisions>
    </reviewItem>
    <reviewItem>
      <errorID>89115b51-7b7f-4739-9eed-d381338aff97</errorID>
      <errorWord>中华人民共和国河道管理条例</errorWord>
      <group>L1_Knowledge</group>
      <groupName>知识性问题</groupName>
      <ability>L2_Knowledge</ability>
      <abilityName>其他知识</abilityName>
      <candidateList>
        <item>《中华人民共和国河道管理条例》</item>
      </candidateList>
      <explain>完整法律法规名称需要加书名号，请注意检查。</explain>
      <paraID> 55DE314</paraID>
      <start>0</start>
      <end>13</end>
      <status>ignored</status>
      <modifiedWord/>
      <trackRevisions>false</trackRevisions>
    </reviewItem>
    <reviewItem>
      <errorID>b7ddd4c7-ad8c-4f92-ac8e-6ef3d95203da</errorID>
      <errorWord>中华人民共和国水污染防治法</errorWord>
      <group>L1_Knowledge</group>
      <groupName>知识性问题</groupName>
      <ability>L2_Knowledge</ability>
      <abilityName>其他知识</abilityName>
      <candidateList>
        <item>《中华人民共和国水污染防治法》</item>
      </candidateList>
      <explain>完整法律法规名称需要加书名号，请注意检查。</explain>
      <paraID>6A6AC6C1</paraID>
      <start>0</start>
      <end>13</end>
      <status>ignored</status>
      <modifiedWord/>
      <trackRevisions>false</trackRevisions>
    </reviewItem>
    <reviewItem>
      <errorID>988ecfaf-6006-4913-9059-8af16cd92f19</errorID>
      <errorWord>中华人民共和国城乡规划法</errorWord>
      <group>L1_Knowledge</group>
      <groupName>知识性问题</groupName>
      <ability>L2_Knowledge</ability>
      <abilityName>其他知识</abilityName>
      <candidateList>
        <item>《中华人民共和国城乡规划法》</item>
      </candidateList>
      <explain>完整法律法规名称需要加书名号，请注意检查。</explain>
      <paraID>129FBC0E</paraID>
      <start>0</start>
      <end>12</end>
      <status>ignored</status>
      <modifiedWord/>
      <trackRevisions>false</trackRevisions>
    </reviewItem>
    <reviewItem>
      <errorID>da39e4cb-c367-42c3-9f94-95c9f7c639c6</errorID>
      <errorWord>中华人民共和国野生动物保护法</errorWord>
      <group>L1_Knowledge</group>
      <groupName>知识性问题</groupName>
      <ability>L2_Knowledge</ability>
      <abilityName>其他知识</abilityName>
      <candidateList>
        <item>《中华人民共和国野生动物保护法》</item>
      </candidateList>
      <explain>完整法律法规名称需要加书名号，请注意检查。</explain>
      <paraID>104CAF87</paraID>
      <start>0</start>
      <end>14</end>
      <status>ignored</status>
      <modifiedWord/>
      <trackRevisions>false</trackRevisions>
    </reviewItem>
    <reviewItem>
      <errorID>d8171ebc-ba82-4768-ba41-e72272ba8e88</errorID>
      <errorWord>中华人民共和国循环经济促进法</errorWord>
      <group>L1_Knowledge</group>
      <groupName>知识性问题</groupName>
      <ability>L2_Knowledge</ability>
      <abilityName>其他知识</abilityName>
      <candidateList>
        <item>《中华人民共和国循环经济促进法》</item>
      </candidateList>
      <explain>完整法律法规名称需要加书名号，请注意检查。</explain>
      <paraID>39976699</paraID>
      <start>0</start>
      <end>14</end>
      <status>ignored</status>
      <modifiedWord/>
      <trackRevisions>false</trackRevisions>
    </reviewItem>
    <reviewItem>
      <errorID>36f2b3b7-14d6-4eaf-8096-59a043a64694</errorID>
      <errorWord>中华人民共和国节约能源法</errorWord>
      <group>L1_Knowledge</group>
      <groupName>知识性问题</groupName>
      <ability>L2_Knowledge</ability>
      <abilityName>其他知识</abilityName>
      <candidateList>
        <item>《中华人民共和国节约能源法》</item>
      </candidateList>
      <explain>完整法律法规名称需要加书名号，请注意检查。</explain>
      <paraID>50E2D4C9</paraID>
      <start>0</start>
      <end>12</end>
      <status>ignored</status>
      <modifiedWord/>
      <trackRevisions>false</trackRevisions>
    </reviewItem>
    <reviewItem>
      <errorID>7a743245-312c-4ef1-b997-d5c906ae6e80</errorID>
      <errorWord>中华人民共和国环境保护税法</errorWord>
      <group>L1_Knowledge</group>
      <groupName>知识性问题</groupName>
      <ability>L2_Knowledge</ability>
      <abilityName>其他知识</abilityName>
      <candidateList>
        <item>《中华人民共和国环境保护税法》</item>
      </candidateList>
      <explain>完整法律法规名称需要加书名号，请注意检查。</explain>
      <paraID>570FCDB4</paraID>
      <start>0</start>
      <end>13</end>
      <status>ignored</status>
      <modifiedWord/>
      <trackRevisions>false</trackRevisions>
    </reviewItem>
    <reviewItem>
      <errorID>0df2f69a-0661-4f31-a5da-aca6917f0b01</errorID>
      <errorWord>中华人民共和国防沙治沙法</errorWord>
      <group>L1_Knowledge</group>
      <groupName>知识性问题</groupName>
      <ability>L2_Knowledge</ability>
      <abilityName>其他知识</abilityName>
      <candidateList>
        <item>《中华人民共和国防沙治沙法》</item>
      </candidateList>
      <explain>完整法律法规名称需要加书名号，请注意检查。</explain>
      <paraID>24C1FA80</paraID>
      <start>0</start>
      <end>12</end>
      <status>ignored</status>
      <modifiedWord/>
      <trackRevisions>false</trackRevisions>
    </reviewItem>
    <reviewItem>
      <errorID>ca1babb9-61b0-4149-a9a5-cd7bc0914f41</errorID>
      <errorWord>中华人民共和国大气污染防治法</errorWord>
      <group>L1_Knowledge</group>
      <groupName>知识性问题</groupName>
      <ability>L2_Knowledge</ability>
      <abilityName>其他知识</abilityName>
      <candidateList>
        <item>《中华人民共和国大气污染防治法》</item>
      </candidateList>
      <explain>完整法律法规名称需要加书名号，请注意检查。</explain>
      <paraID>151620EB</paraID>
      <start>0</start>
      <end>14</end>
      <status>ignored</status>
      <modifiedWord/>
      <trackRevisions>false</trackRevisions>
    </reviewItem>
    <reviewItem>
      <errorID>d572dc36-bcad-4995-bcf5-53db265a5ec1</errorID>
      <errorWord>中华人民共和国环境影响评价法</errorWord>
      <group>L1_Knowledge</group>
      <groupName>知识性问题</groupName>
      <ability>L2_Knowledge</ability>
      <abilityName>其他知识</abilityName>
      <candidateList>
        <item>《中华人民共和国环境影响评价法》</item>
      </candidateList>
      <explain>完整法律法规名称需要加书名号，请注意检查。</explain>
      <paraID>7CC1B0D7</paraID>
      <start>0</start>
      <end>14</end>
      <status>ignored</status>
      <modifiedWord/>
      <trackRevisions>false</trackRevisions>
    </reviewItem>
    <reviewItem>
      <errorID>be0ba813-8660-40b9-baf4-2153c1278eec</errorID>
      <errorWord>中华人民共和国土壤污染防治法</errorWord>
      <group>L1_Knowledge</group>
      <groupName>知识性问题</groupName>
      <ability>L2_Knowledge</ability>
      <abilityName>其他知识</abilityName>
      <candidateList>
        <item>《中华人民共和国土壤污染防治法》</item>
      </candidateList>
      <explain>完整法律法规名称需要加书名号，请注意检查。</explain>
      <paraID> EBFD1C9</paraID>
      <start>0</start>
      <end>14</end>
      <status>ignored</status>
      <modifiedWord/>
      <trackRevisions>false</trackRevisions>
    </reviewItem>
    <reviewItem>
      <errorID>4269e66d-b5d0-4dbc-ae61-53ef6873f58c</errorID>
      <errorWord>中华人民共和国森林法</errorWord>
      <group>L1_Knowledge</group>
      <groupName>知识性问题</groupName>
      <ability>L2_Knowledge</ability>
      <abilityName>其他知识</abilityName>
      <candidateList>
        <item>《中华人民共和国森林法》</item>
      </candidateList>
      <explain>完整法律法规名称需要加书名号，请注意检查。</explain>
      <paraID>4F15A90A</paraID>
      <start>0</start>
      <end>10</end>
      <status>ignored</status>
      <modifiedWord/>
      <trackRevisions>false</trackRevisions>
    </reviewItem>
    <reviewItem>
      <errorID>c0b064b9-61cc-4531-bded-b7404d9abab2</errorID>
      <errorWord>中华人民共和国土地管理法</errorWord>
      <group>L1_Knowledge</group>
      <groupName>知识性问题</groupName>
      <ability>L2_Knowledge</ability>
      <abilityName>其他知识</abilityName>
      <candidateList>
        <item>《中华人民共和国土地管理法》</item>
      </candidateList>
      <explain>完整法律法规名称需要加书名号，请注意检查。</explain>
      <paraID>61BC4B9F</paraID>
      <start>0</start>
      <end>12</end>
      <status>ignored</status>
      <modifiedWord/>
      <trackRevisions>false</trackRevisions>
    </reviewItem>
    <reviewItem>
      <errorID>38b7e5ad-3faa-4240-b20b-fc407ee0e643</errorID>
      <errorWord>中华人民共和国固体废物污染环境防治法</errorWord>
      <group>L1_Knowledge</group>
      <groupName>知识性问题</groupName>
      <ability>L2_Knowledge</ability>
      <abilityName>其他知识</abilityName>
      <candidateList>
        <item>《中华人民共和国固体废物污染环境防治法》</item>
      </candidateList>
      <explain>完整法律法规名称需要加书名号，请注意检查。</explain>
      <paraID>38D60BF4</paraID>
      <start>0</start>
      <end>18</end>
      <status>ignored</status>
      <modifiedWord/>
      <trackRevisions>false</trackRevisions>
    </reviewItem>
    <reviewItem>
      <errorID>6beeac27-d0f9-4ce8-94bd-2b474bcd69c3</errorID>
      <errorWord>排污许可管理条例</errorWord>
      <group>L1_Knowledge</group>
      <groupName>知识性问题</groupName>
      <ability>L2_Knowledge</ability>
      <abilityName>其他知识</abilityName>
      <candidateList>
        <item>《排污许可管理条例》</item>
      </candidateList>
      <explain>完整法律法规名称需要加书名号，请注意检查。</explain>
      <paraID>776B90C9</paraID>
      <start>0</start>
      <end>8</end>
      <status>ignored</status>
      <modifiedWord/>
      <trackRevisions>false</trackRevisions>
    </reviewItem>
    <reviewItem>
      <errorID>8d53dad6-4a29-467c-92e6-96ebc96ad7bb</errorID>
      <errorWord>中华人民共和国土地管理法实施条例</errorWord>
      <group>L1_Knowledge</group>
      <groupName>知识性问题</groupName>
      <ability>L2_Knowledge</ability>
      <abilityName>其他知识</abilityName>
      <candidateList>
        <item>《中华人民共和国土地管理法实施条例》</item>
      </candidateList>
      <explain>完整法律法规名称需要加书名号，请注意检查。</explain>
      <paraID>4A2A5142</paraID>
      <start>0</start>
      <end>16</end>
      <status>ignored</status>
      <modifiedWord/>
      <trackRevisions>false</trackRevisions>
    </reviewItem>
    <reviewItem>
      <errorID>d482ca6a-853f-4a7b-908b-537ca6da9557</errorID>
      <errorWord>中华人民共和国安全生产法</errorWord>
      <group>L1_Knowledge</group>
      <groupName>知识性问题</groupName>
      <ability>L2_Knowledge</ability>
      <abilityName>其他知识</abilityName>
      <candidateList>
        <item>《中华人民共和国安全生产法》</item>
      </candidateList>
      <explain>完整法律法规名称需要加书名号，请注意检查。</explain>
      <paraID>1B57AB97</paraID>
      <start>0</start>
      <end>12</end>
      <status>ignored</status>
      <modifiedWord/>
      <trackRevisions>false</trackRevisions>
    </reviewItem>
    <reviewItem>
      <errorID>8f1a5245-160b-4e5d-92f1-34d54caae79d</errorID>
      <errorWord>中共中央国务院</errorWord>
      <group>L1_Political</group>
      <groupName>政治性问题</groupName>
      <ability>L2_Keyword</ability>
      <abilityName>固定表述</abilityName>
      <candidateList>
        <item>中共中央、国务院</item>
      </candidateList>
      <explain>注意检查当前固定表述标点是否使用规范。</explain>
      <paraID>52656F08</paraID>
      <start>0</start>
      <end>7</end>
      <status>ignored</status>
      <modifiedWord/>
      <trackRevisions>false</trackRevisions>
    </reviewItem>
    <reviewItem>
      <errorID>c58c6b37-5a1d-4d7b-be27-fa184d605600</errorID>
      <errorWord>地下水管理条例</errorWord>
      <group>L1_Knowledge</group>
      <groupName>知识性问题</groupName>
      <ability>L2_Knowledge</ability>
      <abilityName>其他知识</abilityName>
      <candidateList>
        <item>《地下水管理条例》</item>
      </candidateList>
      <explain>完整法律法规名称需要加书名号，请注意检查。</explain>
      <paraID>688E7C83</paraID>
      <start>0</start>
      <end>7</end>
      <status>ignored</status>
      <modifiedWord/>
      <trackRevisions>false</trackRevisions>
    </reviewItem>
    <reviewItem>
      <errorID>c577d8e0-674d-4bee-917c-2d18bfc3bff3</errorID>
      <errorWord>中华人民共和国噪声污染防治法</errorWord>
      <group>L1_Knowledge</group>
      <groupName>知识性问题</groupName>
      <ability>L2_Knowledge</ability>
      <abilityName>其他知识</abilityName>
      <candidateList>
        <item>《中华人民共和国噪声污染防治法》</item>
      </candidateList>
      <explain>完整法律法规名称需要加书名号，请注意检查。</explain>
      <paraID>1677F2F3</paraID>
      <start>0</start>
      <end>14</end>
      <status>ignored</status>
      <modifiedWord/>
      <trackRevisions>false</trackRevisions>
    </reviewItem>
    <reviewItem>
      <errorID>60c5489f-0618-465f-b387-906a72a972f9</errorID>
      <errorWord>土地复垦条例</errorWord>
      <group>L1_Knowledge</group>
      <groupName>知识性问题</groupName>
      <ability>L2_Knowledge</ability>
      <abilityName>其他知识</abilityName>
      <candidateList>
        <item>《土地复垦条例》</item>
      </candidateList>
      <explain>完整法律法规名称需要加书名号，请注意检查。</explain>
      <paraID> 58143B5</paraID>
      <start>0</start>
      <end>6</end>
      <status>ignored</status>
      <modifiedWord/>
      <trackRevisions>false</trackRevisions>
    </reviewItem>
    <reviewItem>
      <errorID>88cab16c-2125-4063-9cdc-75d29912c8f5</errorID>
      <errorWord>地方法规</errorWord>
      <group>L1_Political</group>
      <groupName>政治性问题</groupName>
      <ability>L2_Unpolitical</ability>
      <abilityName>政治敏感错误</abilityName>
      <candidateList>
        <item>地方性法规</item>
      </candidateList>
      <explain/>
      <paraID>79FF8B3E</paraID>
      <start>0</start>
      <end>5</end>
      <status>modified</status>
      <modifiedWord>地方性法规</modifiedWord>
      <trackRevisions>false</trackRevisions>
    </reviewItem>
    <reviewItem>
      <errorID>0c723167-6696-42d6-8d3b-e69a040fce91</errorID>
      <errorWord>新疆维吾尔自治区环境保护条例</errorWord>
      <group>L1_Knowledge</group>
      <groupName>知识性问题</groupName>
      <ability>L2_Knowledge</ability>
      <abilityName>其他知识</abilityName>
      <candidateList>
        <item>《新疆维吾尔自治区环境保护条例》</item>
      </candidateList>
      <explain>完整法律法规名称需要加书名号，请注意检查。</explain>
      <paraID>4DFD0CA3</paraID>
      <start>0</start>
      <end>14</end>
      <status>ignored</status>
      <modifiedWord/>
      <trackRevisions>false</trackRevisions>
    </reviewItem>
    <reviewItem>
      <errorID>5fb350fe-f215-43fd-87b0-8dece834f71a</errorID>
      <errorWord>新疆维吾尔自治区野生植物保护条例</errorWord>
      <group>L1_Knowledge</group>
      <groupName>知识性问题</groupName>
      <ability>L2_Knowledge</ability>
      <abilityName>其他知识</abilityName>
      <candidateList>
        <item>《新疆维吾尔自治区野生植物保护条例》</item>
      </candidateList>
      <explain>完整法律法规名称需要加书名号，请注意检查。</explain>
      <paraID>2AD05321</paraID>
      <start>0</start>
      <end>16</end>
      <status>ignored</status>
      <modifiedWord/>
      <trackRevisions>false</trackRevisions>
    </reviewItem>
    <reviewItem>
      <errorID>c327b47f-2ba2-4fb5-bb72-b36f51770917</errorID>
      <errorWord>新疆维吾尔自治区大气污染防治条例</errorWord>
      <group>L1_Knowledge</group>
      <groupName>知识性问题</groupName>
      <ability>L2_Knowledge</ability>
      <abilityName>其他知识</abilityName>
      <candidateList>
        <item>《新疆维吾尔自治区大气污染防治条例》</item>
      </candidateList>
      <explain>完整法律法规名称需要加书名号，请注意检查。</explain>
      <paraID>5C80373C</paraID>
      <start>0</start>
      <end>16</end>
      <status>ignored</status>
      <modifiedWord/>
      <trackRevisions>false</trackRevisions>
    </reviewItem>
    <reviewItem>
      <errorID>a66cd143-9bbc-4ad6-b7eb-3eefedcde300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79ACF018</paraID>
      <start>0</start>
      <end>2</end>
      <status>unmodified</status>
      <modifiedWord/>
      <trackRevisions>false</trackRevisions>
    </reviewItem>
    <reviewItem>
      <errorID>bb64965d-09a5-4833-9f5c-66d39f8210f4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4CF7EC1D</paraID>
      <start>0</start>
      <end>2</end>
      <status>unmodified</status>
      <modifiedWord/>
      <trackRevisions>false</trackRevisions>
    </reviewItem>
    <reviewItem>
      <errorID>8f70b863-030b-4233-a9ac-947a2a950a79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60642C75</paraID>
      <start>0</start>
      <end>2</end>
      <status>unmodified</status>
      <modifiedWord/>
      <trackRevisions>false</trackRevisions>
    </reviewItem>
    <reviewItem>
      <errorID>53ccf413-cd4b-4535-8cb3-3db9510fd8e1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324B3395</paraID>
      <start>0</start>
      <end>2</end>
      <status>unmodified</status>
      <modifiedWord/>
      <trackRevisions>false</trackRevisions>
    </reviewItem>
    <reviewItem>
      <errorID>0d7d1727-ce0e-408d-981f-9a43c673e008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6347D7CC</paraID>
      <start>0</start>
      <end>2</end>
      <status>unmodified</status>
      <modifiedWord/>
      <trackRevisions>false</trackRevisions>
    </reviewItem>
    <reviewItem>
      <errorID>2b77a188-0d1e-4097-b88d-bce226cf43e1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726AC933</paraID>
      <start>0</start>
      <end>2</end>
      <status>unmodified</status>
      <modifiedWord/>
      <trackRevisions>false</trackRevisions>
    </reviewItem>
    <reviewItem>
      <errorID>d90c0135-5918-4356-98b1-8e271ae0cf5b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25A82F27</paraID>
      <start>0</start>
      <end>2</end>
      <status>unmodified</status>
      <modifiedWord/>
      <trackRevisions>false</trackRevisions>
    </reviewItem>
    <reviewItem>
      <errorID>0911e1c3-2167-417c-8313-9e5741a8230c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9941028</paraID>
      <start>0</start>
      <end>2</end>
      <status>unmodified</status>
      <modifiedWord/>
      <trackRevisions>false</trackRevisions>
    </reviewItem>
    <reviewItem>
      <errorID>f14237a8-2a69-452e-9f73-e2cb023dd870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72A99B1E</paraID>
      <start>0</start>
      <end>2</end>
      <status>unmodified</status>
      <modifiedWord/>
      <trackRevisions>false</trackRevisions>
    </reviewItem>
    <reviewItem>
      <errorID>43bf994d-f0f2-47d9-8332-a765d36a758a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77105008</paraID>
      <start>0</start>
      <end>2</end>
      <status>unmodified</status>
      <modifiedWord/>
      <trackRevisions>false</trackRevisions>
    </reviewItem>
    <reviewItem>
      <errorID>369528b2-0188-4124-ba35-4108741808c0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138B9099</paraID>
      <start>0</start>
      <end>2</end>
      <status>unmodified</status>
      <modifiedWord/>
      <trackRevisions>false</trackRevisions>
    </reviewItem>
    <reviewItem>
      <errorID>49996597-ee8e-4b02-a0a3-1b5ad1b012d6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49879E9D</paraID>
      <start>0</start>
      <end>2</end>
      <status>unmodified</status>
      <modifiedWord/>
      <trackRevisions>false</trackRevisions>
    </reviewItem>
    <reviewItem>
      <errorID>7216a06f-3186-4c35-9eab-51d0511a1bb5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4AAF83E9</paraID>
      <start>0</start>
      <end>2</end>
      <status>unmodified</status>
      <modifiedWord/>
      <trackRevisions>false</trackRevisions>
    </reviewItem>
    <reviewItem>
      <errorID>9e8782fb-61a6-4185-8ca3-e19c7a5e58ee</errorID>
      <errorWord>-</errorWord>
      <group>L1_Format</group>
      <groupName>格式问题</groupName>
      <ability>L2_HalfPunc</ability>
      <abilityName>全半角检查</abilityName>
      <candidateList>
        <item>－</item>
      </candidateList>
      <explain>文本全半角错误。</explain>
      <paraID>54817F4A</paraID>
      <start>130</start>
      <end>131</end>
      <status>unmodified</status>
      <modifiedWord/>
      <trackRevisions>false</trackRevisions>
    </reviewItem>
    <reviewItem>
      <errorID>01332922-9c53-4955-9c8a-f26aaf3fd7d9</errorID>
      <errorWord>＜</errorWord>
      <group>L1_Format</group>
      <groupName>格式问题</groupName>
      <ability>L2_HalfPunc</ability>
      <abilityName>全半角检查</abilityName>
      <candidateList>
        <item>&lt;</item>
      </candidateList>
      <explain>文本全半角错误。</explain>
      <paraID>4C5C72F0</paraID>
      <start>7</start>
      <end>8</end>
      <status>unmodified</status>
      <modifiedWord/>
      <trackRevisions>false</trackRevisions>
    </reviewItem>
    <reviewItem>
      <errorID>833a1e3c-3bd8-4d55-b9b9-0db61601f8c7</errorID>
      <errorWord>；</errorWord>
      <group>L1_Word</group>
      <groupName>字词问题</groupName>
      <ability>L2_Typo</ability>
      <abilityName>字词错误</abilityName>
      <candidateList>
        <item>；对</item>
      </candidateList>
      <explain/>
      <paraID>5700F628</paraID>
      <start>60</start>
      <end>61</end>
      <status>unmodified</status>
      <modifiedWord/>
      <trackRevisions>false</trackRevisions>
    </reviewItem>
    <reviewItem>
      <errorID>62632c47-a3b2-42ef-b4f7-39b3a03eebb5</errorID>
      <errorWord>（</errorWord>
      <group>L1_Format</group>
      <groupName>格式问题</groupName>
      <ability>L2_HalfPunc</ability>
      <abilityName>全半角检查</abilityName>
      <candidateList>
        <item>(</item>
      </candidateList>
      <explain>文本全半角错误。</explain>
      <paraID>672355A6</paraID>
      <start>0</start>
      <end>1</end>
      <status>unmodified</status>
      <modifiedWord/>
      <trackRevisions>false</trackRevisions>
    </reviewItem>
    <reviewItem>
      <errorID>f010557c-3718-4698-acef-03e6dd3fb473</errorID>
      <errorWord>）</errorWord>
      <group>L1_Format</group>
      <groupName>格式问题</groupName>
      <ability>L2_HalfPunc</ability>
      <abilityName>全半角检查</abilityName>
      <candidateList>
        <item>)</item>
      </candidateList>
      <explain>文本全半角错误。</explain>
      <paraID>672355A6</paraID>
      <start>5</start>
      <end>6</end>
      <status>unmodified</status>
      <modifiedWord/>
      <trackRevisions>false</trackRevisions>
    </reviewItem>
    <reviewItem>
      <errorID>1def3972-231f-4319-9861-2dbe65e01dbf</errorID>
      <errorWord>（</errorWord>
      <group>L1_Format</group>
      <groupName>格式问题</groupName>
      <ability>L2_HalfPunc</ability>
      <abilityName>全半角检查</abilityName>
      <candidateList>
        <item>(</item>
      </candidateList>
      <explain>文本全半角错误。</explain>
      <paraID> 35F154F</paraID>
      <start>0</start>
      <end>1</end>
      <status>unmodified</status>
      <modifiedWord/>
      <trackRevisions>false</trackRevisions>
    </reviewItem>
    <reviewItem>
      <errorID>914dd2f9-6ce0-4f4b-bb5b-11db707bd5cc</errorID>
      <errorWord>）</errorWord>
      <group>L1_Format</group>
      <groupName>格式问题</groupName>
      <ability>L2_HalfPunc</ability>
      <abilityName>全半角检查</abilityName>
      <candidateList>
        <item>)</item>
      </candidateList>
      <explain>文本全半角错误。</explain>
      <paraID> 35F154F</paraID>
      <start>2</start>
      <end>3</end>
      <status>unmodified</status>
      <modifiedWord/>
      <trackRevisions>false</trackRevisions>
    </reviewItem>
    <reviewItem>
      <errorID>0ed97d85-2662-4dee-bf4b-d6ebc4096302</errorID>
      <errorWord>属</errorWord>
      <group>L1_Word</group>
      <groupName>字词问题</groupName>
      <ability>L2_Typo</ability>
      <abilityName>字词错误</abilityName>
      <candidateList>
        <item>属于</item>
      </candidateList>
      <explain/>
      <paraID>6A65685B</paraID>
      <start>3</start>
      <end>4</end>
      <status>unmodified</status>
      <modifiedWord/>
      <trackRevisions>false</trackRevisions>
    </reviewItem>
    <reviewItem>
      <errorID>8c728cfa-4bd8-4b5f-a06c-38fda3244acf</errorID>
      <errorWord>大</errorWord>
      <group>L1_Word</group>
      <groupName>字词问题</groupName>
      <ability>L2_Typo</ability>
      <abilityName>字词错误</abilityName>
      <candidateList>
        <item>的</item>
      </candidateList>
      <explain>“的”常用于连接修饰语与名词性中心语，表示属性、所属或描述。</explain>
      <paraID>73A61458</paraID>
      <start>0</start>
      <end>1</end>
      <status>unmodified</status>
      <modifiedWord/>
      <trackRevisions>false</trackRevisions>
    </reviewItem>
    <reviewItem>
      <errorID>c284f00d-c164-4e4a-ae23-7aa217d9fd2f</errorID>
      <errorWord>大</errorWord>
      <group>L1_Word</group>
      <groupName>字词问题</groupName>
      <ability>L2_Typo</ability>
      <abilityName>字词错误</abilityName>
      <candidateList>
        <item>的</item>
      </candidateList>
      <explain>“的”常用于连接修饰语与名词性中心语，表示属性、所属或描述。</explain>
      <paraID>64F23247</paraID>
      <start>0</start>
      <end>1</end>
      <status>unmodified</status>
      <modifiedWord/>
      <trackRevisions>false</trackRevisions>
    </reviewItem>
    <reviewItem>
      <errorID>a5b46e76-1b43-478d-8ab4-049330473d58</errorID>
      <errorWord>大</errorWord>
      <group>L1_Word</group>
      <groupName>字词问题</groupName>
      <ability>L2_Typo</ability>
      <abilityName>字词错误</abilityName>
      <candidateList>
        <item>的</item>
      </candidateList>
      <explain>“的”常用于连接修饰语与名词性中心语，表示属性、所属或描述。</explain>
      <paraID>36829A2B</paraID>
      <start>0</start>
      <end>1</end>
      <status>unmodified</status>
      <modifiedWord/>
      <trackRevisions>false</trackRevisions>
    </reviewItem>
    <reviewItem>
      <errorID>726593e0-0b6d-4c6d-9ea0-2db7b2ec5b5e</errorID>
      <errorWord>-</errorWord>
      <group>L1_Format</group>
      <groupName>格式问题</groupName>
      <ability>L2_HalfPunc</ability>
      <abilityName>全半角检查</abilityName>
      <candidateList>
        <item>－</item>
      </candidateList>
      <explain>文本全半角错误。</explain>
      <paraID>562E1DBB</paraID>
      <start>3</start>
      <end>4</end>
      <status>unmodified</status>
      <modifiedWord/>
      <trackRevisions>false</trackRevisions>
    </reviewItem>
    <reviewItem>
      <errorID>43f1f76f-d17d-427b-9128-888afdb06b09</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2086245</paraID>
      <start>0</start>
      <end>2</end>
      <status>unmodified</status>
      <modifiedWord/>
      <trackRevisions>false</trackRevisions>
    </reviewItem>
    <reviewItem>
      <errorID>5ef632a9-dd9d-471c-937f-ceca5a9b15f7</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3A51669A</paraID>
      <start>0</start>
      <end>2</end>
      <status>unmodified</status>
      <modifiedWord/>
      <trackRevisions>false</trackRevisions>
    </reviewItem>
    <reviewItem>
      <errorID>1649c658-6123-4486-8c68-c64d82d91e87</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4A14AA80</paraID>
      <start>0</start>
      <end>2</end>
      <status>unmodified</status>
      <modifiedWord/>
      <trackRevisions>false</trackRevisions>
    </reviewItem>
    <reviewItem>
      <errorID>fb76544f-9325-4267-a42a-e95bb9cade79</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19E2ACED</paraID>
      <start>0</start>
      <end>2</end>
      <status>unmodified</status>
      <modifiedWord/>
      <trackRevisions>false</trackRevisions>
    </reviewItem>
    <reviewItem>
      <errorID>392561b8-01a7-462a-bf86-852721a18ae9</errorID>
      <errorWord>e、</errorWord>
      <group>L1_Format</group>
      <groupName>格式问题</groupName>
      <ability>L2_Ordinal</ability>
      <abilityName>序号格式</abilityName>
      <candidateList>
        <item>e.</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574F8871</paraID>
      <start>0</start>
      <end>2</end>
      <status>unmodified</status>
      <modifiedWord/>
      <trackRevisions>false</trackRevisions>
    </reviewItem>
    <reviewItem>
      <errorID>ff6e434d-bd86-4ad2-bfc2-f15616cf1bd8</errorID>
      <errorWord>f、</errorWord>
      <group>L1_Format</group>
      <groupName>格式问题</groupName>
      <ability>L2_Ordinal</ability>
      <abilityName>序号格式</abilityName>
      <candidateList>
        <item>f.</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2C043DA</paraID>
      <start>0</start>
      <end>2</end>
      <status>unmodified</status>
      <modifiedWord/>
      <trackRevisions>false</trackRevisions>
    </reviewItem>
    <reviewItem>
      <errorID>fe1dbc7f-1f81-49f1-bba6-a9805f1c8bef</errorID>
      <errorWord>g、</errorWord>
      <group>L1_Format</group>
      <groupName>格式问题</groupName>
      <ability>L2_Ordinal</ability>
      <abilityName>序号格式</abilityName>
      <candidateList>
        <item>g.</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73AA9AF6</paraID>
      <start>0</start>
      <end>2</end>
      <status>unmodified</status>
      <modifiedWord/>
      <trackRevisions>false</trackRevisions>
    </reviewItem>
    <reviewItem>
      <errorID>8fca4d41-3e5d-494c-84a7-5c62e3f88b49</errorID>
      <errorWord>h、</errorWord>
      <group>L1_Format</group>
      <groupName>格式问题</groupName>
      <ability>L2_Ordinal</ability>
      <abilityName>序号格式</abilityName>
      <candidateList>
        <item>h.</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7FFF15BD</paraID>
      <start>0</start>
      <end>2</end>
      <status>unmodified</status>
      <modifiedWord/>
      <trackRevisions>false</trackRevisions>
    </reviewItem>
    <reviewItem>
      <errorID>b3d5c20f-3c4b-45aa-9cc3-2a3fafaa63c5</errorID>
      <errorWord>IV</errorWord>
      <group>L1_Knowledge</group>
      <groupName>知识性问题</groupName>
      <ability>L2_Knowledge</ability>
      <abilityName>其他知识</abilityName>
      <candidateList>
        <item>Ⅳ</item>
      </candidateList>
      <explain/>
      <paraID>453A6034</paraID>
      <start>65</start>
      <end>67</end>
      <status>unmodified</status>
      <modifiedWord/>
      <trackRevisions>false</trackRevisions>
    </reviewItem>
    <reviewItem>
      <errorID>551bf971-fe2c-4736-a567-dba592ec63db</errorID>
      <errorWord>IV</errorWord>
      <group>L1_Knowledge</group>
      <groupName>知识性问题</groupName>
      <ability>L2_Knowledge</ability>
      <abilityName>其他知识</abilityName>
      <candidateList>
        <item>Ⅳ</item>
      </candidateList>
      <explain/>
      <paraID>59B13E86</paraID>
      <start>19</start>
      <end>21</end>
      <status>unmodified</status>
      <modifiedWord/>
      <trackRevisions>false</trackRevisions>
    </reviewItem>
    <reviewItem>
      <errorID>d44bd2fd-1a3b-4dc1-8c8c-c99b88c7cf9e</errorID>
      <errorWord>IV</errorWord>
      <group>L1_Knowledge</group>
      <groupName>知识性问题</groupName>
      <ability>L2_Knowledge</ability>
      <abilityName>其他知识</abilityName>
      <candidateList>
        <item>Ⅳ</item>
      </candidateList>
      <explain/>
      <paraID>59B13E86</paraID>
      <start>22</start>
      <end>24</end>
      <status>unmodified</status>
      <modifiedWord/>
      <trackRevisions>false</trackRevisions>
    </reviewItem>
    <reviewItem>
      <errorID>27c8ca00-e2bf-4fc8-bc36-5dbef4221b1a</errorID>
      <errorWord>＜</errorWord>
      <group>L1_Format</group>
      <groupName>格式问题</groupName>
      <ability>L2_HalfPunc</ability>
      <abilityName>全半角检查</abilityName>
      <candidateList>
        <item>&lt;</item>
      </candidateList>
      <explain>文本全半角错误。</explain>
      <paraID>2697D6C2</paraID>
      <start>4</start>
      <end>5</end>
      <status>unmodified</status>
      <modifiedWord/>
      <trackRevisions>false</trackRevisions>
    </reviewItem>
    <reviewItem>
      <errorID>730cadbb-8090-4047-b673-3406035f0a52</errorID>
      <errorWord>＜</errorWord>
      <group>L1_Format</group>
      <groupName>格式问题</groupName>
      <ability>L2_HalfPunc</ability>
      <abilityName>全半角检查</abilityName>
      <candidateList>
        <item>&lt;</item>
      </candidateList>
      <explain>文本全半角错误。</explain>
      <paraID>2B2D7953</paraID>
      <start>3</start>
      <end>4</end>
      <status>unmodified</status>
      <modifiedWord/>
      <trackRevisions>false</trackRevisions>
    </reviewItem>
    <reviewItem>
      <errorID>5a60bf07-3c63-49cd-af7b-756f79d7977f</errorID>
      <errorWord>厂</errorWord>
      <group>L1_Word</group>
      <groupName>字词问题</groupName>
      <ability>L2_Typo</ability>
      <abilityName>字词错误</abilityName>
      <candidateList>
        <item>场</item>
      </candidateList>
      <explain/>
      <paraID>2DDA6EBC</paraID>
      <start>13</start>
      <end>14</end>
      <status>ignored</status>
      <modifiedWord/>
      <trackRevisions>false</trackRevisions>
    </reviewItem>
    <reviewItem>
      <errorID>c318ac8f-420d-4d6e-883c-8d01d0b01d96</errorID>
      <errorWord>厂</errorWord>
      <group>L1_Word</group>
      <groupName>字词问题</groupName>
      <ability>L2_Typo</ability>
      <abilityName>字词错误</abilityName>
      <candidateList>
        <item>场</item>
      </candidateList>
      <explain/>
      <paraID>3B4E6838</paraID>
      <start>2</start>
      <end>3</end>
      <status>ignored</status>
      <modifiedWord/>
      <trackRevisions>false</trackRevisions>
    </reviewItem>
    <reviewItem>
      <errorID>1d85b226-f74d-4503-bd00-3d669a5ddf1a</errorID>
      <errorWord>"</errorWord>
      <group>L1_Format</group>
      <groupName>格式问题</groupName>
      <ability>L2_HalfPunc</ability>
      <abilityName>全半角检查</abilityName>
      <candidateList/>
      <explain>文本全半角错误。</explain>
      <paraID>3C5BE14B</paraID>
      <start>141</start>
      <end>142</end>
      <status>unmodified</status>
      <modifiedWord/>
      <trackRevisions>false</trackRevisions>
    </reviewItem>
    <reviewItem>
      <errorID>2ea781d1-e80d-4362-8452-89c7cb0b9736</errorID>
      <errorWord>"</errorWord>
      <group>L1_Format</group>
      <groupName>格式问题</groupName>
      <ability>L2_HalfPunc</ability>
      <abilityName>全半角检查</abilityName>
      <candidateList/>
      <explain>文本全半角错误。</explain>
      <paraID>3C5BE14B</paraID>
      <start>156</start>
      <end>157</end>
      <status>unmodified</status>
      <modifiedWord/>
      <trackRevisions>false</trackRevisions>
    </reviewItem>
    <reviewItem>
      <errorID>4b9a7a5b-d0b3-43ad-b99c-960353a3f245</errorID>
      <errorWord>平方公顷</errorWord>
      <group>L1_Word</group>
      <groupName>字词问题</groupName>
      <ability>L2_Typo</ability>
      <abilityName>字词错误</abilityName>
      <candidateList>
        <item>公顷</item>
      </candidateList>
      <explain/>
      <paraID>4C1EDF6A</paraID>
      <start>13</start>
      <end>15</end>
      <status>modified</status>
      <modifiedWord>公顷</modifiedWord>
      <trackRevisions>false</trackRevisions>
    </reviewItem>
    <reviewItem>
      <errorID>a66796b7-77cd-4584-8012-2a401691fd93</errorID>
      <errorWord>见</errorWord>
      <group>L1_Word</group>
      <groupName>字词问题</groupName>
      <ability>L2_Typo</ability>
      <abilityName>字词错误</abilityName>
      <candidateList>
        <item>见下</item>
      </candidateList>
      <explain/>
      <paraID>42C49F90</paraID>
      <start>7</start>
      <end>8</end>
      <status>unmodified</status>
      <modifiedWord/>
      <trackRevisions>false</trackRevisions>
    </reviewItem>
    <reviewItem>
      <errorID>a066228e-1269-4236-8687-2c33fc6a455c</errorID>
      <errorWord>拍买</errorWord>
      <group>L1_Word</group>
      <groupName>字词问题</groupName>
      <ability>L2_Typo</ability>
      <abilityName>字词错误</abilityName>
      <candidateList>
        <item>拍卖</item>
      </candidateList>
      <explain/>
      <paraID> 5C2907F</paraID>
      <start>155</start>
      <end>157</end>
      <status>unmodified</status>
      <modifiedWord/>
      <trackRevisions>false</trackRevisions>
    </reviewItem>
    <reviewItem>
      <errorID>19f2ea92-91ab-4181-8170-72cf788b077b</errorID>
      <errorWord>见</errorWord>
      <group>L1_Word</group>
      <groupName>字词问题</groupName>
      <ability>L2_Typo</ability>
      <abilityName>字词错误</abilityName>
      <candidateList>
        <item>见下</item>
      </candidateList>
      <explain/>
      <paraID>673B2251</paraID>
      <start>31</start>
      <end>32</end>
      <status>unmodified</status>
      <modifiedWord/>
      <trackRevisions>false</trackRevisions>
    </reviewItem>
    <reviewItem>
      <errorID>6ab70767-135d-470e-940f-cb4dbc02fc61</errorID>
      <errorWord>（</errorWord>
      <group>L1_Format</group>
      <groupName>格式问题</groupName>
      <ability>L2_HalfPunc</ability>
      <abilityName>全半角检查</abilityName>
      <candidateList>
        <item>(</item>
      </candidateList>
      <explain>文本全半角错误。</explain>
      <paraID>765D869B</paraID>
      <start>0</start>
      <end>1</end>
      <status>unmodified</status>
      <modifiedWord/>
      <trackRevisions>false</trackRevisions>
    </reviewItem>
    <reviewItem>
      <errorID>97331444-ce26-415c-acb8-ccd04ba45884</errorID>
      <errorWord>）</errorWord>
      <group>L1_Format</group>
      <groupName>格式问题</groupName>
      <ability>L2_HalfPunc</ability>
      <abilityName>全半角检查</abilityName>
      <candidateList>
        <item>)</item>
      </candidateList>
      <explain>文本全半角错误。</explain>
      <paraID>765D869B</paraID>
      <start>3</start>
      <end>4</end>
      <status>unmodified</status>
      <modifiedWord/>
      <trackRevisions>false</trackRevisions>
    </reviewItem>
    <reviewItem>
      <errorID>a97dada0-da09-49d8-b98a-f862004371e7</errorID>
      <errorWord>-</errorWord>
      <group>L1_Format</group>
      <groupName>格式问题</groupName>
      <ability>L2_HalfPunc</ability>
      <abilityName>全半角检查</abilityName>
      <candidateList>
        <item>－</item>
      </candidateList>
      <explain>文本全半角错误。</explain>
      <paraID>5089DB83</paraID>
      <start>55</start>
      <end>56</end>
      <status>unmodified</status>
      <modifiedWord/>
      <trackRevisions>false</trackRevisions>
    </reviewItem>
    <reviewItem>
      <errorID>8a704bac-9937-4df2-93fd-8e5e38ad9bd1</errorID>
      <errorWord>-</errorWord>
      <group>L1_Format</group>
      <groupName>格式问题</groupName>
      <ability>L2_HalfPunc</ability>
      <abilityName>全半角检查</abilityName>
      <candidateList>
        <item>－</item>
      </candidateList>
      <explain>文本全半角错误。</explain>
      <paraID>5089DB83</paraID>
      <start>81</start>
      <end>82</end>
      <status>unmodified</status>
      <modifiedWord/>
      <trackRevisions>false</trackRevisions>
    </reviewItem>
    <reviewItem>
      <errorID>738b3de7-de75-4d60-82d1-a5b62d671863</errorID>
      <errorWord>-</errorWord>
      <group>L1_Format</group>
      <groupName>格式问题</groupName>
      <ability>L2_HalfPunc</ability>
      <abilityName>全半角检查</abilityName>
      <candidateList>
        <item>－</item>
      </candidateList>
      <explain>文本全半角错误。</explain>
      <paraID>5089DB83</paraID>
      <start>126</start>
      <end>127</end>
      <status>unmodified</status>
      <modifiedWord/>
      <trackRevisions>false</trackRevisions>
    </reviewItem>
    <reviewItem>
      <errorID>4216cf25-a722-4867-b7f2-e6214b7f075e</errorID>
      <errorWord>-</errorWord>
      <group>L1_Format</group>
      <groupName>格式问题</groupName>
      <ability>L2_HalfPunc</ability>
      <abilityName>全半角检查</abilityName>
      <candidateList>
        <item>－</item>
      </candidateList>
      <explain>文本全半角错误。</explain>
      <paraID> EA13E95</paraID>
      <start>56</start>
      <end>57</end>
      <status>unmodified</status>
      <modifiedWord/>
      <trackRevisions>false</trackRevisions>
    </reviewItem>
    <reviewItem>
      <errorID>701346d8-b727-4d12-8e52-7a820d750c8c</errorID>
      <errorWord>5%~10%</errorWord>
      <group>L1_Knowledge</group>
      <groupName>知识性问题</groupName>
      <ability>L2_Knowledge</ability>
      <abilityName>其他知识</abilityName>
      <candidateList>
        <item>5%～10%</item>
      </candidateList>
      <explain>1. “5%~10%”中的单位“%”仅出现在后一个数字上，容易引起歧义；根据《现代汉语标点符号数字用法规范手册》，数字表示范围两边需要使用统一的格式。2. 根据标点国标 4.13 中的规则，数字、时间或地域连接符应使用（视觉上更长的）“—”或“～”。</explain>
      <paraID> 2831F6D</paraID>
      <start>53</start>
      <end>59</end>
      <status>unmodified</status>
      <modifiedWord/>
      <trackRevisions>false</trackRevisions>
    </reviewItem>
    <reviewItem>
      <errorID>90616d3c-c52d-40a5-ad9c-81e6a8401f52</errorID>
      <errorWord>,</errorWord>
      <group>L1_Format</group>
      <groupName>格式问题</groupName>
      <ability>L2_HalfPunc</ability>
      <abilityName>全半角检查</abilityName>
      <candidateList>
        <item>，</item>
      </candidateList>
      <explain>文本全半角错误。</explain>
      <paraID>11382182</paraID>
      <start>20</start>
      <end>21</end>
      <status>unmodified</status>
      <modifiedWord/>
      <trackRevisions>false</trackRevisions>
    </reviewItem>
    <reviewItem>
      <errorID>2f41472c-424d-443a-9c5d-bd0b438bec87</errorID>
      <errorWord>~</errorWord>
      <group>L1_Format</group>
      <groupName>格式问题</groupName>
      <ability>L2_HalfPunc</ability>
      <abilityName>全半角检查</abilityName>
      <candidateList>
        <item>～</item>
      </candidateList>
      <explain>文本全半角错误。</explain>
      <paraID>51FA030A</paraID>
      <start>15</start>
      <end>16</end>
      <status>unmodified</status>
      <modifiedWord/>
      <trackRevisions>false</trackRevisions>
    </reviewItem>
    <reviewItem>
      <errorID>80a1a478-2b6a-49b7-81fd-079c8b1d1783</errorID>
      <errorWord>,</errorWord>
      <group>L1_Format</group>
      <groupName>格式问题</groupName>
      <ability>L2_HalfPunc</ability>
      <abilityName>全半角检查</abilityName>
      <candidateList>
        <item>，</item>
      </candidateList>
      <explain>文本全半角错误。</explain>
      <paraID>287551CB</paraID>
      <start>22</start>
      <end>23</end>
      <status>unmodified</status>
      <modifiedWord/>
      <trackRevisions>false</trackRevisions>
    </reviewItem>
    <reviewItem>
      <errorID>a1d02f54-ed68-4ebe-8bc9-6d0dbd1c4048</errorID>
      <errorWord>-</errorWord>
      <group>L1_Format</group>
      <groupName>格式问题</groupName>
      <ability>L2_HalfPunc</ability>
      <abilityName>全半角检查</abilityName>
      <candidateList>
        <item>－</item>
      </candidateList>
      <explain>文本全半角错误。</explain>
      <paraID>587B638D</paraID>
      <start>46</start>
      <end>47</end>
      <status>unmodified</status>
      <modifiedWord/>
      <trackRevisions>false</trackRevisions>
    </reviewItem>
    <reviewItem>
      <errorID>80bc15f2-a1a1-4f47-9ff2-5eb4e31c03d7</errorID>
      <errorWord>-</errorWord>
      <group>L1_Format</group>
      <groupName>格式问题</groupName>
      <ability>L2_HalfPunc</ability>
      <abilityName>全半角检查</abilityName>
      <candidateList>
        <item>－</item>
      </candidateList>
      <explain>文本全半角错误。</explain>
      <paraID>587B638D</paraID>
      <start>75</start>
      <end>76</end>
      <status>unmodified</status>
      <modifiedWord/>
      <trackRevisions>false</trackRevisions>
    </reviewItem>
    <reviewItem>
      <errorID>b5dac76b-656e-4a5d-a23e-cdea52fcec67</errorID>
      <errorWord>-</errorWord>
      <group>L1_Format</group>
      <groupName>格式问题</groupName>
      <ability>L2_HalfPunc</ability>
      <abilityName>全半角检查</abilityName>
      <candidateList>
        <item>－</item>
      </candidateList>
      <explain>文本全半角错误。</explain>
      <paraID>587B638D</paraID>
      <start>104</start>
      <end>105</end>
      <status>unmodified</status>
      <modifiedWord/>
      <trackRevisions>false</trackRevisions>
    </reviewItem>
    <reviewItem>
      <errorID>bf96d3c2-9ff1-4cb3-93ad-62b2ce1ad908</errorID>
      <errorWord>（</errorWord>
      <group>L1_Format</group>
      <groupName>格式问题</groupName>
      <ability>L2_HalfPunc</ability>
      <abilityName>全半角检查</abilityName>
      <candidateList>
        <item>(</item>
      </candidateList>
      <explain>文本全半角错误。</explain>
      <paraID>22B03388</paraID>
      <start>0</start>
      <end>1</end>
      <status>unmodified</status>
      <modifiedWord/>
      <trackRevisions>false</trackRevisions>
    </reviewItem>
    <reviewItem>
      <errorID>13e083fc-439f-4cda-a636-1e8903440d18</errorID>
      <errorWord>）</errorWord>
      <group>L1_Format</group>
      <groupName>格式问题</groupName>
      <ability>L2_HalfPunc</ability>
      <abilityName>全半角检查</abilityName>
      <candidateList>
        <item>)</item>
      </candidateList>
      <explain>文本全半角错误。</explain>
      <paraID>22B03388</paraID>
      <start>4</start>
      <end>5</end>
      <status>unmodified</status>
      <modifiedWord/>
      <trackRevisions>false</trackRevisions>
    </reviewItem>
    <reviewItem>
      <errorID>70613a8b-1490-4ba2-ac19-77840adc0062</errorID>
      <errorWord>厂内</errorWord>
      <group>L1_Word</group>
      <groupName>字词问题</groupName>
      <ability>L2_Typo</ability>
      <abilityName>字词错误</abilityName>
      <candidateList>
        <item>场内</item>
      </candidateList>
      <explain/>
      <paraID>2892E9AA</paraID>
      <start>14</start>
      <end>16</end>
      <status>unmodified</status>
      <modifiedWord/>
      <trackRevisions>false</trackRevisions>
    </reviewItem>
    <reviewItem>
      <errorID>d3619c04-a500-4cc1-a79c-da98956ee4a2</errorID>
      <errorWord>~</errorWord>
      <group>L1_Format</group>
      <groupName>格式问题</groupName>
      <ability>L2_HalfPunc</ability>
      <abilityName>全半角检查</abilityName>
      <candidateList>
        <item>～</item>
      </candidateList>
      <explain>文本全半角错误。</explain>
      <paraID>574DA467</paraID>
      <start>184</start>
      <end>185</end>
      <status>unmodified</status>
      <modifiedWord/>
      <trackRevisions>false</trackRevisions>
    </reviewItem>
    <reviewItem>
      <errorID>216104b6-f5ed-40b4-b8e8-a7628031b933</errorID>
      <errorWord>厂</errorWord>
      <group>L1_Word</group>
      <groupName>字词问题</groupName>
      <ability>L2_Typo</ability>
      <abilityName>字词错误</abilityName>
      <candidateList>
        <item>场</item>
      </candidateList>
      <explain/>
      <paraID>35CC3364</paraID>
      <start>20</start>
      <end>21</end>
      <status>ignored</status>
      <modifiedWord/>
      <trackRevisions>false</trackRevisions>
    </reviewItem>
    <reviewItem>
      <errorID>f8876e56-b159-45ce-affb-9bae86266b29</errorID>
      <errorWord>厂下</errorWord>
      <group>L1_Word</group>
      <groupName>字词问题</groupName>
      <ability>L2_Typo</ability>
      <abilityName>字词错误</abilityName>
      <candidateList>
        <item>场下</item>
      </candidateList>
      <explain/>
      <paraID>68780DC6</paraID>
      <start>16</start>
      <end>18</end>
      <status>unmodified</status>
      <modifiedWord/>
      <trackRevisions>false</trackRevisions>
    </reviewItem>
    <reviewItem>
      <errorID>cd8362a0-ac52-46a2-a8e4-6d22a9576980</errorID>
      <errorWord>厂</errorWord>
      <group>L1_Word</group>
      <groupName>字词问题</groupName>
      <ability>L2_Typo</ability>
      <abilityName>字词错误</abilityName>
      <candidateList>
        <item>场</item>
      </candidateList>
      <explain/>
      <paraID>78F36401</paraID>
      <start>14</start>
      <end>15</end>
      <status>ignored</status>
      <modifiedWord/>
      <trackRevisions>false</trackRevisions>
    </reviewItem>
    <reviewItem>
      <errorID>c55ac17a-58da-47be-acd7-a1609f1cee81</errorID>
      <errorWord>增加全</errorWord>
      <group>L1_Word</group>
      <groupName>字词问题</groupName>
      <ability>L2_Typo</ability>
      <abilityName>字词错误</abilityName>
      <candidateList>
        <item>增加</item>
      </candidateList>
      <explain>〈动〉在原有的基础上加多：～品种｜～抵抗力｜在校学生已由八百～到一千。</explain>
      <paraID>2C9DC2C2</paraID>
      <start>22</start>
      <end>25</end>
      <status>unmodified</status>
      <modifiedWord/>
      <trackRevisions>false</trackRevisions>
    </reviewItem>
    <reviewItem>
      <errorID>75481884-e6a3-479a-887d-bb395a4d6c2b</errorID>
      <errorWord>增加全</errorWord>
      <group>L1_Word</group>
      <groupName>字词问题</groupName>
      <ability>L2_Typo</ability>
      <abilityName>字词错误</abilityName>
      <candidateList>
        <item>增加</item>
      </candidateList>
      <explain>〈动〉在原有的基础上加多：～品种｜～抵抗力｜在校学生已由八百～到一千。</explain>
      <paraID>1EE3FADB</paraID>
      <start>37</start>
      <end>40</end>
      <status>unmodified</status>
      <modifiedWord/>
      <trackRevisions>false</trackRevisions>
    </reviewItem>
    <reviewItem>
      <errorID>e5c3f0a0-2429-4449-be56-ab827e797390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2BC4A988</paraID>
      <start>123</start>
      <end>124</end>
      <status>ignored</status>
      <modifiedWord/>
      <trackRevisions>false</trackRevisions>
    </reviewItem>
    <reviewItem>
      <errorID>fefdae99-31b2-4b64-bc37-6b3ba2a2df71</errorID>
      <errorWord>,</errorWord>
      <group>L1_Format</group>
      <groupName>格式问题</groupName>
      <ability>L2_HalfPunc</ability>
      <abilityName>全半角检查</abilityName>
      <candidateList>
        <item>，</item>
      </candidateList>
      <explain>文本全半角错误。</explain>
      <paraID>2BC4A988</paraID>
      <start>150</start>
      <end>151</end>
      <status>unmodified</status>
      <modifiedWord/>
      <trackRevisions>false</trackRevisions>
    </reviewItem>
    <reviewItem>
      <errorID>a50eb5f1-a343-402e-b89a-b8de213e5b37</errorID>
      <errorWord>。，</errorWord>
      <group>L1_Punc</group>
      <groupName>标点问题</groupName>
      <ability>L2_Punc</ability>
      <abilityName>标点符号检查</abilityName>
      <candidateList>
        <item>。</item>
      </candidateList>
      <explain/>
      <paraID>2F8176FA</paraID>
      <start>21</start>
      <end>23</end>
      <status>unmodified</status>
      <modifiedWord/>
      <trackRevisions>false</trackRevisions>
    </reviewItem>
    <reviewItem>
      <errorID>82a5ffe5-d559-4e95-a895-c8d49bb97cfc</errorID>
      <errorWord>慨位发热量</errorWord>
      <group>L1_Knowledge</group>
      <groupName>知识性问题</groupName>
      <ability>L2_Term</ability>
      <abilityName>专业术语</abilityName>
      <candidateList>
        <item>低位发热量</item>
      </candidateList>
      <explain/>
      <paraID>5AF9E45B</paraID>
      <start>0</start>
      <end>5</end>
      <status>modified</status>
      <modifiedWord>低位发热量</modifiedWord>
      <trackRevisions>false</trackRevisions>
    </reviewItem>
    <reviewItem>
      <errorID>fb442fa3-7330-49cb-b64e-814f40be838d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28DD89BC</paraID>
      <start>7</start>
      <end>8</end>
      <status>ignored</status>
      <modifiedWord/>
      <trackRevisions>false</trackRevisions>
    </reviewItem>
    <reviewItem>
      <errorID>ee99d917-e670-4ebe-81bc-f6c3dbe91297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6572F9AA</paraID>
      <start>7</start>
      <end>8</end>
      <status>ignored</status>
      <modifiedWord/>
      <trackRevisions>false</trackRevisions>
    </reviewItem>
    <reviewItem>
      <errorID>6f261731-f63d-4427-a739-fd701341faa0</errorID>
      <errorWord>（</errorWord>
      <group>L1_Format</group>
      <groupName>格式问题</groupName>
      <ability>L2_HalfPunc</ability>
      <abilityName>全半角检查</abilityName>
      <candidateList>
        <item>(</item>
      </candidateList>
      <explain>文本全半角错误。</explain>
      <paraID>4963CE95</paraID>
      <start>3</start>
      <end>4</end>
      <status>unmodified</status>
      <modifiedWord/>
      <trackRevisions>false</trackRevisions>
    </reviewItem>
    <reviewItem>
      <errorID>c0061ed6-fcc8-4cc4-8070-a95a97fcc413</errorID>
      <errorWord>）</errorWord>
      <group>L1_Format</group>
      <groupName>格式问题</groupName>
      <ability>L2_HalfPunc</ability>
      <abilityName>全半角检查</abilityName>
      <candidateList>
        <item>)</item>
      </candidateList>
      <explain>文本全半角错误。</explain>
      <paraID>4963CE95</paraID>
      <start>13</start>
      <end>14</end>
      <status>unmodified</status>
      <modifiedWord/>
      <trackRevisions>false</trackRevisions>
    </reviewItem>
    <reviewItem>
      <errorID>44fbd7ed-7e7b-4ebc-9532-813911d569d5</errorID>
      <errorWord>~</errorWord>
      <group>L1_Format</group>
      <groupName>格式问题</groupName>
      <ability>L2_HalfPunc</ability>
      <abilityName>全半角检查</abilityName>
      <candidateList>
        <item>～</item>
      </candidateList>
      <explain>文本全半角错误。</explain>
      <paraID>65735F82</paraID>
      <start>73</start>
      <end>74</end>
      <status>unmodified</status>
      <modifiedWord/>
      <trackRevisions>false</trackRevisions>
    </reviewItem>
    <reviewItem>
      <errorID>9e2df4a0-749a-4978-98fb-4a7a81252c63</errorID>
      <errorWord>（</errorWord>
      <group>L1_Format</group>
      <groupName>格式问题</groupName>
      <ability>L2_HalfPunc</ability>
      <abilityName>全半角检查</abilityName>
      <candidateList>
        <item>(</item>
      </candidateList>
      <explain>文本全半角错误。</explain>
      <paraID>7BA74C7D</paraID>
      <start>8</start>
      <end>9</end>
      <status>unmodified</status>
      <modifiedWord/>
      <trackRevisions>false</trackRevisions>
    </reviewItem>
    <reviewItem>
      <errorID>d4803673-183f-4368-9a2f-78414128555e</errorID>
      <errorWord>）</errorWord>
      <group>L1_Format</group>
      <groupName>格式问题</groupName>
      <ability>L2_HalfPunc</ability>
      <abilityName>全半角检查</abilityName>
      <candidateList>
        <item>)</item>
      </candidateList>
      <explain>文本全半角错误。</explain>
      <paraID>7BA74C7D</paraID>
      <start>12</start>
      <end>13</end>
      <status>unmodified</status>
      <modifiedWord/>
      <trackRevisions>false</trackRevisions>
    </reviewItem>
    <reviewItem>
      <errorID>bfccc646-b834-49a7-a0bb-8000b976ec57</errorID>
      <errorWord>（</errorWord>
      <group>L1_Format</group>
      <groupName>格式问题</groupName>
      <ability>L2_HalfPunc</ability>
      <abilityName>全半角检查</abilityName>
      <candidateList>
        <item>(</item>
      </candidateList>
      <explain>文本全半角错误。</explain>
      <paraID>7BA74C7D</paraID>
      <start>14</start>
      <end>15</end>
      <status>unmodified</status>
      <modifiedWord/>
      <trackRevisions>false</trackRevisions>
    </reviewItem>
    <reviewItem>
      <errorID>a6016e5b-c6e3-493c-a0c8-41472438d72b</errorID>
      <errorWord>）</errorWord>
      <group>L1_Format</group>
      <groupName>格式问题</groupName>
      <ability>L2_HalfPunc</ability>
      <abilityName>全半角检查</abilityName>
      <candidateList>
        <item>)</item>
      </candidateList>
      <explain>文本全半角错误。</explain>
      <paraID>7BA74C7D</paraID>
      <start>20</start>
      <end>21</end>
      <status>unmodified</status>
      <modifiedWord/>
      <trackRevisions>false</trackRevisions>
    </reviewItem>
    <reviewItem>
      <errorID>5587fac7-ba28-40fd-b322-ff6b4a1f3bd9</errorID>
      <errorWord>（</errorWord>
      <group>L1_Format</group>
      <groupName>格式问题</groupName>
      <ability>L2_HalfPunc</ability>
      <abilityName>全半角检查</abilityName>
      <candidateList>
        <item>(</item>
      </candidateList>
      <explain>文本全半角错误。</explain>
      <paraID>7BA74C7D</paraID>
      <start>26</start>
      <end>27</end>
      <status>unmodified</status>
      <modifiedWord/>
      <trackRevisions>false</trackRevisions>
    </reviewItem>
    <reviewItem>
      <errorID>7df58dc7-be64-49b5-a96c-ce18b9de2273</errorID>
      <errorWord>）</errorWord>
      <group>L1_Format</group>
      <groupName>格式问题</groupName>
      <ability>L2_HalfPunc</ability>
      <abilityName>全半角检查</abilityName>
      <candidateList>
        <item>)</item>
      </candidateList>
      <explain>文本全半角错误。</explain>
      <paraID>7BA74C7D</paraID>
      <start>32</start>
      <end>33</end>
      <status>unmodified</status>
      <modifiedWord/>
      <trackRevisions>false</trackRevisions>
    </reviewItem>
    <reviewItem>
      <errorID>f3ff0a41-73e6-45db-b898-710aab5fef13</errorID>
      <errorWord>，</errorWord>
      <group>L1_Format</group>
      <groupName>格式问题</groupName>
      <ability>L2_HalfPunc</ability>
      <abilityName>全半角检查</abilityName>
      <candidateList>
        <item>,</item>
      </candidateList>
      <explain>文本全半角错误。</explain>
      <paraID>576641C0</paraID>
      <start>11</start>
      <end>12</end>
      <status>unmodified</status>
      <modifiedWord/>
      <trackRevisions>false</trackRevisions>
    </reviewItem>
    <reviewItem>
      <errorID>38fdb7dc-cec9-48b9-9684-ee3e5ba6677f</errorID>
      <errorWord>，</errorWord>
      <group>L1_Format</group>
      <groupName>格式问题</groupName>
      <ability>L2_HalfPunc</ability>
      <abilityName>全半角检查</abilityName>
      <candidateList>
        <item>,</item>
      </candidateList>
      <explain>文本全半角错误。</explain>
      <paraID>22788447</paraID>
      <start>9</start>
      <end>10</end>
      <status>unmodified</status>
      <modifiedWord/>
      <trackRevisions>false</trackRevisions>
    </reviewItem>
    <reviewItem>
      <errorID>4e6f93df-3ef8-44e3-b9f6-24d469433c4f</errorID>
      <errorWord>，</errorWord>
      <group>L1_Format</group>
      <groupName>格式问题</groupName>
      <ability>L2_HalfPunc</ability>
      <abilityName>全半角检查</abilityName>
      <candidateList>
        <item>,</item>
      </candidateList>
      <explain>文本全半角错误。</explain>
      <paraID>2420E338</paraID>
      <start>10</start>
      <end>11</end>
      <status>unmodified</status>
      <modifiedWord/>
      <trackRevisions>false</trackRevisions>
    </reviewItem>
    <reviewItem>
      <errorID>41d1e76b-b20c-4288-8367-923183b28fe7</errorID>
      <errorWord>，</errorWord>
      <group>L1_Format</group>
      <groupName>格式问题</groupName>
      <ability>L2_HalfPunc</ability>
      <abilityName>全半角检查</abilityName>
      <candidateList>
        <item>,</item>
      </candidateList>
      <explain>文本全半角错误。</explain>
      <paraID> 32A13F0</paraID>
      <start>10</start>
      <end>11</end>
      <status>unmodified</status>
      <modifiedWord/>
      <trackRevisions>false</trackRevisions>
    </reviewItem>
    <reviewItem>
      <errorID>d8ffd754-d445-4ee3-adea-c001a12e95ad</errorID>
      <errorWord>，</errorWord>
      <group>L1_Format</group>
      <groupName>格式问题</groupName>
      <ability>L2_HalfPunc</ability>
      <abilityName>全半角检查</abilityName>
      <candidateList>
        <item>,</item>
      </candidateList>
      <explain>文本全半角错误。</explain>
      <paraID>22A82F40</paraID>
      <start>12</start>
      <end>13</end>
      <status>unmodified</status>
      <modifiedWord/>
      <trackRevisions>false</trackRevisions>
    </reviewItem>
    <reviewItem>
      <errorID>ff41c2b5-d971-48a6-9042-3ca10476537c</errorID>
      <errorWord>，</errorWord>
      <group>L1_Format</group>
      <groupName>格式问题</groupName>
      <ability>L2_HalfPunc</ability>
      <abilityName>全半角检查</abilityName>
      <candidateList>
        <item>,</item>
      </candidateList>
      <explain>文本全半角错误。</explain>
      <paraID>37D88AF4</paraID>
      <start>9</start>
      <end>10</end>
      <status>unmodified</status>
      <modifiedWord/>
      <trackRevisions>false</trackRevisions>
    </reviewItem>
    <reviewItem>
      <errorID>fc786aec-ed9d-4ebc-ad3c-76882e5cc1b6</errorID>
      <errorWord>，</errorWord>
      <group>L1_Format</group>
      <groupName>格式问题</groupName>
      <ability>L2_HalfPunc</ability>
      <abilityName>全半角检查</abilityName>
      <candidateList>
        <item>,</item>
      </candidateList>
      <explain>文本全半角错误。</explain>
      <paraID>19F87FA5</paraID>
      <start>11</start>
      <end>12</end>
      <status>unmodified</status>
      <modifiedWord/>
      <trackRevisions>false</trackRevisions>
    </reviewItem>
    <reviewItem>
      <errorID>2632d98a-774d-49b1-8be1-4f704e70464d</errorID>
      <errorWord>，</errorWord>
      <group>L1_Format</group>
      <groupName>格式问题</groupName>
      <ability>L2_HalfPunc</ability>
      <abilityName>全半角检查</abilityName>
      <candidateList>
        <item>,</item>
      </candidateList>
      <explain>文本全半角错误。</explain>
      <paraID>709D3E61</paraID>
      <start>10</start>
      <end>11</end>
      <status>unmodified</status>
      <modifiedWord/>
      <trackRevisions>false</trackRevisions>
    </reviewItem>
    <reviewItem>
      <errorID>28437e61-557c-4584-8ec0-aac0ad94e830</errorID>
      <errorWord>，</errorWord>
      <group>L1_Format</group>
      <groupName>格式问题</groupName>
      <ability>L2_HalfPunc</ability>
      <abilityName>全半角检查</abilityName>
      <candidateList>
        <item>,</item>
      </candidateList>
      <explain>文本全半角错误。</explain>
      <paraID> B8C6A51</paraID>
      <start>9</start>
      <end>10</end>
      <status>unmodified</status>
      <modifiedWord/>
      <trackRevisions>false</trackRevisions>
    </reviewItem>
    <reviewItem>
      <errorID>f02154ff-4a94-4402-8cb6-4684b246c6e8</errorID>
      <errorWord>，</errorWord>
      <group>L1_Format</group>
      <groupName>格式问题</groupName>
      <ability>L2_HalfPunc</ability>
      <abilityName>全半角检查</abilityName>
      <candidateList>
        <item>,</item>
      </candidateList>
      <explain>文本全半角错误。</explain>
      <paraID> 57F3235</paraID>
      <start>9</start>
      <end>10</end>
      <status>unmodified</status>
      <modifiedWord/>
      <trackRevisions>false</trackRevisions>
    </reviewItem>
    <reviewItem>
      <errorID>e2b2b80c-951d-4b6c-b13d-83f450efb91c</errorID>
      <errorWord>，</errorWord>
      <group>L1_Format</group>
      <groupName>格式问题</groupName>
      <ability>L2_HalfPunc</ability>
      <abilityName>全半角检查</abilityName>
      <candidateList>
        <item>,</item>
      </candidateList>
      <explain>文本全半角错误。</explain>
      <paraID>14146D9C</paraID>
      <start>8</start>
      <end>9</end>
      <status>unmodified</status>
      <modifiedWord/>
      <trackRevisions>false</trackRevisions>
    </reviewItem>
    <reviewItem>
      <errorID>f14cf229-6539-4efd-8e30-bc1758277644</errorID>
      <errorWord>，</errorWord>
      <group>L1_Format</group>
      <groupName>格式问题</groupName>
      <ability>L2_HalfPunc</ability>
      <abilityName>全半角检查</abilityName>
      <candidateList>
        <item>,</item>
      </candidateList>
      <explain>文本全半角错误。</explain>
      <paraID>22B1F31B</paraID>
      <start>9</start>
      <end>10</end>
      <status>unmodified</status>
      <modifiedWord/>
      <trackRevisions>false</trackRevisions>
    </reviewItem>
    <reviewItem>
      <errorID>76e51be9-c549-4b82-b3d0-f9b427d59a69</errorID>
      <errorWord>，</errorWord>
      <group>L1_Format</group>
      <groupName>格式问题</groupName>
      <ability>L2_HalfPunc</ability>
      <abilityName>全半角检查</abilityName>
      <candidateList>
        <item>,</item>
      </candidateList>
      <explain>文本全半角错误。</explain>
      <paraID>7119C08D</paraID>
      <start>8</start>
      <end>9</end>
      <status>unmodified</status>
      <modifiedWord/>
      <trackRevisions>false</trackRevisions>
    </reviewItem>
    <reviewItem>
      <errorID>42f8548a-7683-4f6c-9817-470d96da815c</errorID>
      <errorWord>，</errorWord>
      <group>L1_Format</group>
      <groupName>格式问题</groupName>
      <ability>L2_HalfPunc</ability>
      <abilityName>全半角检查</abilityName>
      <candidateList>
        <item>,</item>
      </candidateList>
      <explain>文本全半角错误。</explain>
      <paraID>26E6F70A</paraID>
      <start>10</start>
      <end>11</end>
      <status>unmodified</status>
      <modifiedWord/>
      <trackRevisions>false</trackRevisions>
    </reviewItem>
    <reviewItem>
      <errorID>b8600002-f305-42ae-a4e9-219068374eb6</errorID>
      <errorWord>，</errorWord>
      <group>L1_Format</group>
      <groupName>格式问题</groupName>
      <ability>L2_HalfPunc</ability>
      <abilityName>全半角检查</abilityName>
      <candidateList>
        <item>,</item>
      </candidateList>
      <explain>文本全半角错误。</explain>
      <paraID>293C92D7</paraID>
      <start>11</start>
      <end>12</end>
      <status>unmodified</status>
      <modifiedWord/>
      <trackRevisions>false</trackRevisions>
    </reviewItem>
    <reviewItem>
      <errorID>8d3d30e1-4bca-4f5e-865f-64c5583a11cc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293C92D7</paraID>
      <start>19</start>
      <end>20</end>
      <status>ignored</status>
      <modifiedWord/>
      <trackRevisions>false</trackRevisions>
    </reviewItem>
    <reviewItem>
      <errorID>c914cfeb-e331-44f2-8bfc-e4e3f0af7c0f</errorID>
      <errorWord>，</errorWord>
      <group>L1_Format</group>
      <groupName>格式问题</groupName>
      <ability>L2_HalfPunc</ability>
      <abilityName>全半角检查</abilityName>
      <candidateList>
        <item>,</item>
      </candidateList>
      <explain>文本全半角错误。</explain>
      <paraID>48B0598B</paraID>
      <start>11</start>
      <end>12</end>
      <status>unmodified</status>
      <modifiedWord/>
      <trackRevisions>false</trackRevisions>
    </reviewItem>
    <reviewItem>
      <errorID>f424a78d-b750-44d2-ae8d-94f176ba6b97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48B0598B</paraID>
      <start>19</start>
      <end>20</end>
      <status>ignored</status>
      <modifiedWord/>
      <trackRevisions>false</trackRevisions>
    </reviewItem>
    <reviewItem>
      <errorID>40bbcf7e-3df0-4646-a85f-727d0fa5216a</errorID>
      <errorWord>：</errorWord>
      <group>L1_Format</group>
      <groupName>格式问题</groupName>
      <ability>L2_HalfPunc</ability>
      <abilityName>全半角检查</abilityName>
      <candidateList>
        <item>:</item>
      </candidateList>
      <explain>文本全半角错误。</explain>
      <paraID>2CF710D2</paraID>
      <start>144</start>
      <end>145</end>
      <status>unmodified</status>
      <modifiedWord/>
      <trackRevisions>false</trackRevisions>
    </reviewItem>
    <reviewItem>
      <errorID>0d9f217c-9b07-4051-908e-7b643fc31fe3</errorID>
      <errorWord>（</errorWord>
      <group>L1_Format</group>
      <groupName>格式问题</groupName>
      <ability>L2_HalfPunc</ability>
      <abilityName>全半角检查</abilityName>
      <candidateList>
        <item>(</item>
      </candidateList>
      <explain>文本全半角错误。</explain>
      <paraID>483EE25D</paraID>
      <start>2</start>
      <end>3</end>
      <status>unmodified</status>
      <modifiedWord/>
      <trackRevisions>false</trackRevisions>
    </reviewItem>
    <reviewItem>
      <errorID>6aa76e6d-1989-4c0d-9130-356a54dfcac6</errorID>
      <errorWord>）</errorWord>
      <group>L1_Format</group>
      <groupName>格式问题</groupName>
      <ability>L2_HalfPunc</ability>
      <abilityName>全半角检查</abilityName>
      <candidateList>
        <item>)</item>
      </candidateList>
      <explain>文本全半角错误。</explain>
      <paraID>483EE25D</paraID>
      <start>4</start>
      <end>5</end>
      <status>unmodified</status>
      <modifiedWord/>
      <trackRevisions>false</trackRevisions>
    </reviewItem>
    <reviewItem>
      <errorID>5663c48a-f7a9-4bc7-90dd-5724469058e8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41D333B9</paraID>
      <start>191</start>
      <end>192</end>
      <status>ignored</status>
      <modifiedWord/>
      <trackRevisions>false</trackRevisions>
    </reviewItem>
    <reviewItem>
      <errorID>b70d199f-5147-453e-8d9d-f16f164cff4e</errorID>
      <errorWord>工序回</errorWord>
      <group>L1_Word</group>
      <groupName>字词问题</groupName>
      <ability>L2_Typo</ability>
      <abilityName>字词错误</abilityName>
      <candidateList>
        <item>工序</item>
      </candidateList>
      <explain/>
      <paraID> E40F6B9</paraID>
      <start>34</start>
      <end>37</end>
      <status>unmodified</status>
      <modifiedWord/>
      <trackRevisions>false</trackRevisions>
    </reviewItem>
    <reviewItem>
      <errorID>41b2e7d6-a621-41ee-ae8b-2d82e8391861</errorID>
      <errorWord>（</errorWord>
      <group>L1_Format</group>
      <groupName>格式问题</groupName>
      <ability>L2_HalfPunc</ability>
      <abilityName>全半角检查</abilityName>
      <candidateList>
        <item>(</item>
      </candidateList>
      <explain>文本全半角错误。</explain>
      <paraID>23F957B7</paraID>
      <start>0</start>
      <end>1</end>
      <status>unmodified</status>
      <modifiedWord/>
      <trackRevisions>false</trackRevisions>
    </reviewItem>
    <reviewItem>
      <errorID>30884a19-9dcc-40fc-b4a1-9f59b4854486</errorID>
      <errorWord>）</errorWord>
      <group>L1_Format</group>
      <groupName>格式问题</groupName>
      <ability>L2_HalfPunc</ability>
      <abilityName>全半角检查</abilityName>
      <candidateList>
        <item>)</item>
      </candidateList>
      <explain>文本全半角错误。</explain>
      <paraID>23F957B7</paraID>
      <start>12</start>
      <end>13</end>
      <status>unmodified</status>
      <modifiedWord/>
      <trackRevisions>false</trackRevisions>
    </reviewItem>
    <reviewItem>
      <errorID>c0065a34-15c0-4abb-8d27-c46b61991b9a</errorID>
      <errorWord>（</errorWord>
      <group>L1_Format</group>
      <groupName>格式问题</groupName>
      <ability>L2_HalfPunc</ability>
      <abilityName>全半角检查</abilityName>
      <candidateList>
        <item>(</item>
      </candidateList>
      <explain>文本全半角错误。</explain>
      <paraID>226DC1C2</paraID>
      <start>0</start>
      <end>1</end>
      <status>unmodified</status>
      <modifiedWord/>
      <trackRevisions>false</trackRevisions>
    </reviewItem>
    <reviewItem>
      <errorID>172658b1-48c0-4599-b61c-ab2277afb4fe</errorID>
      <errorWord>）</errorWord>
      <group>L1_Format</group>
      <groupName>格式问题</groupName>
      <ability>L2_HalfPunc</ability>
      <abilityName>全半角检查</abilityName>
      <candidateList>
        <item>)</item>
      </candidateList>
      <explain>文本全半角错误。</explain>
      <paraID>226DC1C2</paraID>
      <start>4</start>
      <end>5</end>
      <status>unmodified</status>
      <modifiedWord/>
      <trackRevisions>false</trackRevisions>
    </reviewItem>
    <reviewItem>
      <errorID>e7f39d33-14a1-4e8f-b246-8dc67a54f01c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1CC21CC7</paraID>
      <start>7</start>
      <end>8</end>
      <status>ignored</status>
      <modifiedWord/>
      <trackRevisions>false</trackRevisions>
    </reviewItem>
    <reviewItem>
      <errorID>af5daee7-847e-4fa9-a701-9def0a823a5a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15771235</paraID>
      <start>7</start>
      <end>8</end>
      <status>ignored</status>
      <modifiedWord/>
      <trackRevisions>false</trackRevisions>
    </reviewItem>
    <reviewItem>
      <errorID>ae471dea-4992-48d0-abfe-2e56b553ed6f</errorID>
      <errorWord>木垒县</errorWord>
      <group>L1_Knowledge</group>
      <groupName>知识性问题</groupName>
      <ability>L2_Location</ability>
      <abilityName>地名检查</abilityName>
      <candidateList>
        <item>木垒哈萨克自治县</item>
      </candidateList>
      <explain>自治区州县缩写不规范。《地名管理条例》第十八条规定，标识牌、公共平台发布的信息、各类公文证件、学习类公开出版物、地图、法律法规规定等场景范围内必须使用标准地名。</explain>
      <paraID>21D569A8</paraID>
      <start>79</start>
      <end>87</end>
      <status>modified</status>
      <modifiedWord>木垒哈萨克自治县</modifiedWord>
      <trackRevisions>false</trackRevisions>
    </reviewItem>
    <reviewItem>
      <errorID>ba928a18-853f-4045-b65a-cc02b308eb06</errorID>
      <errorWord>巴里坤县</errorWord>
      <group>L1_Knowledge</group>
      <groupName>知识性问题</groupName>
      <ability>L2_Location</ability>
      <abilityName>地名检查</abilityName>
      <candidateList>
        <item>巴里坤哈萨克自治县</item>
      </candidateList>
      <explain>自治区州县缩写不规范。《地名管理条例》第十八条规定，标识牌、公共平台发布的信息、各类公文证件、学习类公开出版物、地图、法律法规规定等场景范围内必须使用标准地名。</explain>
      <paraID>21D569A8</paraID>
      <start>126</start>
      <end>135</end>
      <status>modified</status>
      <modifiedWord>巴里坤哈萨克自治县</modifiedWord>
      <trackRevisions>false</trackRevisions>
    </reviewItem>
    <reviewItem>
      <errorID>347bb91f-9ac9-4e5d-a4f9-3b2b4046fe57</errorID>
      <errorWord>"</errorWord>
      <group>L1_Format</group>
      <groupName>格式问题</groupName>
      <ability>L2_HalfPunc</ability>
      <abilityName>全半角检查</abilityName>
      <candidateList/>
      <explain>文本全半角错误。</explain>
      <paraID>58D81535</paraID>
      <start>136</start>
      <end>137</end>
      <status>unmodified</status>
      <modifiedWord/>
      <trackRevisions>false</trackRevisions>
    </reviewItem>
    <reviewItem>
      <errorID>8681cc03-7037-449a-90fa-33bea35060e5</errorID>
      <errorWord>"</errorWord>
      <group>L1_Format</group>
      <groupName>格式问题</groupName>
      <ability>L2_HalfPunc</ability>
      <abilityName>全半角检查</abilityName>
      <candidateList/>
      <explain>文本全半角错误。</explain>
      <paraID>58D81535</paraID>
      <start>151</start>
      <end>152</end>
      <status>unmodified</status>
      <modifiedWord/>
      <trackRevisions>false</trackRevisions>
    </reviewItem>
    <reviewItem>
      <errorID>674140ab-86c9-4248-a9b0-11cfc785aff5</errorID>
      <errorWord>-</errorWord>
      <group>L1_Format</group>
      <groupName>格式问题</groupName>
      <ability>L2_HalfPunc</ability>
      <abilityName>全半角检查</abilityName>
      <candidateList>
        <item>－</item>
      </candidateList>
      <explain>文本全半角错误。</explain>
      <paraID>10BA908C</paraID>
      <start>9</start>
      <end>10</end>
      <status>unmodified</status>
      <modifiedWord/>
      <trackRevisions>false</trackRevisions>
    </reviewItem>
    <reviewItem>
      <errorID>b4d1c2fe-07bb-4176-94f3-1da12b58457c</errorID>
      <errorWord>-</errorWord>
      <group>L1_Format</group>
      <groupName>格式问题</groupName>
      <ability>L2_HalfPunc</ability>
      <abilityName>全半角检查</abilityName>
      <candidateList>
        <item>－</item>
      </candidateList>
      <explain>文本全半角错误。</explain>
      <paraID>2392B027</paraID>
      <start>24</start>
      <end>25</end>
      <status>unmodified</status>
      <modifiedWord/>
      <trackRevisions>false</trackRevisions>
    </reviewItem>
    <reviewItem>
      <errorID>1551ddb0-5baf-4876-ba66-d52902e78056</errorID>
      <errorWord>-</errorWord>
      <group>L1_Format</group>
      <groupName>格式问题</groupName>
      <ability>L2_HalfPunc</ability>
      <abilityName>全半角检查</abilityName>
      <candidateList>
        <item>－</item>
      </candidateList>
      <explain>文本全半角错误。</explain>
      <paraID>26E66C33</paraID>
      <start>35</start>
      <end>36</end>
      <status>unmodified</status>
      <modifiedWord/>
      <trackRevisions>false</trackRevisions>
    </reviewItem>
    <reviewItem>
      <errorID>62bcec87-9368-4a57-8481-803f90263d45</errorID>
      <errorWord>,</errorWord>
      <group>L1_Format</group>
      <groupName>格式问题</groupName>
      <ability>L2_HalfPunc</ability>
      <abilityName>全半角检查</abilityName>
      <candidateList>
        <item>，</item>
      </candidateList>
      <explain>文本全半角错误。</explain>
      <paraID>26E66C33</paraID>
      <start>131</start>
      <end>132</end>
      <status>unmodified</status>
      <modifiedWord/>
      <trackRevisions>false</trackRevisions>
    </reviewItem>
    <reviewItem>
      <errorID>65644112-ed80-4457-96db-8556773b0986</errorID>
      <errorWord>,</errorWord>
      <group>L1_Format</group>
      <groupName>格式问题</groupName>
      <ability>L2_HalfPunc</ability>
      <abilityName>全半角检查</abilityName>
      <candidateList>
        <item>，</item>
      </candidateList>
      <explain>文本全半角错误。</explain>
      <paraID>26E66C33</paraID>
      <start>142</start>
      <end>143</end>
      <status>unmodified</status>
      <modifiedWord/>
      <trackRevisions>false</trackRevisions>
    </reviewItem>
    <reviewItem>
      <errorID>22f33b63-0b5e-44a7-bb13-9f99b754ef4f</errorID>
      <errorWord>,</errorWord>
      <group>L1_Format</group>
      <groupName>格式问题</groupName>
      <ability>L2_HalfPunc</ability>
      <abilityName>全半角检查</abilityName>
      <candidateList>
        <item>，</item>
      </candidateList>
      <explain>文本全半角错误。</explain>
      <paraID> A441DB0</paraID>
      <start>115</start>
      <end>116</end>
      <status>unmodified</status>
      <modifiedWord/>
      <trackRevisions>false</trackRevisions>
    </reviewItem>
    <reviewItem>
      <errorID>2f13ab58-2a1b-45ee-8ff9-71ea30b39b5b</errorID>
      <errorWord>-</errorWord>
      <group>L1_Format</group>
      <groupName>格式问题</groupName>
      <ability>L2_HalfPunc</ability>
      <abilityName>全半角检查</abilityName>
      <candidateList>
        <item>－</item>
      </candidateList>
      <explain>文本全半角错误。</explain>
      <paraID>67D5987C</paraID>
      <start>27</start>
      <end>28</end>
      <status>unmodified</status>
      <modifiedWord/>
      <trackRevisions>false</trackRevisions>
    </reviewItem>
    <reviewItem>
      <errorID>6a34edd8-cb84-49ca-87f2-6b942dd08e6d</errorID>
      <errorWord>-</errorWord>
      <group>L1_Format</group>
      <groupName>格式问题</groupName>
      <ability>L2_HalfPunc</ability>
      <abilityName>全半角检查</abilityName>
      <candidateList>
        <item>－</item>
      </candidateList>
      <explain>文本全半角错误。</explain>
      <paraID>6A95D92E</paraID>
      <start>27</start>
      <end>28</end>
      <status>unmodified</status>
      <modifiedWord/>
      <trackRevisions>false</trackRevisions>
    </reviewItem>
    <reviewItem>
      <errorID>2ed07748-5778-4fc0-8c84-9027c5f5df0a</errorID>
      <errorWord>-</errorWord>
      <group>L1_Format</group>
      <groupName>格式问题</groupName>
      <ability>L2_HalfPunc</ability>
      <abilityName>全半角检查</abilityName>
      <candidateList>
        <item>－</item>
      </candidateList>
      <explain>文本全半角错误。</explain>
      <paraID>612F53C6</paraID>
      <start>90</start>
      <end>91</end>
      <status>unmodified</status>
      <modifiedWord/>
      <trackRevisions>false</trackRevisions>
    </reviewItem>
    <reviewItem>
      <errorID>1e1a0aa4-990c-4b27-b110-767efbdf7652</errorID>
      <errorWord>-</errorWord>
      <group>L1_Format</group>
      <groupName>格式问题</groupName>
      <ability>L2_HalfPunc</ability>
      <abilityName>全半角检查</abilityName>
      <candidateList>
        <item>－</item>
      </candidateList>
      <explain>文本全半角错误。</explain>
      <paraID>4AFF86B2</paraID>
      <start>4</start>
      <end>5</end>
      <status>unmodified</status>
      <modifiedWord/>
      <trackRevisions>false</trackRevisions>
    </reviewItem>
    <reviewItem>
      <errorID>bd8c7a75-ef5b-431b-8396-67b3f9eb14ce</errorID>
      <errorWord>-</errorWord>
      <group>L1_Format</group>
      <groupName>格式问题</groupName>
      <ability>L2_HalfPunc</ability>
      <abilityName>全半角检查</abilityName>
      <candidateList>
        <item>－</item>
      </candidateList>
      <explain>文本全半角错误。</explain>
      <paraID>7F0521B3</paraID>
      <start>1</start>
      <end>2</end>
      <status>unmodified</status>
      <modifiedWord/>
      <trackRevisions>false</trackRevisions>
    </reviewItem>
    <reviewItem>
      <errorID>7647740b-d0fc-48c4-956d-45dcfbec31c6</errorID>
      <errorWord>-</errorWord>
      <group>L1_Format</group>
      <groupName>格式问题</groupName>
      <ability>L2_HalfPunc</ability>
      <abilityName>全半角检查</abilityName>
      <candidateList>
        <item>－</item>
      </candidateList>
      <explain>文本全半角错误。</explain>
      <paraID>7F0521B3</paraID>
      <start>24</start>
      <end>25</end>
      <status>unmodified</status>
      <modifiedWord/>
      <trackRevisions>false</trackRevisions>
    </reviewItem>
    <reviewItem>
      <errorID>e290bdfd-2e07-4e7c-bad3-ac5ab41e01a9</errorID>
      <errorWord>-</errorWord>
      <group>L1_Format</group>
      <groupName>格式问题</groupName>
      <ability>L2_HalfPunc</ability>
      <abilityName>全半角检查</abilityName>
      <candidateList>
        <item>－</item>
      </candidateList>
      <explain>文本全半角错误。</explain>
      <paraID>5E83780F</paraID>
      <start>1</start>
      <end>2</end>
      <status>unmodified</status>
      <modifiedWord/>
      <trackRevisions>false</trackRevisions>
    </reviewItem>
    <reviewItem>
      <errorID>167a3d22-0247-4a7b-b0de-d61269dbb437</errorID>
      <errorWord>-</errorWord>
      <group>L1_Format</group>
      <groupName>格式问题</groupName>
      <ability>L2_HalfPunc</ability>
      <abilityName>全半角检查</abilityName>
      <candidateList>
        <item>－</item>
      </candidateList>
      <explain>文本全半角错误。</explain>
      <paraID>73B350B3</paraID>
      <start>4</start>
      <end>5</end>
      <status>unmodified</status>
      <modifiedWord/>
      <trackRevisions>false</trackRevisions>
    </reviewItem>
    <reviewItem>
      <errorID>149cb116-bb4d-48a8-b908-703cb6914679</errorID>
      <errorWord>-</errorWord>
      <group>L1_Format</group>
      <groupName>格式问题</groupName>
      <ability>L2_HalfPunc</ability>
      <abilityName>全半角检查</abilityName>
      <candidateList>
        <item>－</item>
      </candidateList>
      <explain>文本全半角错误。</explain>
      <paraID> 36F7A88</paraID>
      <start>1</start>
      <end>2</end>
      <status>unmodified</status>
      <modifiedWord/>
      <trackRevisions>false</trackRevisions>
    </reviewItem>
    <reviewItem>
      <errorID>017f8373-77a4-4710-921b-93f0887eeb19</errorID>
      <errorWord>-</errorWord>
      <group>L1_Format</group>
      <groupName>格式问题</groupName>
      <ability>L2_HalfPunc</ability>
      <abilityName>全半角检查</abilityName>
      <candidateList>
        <item>－</item>
      </candidateList>
      <explain>文本全半角错误。</explain>
      <paraID>35BB6CF4</paraID>
      <start>1</start>
      <end>2</end>
      <status>unmodified</status>
      <modifiedWord/>
      <trackRevisions>false</trackRevisions>
    </reviewItem>
    <reviewItem>
      <errorID>ff174c08-9e60-40f8-b0c8-50e69acc6637</errorID>
      <errorWord>二组</errorWord>
      <group>L1_Word</group>
      <groupName>字词问题</groupName>
      <ability>L2_Typo</ability>
      <abilityName>字词错误</abilityName>
      <candidateList>
        <item>两组</item>
      </candidateList>
      <explain/>
      <paraID>5304B6B5</paraID>
      <start>16</start>
      <end>18</end>
      <status>unmodified</status>
      <modifiedWord/>
      <trackRevisions>false</trackRevisions>
    </reviewItem>
    <reviewItem>
      <errorID>31b8b73f-7a48-4cbc-a4b7-702644a53651</errorID>
      <errorWord>-</errorWord>
      <group>L1_Format</group>
      <groupName>格式问题</groupName>
      <ability>L2_HalfPunc</ability>
      <abilityName>全半角检查</abilityName>
      <candidateList>
        <item>－</item>
      </candidateList>
      <explain>文本全半角错误。</explain>
      <paraID> 97F4E5E</paraID>
      <start>53</start>
      <end>54</end>
      <status>unmodified</status>
      <modifiedWord/>
      <trackRevisions>false</trackRevisions>
    </reviewItem>
    <reviewItem>
      <errorID>916f331c-675b-4fb9-aa23-3417975d2f9e</errorID>
      <errorWord>-</errorWord>
      <group>L1_Format</group>
      <groupName>格式问题</groupName>
      <ability>L2_HalfPunc</ability>
      <abilityName>全半角检查</abilityName>
      <candidateList>
        <item>－</item>
      </candidateList>
      <explain>文本全半角错误。</explain>
      <paraID> 97F4E5E</paraID>
      <start>60</start>
      <end>61</end>
      <status>unmodified</status>
      <modifiedWord/>
      <trackRevisions>false</trackRevisions>
    </reviewItem>
    <reviewItem>
      <errorID>4869ca07-74bf-4767-bb8c-653f3b20f893</errorID>
      <errorWord>（</errorWord>
      <group>L1_Format</group>
      <groupName>格式问题</groupName>
      <ability>L2_HalfPunc</ability>
      <abilityName>全半角检查</abilityName>
      <candidateList>
        <item>(</item>
      </candidateList>
      <explain>文本全半角错误。</explain>
      <paraID>79480B65</paraID>
      <start>0</start>
      <end>1</end>
      <status>unmodified</status>
      <modifiedWord/>
      <trackRevisions>false</trackRevisions>
    </reviewItem>
    <reviewItem>
      <errorID>7a8f4bfa-bf64-4f63-b555-536d219039f1</errorID>
      <errorWord>）</errorWord>
      <group>L1_Format</group>
      <groupName>格式问题</groupName>
      <ability>L2_HalfPunc</ability>
      <abilityName>全半角检查</abilityName>
      <candidateList>
        <item>)</item>
      </candidateList>
      <explain>文本全半角错误。</explain>
      <paraID>79480B65</paraID>
      <start>6</start>
      <end>7</end>
      <status>unmodified</status>
      <modifiedWord/>
      <trackRevisions>false</trackRevisions>
    </reviewItem>
    <reviewItem>
      <errorID>8c524db9-3782-49bb-a840-9269106b3dc9</errorID>
      <errorWord>厂</errorWord>
      <group>L1_Word</group>
      <groupName>字词问题</groupName>
      <ability>L2_Typo</ability>
      <abilityName>字词错误</abilityName>
      <candidateList>
        <item>场</item>
      </candidateList>
      <explain/>
      <paraID> 3E94047</paraID>
      <start>5</start>
      <end>6</end>
      <status>ignored</status>
      <modifiedWord/>
      <trackRevisions>false</trackRevisions>
    </reviewItem>
    <reviewItem>
      <errorID>646874a8-893a-4027-88b3-996de621cf65</errorID>
      <errorWord>重碳酸盐</errorWord>
      <group>L1_Knowledge</group>
      <groupName>知识性问题</groupName>
      <ability>L2_Term</ability>
      <abilityName>专业术语</abilityName>
      <candidateList>
        <item>碳酸氢盐</item>
      </candidateList>
      <explain>医学名词[重碳酸盐]为不规范表述或旧称，其规范书面表述为[碳酸氢盐]。</explain>
      <paraID>30BDA174</paraID>
      <start>12</start>
      <end>16</end>
      <status>unmodified</status>
      <modifiedWord/>
      <trackRevisions>false</trackRevisions>
    </reviewItem>
    <reviewItem>
      <errorID>684d9f36-ba0c-47c6-a803-3d2c0e5d6637</errorID>
      <errorWord>重碳酸盐</errorWord>
      <group>L1_Knowledge</group>
      <groupName>知识性问题</groupName>
      <ability>L2_Term</ability>
      <abilityName>专业术语</abilityName>
      <candidateList>
        <item>碳酸氢盐</item>
      </candidateList>
      <explain>医学名词[重碳酸盐]为不规范表述或旧称，其规范书面表述为[碳酸氢盐]。</explain>
      <paraID>73AE5DEC</paraID>
      <start>0</start>
      <end>4</end>
      <status>unmodified</status>
      <modifiedWord/>
      <trackRevisions>false</trackRevisions>
    </reviewItem>
    <reviewItem>
      <errorID>c85cad82-e49b-4752-8522-dfd2a30a6fb6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4AF793F6</paraID>
      <start>72</start>
      <end>73</end>
      <status>unmodified</status>
      <modifiedWord/>
      <trackRevisions>false</trackRevisions>
    </reviewItem>
    <reviewItem>
      <errorID>eef3f4be-b39a-48da-a48e-215b36f5035c</errorID>
      <errorWord>（</errorWord>
      <group>L1_Format</group>
      <groupName>格式问题</groupName>
      <ability>L2_HalfPunc</ability>
      <abilityName>全半角检查</abilityName>
      <candidateList>
        <item>(</item>
      </candidateList>
      <explain>文本全半角错误。</explain>
      <paraID>582742E4</paraID>
      <start>6</start>
      <end>7</end>
      <status>unmodified</status>
      <modifiedWord/>
      <trackRevisions>false</trackRevisions>
    </reviewItem>
    <reviewItem>
      <errorID>cf02917e-d5c4-4aea-af41-94bf068220cd</errorID>
      <errorWord>）</errorWord>
      <group>L1_Format</group>
      <groupName>格式问题</groupName>
      <ability>L2_HalfPunc</ability>
      <abilityName>全半角检查</abilityName>
      <candidateList>
        <item>)</item>
      </candidateList>
      <explain>文本全半角错误。</explain>
      <paraID>582742E4</paraID>
      <start>8</start>
      <end>9</end>
      <status>unmodified</status>
      <modifiedWord/>
      <trackRevisions>false</trackRevisions>
    </reviewItem>
    <reviewItem>
      <errorID>90e84e6a-8d68-4edb-983f-25a84c37d1a7</errorID>
      <errorWord>厂</errorWord>
      <group>L1_Word</group>
      <groupName>字词问题</groupName>
      <ability>L2_Typo</ability>
      <abilityName>字词错误</abilityName>
      <candidateList>
        <item>场</item>
      </candidateList>
      <explain/>
      <paraID>407322DC</paraID>
      <start>2</start>
      <end>3</end>
      <status>ignored</status>
      <modifiedWord/>
      <trackRevisions>false</trackRevisions>
    </reviewItem>
    <reviewItem>
      <errorID>28b42da9-1d9d-4f5e-8298-655596516d24</errorID>
      <errorWord>厂</errorWord>
      <group>L1_Word</group>
      <groupName>字词问题</groupName>
      <ability>L2_Typo</ability>
      <abilityName>字词错误</abilityName>
      <candidateList>
        <item>场</item>
      </candidateList>
      <explain/>
      <paraID>3462891B</paraID>
      <start>2</start>
      <end>3</end>
      <status>ignored</status>
      <modifiedWord/>
      <trackRevisions>false</trackRevisions>
    </reviewItem>
    <reviewItem>
      <errorID>f45972a4-5da6-4e23-a173-5d52af03222d</errorID>
      <errorWord>厂</errorWord>
      <group>L1_Word</group>
      <groupName>字词问题</groupName>
      <ability>L2_Typo</ability>
      <abilityName>字词错误</abilityName>
      <candidateList>
        <item>场</item>
      </candidateList>
      <explain/>
      <paraID>50968DB1</paraID>
      <start>2</start>
      <end>3</end>
      <status>ignored</status>
      <modifiedWord/>
      <trackRevisions>false</trackRevisions>
    </reviewItem>
    <reviewItem>
      <errorID>5b9d8c59-8393-4e2d-b704-f5d9747c41f0</errorID>
      <errorWord>厂</errorWord>
      <group>L1_Word</group>
      <groupName>字词问题</groupName>
      <ability>L2_Typo</ability>
      <abilityName>字词错误</abilityName>
      <candidateList>
        <item>场</item>
      </candidateList>
      <explain/>
      <paraID>27C5D0E7</paraID>
      <start>2</start>
      <end>3</end>
      <status>ignored</status>
      <modifiedWord/>
      <trackRevisions>false</trackRevisions>
    </reviewItem>
    <reviewItem>
      <errorID>a1b2132b-ca4a-4062-be5b-6943f0a5a6b9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7EF62BE7</paraID>
      <start>0</start>
      <end>2</end>
      <status>unmodified</status>
      <modifiedWord/>
      <trackRevisions>false</trackRevisions>
    </reviewItem>
    <reviewItem>
      <errorID>fc8f0eed-755d-4bcd-968d-2f31a041ff2f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340958EE</paraID>
      <start>0</start>
      <end>2</end>
      <status>unmodified</status>
      <modifiedWord/>
      <trackRevisions>false</trackRevisions>
    </reviewItem>
    <reviewItem>
      <errorID>37b8acb8-f434-4e44-8364-145a88a4bad2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5000B8AA</paraID>
      <start>0</start>
      <end>2</end>
      <status>unmodified</status>
      <modifiedWord/>
      <trackRevisions>false</trackRevisions>
    </reviewItem>
    <reviewItem>
      <errorID>0fb149c2-be08-4e67-80a8-b81b506f76ff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3C54CA64</paraID>
      <start>0</start>
      <end>2</end>
      <status>unmodified</status>
      <modifiedWord/>
      <trackRevisions>false</trackRevisions>
    </reviewItem>
    <reviewItem>
      <errorID>c7a69756-02c9-4130-ab55-037ea7d1cdf7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6622DFC2</paraID>
      <start>0</start>
      <end>2</end>
      <status>unmodified</status>
      <modifiedWord/>
      <trackRevisions>false</trackRevisions>
    </reviewItem>
    <reviewItem>
      <errorID>6732e6b7-e6e8-4a30-96f6-184510f3e49a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3F77082D</paraID>
      <start>0</start>
      <end>2</end>
      <status>unmodified</status>
      <modifiedWord/>
      <trackRevisions>false</trackRevisions>
    </reviewItem>
    <reviewItem>
      <errorID>74c3ef38-a536-4a67-8480-e02fa11cb638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1C596EDA</paraID>
      <start>0</start>
      <end>2</end>
      <status>unmodified</status>
      <modifiedWord/>
      <trackRevisions>false</trackRevisions>
    </reviewItem>
    <reviewItem>
      <errorID>22e6de36-39cf-4e28-b167-e65f7874ca02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DD4F806</paraID>
      <start>0</start>
      <end>2</end>
      <status>unmodified</status>
      <modifiedWord/>
      <trackRevisions>false</trackRevisions>
    </reviewItem>
    <reviewItem>
      <errorID>09fce008-3b4d-440a-8f1b-d5b57d9f5158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54DC7562</paraID>
      <start>0</start>
      <end>2</end>
      <status>unmodified</status>
      <modifiedWord/>
      <trackRevisions>false</trackRevisions>
    </reviewItem>
    <reviewItem>
      <errorID>b79c87fe-4a65-4ed8-a14d-810c956d8218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5C9AC4CA</paraID>
      <start>0</start>
      <end>2</end>
      <status>unmodified</status>
      <modifiedWord/>
      <trackRevisions>false</trackRevisions>
    </reviewItem>
    <reviewItem>
      <errorID>6c575e72-274f-4733-927b-e9cf1577f572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F4C68F9</paraID>
      <start>0</start>
      <end>2</end>
      <status>unmodified</status>
      <modifiedWord/>
      <trackRevisions>false</trackRevisions>
    </reviewItem>
    <reviewItem>
      <errorID>df816412-58dd-49b2-98aa-c7d65fd01cab</errorID>
      <errorWord>,</errorWord>
      <group>L1_Format</group>
      <groupName>格式问题</groupName>
      <ability>L2_HalfPunc</ability>
      <abilityName>全半角检查</abilityName>
      <candidateList>
        <item>，</item>
      </candidateList>
      <explain>文本全半角错误。</explain>
      <paraID> AB182DA</paraID>
      <start>1</start>
      <end>2</end>
      <status>unmodified</status>
      <modifiedWord/>
      <trackRevisions>false</trackRevisions>
    </reviewItem>
    <reviewItem>
      <errorID>ec714161-26d3-4cf3-a0f6-95fa8a362bf0</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64206201</paraID>
      <start>6</start>
      <end>13</end>
      <status>ignored</status>
      <modifiedWord/>
      <trackRevisions>false</trackRevisions>
    </reviewItem>
    <reviewItem>
      <errorID>f4ffa14d-3470-454f-bdd0-7f7c4519d1f5</errorID>
      <errorWord>砾幕</errorWord>
      <group>L1_Word</group>
      <groupName>字词问题</groupName>
      <ability>L2_Typo</ability>
      <abilityName>字词错误</abilityName>
      <candidateList>
        <item>林木</item>
      </candidateList>
      <explain/>
      <paraID>79DF8EDE</paraID>
      <start>2</start>
      <end>4</end>
      <status>unmodified</status>
      <modifiedWord/>
      <trackRevisions>false</trackRevisions>
    </reviewItem>
    <reviewItem>
      <errorID>2e86dc8c-2817-4610-a003-658927683c10</errorID>
      <errorWord>（</errorWord>
      <group>L1_Format</group>
      <groupName>格式问题</groupName>
      <ability>L2_HalfPunc</ability>
      <abilityName>全半角检查</abilityName>
      <candidateList>
        <item>(</item>
      </candidateList>
      <explain>文本全半角错误。</explain>
      <paraID>5D9F5D9F</paraID>
      <start>19</start>
      <end>20</end>
      <status>unmodified</status>
      <modifiedWord/>
      <trackRevisions>false</trackRevisions>
    </reviewItem>
    <reviewItem>
      <errorID>295d4e76-673a-4c4f-bf0a-1db2ebb08239</errorID>
      <errorWord>）</errorWord>
      <group>L1_Format</group>
      <groupName>格式问题</groupName>
      <ability>L2_HalfPunc</ability>
      <abilityName>全半角检查</abilityName>
      <candidateList>
        <item>)</item>
      </candidateList>
      <explain>文本全半角错误。</explain>
      <paraID>5D9F5D9F</paraID>
      <start>26</start>
      <end>27</end>
      <status>unmodified</status>
      <modifiedWord/>
      <trackRevisions>false</trackRevisions>
    </reviewItem>
    <reviewItem>
      <errorID>0ef4583b-7305-4511-9b6a-71f56b8c4590</errorID>
      <errorWord>（</errorWord>
      <group>L1_Format</group>
      <groupName>格式问题</groupName>
      <ability>L2_HalfPunc</ability>
      <abilityName>全半角检查</abilityName>
      <candidateList>
        <item>(</item>
      </candidateList>
      <explain>文本全半角错误。</explain>
      <paraID>31F6321E</paraID>
      <start>22</start>
      <end>23</end>
      <status>unmodified</status>
      <modifiedWord/>
      <trackRevisions>false</trackRevisions>
    </reviewItem>
    <reviewItem>
      <errorID>42684d4e-a27c-488b-82a3-35bfa5892794</errorID>
      <errorWord>）</errorWord>
      <group>L1_Format</group>
      <groupName>格式问题</groupName>
      <ability>L2_HalfPunc</ability>
      <abilityName>全半角检查</abilityName>
      <candidateList>
        <item>)</item>
      </candidateList>
      <explain>文本全半角错误。</explain>
      <paraID>31F6321E</paraID>
      <start>31</start>
      <end>32</end>
      <status>unmodified</status>
      <modifiedWord/>
      <trackRevisions>false</trackRevisions>
    </reviewItem>
    <reviewItem>
      <errorID>a3c10a36-bc91-47d9-8a7f-d56150027f98</errorID>
      <errorWord>：</errorWord>
      <group>L1_Format</group>
      <groupName>格式问题</groupName>
      <ability>L2_HalfPunc</ability>
      <abilityName>全半角检查</abilityName>
      <candidateList>
        <item>:</item>
      </candidateList>
      <explain>文本全半角错误。</explain>
      <paraID>2BAC2D12</paraID>
      <start>44</start>
      <end>45</end>
      <status>unmodified</status>
      <modifiedWord/>
      <trackRevisions>false</trackRevisions>
    </reviewItem>
    <reviewItem>
      <errorID>a59d5a32-b85f-4523-b7dd-b0f0f9bf63c7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2BAC2D12</paraID>
      <start>81</start>
      <end>82</end>
      <status>ignored</status>
      <modifiedWord/>
      <trackRevisions>false</trackRevisions>
    </reviewItem>
    <reviewItem>
      <errorID>1a8f2bf5-1f98-4fab-8538-228bebef7f10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2BAC2D12</paraID>
      <start>99</start>
      <end>100</end>
      <status>ignored</status>
      <modifiedWord/>
      <trackRevisions>false</trackRevisions>
    </reviewItem>
    <reviewItem>
      <errorID>91996430-4c3e-4404-8391-d5b3a732950e</errorID>
      <errorWord>15-20%</errorWord>
      <group>L1_Knowledge</group>
      <groupName>知识性问题</groupName>
      <ability>L2_Knowledge</ability>
      <abilityName>其他知识</abilityName>
      <candidateList>
        <item>15%—20%</item>
      </candidateList>
      <explain>1. “15-20%”中的单位“%”仅出现在后一个数字上，容易引起歧义；根据《现代汉语标点符号数字用法规范手册》，数字表示范围两边需要使用统一的格式。2. 根据标点国标 4.13 中的规则，数字、时间或地域连接符应使用（视觉上更长的）“—”或“～”。</explain>
      <paraID>582D0598</paraID>
      <start>87</start>
      <end>93</end>
      <status>unmodified</status>
      <modifiedWord/>
      <trackRevisions>false</trackRevisions>
    </reviewItem>
    <reviewItem>
      <errorID>28c9e912-c317-4807-8309-3824ec4c8fd9</errorID>
      <errorWord>，</errorWord>
      <group>L1_Word</group>
      <groupName>字词问题</groupName>
      <ability>L2_Typo</ability>
      <abilityName>字词错误</abilityName>
      <candidateList>
        <item>，在</item>
      </candidateList>
      <explain/>
      <paraID>3673405C</paraID>
      <start>119</start>
      <end>120</end>
      <status>unmodified</status>
      <modifiedWord/>
      <trackRevisions>false</trackRevisions>
    </reviewItem>
    <reviewItem>
      <errorID>f7fba444-fc6a-4826-8ae5-6e09b2c254ef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4CE277B6</paraID>
      <start>0</start>
      <end>2</end>
      <status>unmodified</status>
      <modifiedWord/>
      <trackRevisions>false</trackRevisions>
    </reviewItem>
    <reviewItem>
      <errorID>57fd71b8-b201-4450-afa1-e85af3ec03a0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4A18F41D</paraID>
      <start>0</start>
      <end>2</end>
      <status>unmodified</status>
      <modifiedWord/>
      <trackRevisions>false</trackRevisions>
    </reviewItem>
    <reviewItem>
      <errorID>fa7807ac-67c5-4026-b5d7-347e1873b7bd</errorID>
      <errorWord>42.6～46.5%</errorWord>
      <group>L1_Knowledge</group>
      <groupName>知识性问题</groupName>
      <ability>L2_Knowledge</ability>
      <abilityName>其他知识</abilityName>
      <candidateList>
        <item>42.6%～46.5%</item>
      </candidateList>
      <explain>1. “42.6～46.5%”中的单位“%”仅出现在后一个数字上，容易引起歧义；根据《现代汉语标点符号数字用法规范手册》，数字表示范围两边需要使用统一的格式。2. 根据标点国标 4.13 中的规则，数字、时间或地域连接符应使用（视觉上更长的）“—”或“～”。</explain>
      <paraID>62D60E5A</paraID>
      <start>108</start>
      <end>118</end>
      <status>unmodified</status>
      <modifiedWord/>
      <trackRevisions>false</trackRevisions>
    </reviewItem>
    <reviewItem>
      <errorID>f665c843-c599-4f87-a573-31801a19b228</errorID>
      <errorWord>27～50.6%</errorWord>
      <group>L1_Knowledge</group>
      <groupName>知识性问题</groupName>
      <ability>L2_Knowledge</ability>
      <abilityName>其他知识</abilityName>
      <candidateList>
        <item>27%～50.6%</item>
      </candidateList>
      <explain>1. “27～50.6%”中的单位“%”仅出现在后一个数字上，容易引起歧义；根据《现代汉语标点符号数字用法规范手册》，数字表示范围两边需要使用统一的格式。2. 根据标点国标 4.13 中的规则，数字、时间或地域连接符应使用（视觉上更长的）“—”或“～”。</explain>
      <paraID>62D60E5A</paraID>
      <start>124</start>
      <end>132</end>
      <status>unmodified</status>
      <modifiedWord/>
      <trackRevisions>false</trackRevisions>
    </reviewItem>
    <reviewItem>
      <errorID>efe563ad-4476-4ab9-90c1-4085ed6cd010</errorID>
      <errorWord>33.3～46.0%</errorWord>
      <group>L1_Knowledge</group>
      <groupName>知识性问题</groupName>
      <ability>L2_Knowledge</ability>
      <abilityName>其他知识</abilityName>
      <candidateList>
        <item>33.3%～46.0%</item>
      </candidateList>
      <explain>1. “33.3～46.0%”中的单位“%”仅出现在后一个数字上，容易引起歧义；根据《现代汉语标点符号数字用法规范手册》，数字表示范围两边需要使用统一的格式。2. 根据标点国标 4.13 中的规则，数字、时间或地域连接符应使用（视觉上更长的）“—”或“～”。</explain>
      <paraID>62D60E5A</paraID>
      <start>136</start>
      <end>146</end>
      <status>unmodified</status>
      <modifiedWord/>
      <trackRevisions>false</trackRevisions>
    </reviewItem>
    <reviewItem>
      <errorID>db03edb1-4abc-4065-833f-2ee7241cfd82</errorID>
      <errorWord>26.3～32.5%</errorWord>
      <group>L1_Knowledge</group>
      <groupName>知识性问题</groupName>
      <ability>L2_Knowledge</ability>
      <abilityName>其他知识</abilityName>
      <candidateList>
        <item>26.3%～32.5%</item>
      </candidateList>
      <explain>1. “26.3～32.5%”中的单位“%”仅出现在后一个数字上，容易引起歧义；根据《现代汉语标点符号数字用法规范手册》，数字表示范围两边需要使用统一的格式。2. 根据标点国标 4.13 中的规则，数字、时间或地域连接符应使用（视觉上更长的）“—”或“～”。</explain>
      <paraID>62D60E5A</paraID>
      <start>150</start>
      <end>160</end>
      <status>unmodified</status>
      <modifiedWord/>
      <trackRevisions>false</trackRevisions>
    </reviewItem>
    <reviewItem>
      <errorID>dc818e4f-1849-494e-8608-7bfdc49695dc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58B952BB</paraID>
      <start>0</start>
      <end>2</end>
      <status>unmodified</status>
      <modifiedWord/>
      <trackRevisions>false</trackRevisions>
    </reviewItem>
    <reviewItem>
      <errorID>0904c106-bcfd-499b-a75b-56d4a4bcaaed</errorID>
      <errorWord>厂</errorWord>
      <group>L1_Word</group>
      <groupName>字词问题</groupName>
      <ability>L2_Typo</ability>
      <abilityName>字词错误</abilityName>
      <candidateList>
        <item>场</item>
      </candidateList>
      <explain/>
      <paraID>51BBECE6</paraID>
      <start>501</start>
      <end>502</end>
      <status>ignored</status>
      <modifiedWord/>
      <trackRevisions>false</trackRevisions>
    </reviewItem>
    <reviewItem>
      <errorID>1de63f7b-cc35-4843-ae15-f2ff3510a49d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584CF515</paraID>
      <start>7</start>
      <end>8</end>
      <status>ignored</status>
      <modifiedWord/>
      <trackRevisions>false</trackRevisions>
    </reviewItem>
    <reviewItem>
      <errorID>9ceade5f-679e-42a1-8225-2cdea78e543c</errorID>
      <errorWord>（</errorWord>
      <group>L1_Format</group>
      <groupName>格式问题</groupName>
      <ability>L2_HalfPunc</ability>
      <abilityName>全半角检查</abilityName>
      <candidateList>
        <item>(</item>
      </candidateList>
      <explain>文本全半角错误。</explain>
      <paraID>47964DA7</paraID>
      <start>0</start>
      <end>1</end>
      <status>unmodified</status>
      <modifiedWord/>
      <trackRevisions>false</trackRevisions>
    </reviewItem>
    <reviewItem>
      <errorID>7fefae67-fdca-4efc-8653-bd39782ce9a0</errorID>
      <errorWord>）</errorWord>
      <group>L1_Format</group>
      <groupName>格式问题</groupName>
      <ability>L2_HalfPunc</ability>
      <abilityName>全半角检查</abilityName>
      <candidateList>
        <item>)</item>
      </candidateList>
      <explain>文本全半角错误。</explain>
      <paraID>47964DA7</paraID>
      <start>4</start>
      <end>5</end>
      <status>unmodified</status>
      <modifiedWord/>
      <trackRevisions>false</trackRevisions>
    </reviewItem>
    <reviewItem>
      <errorID>7324790b-06f3-42f3-8c8e-45b0ac34d2c4</errorID>
      <errorWord>~</errorWord>
      <group>L1_Format</group>
      <groupName>格式问题</groupName>
      <ability>L2_HalfPunc</ability>
      <abilityName>全半角检查</abilityName>
      <candidateList>
        <item>～</item>
      </candidateList>
      <explain>文本全半角错误。</explain>
      <paraID>2868AA62</paraID>
      <start>3</start>
      <end>4</end>
      <status>unmodified</status>
      <modifiedWord/>
      <trackRevisions>false</trackRevisions>
    </reviewItem>
    <reviewItem>
      <errorID>c0918c62-062b-45b9-8ed0-4a154a14047c</errorID>
      <errorWord>（）</errorWord>
      <group>L1_Format</group>
      <groupName>格式问题</groupName>
      <ability>L2_HalfPunc</ability>
      <abilityName>全半角检查</abilityName>
      <candidateList>
        <item>()</item>
      </candidateList>
      <explain>文本全半角错误。</explain>
      <paraID>168D8530</paraID>
      <start>0</start>
      <end>2</end>
      <status>unmodified</status>
      <modifiedWord/>
      <trackRevisions>false</trackRevisions>
    </reviewItem>
    <reviewItem>
      <errorID>c9dfd19b-77f9-4929-bc0c-8e37bd2e4905</errorID>
      <errorWord>（</errorWord>
      <group>L1_Format</group>
      <groupName>格式问题</groupName>
      <ability>L2_HalfPunc</ability>
      <abilityName>全半角检查</abilityName>
      <candidateList>
        <item>(</item>
      </candidateList>
      <explain>文本全半角错误。</explain>
      <paraID>68725E2B</paraID>
      <start>4</start>
      <end>5</end>
      <status>unmodified</status>
      <modifiedWord/>
      <trackRevisions>false</trackRevisions>
    </reviewItem>
    <reviewItem>
      <errorID>ae41fe99-3928-4b2d-91c1-88ba2720a064</errorID>
      <errorWord>）</errorWord>
      <group>L1_Format</group>
      <groupName>格式问题</groupName>
      <ability>L2_HalfPunc</ability>
      <abilityName>全半角检查</abilityName>
      <candidateList>
        <item>)</item>
      </candidateList>
      <explain>文本全半角错误。</explain>
      <paraID>68725E2B</paraID>
      <start>10</start>
      <end>11</end>
      <status>unmodified</status>
      <modifiedWord/>
      <trackRevisions>false</trackRevisions>
    </reviewItem>
    <reviewItem>
      <errorID>e66361a6-0ecd-4c1f-9592-e7af54e613af</errorID>
      <errorWord>（</errorWord>
      <group>L1_Format</group>
      <groupName>格式问题</groupName>
      <ability>L2_HalfPunc</ability>
      <abilityName>全半角检查</abilityName>
      <candidateList>
        <item>(</item>
      </candidateList>
      <explain>文本全半角错误。</explain>
      <paraID>35D28F10</paraID>
      <start>4</start>
      <end>5</end>
      <status>unmodified</status>
      <modifiedWord/>
      <trackRevisions>false</trackRevisions>
    </reviewItem>
    <reviewItem>
      <errorID>cec3d2a6-801e-4473-a89b-e1758637384c</errorID>
      <errorWord>）</errorWord>
      <group>L1_Format</group>
      <groupName>格式问题</groupName>
      <ability>L2_HalfPunc</ability>
      <abilityName>全半角检查</abilityName>
      <candidateList>
        <item>)</item>
      </candidateList>
      <explain>文本全半角错误。</explain>
      <paraID>35D28F10</paraID>
      <start>11</start>
      <end>12</end>
      <status>unmodified</status>
      <modifiedWord/>
      <trackRevisions>false</trackRevisions>
    </reviewItem>
    <reviewItem>
      <errorID>85e71114-8415-4386-b0f0-65d49477ab7a</errorID>
      <errorWord>（/</errorWord>
      <group>L1_Punc</group>
      <groupName>标点问题</groupName>
      <ability>L2_Punc</ability>
      <abilityName>标点符号检查</abilityName>
      <candidateList>
        <item>（</item>
      </candidateList>
      <explain/>
      <paraID>6EBD3A18</paraID>
      <start>5</start>
      <end>7</end>
      <status>unmodified</status>
      <modifiedWord/>
      <trackRevisions>false</trackRevisions>
    </reviewItem>
    <reviewItem>
      <errorID>a9856e44-273b-4d05-8848-9beb73dd7f25</errorID>
      <errorWord>）</errorWord>
      <group>L1_Format</group>
      <groupName>格式问题</groupName>
      <ability>L2_HalfPunc</ability>
      <abilityName>全半角检查</abilityName>
      <candidateList>
        <item>)</item>
      </candidateList>
      <explain>文本全半角错误。</explain>
      <paraID>6EBD3A18</paraID>
      <start>7</start>
      <end>8</end>
      <status>unmodified</status>
      <modifiedWord/>
      <trackRevisions>false</trackRevisions>
    </reviewItem>
    <reviewItem>
      <errorID>d29fb454-6358-48d0-a034-501a4e822b9e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3E1964AA</paraID>
      <start>0</start>
      <end>2</end>
      <status>unmodified</status>
      <modifiedWord/>
      <trackRevisions>false</trackRevisions>
    </reviewItem>
    <reviewItem>
      <errorID>0d8af0d7-5115-46c2-a7db-5b86f00a5f2d</errorID>
      <errorWord>：</errorWord>
      <group>L1_Format</group>
      <groupName>格式问题</groupName>
      <ability>L2_HalfPunc</ability>
      <abilityName>全半角检查</abilityName>
      <candidateList>
        <item>:</item>
      </candidateList>
      <explain>文本全半角错误。</explain>
      <paraID>5161FE78</paraID>
      <start>144</start>
      <end>145</end>
      <status>unmodified</status>
      <modifiedWord/>
      <trackRevisions>false</trackRevisions>
    </reviewItem>
    <reviewItem>
      <errorID>18f54eda-f76f-43e9-a884-ed0b9acc0690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BAF2B68</paraID>
      <start>0</start>
      <end>2</end>
      <status>unmodified</status>
      <modifiedWord/>
      <trackRevisions>false</trackRevisions>
    </reviewItem>
    <reviewItem>
      <errorID>660f0208-e5a5-47df-9bef-a67b2a23c92d</errorID>
      <errorWord>~</errorWord>
      <group>L1_Format</group>
      <groupName>格式问题</groupName>
      <ability>L2_HalfPunc</ability>
      <abilityName>全半角检查</abilityName>
      <candidateList>
        <item>～</item>
      </candidateList>
      <explain>文本全半角错误。</explain>
      <paraID>72F38AB1</paraID>
      <start>109</start>
      <end>110</end>
      <status>unmodified</status>
      <modifiedWord/>
      <trackRevisions>false</trackRevisions>
    </reviewItem>
    <reviewItem>
      <errorID>6bc64821-e18e-47a7-912e-d8fa10cc54f3</errorID>
      <errorWord>~</errorWord>
      <group>L1_Format</group>
      <groupName>格式问题</groupName>
      <ability>L2_HalfPunc</ability>
      <abilityName>全半角检查</abilityName>
      <candidateList>
        <item>～</item>
      </candidateList>
      <explain>文本全半角错误。</explain>
      <paraID>72F38AB1</paraID>
      <start>184</start>
      <end>185</end>
      <status>unmodified</status>
      <modifiedWord/>
      <trackRevisions>false</trackRevisions>
    </reviewItem>
    <reviewItem>
      <errorID>53d8cd20-c51b-480a-8bee-4e9bf81a8d0e</errorID>
      <errorWord>~</errorWord>
      <group>L1_Format</group>
      <groupName>格式问题</groupName>
      <ability>L2_HalfPunc</ability>
      <abilityName>全半角检查</abilityName>
      <candidateList>
        <item>～</item>
      </candidateList>
      <explain>文本全半角错误。</explain>
      <paraID>79B2EB34</paraID>
      <start>95</start>
      <end>96</end>
      <status>unmodified</status>
      <modifiedWord/>
      <trackRevisions>false</trackRevisions>
    </reviewItem>
    <reviewItem>
      <errorID>14620efd-9f6c-4f1d-88c8-3e0f65b0943f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4829B6D6</paraID>
      <start>0</start>
      <end>2</end>
      <status>unmodified</status>
      <modifiedWord/>
      <trackRevisions>false</trackRevisions>
    </reviewItem>
    <reviewItem>
      <errorID>cd5240cc-3f64-4a66-8327-e55df72914e9</errorID>
      <errorWord>（/</errorWord>
      <group>L1_Punc</group>
      <groupName>标点问题</groupName>
      <ability>L2_Punc</ability>
      <abilityName>标点符号检查</abilityName>
      <candidateList>
        <item>（</item>
      </candidateList>
      <explain/>
      <paraID>3EF453BF</paraID>
      <start>66</start>
      <end>68</end>
      <status>unmodified</status>
      <modifiedWord/>
      <trackRevisions>false</trackRevisions>
    </reviewItem>
    <reviewItem>
      <errorID>999d3f97-0589-4e6f-a112-6a75dd2dcffd</errorID>
      <errorWord>；</errorWord>
      <group>L1_Word</group>
      <groupName>字词问题</groupName>
      <ability>L2_Typo</ability>
      <abilityName>字词错误</abilityName>
      <candidateList>
        <item>；有</item>
      </candidateList>
      <explain/>
      <paraID>11B598C4</paraID>
      <start>7</start>
      <end>8</end>
      <status>unmodified</status>
      <modifiedWord/>
      <trackRevisions>false</trackRevisions>
    </reviewItem>
    <reviewItem>
      <errorID>998df949-89c6-410d-8bcb-fed31f418872</errorID>
      <errorWord>（/</errorWord>
      <group>L1_Punc</group>
      <groupName>标点问题</groupName>
      <ability>L2_Punc</ability>
      <abilityName>标点符号检查</abilityName>
      <candidateList>
        <item>（</item>
      </candidateList>
      <explain/>
      <paraID>5E3FA436</paraID>
      <start>0</start>
      <end>2</end>
      <status>unmodified</status>
      <modifiedWord/>
      <trackRevisions>false</trackRevisions>
    </reviewItem>
    <reviewItem>
      <errorID>81b955c6-b256-4d2e-85eb-da590905d322</errorID>
      <errorWord>（/</errorWord>
      <group>L1_Punc</group>
      <groupName>标点问题</groupName>
      <ability>L2_Punc</ability>
      <abilityName>标点符号检查</abilityName>
      <candidateList>
        <item>（</item>
      </candidateList>
      <explain/>
      <paraID>18AD6E61</paraID>
      <start>9</start>
      <end>11</end>
      <status>unmodified</status>
      <modifiedWord/>
      <trackRevisions>false</trackRevisions>
    </reviewItem>
    <reviewItem>
      <errorID>a047be9c-2ccb-4dad-8c73-80fd42b3abca</errorID>
      <errorWord>（/</errorWord>
      <group>L1_Punc</group>
      <groupName>标点问题</groupName>
      <ability>L2_Punc</ability>
      <abilityName>标点符号检查</abilityName>
      <candidateList>
        <item>（</item>
      </candidateList>
      <explain/>
      <paraID>68879596</paraID>
      <start>5</start>
      <end>7</end>
      <status>unmodified</status>
      <modifiedWord/>
      <trackRevisions>false</trackRevisions>
    </reviewItem>
    <reviewItem>
      <errorID>3068b967-d7d7-4847-9fed-53cc79272596</errorID>
      <errorWord>（/</errorWord>
      <group>L1_Punc</group>
      <groupName>标点问题</groupName>
      <ability>L2_Punc</ability>
      <abilityName>标点符号检查</abilityName>
      <candidateList>
        <item>（</item>
      </candidateList>
      <explain/>
      <paraID>219D01F4</paraID>
      <start>0</start>
      <end>2</end>
      <status>unmodified</status>
      <modifiedWord/>
      <trackRevisions>false</trackRevisions>
    </reviewItem>
    <reviewItem>
      <errorID>8dcc6031-5a9f-4894-a855-ab8e210a9f5f</errorID>
      <errorWord>（/</errorWord>
      <group>L1_Punc</group>
      <groupName>标点问题</groupName>
      <ability>L2_Punc</ability>
      <abilityName>标点符号检查</abilityName>
      <candidateList>
        <item>（</item>
      </candidateList>
      <explain/>
      <paraID> 5901972</paraID>
      <start>7</start>
      <end>9</end>
      <status>unmodified</status>
      <modifiedWord/>
      <trackRevisions>false</trackRevisions>
    </reviewItem>
    <reviewItem>
      <errorID>f5e65085-2223-4882-b0fa-34e253024d61</errorID>
      <errorWord>测</errorWord>
      <group>L1_Word</group>
      <groupName>字词问题</groupName>
      <ability>L2_Typo</ability>
      <abilityName>字词错误</abilityName>
      <candidateList>
        <item>的</item>
      </candidateList>
      <explain>“的”常用于连接修饰语与名词性中心语，表示属性、所属或描述。</explain>
      <paraID>638FC956</paraID>
      <start>0</start>
      <end>1</end>
      <status>unmodified</status>
      <modifiedWord/>
      <trackRevisions>false</trackRevisions>
    </reviewItem>
    <reviewItem>
      <errorID>4b2fc429-665d-45ca-b80e-2723ed49f376</errorID>
      <errorWord>（/</errorWord>
      <group>L1_Punc</group>
      <groupName>标点问题</groupName>
      <ability>L2_Punc</ability>
      <abilityName>标点符号检查</abilityName>
      <candidateList>
        <item>（</item>
      </candidateList>
      <explain/>
      <paraID>36E1A588</paraID>
      <start>5</start>
      <end>7</end>
      <status>unmodified</status>
      <modifiedWord/>
      <trackRevisions>false</trackRevisions>
    </reviewItem>
    <reviewItem>
      <errorID>063e2ee6-a2f7-41a6-9c67-28fbe4cf451e</errorID>
      <errorWord>（/</errorWord>
      <group>L1_Punc</group>
      <groupName>标点问题</groupName>
      <ability>L2_Punc</ability>
      <abilityName>标点符号检查</abilityName>
      <candidateList>
        <item>（</item>
      </candidateList>
      <explain/>
      <paraID>36E1A588</paraID>
      <start>24</start>
      <end>26</end>
      <status>unmodified</status>
      <modifiedWord/>
      <trackRevisions>false</trackRevisions>
    </reviewItem>
    <reviewItem>
      <errorID>b060bd2f-cfc0-4713-8479-73740ffc1c56</errorID>
      <errorWord>（/</errorWord>
      <group>L1_Punc</group>
      <groupName>标点问题</groupName>
      <ability>L2_Punc</ability>
      <abilityName>标点符号检查</abilityName>
      <candidateList>
        <item>（</item>
      </candidateList>
      <explain/>
      <paraID>738AAF66</paraID>
      <start>0</start>
      <end>2</end>
      <status>unmodified</status>
      <modifiedWord/>
      <trackRevisions>false</trackRevisions>
    </reviewItem>
    <reviewItem>
      <errorID>61d70c6f-049a-4f01-a009-81953b5459db</errorID>
      <errorWord>（/</errorWord>
      <group>L1_Punc</group>
      <groupName>标点问题</groupName>
      <ability>L2_Punc</ability>
      <abilityName>标点符号检查</abilityName>
      <candidateList>
        <item>（</item>
      </candidateList>
      <explain/>
      <paraID>4F0B2675</paraID>
      <start>0</start>
      <end>2</end>
      <status>unmodified</status>
      <modifiedWord/>
      <trackRevisions>false</trackRevisions>
    </reviewItem>
    <reviewItem>
      <errorID>02ce018f-9a24-444b-82d3-6b30c4047659</errorID>
      <errorWord>（/</errorWord>
      <group>L1_Punc</group>
      <groupName>标点问题</groupName>
      <ability>L2_Punc</ability>
      <abilityName>标点符号检查</abilityName>
      <candidateList>
        <item>（</item>
      </candidateList>
      <explain/>
      <paraID>22F94A4E</paraID>
      <start>0</start>
      <end>2</end>
      <status>unmodified</status>
      <modifiedWord/>
      <trackRevisions>false</trackRevisions>
    </reviewItem>
    <reviewItem>
      <errorID>4e132cc9-4a5a-4c85-a5f8-40d8234a6a00</errorID>
      <errorWord>（/</errorWord>
      <group>L1_Punc</group>
      <groupName>标点问题</groupName>
      <ability>L2_Punc</ability>
      <abilityName>标点符号检查</abilityName>
      <candidateList>
        <item>（</item>
      </candidateList>
      <explain/>
      <paraID>2B5E4FA5</paraID>
      <start>0</start>
      <end>2</end>
      <status>unmodified</status>
      <modifiedWord/>
      <trackRevisions>false</trackRevisions>
    </reviewItem>
    <reviewItem>
      <errorID>d73f63b2-40b3-4350-9aa1-0cb2e29aa62f</errorID>
      <errorWord>（/</errorWord>
      <group>L1_Punc</group>
      <groupName>标点问题</groupName>
      <ability>L2_Punc</ability>
      <abilityName>标点符号检查</abilityName>
      <candidateList>
        <item>（</item>
      </candidateList>
      <explain/>
      <paraID>766789E2</paraID>
      <start>0</start>
      <end>2</end>
      <status>unmodified</status>
      <modifiedWord/>
      <trackRevisions>false</trackRevisions>
    </reviewItem>
    <reviewItem>
      <errorID>075050ae-a7e4-4037-a3dc-67a7f292418f</errorID>
      <errorWord>（/</errorWord>
      <group>L1_Punc</group>
      <groupName>标点问题</groupName>
      <ability>L2_Punc</ability>
      <abilityName>标点符号检查</abilityName>
      <candidateList>
        <item>（</item>
      </candidateList>
      <explain/>
      <paraID>7D059124</paraID>
      <start>0</start>
      <end>2</end>
      <status>unmodified</status>
      <modifiedWord/>
      <trackRevisions>false</trackRevisions>
    </reviewItem>
    <reviewItem>
      <errorID>d507c709-4794-4a65-8704-2551ec3ddaa6</errorID>
      <errorWord>（/</errorWord>
      <group>L1_Punc</group>
      <groupName>标点问题</groupName>
      <ability>L2_Punc</ability>
      <abilityName>标点符号检查</abilityName>
      <candidateList>
        <item>（</item>
      </candidateList>
      <explain/>
      <paraID>722EB947</paraID>
      <start>0</start>
      <end>2</end>
      <status>unmodified</status>
      <modifiedWord/>
      <trackRevisions>false</trackRevisions>
    </reviewItem>
    <reviewItem>
      <errorID>6976f35a-58e6-4201-867b-1851ae1a6141</errorID>
      <errorWord>（/</errorWord>
      <group>L1_Punc</group>
      <groupName>标点问题</groupName>
      <ability>L2_Punc</ability>
      <abilityName>标点符号检查</abilityName>
      <candidateList>
        <item>（</item>
      </candidateList>
      <explain/>
      <paraID>75B4803A</paraID>
      <start>0</start>
      <end>2</end>
      <status>unmodified</status>
      <modifiedWord/>
      <trackRevisions>false</trackRevisions>
    </reviewItem>
    <reviewItem>
      <errorID>7333ae83-95f1-4381-9ecd-39e820ed13b8</errorID>
      <errorWord>（/</errorWord>
      <group>L1_Punc</group>
      <groupName>标点问题</groupName>
      <ability>L2_Punc</ability>
      <abilityName>标点符号检查</abilityName>
      <candidateList>
        <item>（</item>
      </candidateList>
      <explain/>
      <paraID>3102D733</paraID>
      <start>0</start>
      <end>2</end>
      <status>unmodified</status>
      <modifiedWord/>
      <trackRevisions>false</trackRevisions>
    </reviewItem>
    <reviewItem>
      <errorID>6a6c10c9-4d5b-4e0b-a880-6bbaecbae713</errorID>
      <errorWord>（/</errorWord>
      <group>L1_Punc</group>
      <groupName>标点问题</groupName>
      <ability>L2_Punc</ability>
      <abilityName>标点符号检查</abilityName>
      <candidateList>
        <item>（</item>
      </candidateList>
      <explain/>
      <paraID>72CD7F05</paraID>
      <start>0</start>
      <end>2</end>
      <status>unmodified</status>
      <modifiedWord/>
      <trackRevisions>false</trackRevisions>
    </reviewItem>
    <reviewItem>
      <errorID>d3d19755-19a4-4d2a-9981-7008748748fa</errorID>
      <errorWord>（/</errorWord>
      <group>L1_Punc</group>
      <groupName>标点问题</groupName>
      <ability>L2_Punc</ability>
      <abilityName>标点符号检查</abilityName>
      <candidateList>
        <item>（</item>
      </candidateList>
      <explain/>
      <paraID> 2996401</paraID>
      <start>0</start>
      <end>2</end>
      <status>unmodified</status>
      <modifiedWord/>
      <trackRevisions>false</trackRevisions>
    </reviewItem>
    <reviewItem>
      <errorID>9cf09b97-b44d-407a-8700-41052f14d810</errorID>
      <errorWord>（/</errorWord>
      <group>L1_Punc</group>
      <groupName>标点问题</groupName>
      <ability>L2_Punc</ability>
      <abilityName>标点符号检查</abilityName>
      <candidateList>
        <item>（</item>
      </candidateList>
      <explain/>
      <paraID>18355B6E</paraID>
      <start>0</start>
      <end>2</end>
      <status>unmodified</status>
      <modifiedWord/>
      <trackRevisions>false</trackRevisions>
    </reviewItem>
    <reviewItem>
      <errorID>c8ad474d-edbe-490c-a176-a9c311bbe09b</errorID>
      <errorWord>（/</errorWord>
      <group>L1_Punc</group>
      <groupName>标点问题</groupName>
      <ability>L2_Punc</ability>
      <abilityName>标点符号检查</abilityName>
      <candidateList>
        <item>（</item>
      </candidateList>
      <explain/>
      <paraID>38689CB3</paraID>
      <start>0</start>
      <end>2</end>
      <status>unmodified</status>
      <modifiedWord/>
      <trackRevisions>false</trackRevisions>
    </reviewItem>
    <reviewItem>
      <errorID>7c88e488-ac57-482f-a75d-a8acd093fbbf</errorID>
      <errorWord>-</errorWord>
      <group>L1_Format</group>
      <groupName>格式问题</groupName>
      <ability>L2_HalfPunc</ability>
      <abilityName>全半角检查</abilityName>
      <candidateList>
        <item>－</item>
      </candidateList>
      <explain>文本全半角错误。</explain>
      <paraID>362773A5</paraID>
      <start>35</start>
      <end>36</end>
      <status>unmodified</status>
      <modifiedWord/>
      <trackRevisions>false</trackRevisions>
    </reviewItem>
    <reviewItem>
      <errorID>27136004-35cd-4e3d-bd77-7960bca32632</errorID>
      <errorWord>,</errorWord>
      <group>L1_Format</group>
      <groupName>格式问题</groupName>
      <ability>L2_HalfPunc</ability>
      <abilityName>全半角检查</abilityName>
      <candidateList>
        <item>，</item>
      </candidateList>
      <explain>文本全半角错误。</explain>
      <paraID>362773A5</paraID>
      <start>131</start>
      <end>132</end>
      <status>unmodified</status>
      <modifiedWord/>
      <trackRevisions>false</trackRevisions>
    </reviewItem>
    <reviewItem>
      <errorID>fc0ebe7f-9829-4eb6-bd1d-f7babc87ecf4</errorID>
      <errorWord>,</errorWord>
      <group>L1_Format</group>
      <groupName>格式问题</groupName>
      <ability>L2_HalfPunc</ability>
      <abilityName>全半角检查</abilityName>
      <candidateList>
        <item>，</item>
      </candidateList>
      <explain>文本全半角错误。</explain>
      <paraID>362773A5</paraID>
      <start>142</start>
      <end>143</end>
      <status>unmodified</status>
      <modifiedWord/>
      <trackRevisions>false</trackRevisions>
    </reviewItem>
    <reviewItem>
      <errorID>a3e3a422-a455-4d10-9046-2a99e1a9f34d</errorID>
      <errorWord>,</errorWord>
      <group>L1_Format</group>
      <groupName>格式问题</groupName>
      <ability>L2_HalfPunc</ability>
      <abilityName>全半角检查</abilityName>
      <candidateList>
        <item>，</item>
      </candidateList>
      <explain>文本全半角错误。</explain>
      <paraID>212FEB5E</paraID>
      <start>115</start>
      <end>116</end>
      <status>unmodified</status>
      <modifiedWord/>
      <trackRevisions>false</trackRevisions>
    </reviewItem>
    <reviewItem>
      <errorID>9deda2c2-e244-40dd-8a9c-e3f044336277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67C0346</paraID>
      <start>0</start>
      <end>2</end>
      <status>unmodified</status>
      <modifiedWord/>
      <trackRevisions>false</trackRevisions>
    </reviewItem>
    <reviewItem>
      <errorID>9d3ea355-66d8-4074-b96d-bf2448cf6bf4</errorID>
      <errorWord>：</errorWord>
      <group>L1_Format</group>
      <groupName>格式问题</groupName>
      <ability>L2_HalfPunc</ability>
      <abilityName>全半角检查</abilityName>
      <candidateList>
        <item>:</item>
      </candidateList>
      <explain>文本全半角错误。</explain>
      <paraID> 60563DD</paraID>
      <start>144</start>
      <end>145</end>
      <status>unmodified</status>
      <modifiedWord/>
      <trackRevisions>false</trackRevisions>
    </reviewItem>
    <reviewItem>
      <errorID>ed65bf26-27c0-4c27-9456-b0063d5e8709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3FF72BA4</paraID>
      <start>0</start>
      <end>2</end>
      <status>unmodified</status>
      <modifiedWord/>
      <trackRevisions>false</trackRevisions>
    </reviewItem>
    <reviewItem>
      <errorID>4c885406-1376-4f26-bbfb-ab15ed0d2339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7D9565EF</paraID>
      <start>38</start>
      <end>39</end>
      <status>ignored</status>
      <modifiedWord/>
      <trackRevisions>false</trackRevisions>
    </reviewItem>
    <reviewItem>
      <errorID>ddb65cc5-1162-4b24-8c20-812a1b92f8e8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4381B325</paraID>
      <start>0</start>
      <end>2</end>
      <status>unmodified</status>
      <modifiedWord/>
      <trackRevisions>false</trackRevisions>
    </reviewItem>
    <reviewItem>
      <errorID>7d065f29-9800-4894-bf8b-6568093d2f13</errorID>
      <errorWord>（</errorWord>
      <group>L1_Format</group>
      <groupName>格式问题</groupName>
      <ability>L2_HalfPunc</ability>
      <abilityName>全半角检查</abilityName>
      <candidateList>
        <item>(</item>
      </candidateList>
      <explain>文本全半角错误。</explain>
      <paraID>152395E9</paraID>
      <start>0</start>
      <end>1</end>
      <status>unmodified</status>
      <modifiedWord/>
      <trackRevisions>false</trackRevisions>
    </reviewItem>
    <reviewItem>
      <errorID>69e24a04-4d07-4d95-8f7b-e1e1c8eca97f</errorID>
      <errorWord>）</errorWord>
      <group>L1_Format</group>
      <groupName>格式问题</groupName>
      <ability>L2_HalfPunc</ability>
      <abilityName>全半角检查</abilityName>
      <candidateList>
        <item>)</item>
      </candidateList>
      <explain>文本全半角错误。</explain>
      <paraID>152395E9</paraID>
      <start>5</start>
      <end>6</end>
      <status>unmodified</status>
      <modifiedWord/>
      <trackRevisions>false</trackRevisions>
    </reviewItem>
    <reviewItem>
      <errorID>7e9ac8dc-9922-4a8c-9ec3-1b1de8132414</errorID>
      <errorWord>（</errorWord>
      <group>L1_Format</group>
      <groupName>格式问题</groupName>
      <ability>L2_HalfPunc</ability>
      <abilityName>全半角检查</abilityName>
      <candidateList>
        <item>(</item>
      </candidateList>
      <explain>文本全半角错误。</explain>
      <paraID>71CEEC22</paraID>
      <start>0</start>
      <end>1</end>
      <status>unmodified</status>
      <modifiedWord/>
      <trackRevisions>false</trackRevisions>
    </reviewItem>
    <reviewItem>
      <errorID>9797b5ab-352a-46ea-96b9-a46cb6783a78</errorID>
      <errorWord>）</errorWord>
      <group>L1_Format</group>
      <groupName>格式问题</groupName>
      <ability>L2_HalfPunc</ability>
      <abilityName>全半角检查</abilityName>
      <candidateList>
        <item>)</item>
      </candidateList>
      <explain>文本全半角错误。</explain>
      <paraID>71CEEC22</paraID>
      <start>5</start>
      <end>6</end>
      <status>unmodified</status>
      <modifiedWord/>
      <trackRevisions>false</trackRevisions>
    </reviewItem>
    <reviewItem>
      <errorID>13a38ddb-9543-41cb-859d-1318415b3ae6</errorID>
      <errorWord>（</errorWord>
      <group>L1_Format</group>
      <groupName>格式问题</groupName>
      <ability>L2_HalfPunc</ability>
      <abilityName>全半角检查</abilityName>
      <candidateList>
        <item>(</item>
      </candidateList>
      <explain>文本全半角错误。</explain>
      <paraID>3ED6B412</paraID>
      <start>0</start>
      <end>1</end>
      <status>unmodified</status>
      <modifiedWord/>
      <trackRevisions>false</trackRevisions>
    </reviewItem>
    <reviewItem>
      <errorID>2199b18f-a460-4529-b856-968166735073</errorID>
      <errorWord>）</errorWord>
      <group>L1_Format</group>
      <groupName>格式问题</groupName>
      <ability>L2_HalfPunc</ability>
      <abilityName>全半角检查</abilityName>
      <candidateList>
        <item>)</item>
      </candidateList>
      <explain>文本全半角错误。</explain>
      <paraID>3ED6B412</paraID>
      <start>5</start>
      <end>6</end>
      <status>unmodified</status>
      <modifiedWord/>
      <trackRevisions>false</trackRevisions>
    </reviewItem>
    <reviewItem>
      <errorID>c38f8243-e7f1-4f33-8b44-0f51f48e1fcf</errorID>
      <errorWord>~</errorWord>
      <group>L1_Format</group>
      <groupName>格式问题</groupName>
      <ability>L2_HalfPunc</ability>
      <abilityName>全半角检查</abilityName>
      <candidateList>
        <item>～</item>
      </candidateList>
      <explain>文本全半角错误。</explain>
      <paraID>63BF4BC0</paraID>
      <start>71</start>
      <end>72</end>
      <status>unmodified</status>
      <modifiedWord/>
      <trackRevisions>false</trackRevisions>
    </reviewItem>
    <reviewItem>
      <errorID>866909b1-71f1-46d7-9c1d-3bc7356fb878</errorID>
      <errorWord>，</errorWord>
      <group>L1_Format</group>
      <groupName>格式问题</groupName>
      <ability>L2_HalfPunc</ability>
      <abilityName>全半角检查</abilityName>
      <candidateList>
        <item>,</item>
      </candidateList>
      <explain>文本全半角错误。</explain>
      <paraID>3BD5113A</paraID>
      <start>31</start>
      <end>32</end>
      <status>unmodified</status>
      <modifiedWord/>
      <trackRevisions>false</trackRevisions>
    </reviewItem>
    <reviewItem>
      <errorID>5c35c1a3-c598-45a3-85be-add1b5e57505</errorID>
      <errorWord>（</errorWord>
      <group>L1_Format</group>
      <groupName>格式问题</groupName>
      <ability>L2_HalfPunc</ability>
      <abilityName>全半角检查</abilityName>
      <candidateList>
        <item>(</item>
      </candidateList>
      <explain>文本全半角错误。</explain>
      <paraID>4E4A21F0</paraID>
      <start>2</start>
      <end>3</end>
      <status>unmodified</status>
      <modifiedWord/>
      <trackRevisions>false</trackRevisions>
    </reviewItem>
    <reviewItem>
      <errorID>47147793-1c41-4bb7-85c8-5427d0908419</errorID>
      <errorWord>）</errorWord>
      <group>L1_Format</group>
      <groupName>格式问题</groupName>
      <ability>L2_HalfPunc</ability>
      <abilityName>全半角检查</abilityName>
      <candidateList>
        <item>)</item>
      </candidateList>
      <explain>文本全半角错误。</explain>
      <paraID>4E4A21F0</paraID>
      <start>7</start>
      <end>8</end>
      <status>unmodified</status>
      <modifiedWord/>
      <trackRevisions>false</trackRevisions>
    </reviewItem>
    <reviewItem>
      <errorID>1a03b0ff-09b1-443d-aa95-57c7c9322580</errorID>
      <errorWord>（</errorWord>
      <group>L1_Format</group>
      <groupName>格式问题</groupName>
      <ability>L2_HalfPunc</ability>
      <abilityName>全半角检查</abilityName>
      <candidateList>
        <item>(</item>
      </candidateList>
      <explain>文本全半角错误。</explain>
      <paraID>6BB6BBB8</paraID>
      <start>1</start>
      <end>2</end>
      <status>unmodified</status>
      <modifiedWord/>
      <trackRevisions>false</trackRevisions>
    </reviewItem>
    <reviewItem>
      <errorID>b882f3e7-806e-4716-ac9d-80cc4c3750bb</errorID>
      <errorWord>）</errorWord>
      <group>L1_Format</group>
      <groupName>格式问题</groupName>
      <ability>L2_HalfPunc</ability>
      <abilityName>全半角检查</abilityName>
      <candidateList>
        <item>)</item>
      </candidateList>
      <explain>文本全半角错误。</explain>
      <paraID>6BB6BBB8</paraID>
      <start>5</start>
      <end>6</end>
      <status>unmodified</status>
      <modifiedWord/>
      <trackRevisions>false</trackRevisions>
    </reviewItem>
    <reviewItem>
      <errorID>679465be-6b37-4b9e-b6e3-aae9b761e456</errorID>
      <errorWord>（</errorWord>
      <group>L1_Format</group>
      <groupName>格式问题</groupName>
      <ability>L2_HalfPunc</ability>
      <abilityName>全半角检查</abilityName>
      <candidateList>
        <item>(</item>
      </candidateList>
      <explain>文本全半角错误。</explain>
      <paraID>2AC91A8C</paraID>
      <start>2</start>
      <end>3</end>
      <status>unmodified</status>
      <modifiedWord/>
      <trackRevisions>false</trackRevisions>
    </reviewItem>
    <reviewItem>
      <errorID>01646186-63fb-44fd-9eb1-e7d1b8c5c8dd</errorID>
      <errorWord>）</errorWord>
      <group>L1_Format</group>
      <groupName>格式问题</groupName>
      <ability>L2_HalfPunc</ability>
      <abilityName>全半角检查</abilityName>
      <candidateList>
        <item>)</item>
      </candidateList>
      <explain>文本全半角错误。</explain>
      <paraID>2AC91A8C</paraID>
      <start>7</start>
      <end>8</end>
      <status>unmodified</status>
      <modifiedWord/>
      <trackRevisions>false</trackRevisions>
    </reviewItem>
    <reviewItem>
      <errorID>98ee6756-5675-4e5a-bf20-187b193f0942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37F3DB36</paraID>
      <start>74</start>
      <end>75</end>
      <status>ignored</status>
      <modifiedWord/>
      <trackRevisions>false</trackRevisions>
    </reviewItem>
    <reviewItem>
      <errorID>2050005f-ddbe-4b76-a2aa-865ebbb2433d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37F3DB36</paraID>
      <start>115</start>
      <end>116</end>
      <status>ignored</status>
      <modifiedWord/>
      <trackRevisions>false</trackRevisions>
    </reviewItem>
    <reviewItem>
      <errorID>492d5994-68f0-4ee5-bf13-4c70b3ec98d3</errorID>
      <errorWord>程</errorWord>
      <group>L1_Word</group>
      <groupName>字词问题</groupName>
      <ability>L2_Typo</ability>
      <abilityName>字词错误</abilityName>
      <candidateList>
        <item>程中</item>
      </candidateList>
      <explain/>
      <paraID>1200AE8F</paraID>
      <start>34</start>
      <end>35</end>
      <status>unmodified</status>
      <modifiedWord/>
      <trackRevisions>false</trackRevisions>
    </reviewItem>
    <reviewItem>
      <errorID>7e3cbd3a-45a4-48a8-9eca-5b99d174122f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767D23AF</paraID>
      <start>0</start>
      <end>2</end>
      <status>unmodified</status>
      <modifiedWord/>
      <trackRevisions>false</trackRevisions>
    </reviewItem>
    <reviewItem>
      <errorID>40653eaa-907c-4f74-ace3-dd54034679e2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5A99D22F</paraID>
      <start>0</start>
      <end>2</end>
      <status>unmodified</status>
      <modifiedWord/>
      <trackRevisions>false</trackRevisions>
    </reviewItem>
    <reviewItem>
      <errorID>b754f6bc-9337-442e-81cf-e4aa90886f70</errorID>
      <errorWord>（</errorWord>
      <group>L1_Format</group>
      <groupName>格式问题</groupName>
      <ability>L2_HalfPunc</ability>
      <abilityName>全半角检查</abilityName>
      <candidateList>
        <item>(</item>
      </candidateList>
      <explain>文本全半角错误。</explain>
      <paraID>36F24B6E</paraID>
      <start>2</start>
      <end>3</end>
      <status>unmodified</status>
      <modifiedWord/>
      <trackRevisions>false</trackRevisions>
    </reviewItem>
    <reviewItem>
      <errorID>24e9ab1c-875a-48ad-8128-d46f3948a589</errorID>
      <errorWord>）</errorWord>
      <group>L1_Format</group>
      <groupName>格式问题</groupName>
      <ability>L2_HalfPunc</ability>
      <abilityName>全半角检查</abilityName>
      <candidateList>
        <item>)</item>
      </candidateList>
      <explain>文本全半角错误。</explain>
      <paraID>36F24B6E</paraID>
      <start>4</start>
      <end>5</end>
      <status>unmodified</status>
      <modifiedWord/>
      <trackRevisions>false</trackRevisions>
    </reviewItem>
    <reviewItem>
      <errorID>bedbd611-3fd0-4c80-8694-658fb3a0b4a5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4B819319</paraID>
      <start>0</start>
      <end>2</end>
      <status>unmodified</status>
      <modifiedWord/>
      <trackRevisions>false</trackRevisions>
    </reviewItem>
    <reviewItem>
      <errorID>71311677-749a-452a-af5f-12c9fc421f24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3828C1EC</paraID>
      <start>0</start>
      <end>2</end>
      <status>unmodified</status>
      <modifiedWord/>
      <trackRevisions>false</trackRevisions>
    </reviewItem>
    <reviewItem>
      <errorID>8563a893-a555-4e77-a25f-75b4c193671f</errorID>
      <errorWord>场</errorWord>
      <group>L1_Word</group>
      <groupName>字词问题</groupName>
      <ability>L2_Typo</ability>
      <abilityName>字词错误</abilityName>
      <candidateList>
        <item>厂</item>
      </candidateList>
      <explain/>
      <paraID>70819066</paraID>
      <start>87</start>
      <end>88</end>
      <status>unmodified</status>
      <modifiedWord/>
      <trackRevisions>false</trackRevisions>
    </reviewItem>
    <reviewItem>
      <errorID>f757bef5-91a9-4850-80c3-54877e626c75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10CD2E8C</paraID>
      <start>0</start>
      <end>2</end>
      <status>unmodified</status>
      <modifiedWord/>
      <trackRevisions>false</trackRevisions>
    </reviewItem>
    <reviewItem>
      <errorID>bbb02943-529b-4ce5-b200-f2f743c11607</errorID>
      <errorWord>（/</errorWord>
      <group>L1_Punc</group>
      <groupName>标点问题</groupName>
      <ability>L2_Punc</ability>
      <abilityName>标点符号检查</abilityName>
      <candidateList>
        <item>（</item>
      </candidateList>
      <explain/>
      <paraID>484FE99B</paraID>
      <start>5</start>
      <end>7</end>
      <status>unmodified</status>
      <modifiedWord/>
      <trackRevisions>false</trackRevisions>
    </reviewItem>
    <reviewItem>
      <errorID>59a54a5e-079b-4f1f-8490-17929a8c14c6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7326520</paraID>
      <start>191</start>
      <end>192</end>
      <status>ignored</status>
      <modifiedWord/>
      <trackRevisions>false</trackRevisions>
    </reviewItem>
    <reviewItem>
      <errorID>5b2d8875-0bf6-408e-8cb5-146e68f65887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22D9E1B3</paraID>
      <start>41</start>
      <end>42</end>
      <status>ignored</status>
      <modifiedWord/>
      <trackRevisions>false</trackRevisions>
    </reviewItem>
    <reviewItem>
      <errorID>2e42d6b8-739d-4476-ba30-15990192924b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22D9E1B3</paraID>
      <start>92</start>
      <end>93</end>
      <status>ignored</status>
      <modifiedWord/>
      <trackRevisions>false</trackRevisions>
    </reviewItem>
    <reviewItem>
      <errorID>d4ca27a3-2cd5-4067-a804-c64b867fdef3</errorID>
      <errorWord>厂</errorWord>
      <group>L1_Word</group>
      <groupName>字词问题</groupName>
      <ability>L2_Typo</ability>
      <abilityName>字词错误</abilityName>
      <candidateList>
        <item>场</item>
      </candidateList>
      <explain/>
      <paraID>79475DFD</paraID>
      <start>43</start>
      <end>44</end>
      <status>ignored</status>
      <modifiedWord/>
      <trackRevisions>false</trackRevisions>
    </reviewItem>
    <reviewItem>
      <errorID>87c48c15-5c4b-43dc-8a18-8d711fe7b477</errorID>
      <errorWord>因子为</errorWord>
      <group>L1_Word</group>
      <groupName>字词问题</groupName>
      <ability>L2_Typo</ability>
      <abilityName>字词错误</abilityName>
      <candidateList>
        <item>因子</item>
      </candidateList>
      <explain/>
      <paraID>79475DFD</paraID>
      <start>66</start>
      <end>69</end>
      <status>unmodified</status>
      <modifiedWord/>
      <trackRevisions>false</trackRevisions>
    </reviewItem>
    <reviewItem>
      <errorID>cb9528f4-39ab-43eb-a6e3-8310625078d9</errorID>
      <errorWord>（</errorWord>
      <group>L1_Format</group>
      <groupName>格式问题</groupName>
      <ability>L2_HalfPunc</ability>
      <abilityName>全半角检查</abilityName>
      <candidateList>
        <item>(</item>
      </candidateList>
      <explain>文本全半角错误。</explain>
      <paraID>57D50DC1</paraID>
      <start>0</start>
      <end>1</end>
      <status>unmodified</status>
      <modifiedWord/>
      <trackRevisions>false</trackRevisions>
    </reviewItem>
    <reviewItem>
      <errorID>4912b43b-efa7-4eff-93d7-fef8a3a4bc5b</errorID>
      <errorWord>）</errorWord>
      <group>L1_Format</group>
      <groupName>格式问题</groupName>
      <ability>L2_HalfPunc</ability>
      <abilityName>全半角检查</abilityName>
      <candidateList>
        <item>)</item>
      </candidateList>
      <explain>文本全半角错误。</explain>
      <paraID>57D50DC1</paraID>
      <start>6</start>
      <end>7</end>
      <status>unmodified</status>
      <modifiedWord/>
      <trackRevisions>false</trackRevisions>
    </reviewItem>
    <reviewItem>
      <errorID>235a56d7-f200-47a5-9625-cd7369e7e197</errorID>
      <errorWord>）</errorWord>
      <group>L1_Format</group>
      <groupName>格式问题</groupName>
      <ability>L2_HalfPunc</ability>
      <abilityName>全半角检查</abilityName>
      <candidateList>
        <item>)</item>
      </candidateList>
      <explain>文本全半角错误。</explain>
      <paraID>1E2F2E72</paraID>
      <start>1</start>
      <end>2</end>
      <status>unmodified</status>
      <modifiedWord/>
      <trackRevisions>false</trackRevisions>
    </reviewItem>
    <reviewItem>
      <errorID>12ebceb2-8505-4aa6-88d8-c6a1ec1feb50</errorID>
      <errorWord>；</errorWord>
      <group>L1_Format</group>
      <groupName>格式问题</groupName>
      <ability>L2_HalfPunc</ability>
      <abilityName>全半角检查</abilityName>
      <candidateList>
        <item>; </item>
      </candidateList>
      <explain>文本全半角错误。</explain>
      <paraID>1E2F2E72</paraID>
      <start>3</start>
      <end>4</end>
      <status>unmodified</status>
      <modifiedWord/>
      <trackRevisions>false</trackRevisions>
    </reviewItem>
    <reviewItem>
      <errorID>fdaed907-399a-4180-9b1e-8e92a5e20b79</errorID>
      <errorWord>）</errorWord>
      <group>L1_Format</group>
      <groupName>格式问题</groupName>
      <ability>L2_HalfPunc</ability>
      <abilityName>全半角检查</abilityName>
      <candidateList>
        <item>)</item>
      </candidateList>
      <explain>文本全半角错误。</explain>
      <paraID>1E2F2E72</paraID>
      <start>5</start>
      <end>6</end>
      <status>unmodified</status>
      <modifiedWord/>
      <trackRevisions>false</trackRevisions>
    </reviewItem>
    <reviewItem>
      <errorID>123a8d92-b090-4644-97fe-20aaaffceddc</errorID>
      <errorWord>；</errorWord>
      <group>L1_Format</group>
      <groupName>格式问题</groupName>
      <ability>L2_HalfPunc</ability>
      <abilityName>全半角检查</abilityName>
      <candidateList>
        <item>; </item>
      </candidateList>
      <explain>文本全半角错误。</explain>
      <paraID>1E2F2E72</paraID>
      <start>7</start>
      <end>8</end>
      <status>unmodified</status>
      <modifiedWord/>
      <trackRevisions>false</trackRevisions>
    </reviewItem>
    <reviewItem>
      <errorID>67402923-55c5-41a6-a634-2d296caa1cd7</errorID>
      <errorWord>）</errorWord>
      <group>L1_Format</group>
      <groupName>格式问题</groupName>
      <ability>L2_HalfPunc</ability>
      <abilityName>全半角检查</abilityName>
      <candidateList>
        <item>)</item>
      </candidateList>
      <explain>文本全半角错误。</explain>
      <paraID>1E2F2E72</paraID>
      <start>9</start>
      <end>10</end>
      <status>unmodified</status>
      <modifiedWord/>
      <trackRevisions>false</trackRevisions>
    </reviewItem>
    <reviewItem>
      <errorID>5f8662a6-3774-46cc-b754-3bc1a5d9b7e4</errorID>
      <errorWord>；</errorWord>
      <group>L1_Format</group>
      <groupName>格式问题</groupName>
      <ability>L2_HalfPunc</ability>
      <abilityName>全半角检查</abilityName>
      <candidateList>
        <item>; </item>
      </candidateList>
      <explain>文本全半角错误。</explain>
      <paraID>1E2F2E72</paraID>
      <start>11</start>
      <end>12</end>
      <status>unmodified</status>
      <modifiedWord/>
      <trackRevisions>false</trackRevisions>
    </reviewItem>
    <reviewItem>
      <errorID>02c49c41-e155-4c72-bfef-37b1b5108347</errorID>
      <errorWord>）</errorWord>
      <group>L1_Format</group>
      <groupName>格式问题</groupName>
      <ability>L2_HalfPunc</ability>
      <abilityName>全半角检查</abilityName>
      <candidateList>
        <item>)</item>
      </candidateList>
      <explain>文本全半角错误。</explain>
      <paraID>1E2F2E72</paraID>
      <start>13</start>
      <end>14</end>
      <status>unmodified</status>
      <modifiedWord/>
      <trackRevisions>false</trackRevisions>
    </reviewItem>
    <reviewItem>
      <errorID>d108d735-f7f4-4373-8bf0-b83bb98c7da2</errorID>
      <errorWord>测</errorWord>
      <group>L1_Word</group>
      <groupName>字词问题</groupName>
      <ability>L2_Typo</ability>
      <abilityName>字词错误</abilityName>
      <candidateList>
        <item>的</item>
      </candidateList>
      <explain>“的”常用于连接修饰语与名词性中心语，表示属性、所属或描述。</explain>
      <paraID>5CC98917</paraID>
      <start>0</start>
      <end>1</end>
      <status>unmodified</status>
      <modifiedWord/>
      <trackRevisions>false</trackRevisions>
    </reviewItem>
    <reviewItem>
      <errorID>a3718be4-e24f-421b-a330-56602f7d7779</errorID>
      <errorWord>（</errorWord>
      <group>L1_Format</group>
      <groupName>格式问题</groupName>
      <ability>L2_HalfPunc</ability>
      <abilityName>全半角检查</abilityName>
      <candidateList>
        <item>(</item>
      </candidateList>
      <explain>文本全半角错误。</explain>
      <paraID>4945CDE2</paraID>
      <start>0</start>
      <end>1</end>
      <status>unmodified</status>
      <modifiedWord/>
      <trackRevisions>false</trackRevisions>
    </reviewItem>
    <reviewItem>
      <errorID>45b262c1-cef2-4b3b-8a42-d235fcc8f194</errorID>
      <errorWord>）</errorWord>
      <group>L1_Format</group>
      <groupName>格式问题</groupName>
      <ability>L2_HalfPunc</ability>
      <abilityName>全半角检查</abilityName>
      <candidateList>
        <item>)</item>
      </candidateList>
      <explain>文本全半角错误。</explain>
      <paraID>4945CDE2</paraID>
      <start>4</start>
      <end>5</end>
      <status>unmodified</status>
      <modifiedWord/>
      <trackRevisions>false</trackRevisions>
    </reviewItem>
    <reviewItem>
      <errorID>201a164d-d256-4629-a0b1-fe1547be3455</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36F0A258</paraID>
      <start>122</start>
      <end>129</end>
      <status>ignored</status>
      <modifiedWord/>
      <trackRevisions>false</trackRevisions>
    </reviewItem>
    <reviewItem>
      <errorID>1ba33bfd-d298-49c9-92e2-7a7f5203b5aa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54CF93A7</paraID>
      <start>0</start>
      <end>2</end>
      <status>unmodified</status>
      <modifiedWord/>
      <trackRevisions>false</trackRevisions>
    </reviewItem>
    <reviewItem>
      <errorID>84ffb9f0-a1ba-4ccf-a485-829a781b7b18</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21088E8E</paraID>
      <start>49</start>
      <end>50</end>
      <status>unmodified</status>
      <modifiedWord/>
      <trackRevisions>false</trackRevisions>
    </reviewItem>
    <reviewItem>
      <errorID>2f097cc1-4ccc-4edb-a540-cf177cc0a691</errorID>
      <errorWord>厂</errorWord>
      <group>L1_Word</group>
      <groupName>字词问题</groupName>
      <ability>L2_Typo</ability>
      <abilityName>字词错误</abilityName>
      <candidateList>
        <item>场</item>
      </candidateList>
      <explain/>
      <paraID>36F1D677</paraID>
      <start>5</start>
      <end>6</end>
      <status>ignored</status>
      <modifiedWord/>
      <trackRevisions>false</trackRevisions>
    </reviewItem>
    <reviewItem>
      <errorID>feb6f393-c0e4-4839-841e-a1bdd2dbe2b5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71E1609F</paraID>
      <start>0</start>
      <end>2</end>
      <status>unmodified</status>
      <modifiedWord/>
      <trackRevisions>false</trackRevisions>
    </reviewItem>
    <reviewItem>
      <errorID>b4f3dc13-9056-4158-bb5f-f06408a25541</errorID>
      <errorWord>厂</errorWord>
      <group>L1_Word</group>
      <groupName>字词问题</groupName>
      <ability>L2_Typo</ability>
      <abilityName>字词错误</abilityName>
      <candidateList>
        <item>场</item>
      </candidateList>
      <explain/>
      <paraID>7A029E6A</paraID>
      <start>52</start>
      <end>53</end>
      <status>ignored</status>
      <modifiedWord/>
      <trackRevisions>false</trackRevisions>
    </reviewItem>
    <reviewItem>
      <errorID>3edfd450-e90a-4988-ae00-be1d253ac3b5</errorID>
      <errorWord>、…</errorWord>
      <group>L1_Punc</group>
      <groupName>标点问题</groupName>
      <ability>L2_Punc</ability>
      <abilityName>标点符号检查</abilityName>
      <candidateList>
        <item>、</item>
      </candidateList>
      <explain/>
      <paraID> C781BDF</paraID>
      <start>8</start>
      <end>10</end>
      <status>unmodified</status>
      <modifiedWord/>
      <trackRevisions>false</trackRevisions>
    </reviewItem>
    <reviewItem>
      <errorID>d0e5f9b2-ab5e-4927-92f7-bc7ad5c4c3cc</errorID>
      <errorWord>、…</errorWord>
      <group>L1_Punc</group>
      <groupName>标点问题</groupName>
      <ability>L2_Punc</ability>
      <abilityName>标点符号检查</abilityName>
      <candidateList>
        <item>、</item>
      </candidateList>
      <explain/>
      <paraID>1397F91F</paraID>
      <start>5</start>
      <end>7</end>
      <status>unmodified</status>
      <modifiedWord/>
      <trackRevisions>false</trackRevisions>
    </reviewItem>
    <reviewItem>
      <errorID>4e06d82c-0f38-41b4-80e8-e36209d11da0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1CC7F68B</paraID>
      <start>0</start>
      <end>2</end>
      <status>unmodified</status>
      <modifiedWord/>
      <trackRevisions>false</trackRevisions>
    </reviewItem>
    <reviewItem>
      <errorID>e34b813c-f781-4ec0-ba7e-ddae1ff8ae81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1E382093</paraID>
      <start>0</start>
      <end>2</end>
      <status>unmodified</status>
      <modifiedWord/>
      <trackRevisions>false</trackRevisions>
    </reviewItem>
    <reviewItem>
      <errorID>bb3ca671-27c7-4e67-a6ad-38cdf75eab96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405B07A7</paraID>
      <start>0</start>
      <end>2</end>
      <status>unmodified</status>
      <modifiedWord/>
      <trackRevisions>false</trackRevisions>
    </reviewItem>
    <reviewItem>
      <errorID>95da3b96-0e24-4ebb-8313-c2765ff02434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6001321E</paraID>
      <start>0</start>
      <end>2</end>
      <status>unmodified</status>
      <modifiedWord/>
      <trackRevisions>false</trackRevisions>
    </reviewItem>
    <reviewItem>
      <errorID>4675be5d-2161-4c3a-ba3c-023af16d26dd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277DE4C9</paraID>
      <start>0</start>
      <end>2</end>
      <status>unmodified</status>
      <modifiedWord/>
      <trackRevisions>false</trackRevisions>
    </reviewItem>
    <reviewItem>
      <errorID>3d2080a9-1b5c-45ce-a4b2-bd44981be06c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741FC76A</paraID>
      <start>0</start>
      <end>2</end>
      <status>unmodified</status>
      <modifiedWord/>
      <trackRevisions>false</trackRevisions>
    </reviewItem>
    <reviewItem>
      <errorID>de674d36-6611-411c-b797-fc33e4ebd7b3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6163C033</paraID>
      <start>0</start>
      <end>2</end>
      <status>unmodified</status>
      <modifiedWord/>
      <trackRevisions>false</trackRevisions>
    </reviewItem>
    <reviewItem>
      <errorID>37c33fea-8d99-4555-913a-bd91b3956886</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7D04C0B2</paraID>
      <start>0</start>
      <end>2</end>
      <status>unmodified</status>
      <modifiedWord/>
      <trackRevisions>false</trackRevisions>
    </reviewItem>
    <reviewItem>
      <errorID>e9955500-42e3-4acb-9ec2-9a8cb35654c5</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2C7009EA</paraID>
      <start>0</start>
      <end>2</end>
      <status>unmodified</status>
      <modifiedWord/>
      <trackRevisions>false</trackRevisions>
    </reviewItem>
    <reviewItem>
      <errorID>30e8560e-fbe1-456e-b794-d0d546ca2f96</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76D8995</paraID>
      <start>0</start>
      <end>3</end>
      <status>unmodified</status>
      <modifiedWord/>
      <trackRevisions>false</trackRevisions>
    </reviewItem>
    <reviewItem>
      <errorID>64e297ea-40a9-42d2-8d30-87f13ee4a5f0</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622716FF</paraID>
      <start>0</start>
      <end>3</end>
      <status>unmodified</status>
      <modifiedWord/>
      <trackRevisions>false</trackRevisions>
    </reviewItem>
    <reviewItem>
      <errorID>974542d4-7f20-424b-abcf-e65ac7cab933</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16133F86</paraID>
      <start>0</start>
      <end>3</end>
      <status>unmodified</status>
      <modifiedWord/>
      <trackRevisions>false</trackRevisions>
    </reviewItem>
    <reviewItem>
      <errorID>3a4e8e31-bd38-4151-a154-93f35f8f59e0</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1FB0D94A</paraID>
      <start>0</start>
      <end>3</end>
      <status>unmodified</status>
      <modifiedWord/>
      <trackRevisions>false</trackRevisions>
    </reviewItem>
    <reviewItem>
      <errorID>2abe6ca0-501d-4cea-8865-c7e7d16500b7</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677703A3</paraID>
      <start>0</start>
      <end>3</end>
      <status>unmodified</status>
      <modifiedWord/>
      <trackRevisions>false</trackRevisions>
    </reviewItem>
    <reviewItem>
      <errorID>832789c3-93a9-4958-ba36-871e07a11b85</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3F9D6371</paraID>
      <start>0</start>
      <end>3</end>
      <status>unmodified</status>
      <modifiedWord/>
      <trackRevisions>false</trackRevisions>
    </reviewItem>
    <reviewItem>
      <errorID>fc675304-62b9-42f8-a909-3f458a443c33</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6D5D182A</paraID>
      <start>0</start>
      <end>3</end>
      <status>unmodified</status>
      <modifiedWord/>
      <trackRevisions>false</trackRevisions>
    </reviewItem>
    <reviewItem>
      <errorID>21c9ebe6-7551-42f4-8b94-776ca36cb0f3</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519CE281</paraID>
      <start>0</start>
      <end>3</end>
      <status>unmodified</status>
      <modifiedWord/>
      <trackRevisions>false</trackRevisions>
    </reviewItem>
    <reviewItem>
      <errorID>5a592c5e-ea41-4449-88c8-6ad098a9147e</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3DA9A115</paraID>
      <start>0</start>
      <end>3</end>
      <status>unmodified</status>
      <modifiedWord/>
      <trackRevisions>false</trackRevisions>
    </reviewItem>
    <reviewItem>
      <errorID>f74f8d2e-3b7b-410b-a9d2-034b074ff9c9</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1FD7E840</paraID>
      <start>0</start>
      <end>3</end>
      <status>unmodified</status>
      <modifiedWord/>
      <trackRevisions>false</trackRevisions>
    </reviewItem>
    <reviewItem>
      <errorID>29185bac-e44a-4758-a750-66ac6560cacb</errorID>
      <errorWord>20、</errorWord>
      <group>L1_Format</group>
      <groupName>格式问题</groupName>
      <ability>L2_Ordinal</ability>
      <abilityName>序号格式</abilityName>
      <candidateList>
        <item>20.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CF50540</paraID>
      <start>0</start>
      <end>3</end>
      <status>unmodified</status>
      <modifiedWord/>
      <trackRevisions>false</trackRevisions>
    </reviewItem>
    <reviewItem>
      <errorID>612fa482-8885-442f-a3ec-6d45bce474e4</errorID>
      <errorWord>21、</errorWord>
      <group>L1_Format</group>
      <groupName>格式问题</groupName>
      <ability>L2_Ordinal</ability>
      <abilityName>序号格式</abilityName>
      <candidateList>
        <item>21.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52A4B2E9</paraID>
      <start>0</start>
      <end>3</end>
      <status>unmodified</status>
      <modifiedWord/>
      <trackRevisions>false</trackRevisions>
    </reviewItem>
    <reviewItem>
      <errorID>32674bd5-e630-4dab-a1c3-4de45172d16b</errorID>
      <errorWord>22、</errorWord>
      <group>L1_Format</group>
      <groupName>格式问题</groupName>
      <ability>L2_Ordinal</ability>
      <abilityName>序号格式</abilityName>
      <candidateList>
        <item>22.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66CF45A6</paraID>
      <start>0</start>
      <end>3</end>
      <status>unmodified</status>
      <modifiedWord/>
      <trackRevisions>false</trackRevisions>
    </reviewItem>
    <reviewItem>
      <errorID>2286754e-005e-422e-b0d7-1b26dd421dcf</errorID>
      <errorWord>23、</errorWord>
      <group>L1_Format</group>
      <groupName>格式问题</groupName>
      <ability>L2_Ordinal</ability>
      <abilityName>序号格式</abilityName>
      <candidateList>
        <item>23.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1FD57FD</paraID>
      <start>0</start>
      <end>3</end>
      <status>unmodified</status>
      <modifiedWord/>
      <trackRevisions>false</trackRevisions>
    </reviewItem>
    <reviewItem>
      <errorID>b22c62b4-4b99-4fac-a97a-0bbbab1fe4f6</errorID>
      <errorWord>24、</errorWord>
      <group>L1_Format</group>
      <groupName>格式问题</groupName>
      <ability>L2_Ordinal</ability>
      <abilityName>序号格式</abilityName>
      <candidateList>
        <item>24.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2A83C704</paraID>
      <start>0</start>
      <end>3</end>
      <status>unmodified</status>
      <modifiedWord/>
      <trackRevisions>false</trackRevisions>
    </reviewItem>
    <reviewItem>
      <errorID>711f58c9-0629-4175-994a-b692e9e0d14b</errorID>
      <errorWord>25、</errorWord>
      <group>L1_Format</group>
      <groupName>格式问题</groupName>
      <ability>L2_Ordinal</ability>
      <abilityName>序号格式</abilityName>
      <candidateList>
        <item>25.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4613C613</paraID>
      <start>0</start>
      <end>3</end>
      <status>unmodified</status>
      <modifiedWord/>
      <trackRevisions>false</trackRevisions>
    </reviewItem>
    <reviewItem>
      <errorID>cd7b40bc-38c6-4906-a955-c7933cecf0c2</errorID>
      <errorWord>26、</errorWord>
      <group>L1_Format</group>
      <groupName>格式问题</groupName>
      <ability>L2_Ordinal</ability>
      <abilityName>序号格式</abilityName>
      <candidateList>
        <item>26.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A88DE23</paraID>
      <start>0</start>
      <end>3</end>
      <status>unmodified</status>
      <modifiedWord/>
      <trackRevisions>false</trackRevisions>
    </reviewItem>
    <reviewItem>
      <errorID>3b963ef6-dbed-4782-80e8-57eace372772</errorID>
      <errorWord>27、</errorWord>
      <group>L1_Format</group>
      <groupName>格式问题</groupName>
      <ability>L2_Ordinal</ability>
      <abilityName>序号格式</abilityName>
      <candidateList>
        <item>27.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186B9301</paraID>
      <start>0</start>
      <end>3</end>
      <status>unmodified</status>
      <modifiedWord/>
      <trackRevisions>false</trackRevisions>
    </reviewItem>
    <reviewItem>
      <errorID>ce6ba053-8515-4086-bc41-3cf5a840f51b</errorID>
      <errorWord>28、</errorWord>
      <group>L1_Format</group>
      <groupName>格式问题</groupName>
      <ability>L2_Ordinal</ability>
      <abilityName>序号格式</abilityName>
      <candidateList>
        <item>28.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513B7595</paraID>
      <start>0</start>
      <end>3</end>
      <status>unmodified</status>
      <modifiedWord/>
      <trackRevisions>false</trackRevisions>
    </reviewItem>
    <reviewItem>
      <errorID>71953ca9-6173-4ed8-8651-cd90dac167c0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513B7595</paraID>
      <start>16</start>
      <end>19</end>
      <status>unmodified</status>
      <modifiedWord/>
      <trackRevisions>false</trackRevisions>
    </reviewItem>
    <reviewItem>
      <errorID>803205e5-58e8-4556-93bc-f5f210267783</errorID>
      <errorWord>29、</errorWord>
      <group>L1_Format</group>
      <groupName>格式问题</groupName>
      <ability>L2_Ordinal</ability>
      <abilityName>序号格式</abilityName>
      <candidateList>
        <item>29.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E7C787B</paraID>
      <start>0</start>
      <end>3</end>
      <status>unmodified</status>
      <modifiedWord/>
      <trackRevisions>false</trackRevisions>
    </reviewItem>
    <reviewItem>
      <errorID>1406cae6-18e1-4257-96f3-83ff711e0338</errorID>
      <errorWord>30、</errorWord>
      <group>L1_Format</group>
      <groupName>格式问题</groupName>
      <ability>L2_Ordinal</ability>
      <abilityName>序号格式</abilityName>
      <candidateList>
        <item>30.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2E6DE82C</paraID>
      <start>0</start>
      <end>3</end>
      <status>unmodified</status>
      <modifiedWord/>
      <trackRevisions>false</trackRevisions>
    </reviewItem>
    <reviewItem>
      <errorID>cdd2d957-7546-49f2-a37d-02cf9bd1ea80</errorID>
      <errorWord>、</errorWord>
      <group>L1_Punc</group>
      <groupName>标点问题</groupName>
      <ability>L2_Punc</ability>
      <abilityName>标点符号检查</abilityName>
      <candidateList>
        <item>.</item>
      </candidateList>
      <explain/>
      <paraID>43763057</paraID>
      <start>1</start>
      <end>2</end>
      <status>unmodified</status>
      <modifiedWord/>
      <trackRevisions>false</trackRevisions>
    </reviewItem>
    <reviewItem>
      <errorID>f33a3099-4073-45b2-9ff3-7ce523263420</errorID>
      <errorWord>、</errorWord>
      <group>L1_Punc</group>
      <groupName>标点问题</groupName>
      <ability>L2_Punc</ability>
      <abilityName>标点符号检查</abilityName>
      <candidateList>
        <item>.</item>
      </candidateList>
      <explain/>
      <paraID>2567CA62</paraID>
      <start>1</start>
      <end>2</end>
      <status>unmodified</status>
      <modifiedWord/>
      <trackRevisions>false</trackRevisions>
    </reviewItem>
    <reviewItem>
      <errorID>623e9302-6e4d-4a5e-9774-80cad8c13396</errorID>
      <errorWord>、</errorWord>
      <group>L1_Punc</group>
      <groupName>标点问题</groupName>
      <ability>L2_Punc</ability>
      <abilityName>标点符号检查</abilityName>
      <candidateList>
        <item>.</item>
      </candidateList>
      <explain/>
      <paraID>3D7FC35D</paraID>
      <start>1</start>
      <end>2</end>
      <status>unmodified</status>
      <modifiedWord/>
      <trackRevisions>false</trackRevisions>
    </reviewItem>
    <reviewItem>
      <errorID>61c96b43-1c5f-4a3f-8f5d-046282b60bee</errorID>
      <errorWord>、</errorWord>
      <group>L1_Punc</group>
      <groupName>标点问题</groupName>
      <ability>L2_Punc</ability>
      <abilityName>标点符号检查</abilityName>
      <candidateList>
        <item>.</item>
      </candidateList>
      <explain/>
      <paraID> 8761280</paraID>
      <start>1</start>
      <end>2</end>
      <status>unmodified</status>
      <modifiedWord/>
      <trackRevisions>false</trackRevisions>
    </reviewItem>
    <reviewItem>
      <errorID>672064a9-129e-450c-85fc-8a808d1ef5fd</errorID>
      <errorWord>~</errorWord>
      <group>L1_Format</group>
      <groupName>格式问题</groupName>
      <ability>L2_HalfPunc</ability>
      <abilityName>全半角检查</abilityName>
      <candidateList>
        <item>～</item>
      </candidateList>
      <explain>文本全半角错误。</explain>
      <paraID>21019B71</paraID>
      <start>14</start>
      <end>15</end>
      <status>unmodified</status>
      <modifiedWord/>
      <trackRevisions>false</trackRevisions>
    </reviewItem>
    <reviewItem>
      <errorID>8ecbfd07-04b8-45e1-ae7f-b7d33024fb86</errorID>
      <errorWord>，</errorWord>
      <group>L1_Word</group>
      <groupName>字词问题</groupName>
      <ability>L2_Typo</ability>
      <abilityName>字词错误</abilityName>
      <candidateList>
        <item>，对</item>
      </candidateList>
      <explain/>
      <paraID>79808577</paraID>
      <start>356</start>
      <end>357</end>
      <status>unmodified</status>
      <modifiedWord/>
      <trackRevisions>false</trackRevisions>
    </reviewItem>
    <reviewItem>
      <errorID>6d8d6c61-f181-4bf6-a59f-a749120111e5</errorID>
      <errorWord>渡汛</errorWord>
      <group>L1_Word</group>
      <groupName>字词问题</groupName>
      <ability>L2_Typo</ability>
      <abilityName>字词错误</abilityName>
      <candidateList>
        <item>度汛</item>
      </candidateList>
      <explain>〈动〉度过汛期。</explain>
      <paraID>7084944B</paraID>
      <start>5</start>
      <end>7</end>
      <status>modified</status>
      <modifiedWord>度汛</modifiedWord>
      <trackRevisions>false</trackRevisions>
    </reviewItem>
    <reviewItem>
      <errorID>a625a431-f999-46e8-bcf3-ca51d8eff975</errorID>
      <errorWord>渡汛</errorWord>
      <group>L1_Word</group>
      <groupName>字词问题</groupName>
      <ability>L2_Typo</ability>
      <abilityName>字词错误</abilityName>
      <candidateList>
        <item>度汛</item>
      </candidateList>
      <explain>〈动〉度过汛期。</explain>
      <paraID>1C50FBB7</paraID>
      <start>12</start>
      <end>14</end>
      <status>modified</status>
      <modifiedWord>度汛</modifiedWord>
      <trackRevisions>false</trackRevisions>
    </reviewItem>
    <reviewItem>
      <errorID>86378a9c-6dec-4c4e-a4c1-975584407623</errorID>
      <errorWord>管理办法》中</errorWord>
      <group>L1_Word</group>
      <groupName>字词问题</groupName>
      <ability>L2_Typo</ability>
      <abilityName>字词错误</abilityName>
      <candidateList>
        <item>管理办法》</item>
      </candidateList>
      <explain/>
      <paraID>5DDD8836</paraID>
      <start>40</start>
      <end>45</end>
      <status>modified</status>
      <modifiedWord>管理办法》</modifiedWord>
      <trackRevisions>false</trackRevisions>
    </reviewItem>
    <reviewItem>
      <errorID>37e2ab97-61ed-429a-a314-1bff76a0bfca</errorID>
      <errorWord>接受</errorWord>
      <group>L1_Word</group>
      <groupName>字词问题</groupName>
      <ability>L2_Typo</ability>
      <abilityName>字词错误</abilityName>
      <candidateList>
        <item>接收</item>
      </candidateList>
      <explain>存在发音相同字词的误用。</explain>
      <paraID>6A1193F1</paraID>
      <start>108</start>
      <end>110</end>
      <status>modified</status>
      <modifiedWord>接收</modifiedWord>
      <trackRevisions>false</trackRevisions>
    </reviewItem>
    <reviewItem>
      <errorID>75b67171-c3ea-466d-bb28-ebbaf0293147</errorID>
      <errorWord>接受</errorWord>
      <group>L1_Word</group>
      <groupName>字词问题</groupName>
      <ability>L2_Typo</ability>
      <abilityName>字词错误</abilityName>
      <candidateList>
        <item>接收</item>
      </candidateList>
      <explain>存在发音相同字词的误用。</explain>
      <paraID>6A1193F1</paraID>
      <start>172</start>
      <end>174</end>
      <status>modified</status>
      <modifiedWord>接收</modifiedWord>
      <trackRevisions>false</trackRevisions>
    </reviewItem>
    <reviewItem>
      <errorID>f3cef642-d34b-4868-8c6b-b96c68645d1f</errorID>
      <errorWord>厂</errorWord>
      <group>L1_Word</group>
      <groupName>字词问题</groupName>
      <ability>L2_Typo</ability>
      <abilityName>字词错误</abilityName>
      <candidateList>
        <item>场</item>
      </candidateList>
      <explain/>
      <paraID>36C33121</paraID>
      <start>39</start>
      <end>40</end>
      <status>ignored</status>
      <modifiedWord/>
      <trackRevisions>false</trackRevisions>
    </reviewItem>
    <reviewItem>
      <errorID>6c69d944-4643-4a26-9ec4-81f65f45c5f1</errorID>
      <errorWord>II级</errorWord>
      <group>L1_Knowledge</group>
      <groupName>知识性问题</groupName>
      <ability>L2_Knowledge</ability>
      <abilityName>其他知识</abilityName>
      <candidateList>
        <item>Ⅱ级</item>
      </candidateList>
      <explain/>
      <paraID> 7E43168</paraID>
      <start>20</start>
      <end>23</end>
      <status>unmodified</status>
      <modifiedWord/>
      <trackRevisions>false</trackRevisions>
    </reviewItem>
    <reviewItem>
      <errorID>a19c3d05-996c-4156-a333-c1141bfd702d</errorID>
      <errorWord>II级</errorWord>
      <group>L1_Knowledge</group>
      <groupName>知识性问题</groupName>
      <ability>L2_Knowledge</ability>
      <abilityName>其他知识</abilityName>
      <candidateList>
        <item>Ⅱ级</item>
      </candidateList>
      <explain/>
      <paraID> 7E43168</paraID>
      <start>64</start>
      <end>67</end>
      <status>unmodified</status>
      <modifiedWord/>
      <trackRevisions>false</trackRevisions>
    </reviewItem>
    <reviewItem>
      <errorID>22fb66b5-08b4-4a43-9934-cc7f89d21065</errorID>
      <errorWord>III级</errorWord>
      <group>L1_Knowledge</group>
      <groupName>知识性问题</groupName>
      <ability>L2_Knowledge</ability>
      <abilityName>其他知识</abilityName>
      <candidateList>
        <item>Ⅲ级</item>
      </candidateList>
      <explain/>
      <paraID>44B5F89C</paraID>
      <start>65</start>
      <end>69</end>
      <status>unmodified</status>
      <modifiedWord/>
      <trackRevisions>false</trackRevisions>
    </reviewItem>
    <reviewItem>
      <errorID>e1d01529-3967-47b2-8ed6-e18b292dcdad</errorID>
      <errorWord>（/</errorWord>
      <group>L1_Punc</group>
      <groupName>标点问题</groupName>
      <ability>L2_Punc</ability>
      <abilityName>标点符号检查</abilityName>
      <candidateList>
        <item>（</item>
      </candidateList>
      <explain/>
      <paraID>326FB193</paraID>
      <start>0</start>
      <end>2</end>
      <status>unmodified</status>
      <modifiedWord/>
      <trackRevisions>false</trackRevisions>
    </reviewItem>
    <reviewItem>
      <errorID>88d1944a-4eb7-4a96-bc3a-e3e9aa9f67c4</errorID>
      <errorWord>（/</errorWord>
      <group>L1_Punc</group>
      <groupName>标点问题</groupName>
      <ability>L2_Punc</ability>
      <abilityName>标点符号检查</abilityName>
      <candidateList>
        <item>（</item>
      </candidateList>
      <explain/>
      <paraID> 1D29220</paraID>
      <start>0</start>
      <end>2</end>
      <status>unmodified</status>
      <modifiedWord/>
      <trackRevisions>false</trackRevisions>
    </reviewItem>
    <reviewItem>
      <errorID>f632f3b9-8fea-4b54-8253-90d2b7ef64f5</errorID>
      <errorWord>期</errorWord>
      <group>L1_Word</group>
      <groupName>字词问题</groupName>
      <ability>L2_Typo</ability>
      <abilityName>字词错误</abilityName>
      <candidateList>
        <item>期间</item>
      </candidateList>
      <explain>〈名〉某个时期里面：农忙～｜春节～｜抗战～。</explain>
      <paraID>4B4718FC</paraID>
      <start>42</start>
      <end>43</end>
      <status>unmodified</status>
      <modifiedWord/>
      <trackRevisions>false</trackRevisions>
    </reviewItem>
    <reviewItem>
      <errorID>d7b8ce36-9894-4ab7-9dc7-6952b7a320f6</errorID>
      <errorWord>抛撒</errorWord>
      <group>L1_Word</group>
      <groupName>字词问题</groupName>
      <ability>L2_Typo</ability>
      <abilityName>字词错误</abilityName>
      <candidateList>
        <item>抛洒</item>
      </candidateList>
      <explain/>
      <paraID>76C82713</paraID>
      <start>53</start>
      <end>55</end>
      <status>modified</status>
      <modifiedWord>抛洒</modifiedWord>
      <trackRevisions>false</trackRevisions>
    </reviewItem>
    <reviewItem>
      <errorID>c94016af-8b6e-49b6-b20f-b48dae2b5aed</errorID>
      <errorWord>、</errorWord>
      <group>L1_Punc</group>
      <groupName>标点问题</groupName>
      <ability>L2_Punc</ability>
      <abilityName>标点符号检查</abilityName>
      <candidateList>
        <item>.</item>
      </candidateList>
      <explain/>
      <paraID>422012DA</paraID>
      <start>1</start>
      <end>2</end>
      <status>unmodified</status>
      <modifiedWord/>
      <trackRevisions>false</trackRevisions>
    </reviewItem>
    <reviewItem>
      <errorID>e22a1e31-5299-4fa4-81a0-89070bf23251</errorID>
      <errorWord>、</errorWord>
      <group>L1_Punc</group>
      <groupName>标点问题</groupName>
      <ability>L2_Punc</ability>
      <abilityName>标点符号检查</abilityName>
      <candidateList>
        <item>.</item>
      </candidateList>
      <explain/>
      <paraID>339F99E9</paraID>
      <start>1</start>
      <end>2</end>
      <status>unmodified</status>
      <modifiedWord/>
      <trackRevisions>false</trackRevisions>
    </reviewItem>
    <reviewItem>
      <errorID>96cb3320-c634-4ab5-8807-2cd6f43e2aa0</errorID>
      <errorWord>既可</errorWord>
      <group>L1_Word</group>
      <groupName>字词问题</groupName>
      <ability>L2_Typo</ability>
      <abilityName>字词错误</abilityName>
      <candidateList>
        <item>即可</item>
      </candidateList>
      <explain>存在发音相同字词的误用。</explain>
      <paraID>339F99E9</paraID>
      <start>35</start>
      <end>37</end>
      <status>modified</status>
      <modifiedWord>即可</modifiedWord>
      <trackRevisions>false</trackRevisions>
    </reviewItem>
    <reviewItem>
      <errorID>c153720e-d7f1-49b7-9903-33d2c5314d6e</errorID>
      <errorWord>、</errorWord>
      <group>L1_Punc</group>
      <groupName>标点问题</groupName>
      <ability>L2_Punc</ability>
      <abilityName>标点符号检查</abilityName>
      <candidateList>
        <item>.</item>
      </candidateList>
      <explain/>
      <paraID> DABDD90</paraID>
      <start>1</start>
      <end>2</end>
      <status>unmodified</status>
      <modifiedWord/>
      <trackRevisions>false</trackRevisions>
    </reviewItem>
    <reviewItem>
      <errorID>13a7e0e0-366e-4e40-aa3e-4702b11b4df4</errorID>
      <errorWord>、</errorWord>
      <group>L1_Punc</group>
      <groupName>标点问题</groupName>
      <ability>L2_Punc</ability>
      <abilityName>标点符号检查</abilityName>
      <candidateList>
        <item>.</item>
      </candidateList>
      <explain/>
      <paraID>1E9DB014</paraID>
      <start>1</start>
      <end>2</end>
      <status>unmodified</status>
      <modifiedWord/>
      <trackRevisions>false</trackRevisions>
    </reviewItem>
    <reviewItem>
      <errorID>803c53de-fd9a-4d7b-ab90-b69a6f04bb5a</errorID>
      <errorWord>、</errorWord>
      <group>L1_Punc</group>
      <groupName>标点问题</groupName>
      <ability>L2_Punc</ability>
      <abilityName>标点符号检查</abilityName>
      <candidateList>
        <item>.</item>
      </candidateList>
      <explain/>
      <paraID>51420D0D</paraID>
      <start>1</start>
      <end>2</end>
      <status>unmodified</status>
      <modifiedWord/>
      <trackRevisions>false</trackRevisions>
    </reviewItem>
    <reviewItem>
      <errorID>952f6a80-a70d-47c6-a4dc-3fdfbab7008b</errorID>
      <errorWord>、</errorWord>
      <group>L1_Punc</group>
      <groupName>标点问题</groupName>
      <ability>L2_Punc</ability>
      <abilityName>标点符号检查</abilityName>
      <candidateList>
        <item>.</item>
      </candidateList>
      <explain/>
      <paraID> 1BFA4E8</paraID>
      <start>1</start>
      <end>2</end>
      <status>unmodified</status>
      <modifiedWord/>
      <trackRevisions>false</trackRevisions>
    </reviewItem>
    <reviewItem>
      <errorID>5b008229-9f5d-4c50-ae70-814436481e3c</errorID>
      <errorWord>粘稠</errorWord>
      <group>L1_Word</group>
      <groupName>字词问题</groupName>
      <ability>L2_Typo</ability>
      <abilityName>字词错误</abilityName>
      <candidateList>
        <item>黏稠</item>
      </candidateList>
      <explain>存在发音相同字词的误用。</explain>
      <paraID> A953F98</paraID>
      <start>68</start>
      <end>70</end>
      <status>modified</status>
      <modifiedWord>黏稠</modifiedWord>
      <trackRevisions>false</trackRevisions>
    </reviewItem>
    <reviewItem>
      <errorID>7a33267f-cc8c-4333-a825-0f03ad3421ba</errorID>
      <errorWord>-</errorWord>
      <group>L1_Format</group>
      <groupName>格式问题</groupName>
      <ability>L2_HalfPunc</ability>
      <abilityName>全半角检查</abilityName>
      <candidateList>
        <item>－</item>
      </candidateList>
      <explain>文本全半角错误。</explain>
      <paraID>2D24C62A</paraID>
      <start>136</start>
      <end>137</end>
      <status>unmodified</status>
      <modifiedWord/>
      <trackRevisions>false</trackRevisions>
    </reviewItem>
    <reviewItem>
      <errorID>191f98d4-02fa-459f-a44d-cda953d40f8c</errorID>
      <errorWord>：</errorWord>
      <group>L1_Format</group>
      <groupName>格式问题</groupName>
      <ability>L2_HalfPunc</ability>
      <abilityName>全半角检查</abilityName>
      <candidateList>
        <item>:</item>
      </candidateList>
      <explain>文本全半角错误。</explain>
      <paraID>4D563A37</paraID>
      <start>144</start>
      <end>145</end>
      <status>unmodified</status>
      <modifiedWord/>
      <trackRevisions>false</trackRevisions>
    </reviewItem>
    <reviewItem>
      <errorID>645c7cc5-e302-4ee6-bd82-42fd0e55bf88</errorID>
      <errorWord>、</errorWord>
      <group>L1_Punc</group>
      <groupName>标点问题</groupName>
      <ability>L2_Punc</ability>
      <abilityName>标点符号检查</abilityName>
      <candidateList>
        <item>.</item>
      </candidateList>
      <explain/>
      <paraID>4056B7D6</paraID>
      <start>1</start>
      <end>2</end>
      <status>unmodified</status>
      <modifiedWord/>
      <trackRevisions>false</trackRevisions>
    </reviewItem>
    <reviewItem>
      <errorID>7c016bbf-59bd-4645-999b-7f3a9d7bef60</errorID>
      <errorWord>成</errorWord>
      <group>L1_Word</group>
      <groupName>字词问题</groupName>
      <ability>L2_Typo</ability>
      <abilityName>字词错误</abilityName>
      <candidateList>
        <item>或</item>
      </candidateList>
      <explain>存在字形相近字词的误用。</explain>
      <paraID>4056B7D6</paraID>
      <start>56</start>
      <end>57</end>
      <status>modified</status>
      <modifiedWord>或</modifiedWord>
      <trackRevisions>false</trackRevisions>
    </reviewItem>
    <reviewItem>
      <errorID>67e81e58-f2b6-4226-a8bb-6db4318abfff</errorID>
      <errorWord>、</errorWord>
      <group>L1_Punc</group>
      <groupName>标点问题</groupName>
      <ability>L2_Punc</ability>
      <abilityName>标点符号检查</abilityName>
      <candidateList>
        <item>.</item>
      </candidateList>
      <explain/>
      <paraID>14251CC5</paraID>
      <start>1</start>
      <end>2</end>
      <status>unmodified</status>
      <modifiedWord/>
      <trackRevisions>false</trackRevisions>
    </reviewItem>
    <reviewItem>
      <errorID>3ddbc0f7-4bed-4ed3-96a7-220efe095ab8</errorID>
      <errorWord>在第一时间内</errorWord>
      <group>L1_Word</group>
      <groupName>字词问题</groupName>
      <ability>L2_Typo</ability>
      <abilityName>字词错误</abilityName>
      <candidateList>
        <item>在第一时间</item>
      </candidateList>
      <explain/>
      <paraID> 73BCCFD</paraID>
      <start>28</start>
      <end>33</end>
      <status>modified</status>
      <modifiedWord>在第一时间</modifiedWord>
      <trackRevisions>false</trackRevisions>
    </reviewItem>
    <reviewItem>
      <errorID>6c870b7a-3ff1-4540-b363-198f35154f0c</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3E20CEEB</paraID>
      <start>65</start>
      <end>66</end>
      <status>modified</status>
      <modifiedWord>地</modifiedWord>
      <trackRevisions>false</trackRevisions>
    </reviewItem>
    <reviewItem>
      <errorID>8e171ad1-14ad-40f7-b435-047ed478eb8b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18831431</paraID>
      <start>80</start>
      <end>81</end>
      <status>ignored</status>
      <modifiedWord/>
      <trackRevisions>false</trackRevisions>
    </reviewItem>
    <reviewItem>
      <errorID>8d26b484-7c9b-4130-afbd-c1948c1ce1d4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7DEA43FF</paraID>
      <start>49</start>
      <end>50</end>
      <status>ignored</status>
      <modifiedWord/>
      <trackRevisions>false</trackRevisions>
    </reviewItem>
    <reviewItem>
      <errorID>fab1e86f-2870-48be-87b9-3a9fca13e577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54FCE8AC</paraID>
      <start>24</start>
      <end>25</end>
      <status>ignored</status>
      <modifiedWord/>
      <trackRevisions>false</trackRevisions>
    </reviewItem>
    <reviewItem>
      <errorID>739bf5ba-008f-4441-ac22-3d2fb7c3f20d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62C287AE</paraID>
      <start>191</start>
      <end>192</end>
      <status>ignored</status>
      <modifiedWord/>
      <trackRevisions>false</trackRevisions>
    </reviewItem>
    <reviewItem>
      <errorID>e3a1af18-91f3-4ee5-b764-450acc0eef33</errorID>
      <errorWord>工序回</errorWord>
      <group>L1_Word</group>
      <groupName>字词问题</groupName>
      <ability>L2_Typo</ability>
      <abilityName>字词错误</abilityName>
      <candidateList>
        <item>工序</item>
      </candidateList>
      <explain/>
      <paraID>143FFB78</paraID>
      <start>34</start>
      <end>37</end>
      <status>unmodified</status>
      <modifiedWord/>
      <trackRevisions>false</trackRevisions>
    </reviewItem>
    <reviewItem>
      <errorID>5d9c1047-1f3e-4183-a92e-e800e12dd8c8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6A4413E3</paraID>
      <start>39</start>
      <end>40</end>
      <status>ignored</status>
      <modifiedWord/>
      <trackRevisions>false</trackRevisions>
    </reviewItem>
    <reviewItem>
      <errorID>9a1201f6-f30b-4420-8016-5d067070f9a6</errorID>
      <errorWord>接受</errorWord>
      <group>L1_Word</group>
      <groupName>字词问题</groupName>
      <ability>L2_Typo</ability>
      <abilityName>字词错误</abilityName>
      <candidateList>
        <item>接收</item>
      </candidateList>
      <explain>〈动〉❶收受：～来稿｜～无线电信号。❷根据法令把机构、财产等拿过来：～逆产。❸接纳：～新会员。</explain>
      <paraID>7E473670</paraID>
      <start>166</start>
      <end>168</end>
      <status>modified</status>
      <modifiedWord>接收</modifiedWord>
      <trackRevisions>false</trackRevisions>
    </reviewItem>
    <reviewItem>
      <errorID>1230bc6e-6ce4-4858-a515-bbd9acf5b307</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51805E76</paraID>
      <start>14</start>
      <end>15</end>
      <status>modified</status>
      <modifiedWord>地</modifiedWord>
      <trackRevisions>false</trackRevisions>
    </reviewItem>
    <reviewItem>
      <errorID>e06a21c0-d546-4df8-96cc-a2089be6f475</errorID>
      <errorWord>厂</errorWord>
      <group>L1_Word</group>
      <groupName>字词问题</groupName>
      <ability>L2_Typo</ability>
      <abilityName>字词错误</abilityName>
      <candidateList>
        <item>场</item>
      </candidateList>
      <explain/>
      <paraID>5C97CD47</paraID>
      <start>7</start>
      <end>8</end>
      <status>ignored</status>
      <modifiedWord/>
      <trackRevisions>false</trackRevisions>
    </reviewItem>
    <reviewItem>
      <errorID>198c6fcf-8993-4de2-acdf-762dd819506d</errorID>
      <errorWord>厂</errorWord>
      <group>L1_Word</group>
      <groupName>字词问题</groupName>
      <ability>L2_Typo</ability>
      <abilityName>字词错误</abilityName>
      <candidateList>
        <item>场</item>
      </candidateList>
      <explain/>
      <paraID>10AAB634</paraID>
      <start>2</start>
      <end>3</end>
      <status>ignored</status>
      <modifiedWord/>
      <trackRevisions>false</trackRevisions>
    </reviewItem>
    <reviewItem>
      <errorID>7a6ce113-daf5-48b5-ab16-0742df62b32a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15D5C089</paraID>
      <start>0</start>
      <end>2</end>
      <status>unmodified</status>
      <modifiedWord/>
      <trackRevisions>false</trackRevisions>
    </reviewItem>
    <reviewItem>
      <errorID>00c92d50-21f2-4326-a228-7b6ad128ec3b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444D4B0</paraID>
      <start>0</start>
      <end>2</end>
      <status>unmodified</status>
      <modifiedWord/>
      <trackRevisions>false</trackRevisions>
    </reviewItem>
    <reviewItem>
      <errorID>14866642-37b4-49dd-b8f7-2b04a911b1bd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3C6CD1EC</paraID>
      <start>0</start>
      <end>2</end>
      <status>unmodified</status>
      <modifiedWord/>
      <trackRevisions>false</trackRevisions>
    </reviewItem>
    <reviewItem>
      <errorID>a9991274-9816-4c55-9de4-7535da894ca8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629059C8</paraID>
      <start>0</start>
      <end>2</end>
      <status>unmodified</status>
      <modifiedWord/>
      <trackRevisions>false</trackRevisions>
    </reviewItem>
    <reviewItem>
      <errorID>ca2d6345-69d6-434b-b7a3-5690f9369ed5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7B846813</paraID>
      <start>0</start>
      <end>2</end>
      <status>unmodified</status>
      <modifiedWord/>
      <trackRevisions>false</trackRevisions>
    </reviewItem>
    <reviewItem>
      <errorID>e10f04a0-7014-47bd-b901-8017a1f44365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5B871D8E</paraID>
      <start>0</start>
      <end>2</end>
      <status>unmodified</status>
      <modifiedWord/>
      <trackRevisions>false</trackRevisions>
    </reviewItem>
    <reviewItem>
      <errorID>c557db27-e987-46fe-9740-2a368114e35d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22ACD98</paraID>
      <start>0</start>
      <end>2</end>
      <status>unmodified</status>
      <modifiedWord/>
      <trackRevisions>false</trackRevisions>
    </reviewItem>
    <reviewItem>
      <errorID>e36d152a-d911-4343-8915-4c080d4be3f4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7E7343EB</paraID>
      <start>0</start>
      <end>2</end>
      <status>unmodified</status>
      <modifiedWord/>
      <trackRevisions>false</trackRevisions>
    </reviewItem>
    <reviewItem>
      <errorID>85fdf67c-a127-43a8-86f5-72d2df2df167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41E30D2B</paraID>
      <start>0</start>
      <end>2</end>
      <status>unmodified</status>
      <modifiedWord/>
      <trackRevisions>false</trackRevisions>
    </reviewItem>
    <reviewItem>
      <errorID>bea695b9-b4ae-4904-b48c-4fdfccd7143a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6DCBA004</paraID>
      <start>0</start>
      <end>2</end>
      <status>unmodified</status>
      <modifiedWord/>
      <trackRevisions>false</trackRevisions>
    </reviewItem>
    <reviewItem>
      <errorID>28719bdb-f0b0-4230-a508-a96c04275d4e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D03311F</paraID>
      <start>0</start>
      <end>2</end>
      <status>unmodified</status>
      <modifiedWord/>
      <trackRevisions>false</trackRevisions>
    </reviewItem>
    <reviewItem>
      <errorID>d2a33f9b-b4a1-481f-ad62-5bd942dc6de2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249B4627</paraID>
      <start>0</start>
      <end>2</end>
      <status>unmodified</status>
      <modifiedWord/>
      <trackRevisions>false</trackRevisions>
    </reviewItem>
    <reviewItem>
      <errorID>db8f9f24-6f74-4ba5-afc2-836fac3cb818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52C5C997</paraID>
      <start>0</start>
      <end>2</end>
      <status>unmodified</status>
      <modifiedWord/>
      <trackRevisions>false</trackRevisions>
    </reviewItem>
    <reviewItem>
      <errorID>fc44cb4e-d342-41c3-8127-8a17959808f4</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52C5C997</paraID>
      <start>33</start>
      <end>34</end>
      <status>modified</status>
      <modifiedWord>地</modifiedWord>
      <trackRevisions>false</trackRevisions>
    </reviewItem>
    <reviewItem>
      <errorID>96fdc3b5-702c-41fa-99e0-f02d3691eec4</errorID>
      <errorWord>收到</errorWord>
      <group>L1_Word</group>
      <groupName>字词问题</groupName>
      <ability>L2_Typo</ability>
      <abilityName>字词错误</abilityName>
      <candidateList>
        <item>受到</item>
      </candidateList>
      <explain/>
      <paraID> 4C93AEA</paraID>
      <start>75</start>
      <end>77</end>
      <status>modified</status>
      <modifiedWord>受到</modifiedWord>
      <trackRevisions>false</trackRevisions>
    </reviewItem>
    <reviewItem>
      <errorID>7a69dfe2-1921-4027-a639-3cd9d01749b4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4BA96DE3</paraID>
      <start>0</start>
      <end>2</end>
      <status>unmodified</status>
      <modifiedWord/>
      <trackRevisions>false</trackRevisions>
    </reviewItem>
    <reviewItem>
      <errorID>8f8e752f-9b70-4ff3-bd90-e2e467c47241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3DECE7E6</paraID>
      <start>0</start>
      <end>2</end>
      <status>unmodified</status>
      <modifiedWord/>
      <trackRevisions>false</trackRevisions>
    </reviewItem>
    <reviewItem>
      <errorID>30dd2b91-9210-4bff-a232-c35e51aac284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38794A0A</paraID>
      <start>0</start>
      <end>2</end>
      <status>unmodified</status>
      <modifiedWord/>
      <trackRevisions>false</trackRevisions>
    </reviewItem>
    <reviewItem>
      <errorID>190aff0b-25e3-4556-bcdc-f70d738b54e5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69050D62</paraID>
      <start>0</start>
      <end>2</end>
      <status>unmodified</status>
      <modifiedWord/>
      <trackRevisions>false</trackRevisions>
    </reviewItem>
    <reviewItem>
      <errorID>65111714-d6e9-459a-b997-10681fe56058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4BA7E37C</paraID>
      <start>0</start>
      <end>2</end>
      <status>unmodified</status>
      <modifiedWord/>
      <trackRevisions>false</trackRevisions>
    </reviewItem>
    <reviewItem>
      <errorID>3a1ac815-8cce-40df-a86a-38e5c5f79ff2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51CD031</paraID>
      <start>0</start>
      <end>2</end>
      <status>unmodified</status>
      <modifiedWord/>
      <trackRevisions>false</trackRevisions>
    </reviewItem>
    <reviewItem>
      <errorID>95002d4c-946a-47b8-a61e-06ec77385d8b</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56AACC89</paraID>
      <start>132</start>
      <end>133</end>
      <status>modified</status>
      <modifiedWord>地</modifiedWord>
      <trackRevisions>false</trackRevisions>
    </reviewItem>
    <reviewItem>
      <errorID>e0bba9aa-ba5b-4c64-9202-97e16b81fbcf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4E8C8E74</paraID>
      <start>0</start>
      <end>2</end>
      <status>unmodified</status>
      <modifiedWord/>
      <trackRevisions>false</trackRevisions>
    </reviewItem>
    <reviewItem>
      <errorID>fffad946-de73-48a0-a7c8-13f4865793ab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493D13B9</paraID>
      <start>0</start>
      <end>2</end>
      <status>unmodified</status>
      <modifiedWord/>
      <trackRevisions>false</trackRevisions>
    </reviewItem>
    <reviewItem>
      <errorID>ac55e02f-65cd-4d79-9552-b5eced4cc1c0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F46927E</paraID>
      <start>0</start>
      <end>2</end>
      <status>unmodified</status>
      <modifiedWord/>
      <trackRevisions>false</trackRevisions>
    </reviewItem>
    <reviewItem>
      <errorID>0956eccd-2062-4531-ae51-6b69fe6d7328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4519157</paraID>
      <start>0</start>
      <end>2</end>
      <status>unmodified</status>
      <modifiedWord/>
      <trackRevisions>false</trackRevisions>
    </reviewItem>
    <reviewItem>
      <errorID>6f75de6a-2bdf-481a-8245-8877d17a9696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47642CB0</paraID>
      <start>0</start>
      <end>2</end>
      <status>unmodified</status>
      <modifiedWord/>
      <trackRevisions>false</trackRevisions>
    </reviewItem>
    <reviewItem>
      <errorID>0b6a7331-2dd5-4a63-983b-6c6b3441be2c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15DF00F0</paraID>
      <start>0</start>
      <end>2</end>
      <status>unmodified</status>
      <modifiedWord/>
      <trackRevisions>false</trackRevisions>
    </reviewItem>
    <reviewItem>
      <errorID>cc74367f-ccee-4381-a7a4-455049f29317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5650CA47</paraID>
      <start>0</start>
      <end>2</end>
      <status>unmodified</status>
      <modifiedWord/>
      <trackRevisions>false</trackRevisions>
    </reviewItem>
    <reviewItem>
      <errorID>3f5dc674-058e-4f83-b6a4-d5302c532c53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1A2646E2</paraID>
      <start>0</start>
      <end>2</end>
      <status>unmodified</status>
      <modifiedWord/>
      <trackRevisions>false</trackRevisions>
    </reviewItem>
    <reviewItem>
      <errorID>26904943-d908-443f-8205-f654c17f4429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340827BD</paraID>
      <start>0</start>
      <end>2</end>
      <status>unmodified</status>
      <modifiedWord/>
      <trackRevisions>false</trackRevisions>
    </reviewItem>
    <reviewItem>
      <errorID>dd12b9a0-6a00-43c7-91f5-198b4b82e057</errorID>
      <errorWord>厂上</errorWord>
      <group>L1_Word</group>
      <groupName>字词问题</groupName>
      <ability>L2_Typo</ability>
      <abilityName>字词错误</abilityName>
      <candidateList>
        <item>场上</item>
      </candidateList>
      <explain/>
      <paraID>3B6683D5</paraID>
      <start>6</start>
      <end>8</end>
      <status>ignored</status>
      <modifiedWord/>
      <trackRevisions>false</trackRevisions>
    </reviewItem>
    <reviewItem>
      <errorID>3a570a48-4466-4627-b37b-52150efe2cfc</errorID>
      <errorWord>厂</errorWord>
      <group>L1_Word</group>
      <groupName>字词问题</groupName>
      <ability>L2_Typo</ability>
      <abilityName>字词错误</abilityName>
      <candidateList>
        <item>场</item>
      </candidateList>
      <explain/>
      <paraID>2F3E5605</paraID>
      <start>2</start>
      <end>3</end>
      <status>ignored</status>
      <modifiedWord/>
      <trackRevisions>false</trackRevisions>
    </reviewItem>
    <reviewItem>
      <errorID>a5b8a5b8-9560-425c-a4e9-222105961631</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2CD33F5F</paraID>
      <start>35</start>
      <end>36</end>
      <status>unmodified</status>
      <modifiedWord/>
      <trackRevisions>false</trackRevisions>
    </reviewItem>
    <reviewItem>
      <errorID>a2a4e886-e777-4af9-a8a4-de7bfbf01572</errorID>
      <errorWord>（</errorWord>
      <group>L1_Format</group>
      <groupName>格式问题</groupName>
      <ability>L2_HalfPunc</ability>
      <abilityName>全半角检查</abilityName>
      <candidateList>
        <item>(</item>
      </candidateList>
      <explain>文本全半角错误。</explain>
      <paraID>5FF44BF8</paraID>
      <start>0</start>
      <end>1</end>
      <status>unmodified</status>
      <modifiedWord/>
      <trackRevisions>false</trackRevisions>
    </reviewItem>
    <reviewItem>
      <errorID>7f5340d8-225c-4d56-b1b0-ca9b7189c8a5</errorID>
      <errorWord>）</errorWord>
      <group>L1_Format</group>
      <groupName>格式问题</groupName>
      <ability>L2_HalfPunc</ability>
      <abilityName>全半角检查</abilityName>
      <candidateList>
        <item>)</item>
      </candidateList>
      <explain>文本全半角错误。</explain>
      <paraID>5FF44BF8</paraID>
      <start>14</start>
      <end>15</end>
      <status>unmodified</status>
      <modifiedWord/>
      <trackRevisions>false</trackRevisions>
    </reviewItem>
    <reviewItem>
      <errorID>534a8939-72f2-4bcb-8f34-85df161d2d28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776B2875</paraID>
      <start>7</start>
      <end>8</end>
      <status>ignored</status>
      <modifiedWord/>
      <trackRevisions>false</trackRevisions>
    </reviewItem>
    <reviewItem>
      <errorID>58bc8f56-bf5a-4090-9c32-53bccab3a7e0</errorID>
      <errorWord>"</errorWord>
      <group>L1_Format</group>
      <groupName>格式问题</groupName>
      <ability>L2_HalfPunc</ability>
      <abilityName>全半角检查</abilityName>
      <candidateList/>
      <explain>文本全半角错误。</explain>
      <paraID>35CC0E54</paraID>
      <start>141</start>
      <end>142</end>
      <status>unmodified</status>
      <modifiedWord/>
      <trackRevisions>false</trackRevisions>
    </reviewItem>
    <reviewItem>
      <errorID>7e32f3e1-0a48-4919-9a50-77b5ad90cca2</errorID>
      <errorWord>"</errorWord>
      <group>L1_Format</group>
      <groupName>格式问题</groupName>
      <ability>L2_HalfPunc</ability>
      <abilityName>全半角检查</abilityName>
      <candidateList/>
      <explain>文本全半角错误。</explain>
      <paraID>35CC0E54</paraID>
      <start>156</start>
      <end>157</end>
      <status>unmodified</status>
      <modifiedWord/>
      <trackRevisions>false</trackRevisions>
    </reviewItem>
    <reviewItem>
      <errorID>0b1421f4-549c-425a-aab0-fc88ae849fa6</errorID>
      <errorWord>-</errorWord>
      <group>L1_Format</group>
      <groupName>格式问题</groupName>
      <ability>L2_HalfPunc</ability>
      <abilityName>全半角检查</abilityName>
      <candidateList>
        <item>－</item>
      </candidateList>
      <explain>文本全半角错误。</explain>
      <paraID>12E55580</paraID>
      <start>38</start>
      <end>39</end>
      <status>unmodified</status>
      <modifiedWord/>
      <trackRevisions>false</trackRevisions>
    </reviewItem>
    <reviewItem>
      <errorID>e398d56e-e25b-4e7b-8083-588bf3f87a89</errorID>
      <errorWord>）。</errorWord>
      <group>L1_Format</group>
      <groupName>格式问题</groupName>
      <ability>L2_HalfPunc</ability>
      <abilityName>全半角检查</abilityName>
      <candidateList>
        <item>).</item>
      </candidateList>
      <explain>文本全半角错误。</explain>
      <paraID>574400BE</paraID>
      <start>164</start>
      <end>166</end>
      <status>unmodified</status>
      <modifiedWord/>
      <trackRevisions>false</trackRevisions>
    </reviewItem>
    <reviewItem>
      <errorID>3e626b5a-3fdc-4c8f-a150-425a345eb1ee</errorID>
      <errorWord>环保治理</errorWord>
      <group>L1_Word</group>
      <groupName>字词问题</groupName>
      <ability>L2_Typo</ability>
      <abilityName>字词错误</abilityName>
      <candidateList>
        <item>环境治理</item>
      </candidateList>
      <explain/>
      <paraID>1620F40E</paraID>
      <start>19</start>
      <end>23</end>
      <status>modified</status>
      <modifiedWord>环境治理</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E4B2AB-1A92-4952-9B0D-E0B01FB49912}">
  <ds:schemaRefs/>
</ds:datastoreItem>
</file>

<file path=customXml/itemProps3.xml><?xml version="1.0" encoding="utf-8"?>
<ds:datastoreItem xmlns:ds="http://schemas.openxmlformats.org/officeDocument/2006/customXml" ds:itemID="{991248dc-3b88-4aec-9e7f-b22be258f83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264</Pages>
  <Words>13662</Words>
  <Characters>14540</Characters>
  <Lines>2090</Lines>
  <Paragraphs>588</Paragraphs>
  <TotalTime>3</TotalTime>
  <ScaleCrop>false</ScaleCrop>
  <LinksUpToDate>false</LinksUpToDate>
  <CharactersWithSpaces>14669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2020-08-05T02:46:00Z</dcterms:created>
  <dc:creator>鲍 宏岩</dc:creator>
  <cp:lastModifiedBy>ChiXiu</cp:lastModifiedBy>
  <cp:lastPrinted>2022-11-14T16:46:00Z</cp:lastPrinted>
  <dcterms:modified xsi:type="dcterms:W3CDTF">2026-05-15T07:57:20Z</dcterms:modified>
  <cp:revision>953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A223F7411028410ABDA13CCBD1700FA9_13</vt:lpwstr>
  </property>
  <property fmtid="{D5CDD505-2E9C-101B-9397-08002B2CF9AE}" pid="4" name="KSOTemplateDocerSaveRecord">
    <vt:lpwstr>eyJoZGlkIjoiZmZkMzhjYTJiYWIwMzE5OTE5MjYyZDUwZTBmNTExOTAiLCJ1c2VySWQiOiIyNzgyNzY1NDYifQ==</vt:lpwstr>
  </property>
</Properties>
</file>